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26B0" w:rsidRDefault="00E33A99">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5980A08-5B48-428B-8714-FE25D5196CF1" style="width:450.8pt;height:422.85pt">
            <v:imagedata r:id="rId9" o:title=""/>
          </v:shape>
        </w:pict>
      </w:r>
    </w:p>
    <w:bookmarkEnd w:id="0"/>
    <w:p w:rsidR="001A26B0" w:rsidRDefault="001A26B0">
      <w:pPr>
        <w:rPr>
          <w:noProof/>
        </w:rPr>
        <w:sectPr w:rsidR="001A26B0">
          <w:headerReference w:type="even" r:id="rId10"/>
          <w:headerReference w:type="default" r:id="rId11"/>
          <w:footerReference w:type="even" r:id="rId12"/>
          <w:footerReference w:type="default" r:id="rId13"/>
          <w:headerReference w:type="first" r:id="rId14"/>
          <w:footerReference w:type="first" r:id="rId15"/>
          <w:pgSz w:w="11907" w:h="16839" w:code="9"/>
          <w:pgMar w:top="1134" w:right="1417" w:bottom="1134" w:left="1417" w:header="709" w:footer="709" w:gutter="0"/>
          <w:paperSrc w:first="4" w:other="4"/>
          <w:pgNumType w:start="0"/>
          <w:cols w:space="720"/>
          <w:docGrid w:linePitch="326"/>
        </w:sectPr>
      </w:pPr>
    </w:p>
    <w:p w:rsidR="001A26B0" w:rsidRDefault="001A26B0">
      <w:pPr>
        <w:rPr>
          <w:noProof/>
        </w:rPr>
      </w:pPr>
    </w:p>
    <w:sdt>
      <w:sdtPr>
        <w:rPr>
          <w:b w:val="0"/>
          <w:noProof/>
        </w:rPr>
        <w:id w:val="1760712770"/>
        <w:docPartObj>
          <w:docPartGallery w:val="Table of Contents"/>
          <w:docPartUnique/>
        </w:docPartObj>
      </w:sdtPr>
      <w:sdtEndPr>
        <w:rPr>
          <w:bCs/>
        </w:rPr>
      </w:sdtEndPr>
      <w:sdtContent>
        <w:p w:rsidR="001A26B0" w:rsidRDefault="00E33A99">
          <w:pPr>
            <w:pStyle w:val="TOCHeading"/>
            <w:rPr>
              <w:noProof/>
            </w:rPr>
          </w:pPr>
          <w:r>
            <w:rPr>
              <w:noProof/>
            </w:rPr>
            <w:t>Table of Contents</w:t>
          </w:r>
        </w:p>
        <w:p w:rsidR="001A26B0" w:rsidRDefault="00E33A99">
          <w:pPr>
            <w:pStyle w:val="TOC1"/>
            <w:rPr>
              <w:rFonts w:asciiTheme="minorHAnsi" w:eastAsiaTheme="minorEastAsia" w:hAnsiTheme="minorHAnsi" w:cstheme="minorBidi"/>
              <w:caps w:val="0"/>
              <w:noProof/>
              <w:sz w:val="22"/>
              <w:szCs w:val="22"/>
              <w:lang w:eastAsia="en-GB"/>
            </w:rPr>
          </w:pPr>
          <w:r>
            <w:rPr>
              <w:noProof/>
            </w:rPr>
            <w:fldChar w:fldCharType="begin"/>
          </w:r>
          <w:r>
            <w:rPr>
              <w:noProof/>
            </w:rPr>
            <w:instrText xml:space="preserve"> TOC \o "1-4" \h \z \u </w:instrText>
          </w:r>
          <w:r>
            <w:rPr>
              <w:noProof/>
            </w:rPr>
            <w:fldChar w:fldCharType="separate"/>
          </w:r>
          <w:hyperlink w:anchor="_Toc496635558" w:history="1">
            <w:r>
              <w:rPr>
                <w:rStyle w:val="Hyperlink"/>
                <w:rFonts w:eastAsiaTheme="majorEastAsia"/>
                <w:b/>
                <w:smallCaps/>
                <w:noProof/>
              </w:rPr>
              <w:t>Glossary - acronyms and definitions</w:t>
            </w:r>
            <w:r>
              <w:rPr>
                <w:noProof/>
                <w:webHidden/>
              </w:rPr>
              <w:tab/>
            </w:r>
            <w:r>
              <w:rPr>
                <w:noProof/>
                <w:webHidden/>
              </w:rPr>
              <w:fldChar w:fldCharType="begin"/>
            </w:r>
            <w:r>
              <w:rPr>
                <w:noProof/>
                <w:webHidden/>
              </w:rPr>
              <w:instrText xml:space="preserve"> PAGEREF _Toc496635558 \h </w:instrText>
            </w:r>
            <w:r>
              <w:rPr>
                <w:noProof/>
                <w:webHidden/>
              </w:rPr>
            </w:r>
            <w:r>
              <w:rPr>
                <w:noProof/>
                <w:webHidden/>
              </w:rPr>
              <w:fldChar w:fldCharType="separate"/>
            </w:r>
            <w:r>
              <w:rPr>
                <w:noProof/>
                <w:webHidden/>
              </w:rPr>
              <w:t>9</w:t>
            </w:r>
            <w:r>
              <w:rPr>
                <w:noProof/>
                <w:webHidden/>
              </w:rPr>
              <w:fldChar w:fldCharType="end"/>
            </w:r>
          </w:hyperlink>
        </w:p>
        <w:p w:rsidR="001A26B0" w:rsidRDefault="00E33A99">
          <w:pPr>
            <w:pStyle w:val="TOC1"/>
            <w:rPr>
              <w:rFonts w:asciiTheme="minorHAnsi" w:eastAsiaTheme="minorEastAsia" w:hAnsiTheme="minorHAnsi" w:cstheme="minorBidi"/>
              <w:caps w:val="0"/>
              <w:noProof/>
              <w:sz w:val="22"/>
              <w:szCs w:val="22"/>
              <w:lang w:eastAsia="en-GB"/>
            </w:rPr>
          </w:pPr>
          <w:hyperlink w:anchor="_Toc496635559"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introduction</w:t>
            </w:r>
            <w:r>
              <w:rPr>
                <w:noProof/>
                <w:webHidden/>
              </w:rPr>
              <w:tab/>
            </w:r>
            <w:r>
              <w:rPr>
                <w:noProof/>
                <w:webHidden/>
              </w:rPr>
              <w:fldChar w:fldCharType="begin"/>
            </w:r>
            <w:r>
              <w:rPr>
                <w:noProof/>
                <w:webHidden/>
              </w:rPr>
              <w:instrText xml:space="preserve"> PAGEREF _Toc496635559 \h </w:instrText>
            </w:r>
            <w:r>
              <w:rPr>
                <w:noProof/>
                <w:webHidden/>
              </w:rPr>
            </w:r>
            <w:r>
              <w:rPr>
                <w:noProof/>
                <w:webHidden/>
              </w:rPr>
              <w:fldChar w:fldCharType="separate"/>
            </w:r>
            <w:r>
              <w:rPr>
                <w:noProof/>
                <w:webHidden/>
              </w:rPr>
              <w:t>10</w:t>
            </w:r>
            <w:r>
              <w:rPr>
                <w:noProof/>
                <w:webHidden/>
              </w:rPr>
              <w:fldChar w:fldCharType="end"/>
            </w:r>
          </w:hyperlink>
        </w:p>
        <w:p w:rsidR="001A26B0" w:rsidRDefault="00E33A99">
          <w:pPr>
            <w:pStyle w:val="TOC2"/>
            <w:tabs>
              <w:tab w:val="left" w:pos="1077"/>
            </w:tabs>
            <w:rPr>
              <w:rFonts w:asciiTheme="minorHAnsi" w:eastAsiaTheme="minorEastAsia" w:hAnsiTheme="minorHAnsi" w:cstheme="minorBidi"/>
              <w:noProof/>
              <w:sz w:val="22"/>
              <w:szCs w:val="22"/>
              <w:lang w:eastAsia="en-GB"/>
            </w:rPr>
          </w:pPr>
          <w:hyperlink w:anchor="_Toc496635560" w:history="1">
            <w:r>
              <w:rPr>
                <w:rStyle w:val="Hyperlink"/>
                <w:noProof/>
              </w:rPr>
              <w:t>1.1</w:t>
            </w:r>
            <w:r>
              <w:rPr>
                <w:rFonts w:asciiTheme="minorHAnsi" w:eastAsiaTheme="minorEastAsia" w:hAnsiTheme="minorHAnsi" w:cstheme="minorBidi"/>
                <w:noProof/>
                <w:sz w:val="22"/>
                <w:szCs w:val="22"/>
                <w:lang w:eastAsia="en-GB"/>
              </w:rPr>
              <w:tab/>
            </w:r>
            <w:r>
              <w:rPr>
                <w:rStyle w:val="Hyperlink"/>
                <w:noProof/>
              </w:rPr>
              <w:t xml:space="preserve">Policy </w:t>
            </w:r>
            <w:r>
              <w:rPr>
                <w:rStyle w:val="Hyperlink"/>
                <w:noProof/>
              </w:rPr>
              <w:t>context</w:t>
            </w:r>
            <w:r>
              <w:rPr>
                <w:noProof/>
                <w:webHidden/>
              </w:rPr>
              <w:tab/>
            </w:r>
            <w:r>
              <w:rPr>
                <w:noProof/>
                <w:webHidden/>
              </w:rPr>
              <w:fldChar w:fldCharType="begin"/>
            </w:r>
            <w:r>
              <w:rPr>
                <w:noProof/>
                <w:webHidden/>
              </w:rPr>
              <w:instrText xml:space="preserve"> PAGEREF _Toc496635560 \h </w:instrText>
            </w:r>
            <w:r>
              <w:rPr>
                <w:noProof/>
                <w:webHidden/>
              </w:rPr>
            </w:r>
            <w:r>
              <w:rPr>
                <w:noProof/>
                <w:webHidden/>
              </w:rPr>
              <w:fldChar w:fldCharType="separate"/>
            </w:r>
            <w:r>
              <w:rPr>
                <w:noProof/>
                <w:webHidden/>
              </w:rPr>
              <w:t>10</w:t>
            </w:r>
            <w:r>
              <w:rPr>
                <w:noProof/>
                <w:webHidden/>
              </w:rPr>
              <w:fldChar w:fldCharType="end"/>
            </w:r>
          </w:hyperlink>
        </w:p>
        <w:p w:rsidR="001A26B0" w:rsidRDefault="00E33A99">
          <w:pPr>
            <w:pStyle w:val="TOC2"/>
            <w:tabs>
              <w:tab w:val="left" w:pos="1077"/>
            </w:tabs>
            <w:rPr>
              <w:rFonts w:asciiTheme="minorHAnsi" w:eastAsiaTheme="minorEastAsia" w:hAnsiTheme="minorHAnsi" w:cstheme="minorBidi"/>
              <w:noProof/>
              <w:sz w:val="22"/>
              <w:szCs w:val="22"/>
              <w:lang w:eastAsia="en-GB"/>
            </w:rPr>
          </w:pPr>
          <w:hyperlink w:anchor="_Toc496635561" w:history="1">
            <w:r>
              <w:rPr>
                <w:rStyle w:val="Hyperlink"/>
                <w:noProof/>
              </w:rPr>
              <w:t>1.2</w:t>
            </w:r>
            <w:r>
              <w:rPr>
                <w:rFonts w:asciiTheme="minorHAnsi" w:eastAsiaTheme="minorEastAsia" w:hAnsiTheme="minorHAnsi" w:cstheme="minorBidi"/>
                <w:noProof/>
                <w:sz w:val="22"/>
                <w:szCs w:val="22"/>
                <w:lang w:eastAsia="en-GB"/>
              </w:rPr>
              <w:tab/>
            </w:r>
            <w:r>
              <w:rPr>
                <w:rStyle w:val="Hyperlink"/>
                <w:noProof/>
              </w:rPr>
              <w:t>Legal context</w:t>
            </w:r>
            <w:r>
              <w:rPr>
                <w:noProof/>
                <w:webHidden/>
              </w:rPr>
              <w:tab/>
            </w:r>
            <w:r>
              <w:rPr>
                <w:noProof/>
                <w:webHidden/>
              </w:rPr>
              <w:fldChar w:fldCharType="begin"/>
            </w:r>
            <w:r>
              <w:rPr>
                <w:noProof/>
                <w:webHidden/>
              </w:rPr>
              <w:instrText xml:space="preserve"> PAGEREF _Toc496635561 \h </w:instrText>
            </w:r>
            <w:r>
              <w:rPr>
                <w:noProof/>
                <w:webHidden/>
              </w:rPr>
            </w:r>
            <w:r>
              <w:rPr>
                <w:noProof/>
                <w:webHidden/>
              </w:rPr>
              <w:fldChar w:fldCharType="separate"/>
            </w:r>
            <w:r>
              <w:rPr>
                <w:noProof/>
                <w:webHidden/>
              </w:rPr>
              <w:t>14</w:t>
            </w:r>
            <w:r>
              <w:rPr>
                <w:noProof/>
                <w:webHidden/>
              </w:rPr>
              <w:fldChar w:fldCharType="end"/>
            </w:r>
          </w:hyperlink>
        </w:p>
        <w:p w:rsidR="001A26B0" w:rsidRDefault="00E33A99">
          <w:pPr>
            <w:pStyle w:val="TOC2"/>
            <w:tabs>
              <w:tab w:val="left" w:pos="1077"/>
            </w:tabs>
            <w:rPr>
              <w:rFonts w:asciiTheme="minorHAnsi" w:eastAsiaTheme="minorEastAsia" w:hAnsiTheme="minorHAnsi" w:cstheme="minorBidi"/>
              <w:noProof/>
              <w:sz w:val="22"/>
              <w:szCs w:val="22"/>
              <w:lang w:eastAsia="en-GB"/>
            </w:rPr>
          </w:pPr>
          <w:hyperlink w:anchor="_Toc496635562" w:history="1">
            <w:r>
              <w:rPr>
                <w:rStyle w:val="Hyperlink"/>
                <w:noProof/>
              </w:rPr>
              <w:t>1.3</w:t>
            </w:r>
            <w:r>
              <w:rPr>
                <w:rFonts w:asciiTheme="minorHAnsi" w:eastAsiaTheme="minorEastAsia" w:hAnsiTheme="minorHAnsi" w:cstheme="minorBidi"/>
                <w:noProof/>
                <w:sz w:val="22"/>
                <w:szCs w:val="22"/>
                <w:lang w:eastAsia="en-GB"/>
              </w:rPr>
              <w:tab/>
            </w:r>
            <w:r>
              <w:rPr>
                <w:rStyle w:val="Hyperlink"/>
                <w:noProof/>
              </w:rPr>
              <w:t>Evaluation of the implementation</w:t>
            </w:r>
            <w:r>
              <w:rPr>
                <w:noProof/>
                <w:webHidden/>
              </w:rPr>
              <w:tab/>
            </w:r>
            <w:r>
              <w:rPr>
                <w:noProof/>
                <w:webHidden/>
              </w:rPr>
              <w:fldChar w:fldCharType="begin"/>
            </w:r>
            <w:r>
              <w:rPr>
                <w:noProof/>
                <w:webHidden/>
              </w:rPr>
              <w:instrText xml:space="preserve"> PAGEREF _Toc496635562 \h </w:instrText>
            </w:r>
            <w:r>
              <w:rPr>
                <w:noProof/>
                <w:webHidden/>
              </w:rPr>
            </w:r>
            <w:r>
              <w:rPr>
                <w:noProof/>
                <w:webHidden/>
              </w:rPr>
              <w:fldChar w:fldCharType="separate"/>
            </w:r>
            <w:r>
              <w:rPr>
                <w:noProof/>
                <w:webHidden/>
              </w:rPr>
              <w:t>15</w:t>
            </w:r>
            <w:r>
              <w:rPr>
                <w:noProof/>
                <w:webHidden/>
              </w:rPr>
              <w:fldChar w:fldCharType="end"/>
            </w:r>
          </w:hyperlink>
        </w:p>
        <w:p w:rsidR="001A26B0" w:rsidRDefault="00E33A99">
          <w:pPr>
            <w:pStyle w:val="TOC1"/>
            <w:rPr>
              <w:rFonts w:asciiTheme="minorHAnsi" w:eastAsiaTheme="minorEastAsia" w:hAnsiTheme="minorHAnsi" w:cstheme="minorBidi"/>
              <w:caps w:val="0"/>
              <w:noProof/>
              <w:sz w:val="22"/>
              <w:szCs w:val="22"/>
              <w:lang w:eastAsia="en-GB"/>
            </w:rPr>
          </w:pPr>
          <w:hyperlink w:anchor="_Toc496635563"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WHAT IS THE PROBLEM AND WHY IS IT A PROBLEM?</w:t>
            </w:r>
            <w:r>
              <w:rPr>
                <w:noProof/>
                <w:webHidden/>
              </w:rPr>
              <w:tab/>
            </w:r>
            <w:r>
              <w:rPr>
                <w:noProof/>
                <w:webHidden/>
              </w:rPr>
              <w:fldChar w:fldCharType="begin"/>
            </w:r>
            <w:r>
              <w:rPr>
                <w:noProof/>
                <w:webHidden/>
              </w:rPr>
              <w:instrText xml:space="preserve"> PAGEREF _Toc</w:instrText>
            </w:r>
            <w:r>
              <w:rPr>
                <w:noProof/>
                <w:webHidden/>
              </w:rPr>
              <w:instrText xml:space="preserve">496635563 \h </w:instrText>
            </w:r>
            <w:r>
              <w:rPr>
                <w:noProof/>
                <w:webHidden/>
              </w:rPr>
            </w:r>
            <w:r>
              <w:rPr>
                <w:noProof/>
                <w:webHidden/>
              </w:rPr>
              <w:fldChar w:fldCharType="separate"/>
            </w:r>
            <w:r>
              <w:rPr>
                <w:noProof/>
                <w:webHidden/>
              </w:rPr>
              <w:t>17</w:t>
            </w:r>
            <w:r>
              <w:rPr>
                <w:noProof/>
                <w:webHidden/>
              </w:rPr>
              <w:fldChar w:fldCharType="end"/>
            </w:r>
          </w:hyperlink>
        </w:p>
        <w:p w:rsidR="001A26B0" w:rsidRDefault="00E33A99">
          <w:pPr>
            <w:pStyle w:val="TOC2"/>
            <w:tabs>
              <w:tab w:val="left" w:pos="1077"/>
            </w:tabs>
            <w:rPr>
              <w:rFonts w:asciiTheme="minorHAnsi" w:eastAsiaTheme="minorEastAsia" w:hAnsiTheme="minorHAnsi" w:cstheme="minorBidi"/>
              <w:noProof/>
              <w:sz w:val="22"/>
              <w:szCs w:val="22"/>
              <w:lang w:eastAsia="en-GB"/>
            </w:rPr>
          </w:pPr>
          <w:hyperlink w:anchor="_Toc496635564" w:history="1">
            <w:r>
              <w:rPr>
                <w:rStyle w:val="Hyperlink"/>
                <w:noProof/>
              </w:rPr>
              <w:t>2.1</w:t>
            </w:r>
            <w:r>
              <w:rPr>
                <w:rFonts w:asciiTheme="minorHAnsi" w:eastAsiaTheme="minorEastAsia" w:hAnsiTheme="minorHAnsi" w:cstheme="minorBidi"/>
                <w:noProof/>
                <w:sz w:val="22"/>
                <w:szCs w:val="22"/>
                <w:lang w:eastAsia="en-GB"/>
              </w:rPr>
              <w:tab/>
            </w:r>
            <w:r>
              <w:rPr>
                <w:rStyle w:val="Hyperlink"/>
                <w:noProof/>
              </w:rPr>
              <w:t>What is the nature of the problem? What is the size of the problem?</w:t>
            </w:r>
            <w:r>
              <w:rPr>
                <w:noProof/>
                <w:webHidden/>
              </w:rPr>
              <w:tab/>
            </w:r>
            <w:r>
              <w:rPr>
                <w:noProof/>
                <w:webHidden/>
              </w:rPr>
              <w:fldChar w:fldCharType="begin"/>
            </w:r>
            <w:r>
              <w:rPr>
                <w:noProof/>
                <w:webHidden/>
              </w:rPr>
              <w:instrText xml:space="preserve"> PAGEREF _Toc496635564 \h </w:instrText>
            </w:r>
            <w:r>
              <w:rPr>
                <w:noProof/>
                <w:webHidden/>
              </w:rPr>
            </w:r>
            <w:r>
              <w:rPr>
                <w:noProof/>
                <w:webHidden/>
              </w:rPr>
              <w:fldChar w:fldCharType="separate"/>
            </w:r>
            <w:r>
              <w:rPr>
                <w:noProof/>
                <w:webHidden/>
              </w:rPr>
              <w:t>17</w:t>
            </w:r>
            <w:r>
              <w:rPr>
                <w:noProof/>
                <w:webHidden/>
              </w:rPr>
              <w:fldChar w:fldCharType="end"/>
            </w:r>
          </w:hyperlink>
        </w:p>
        <w:p w:rsidR="001A26B0" w:rsidRDefault="00E33A99">
          <w:pPr>
            <w:pStyle w:val="TOC3"/>
            <w:tabs>
              <w:tab w:val="left" w:pos="1916"/>
            </w:tabs>
            <w:rPr>
              <w:rFonts w:asciiTheme="minorHAnsi" w:eastAsiaTheme="minorEastAsia" w:hAnsiTheme="minorHAnsi" w:cstheme="minorBidi"/>
              <w:noProof/>
              <w:sz w:val="22"/>
              <w:szCs w:val="22"/>
              <w:lang w:eastAsia="en-GB"/>
            </w:rPr>
          </w:pPr>
          <w:hyperlink w:anchor="_Toc496635565" w:history="1">
            <w:r>
              <w:rPr>
                <w:rStyle w:val="Hyperlink"/>
                <w:noProof/>
              </w:rPr>
              <w:t>2.1.1</w:t>
            </w:r>
            <w:r>
              <w:rPr>
                <w:rFonts w:asciiTheme="minorHAnsi" w:eastAsiaTheme="minorEastAsia" w:hAnsiTheme="minorHAnsi" w:cstheme="minorBidi"/>
                <w:noProof/>
                <w:sz w:val="22"/>
                <w:szCs w:val="22"/>
                <w:lang w:eastAsia="en-GB"/>
              </w:rPr>
              <w:tab/>
            </w:r>
            <w:r>
              <w:rPr>
                <w:rStyle w:val="Hyperlink"/>
                <w:noProof/>
              </w:rPr>
              <w:t>Problem 1: Insufficient uptake of the most efficient vehicles, including low and zero emission vehicles, to meet Paris Agreement commitments and to impr</w:t>
            </w:r>
            <w:r>
              <w:rPr>
                <w:rStyle w:val="Hyperlink"/>
                <w:noProof/>
              </w:rPr>
              <w:t>ove air quality, notably in urban areas</w:t>
            </w:r>
            <w:r>
              <w:rPr>
                <w:noProof/>
                <w:webHidden/>
              </w:rPr>
              <w:tab/>
            </w:r>
            <w:r>
              <w:rPr>
                <w:noProof/>
                <w:webHidden/>
              </w:rPr>
              <w:fldChar w:fldCharType="begin"/>
            </w:r>
            <w:r>
              <w:rPr>
                <w:noProof/>
                <w:webHidden/>
              </w:rPr>
              <w:instrText xml:space="preserve"> PAGEREF _Toc496635565 \h </w:instrText>
            </w:r>
            <w:r>
              <w:rPr>
                <w:noProof/>
                <w:webHidden/>
              </w:rPr>
            </w:r>
            <w:r>
              <w:rPr>
                <w:noProof/>
                <w:webHidden/>
              </w:rPr>
              <w:fldChar w:fldCharType="separate"/>
            </w:r>
            <w:r>
              <w:rPr>
                <w:noProof/>
                <w:webHidden/>
              </w:rPr>
              <w:t>19</w:t>
            </w:r>
            <w:r>
              <w:rPr>
                <w:noProof/>
                <w:webHidden/>
              </w:rPr>
              <w:fldChar w:fldCharType="end"/>
            </w:r>
          </w:hyperlink>
        </w:p>
        <w:p w:rsidR="001A26B0" w:rsidRDefault="00E33A99">
          <w:pPr>
            <w:pStyle w:val="TOC3"/>
            <w:tabs>
              <w:tab w:val="left" w:pos="1916"/>
            </w:tabs>
            <w:rPr>
              <w:rFonts w:asciiTheme="minorHAnsi" w:eastAsiaTheme="minorEastAsia" w:hAnsiTheme="minorHAnsi" w:cstheme="minorBidi"/>
              <w:noProof/>
              <w:sz w:val="22"/>
              <w:szCs w:val="22"/>
              <w:lang w:eastAsia="en-GB"/>
            </w:rPr>
          </w:pPr>
          <w:hyperlink w:anchor="_Toc496635566" w:history="1">
            <w:r>
              <w:rPr>
                <w:rStyle w:val="Hyperlink"/>
                <w:noProof/>
              </w:rPr>
              <w:t>2.1.2</w:t>
            </w:r>
            <w:r>
              <w:rPr>
                <w:rFonts w:asciiTheme="minorHAnsi" w:eastAsiaTheme="minorEastAsia" w:hAnsiTheme="minorHAnsi" w:cstheme="minorBidi"/>
                <w:noProof/>
                <w:sz w:val="22"/>
                <w:szCs w:val="22"/>
                <w:lang w:eastAsia="en-GB"/>
              </w:rPr>
              <w:tab/>
            </w:r>
            <w:r>
              <w:rPr>
                <w:rStyle w:val="Hyperlink"/>
                <w:noProof/>
              </w:rPr>
              <w:t>Problem 2: Consumers miss out on possible fuel savings</w:t>
            </w:r>
            <w:r>
              <w:rPr>
                <w:noProof/>
                <w:webHidden/>
              </w:rPr>
              <w:tab/>
            </w:r>
            <w:r>
              <w:rPr>
                <w:noProof/>
                <w:webHidden/>
              </w:rPr>
              <w:fldChar w:fldCharType="begin"/>
            </w:r>
            <w:r>
              <w:rPr>
                <w:noProof/>
                <w:webHidden/>
              </w:rPr>
              <w:instrText xml:space="preserve"> PAGEREF _Toc496635566 \h </w:instrText>
            </w:r>
            <w:r>
              <w:rPr>
                <w:noProof/>
                <w:webHidden/>
              </w:rPr>
            </w:r>
            <w:r>
              <w:rPr>
                <w:noProof/>
                <w:webHidden/>
              </w:rPr>
              <w:fldChar w:fldCharType="separate"/>
            </w:r>
            <w:r>
              <w:rPr>
                <w:noProof/>
                <w:webHidden/>
              </w:rPr>
              <w:t>20</w:t>
            </w:r>
            <w:r>
              <w:rPr>
                <w:noProof/>
                <w:webHidden/>
              </w:rPr>
              <w:fldChar w:fldCharType="end"/>
            </w:r>
          </w:hyperlink>
        </w:p>
        <w:p w:rsidR="001A26B0" w:rsidRDefault="00E33A99">
          <w:pPr>
            <w:pStyle w:val="TOC3"/>
            <w:tabs>
              <w:tab w:val="left" w:pos="1916"/>
            </w:tabs>
            <w:rPr>
              <w:rFonts w:asciiTheme="minorHAnsi" w:eastAsiaTheme="minorEastAsia" w:hAnsiTheme="minorHAnsi" w:cstheme="minorBidi"/>
              <w:noProof/>
              <w:sz w:val="22"/>
              <w:szCs w:val="22"/>
              <w:lang w:eastAsia="en-GB"/>
            </w:rPr>
          </w:pPr>
          <w:hyperlink w:anchor="_Toc496635567" w:history="1">
            <w:r>
              <w:rPr>
                <w:rStyle w:val="Hyperlink"/>
                <w:noProof/>
              </w:rPr>
              <w:t>2.1.3</w:t>
            </w:r>
            <w:r>
              <w:rPr>
                <w:rFonts w:asciiTheme="minorHAnsi" w:eastAsiaTheme="minorEastAsia" w:hAnsiTheme="minorHAnsi" w:cstheme="minorBidi"/>
                <w:noProof/>
                <w:sz w:val="22"/>
                <w:szCs w:val="22"/>
                <w:lang w:eastAsia="en-GB"/>
              </w:rPr>
              <w:tab/>
            </w:r>
            <w:r>
              <w:rPr>
                <w:rStyle w:val="Hyperlink"/>
                <w:noProof/>
              </w:rPr>
              <w:t>Problem 3: Risk of losing the EU's competitive advantage due to insufficient innovation in low- emission automotive tech</w:t>
            </w:r>
            <w:r>
              <w:rPr>
                <w:rStyle w:val="Hyperlink"/>
                <w:noProof/>
              </w:rPr>
              <w:t>nologies over the long term</w:t>
            </w:r>
            <w:r>
              <w:rPr>
                <w:noProof/>
                <w:webHidden/>
              </w:rPr>
              <w:tab/>
            </w:r>
            <w:r>
              <w:rPr>
                <w:noProof/>
                <w:webHidden/>
              </w:rPr>
              <w:fldChar w:fldCharType="begin"/>
            </w:r>
            <w:r>
              <w:rPr>
                <w:noProof/>
                <w:webHidden/>
              </w:rPr>
              <w:instrText xml:space="preserve"> PAGEREF _Toc496635567 \h </w:instrText>
            </w:r>
            <w:r>
              <w:rPr>
                <w:noProof/>
                <w:webHidden/>
              </w:rPr>
            </w:r>
            <w:r>
              <w:rPr>
                <w:noProof/>
                <w:webHidden/>
              </w:rPr>
              <w:fldChar w:fldCharType="separate"/>
            </w:r>
            <w:r>
              <w:rPr>
                <w:noProof/>
                <w:webHidden/>
              </w:rPr>
              <w:t>21</w:t>
            </w:r>
            <w:r>
              <w:rPr>
                <w:noProof/>
                <w:webHidden/>
              </w:rPr>
              <w:fldChar w:fldCharType="end"/>
            </w:r>
          </w:hyperlink>
        </w:p>
        <w:p w:rsidR="001A26B0" w:rsidRDefault="00E33A99">
          <w:pPr>
            <w:pStyle w:val="TOC2"/>
            <w:tabs>
              <w:tab w:val="left" w:pos="1077"/>
            </w:tabs>
            <w:rPr>
              <w:rFonts w:asciiTheme="minorHAnsi" w:eastAsiaTheme="minorEastAsia" w:hAnsiTheme="minorHAnsi" w:cstheme="minorBidi"/>
              <w:noProof/>
              <w:sz w:val="22"/>
              <w:szCs w:val="22"/>
              <w:lang w:eastAsia="en-GB"/>
            </w:rPr>
          </w:pPr>
          <w:hyperlink w:anchor="_Toc496635568" w:history="1">
            <w:r>
              <w:rPr>
                <w:rStyle w:val="Hyperlink"/>
                <w:noProof/>
              </w:rPr>
              <w:t>2.2</w:t>
            </w:r>
            <w:r>
              <w:rPr>
                <w:rFonts w:asciiTheme="minorHAnsi" w:eastAsiaTheme="minorEastAsia" w:hAnsiTheme="minorHAnsi" w:cstheme="minorBidi"/>
                <w:noProof/>
                <w:sz w:val="22"/>
                <w:szCs w:val="22"/>
                <w:lang w:eastAsia="en-GB"/>
              </w:rPr>
              <w:tab/>
            </w:r>
            <w:r>
              <w:rPr>
                <w:rStyle w:val="Hyperlink"/>
                <w:noProof/>
              </w:rPr>
              <w:t>What are the main drivers?</w:t>
            </w:r>
            <w:r>
              <w:rPr>
                <w:noProof/>
                <w:webHidden/>
              </w:rPr>
              <w:tab/>
            </w:r>
            <w:r>
              <w:rPr>
                <w:noProof/>
                <w:webHidden/>
              </w:rPr>
              <w:fldChar w:fldCharType="begin"/>
            </w:r>
            <w:r>
              <w:rPr>
                <w:noProof/>
                <w:webHidden/>
              </w:rPr>
              <w:instrText xml:space="preserve"> PAGEREF _Toc496635568 \h </w:instrText>
            </w:r>
            <w:r>
              <w:rPr>
                <w:noProof/>
                <w:webHidden/>
              </w:rPr>
            </w:r>
            <w:r>
              <w:rPr>
                <w:noProof/>
                <w:webHidden/>
              </w:rPr>
              <w:fldChar w:fldCharType="separate"/>
            </w:r>
            <w:r>
              <w:rPr>
                <w:noProof/>
                <w:webHidden/>
              </w:rPr>
              <w:t>23</w:t>
            </w:r>
            <w:r>
              <w:rPr>
                <w:noProof/>
                <w:webHidden/>
              </w:rPr>
              <w:fldChar w:fldCharType="end"/>
            </w:r>
          </w:hyperlink>
        </w:p>
        <w:p w:rsidR="001A26B0" w:rsidRDefault="00E33A99">
          <w:pPr>
            <w:pStyle w:val="TOC3"/>
            <w:tabs>
              <w:tab w:val="left" w:pos="1916"/>
            </w:tabs>
            <w:rPr>
              <w:rFonts w:asciiTheme="minorHAnsi" w:eastAsiaTheme="minorEastAsia" w:hAnsiTheme="minorHAnsi" w:cstheme="minorBidi"/>
              <w:noProof/>
              <w:sz w:val="22"/>
              <w:szCs w:val="22"/>
              <w:lang w:eastAsia="en-GB"/>
            </w:rPr>
          </w:pPr>
          <w:hyperlink w:anchor="_Toc496635569" w:history="1">
            <w:r>
              <w:rPr>
                <w:rStyle w:val="Hyperlink"/>
                <w:noProof/>
              </w:rPr>
              <w:t>2.2.1</w:t>
            </w:r>
            <w:r>
              <w:rPr>
                <w:rFonts w:asciiTheme="minorHAnsi" w:eastAsiaTheme="minorEastAsia" w:hAnsiTheme="minorHAnsi" w:cstheme="minorBidi"/>
                <w:noProof/>
                <w:sz w:val="22"/>
                <w:szCs w:val="22"/>
                <w:lang w:eastAsia="en-GB"/>
              </w:rPr>
              <w:tab/>
            </w:r>
            <w:r>
              <w:rPr>
                <w:rStyle w:val="Hyperlink"/>
                <w:noProof/>
              </w:rPr>
              <w:t>Driver 1: Consumers value upfront costs over lifetime costs</w:t>
            </w:r>
            <w:r>
              <w:rPr>
                <w:noProof/>
                <w:webHidden/>
              </w:rPr>
              <w:tab/>
            </w:r>
            <w:r>
              <w:rPr>
                <w:noProof/>
                <w:webHidden/>
              </w:rPr>
              <w:fldChar w:fldCharType="begin"/>
            </w:r>
            <w:r>
              <w:rPr>
                <w:noProof/>
                <w:webHidden/>
              </w:rPr>
              <w:instrText xml:space="preserve"> PAGEREF _Toc496635569 \h </w:instrText>
            </w:r>
            <w:r>
              <w:rPr>
                <w:noProof/>
                <w:webHidden/>
              </w:rPr>
            </w:r>
            <w:r>
              <w:rPr>
                <w:noProof/>
                <w:webHidden/>
              </w:rPr>
              <w:fldChar w:fldCharType="separate"/>
            </w:r>
            <w:r>
              <w:rPr>
                <w:noProof/>
                <w:webHidden/>
              </w:rPr>
              <w:t>23</w:t>
            </w:r>
            <w:r>
              <w:rPr>
                <w:noProof/>
                <w:webHidden/>
              </w:rPr>
              <w:fldChar w:fldCharType="end"/>
            </w:r>
          </w:hyperlink>
        </w:p>
        <w:p w:rsidR="001A26B0" w:rsidRDefault="00E33A99">
          <w:pPr>
            <w:pStyle w:val="TOC3"/>
            <w:tabs>
              <w:tab w:val="left" w:pos="1916"/>
            </w:tabs>
            <w:rPr>
              <w:rFonts w:asciiTheme="minorHAnsi" w:eastAsiaTheme="minorEastAsia" w:hAnsiTheme="minorHAnsi" w:cstheme="minorBidi"/>
              <w:noProof/>
              <w:sz w:val="22"/>
              <w:szCs w:val="22"/>
              <w:lang w:eastAsia="en-GB"/>
            </w:rPr>
          </w:pPr>
          <w:hyperlink w:anchor="_Toc496635570" w:history="1">
            <w:r>
              <w:rPr>
                <w:rStyle w:val="Hyperlink"/>
                <w:noProof/>
              </w:rPr>
              <w:t>2.2.2</w:t>
            </w:r>
            <w:r>
              <w:rPr>
                <w:rFonts w:asciiTheme="minorHAnsi" w:eastAsiaTheme="minorEastAsia" w:hAnsiTheme="minorHAnsi" w:cstheme="minorBidi"/>
                <w:noProof/>
                <w:sz w:val="22"/>
                <w:szCs w:val="22"/>
                <w:lang w:eastAsia="en-GB"/>
              </w:rPr>
              <w:tab/>
            </w:r>
            <w:r>
              <w:rPr>
                <w:rStyle w:val="Hyperlink"/>
                <w:noProof/>
              </w:rPr>
              <w:t>Driver 2: Consumers' concerns regarding zero emission vehicles (ZEV)</w:t>
            </w:r>
            <w:r>
              <w:rPr>
                <w:noProof/>
                <w:webHidden/>
              </w:rPr>
              <w:tab/>
            </w:r>
            <w:r>
              <w:rPr>
                <w:noProof/>
                <w:webHidden/>
              </w:rPr>
              <w:fldChar w:fldCharType="begin"/>
            </w:r>
            <w:r>
              <w:rPr>
                <w:noProof/>
                <w:webHidden/>
              </w:rPr>
              <w:instrText xml:space="preserve"> PAGEREF _Toc496635570 \h </w:instrText>
            </w:r>
            <w:r>
              <w:rPr>
                <w:noProof/>
                <w:webHidden/>
              </w:rPr>
            </w:r>
            <w:r>
              <w:rPr>
                <w:noProof/>
                <w:webHidden/>
              </w:rPr>
              <w:fldChar w:fldCharType="separate"/>
            </w:r>
            <w:r>
              <w:rPr>
                <w:noProof/>
                <w:webHidden/>
              </w:rPr>
              <w:t>25</w:t>
            </w:r>
            <w:r>
              <w:rPr>
                <w:noProof/>
                <w:webHidden/>
              </w:rPr>
              <w:fldChar w:fldCharType="end"/>
            </w:r>
          </w:hyperlink>
        </w:p>
        <w:p w:rsidR="001A26B0" w:rsidRDefault="00E33A99">
          <w:pPr>
            <w:pStyle w:val="TOC3"/>
            <w:tabs>
              <w:tab w:val="left" w:pos="1916"/>
            </w:tabs>
            <w:rPr>
              <w:rFonts w:asciiTheme="minorHAnsi" w:eastAsiaTheme="minorEastAsia" w:hAnsiTheme="minorHAnsi" w:cstheme="minorBidi"/>
              <w:noProof/>
              <w:sz w:val="22"/>
              <w:szCs w:val="22"/>
              <w:lang w:eastAsia="en-GB"/>
            </w:rPr>
          </w:pPr>
          <w:hyperlink w:anchor="_Toc496635571" w:history="1">
            <w:r>
              <w:rPr>
                <w:rStyle w:val="Hyperlink"/>
                <w:noProof/>
              </w:rPr>
              <w:t>2.2.3</w:t>
            </w:r>
            <w:r>
              <w:rPr>
                <w:rFonts w:asciiTheme="minorHAnsi" w:eastAsiaTheme="minorEastAsia" w:hAnsiTheme="minorHAnsi" w:cstheme="minorBidi"/>
                <w:noProof/>
                <w:sz w:val="22"/>
                <w:szCs w:val="22"/>
                <w:lang w:eastAsia="en-GB"/>
              </w:rPr>
              <w:tab/>
            </w:r>
            <w:r>
              <w:rPr>
                <w:rStyle w:val="Hyperlink"/>
                <w:noProof/>
              </w:rPr>
              <w:t>Driver 3</w:t>
            </w:r>
            <w:r>
              <w:rPr>
                <w:rStyle w:val="Hyperlink"/>
                <w:noProof/>
              </w:rPr>
              <w:t>: EU standards do not provide enough incentive for further efficiency improvements and for the deployment of low and zero emission vehicles for the period beyond 2021, leading to uncertainty over future policy</w:t>
            </w:r>
            <w:r>
              <w:rPr>
                <w:noProof/>
                <w:webHidden/>
              </w:rPr>
              <w:tab/>
            </w:r>
            <w:r>
              <w:rPr>
                <w:noProof/>
                <w:webHidden/>
              </w:rPr>
              <w:fldChar w:fldCharType="begin"/>
            </w:r>
            <w:r>
              <w:rPr>
                <w:noProof/>
                <w:webHidden/>
              </w:rPr>
              <w:instrText xml:space="preserve"> PAGEREF _Toc496635571 \h </w:instrText>
            </w:r>
            <w:r>
              <w:rPr>
                <w:noProof/>
                <w:webHidden/>
              </w:rPr>
            </w:r>
            <w:r>
              <w:rPr>
                <w:noProof/>
                <w:webHidden/>
              </w:rPr>
              <w:fldChar w:fldCharType="separate"/>
            </w:r>
            <w:r>
              <w:rPr>
                <w:noProof/>
                <w:webHidden/>
              </w:rPr>
              <w:t>26</w:t>
            </w:r>
            <w:r>
              <w:rPr>
                <w:noProof/>
                <w:webHidden/>
              </w:rPr>
              <w:fldChar w:fldCharType="end"/>
            </w:r>
          </w:hyperlink>
        </w:p>
        <w:p w:rsidR="001A26B0" w:rsidRDefault="00E33A99">
          <w:pPr>
            <w:pStyle w:val="TOC3"/>
            <w:tabs>
              <w:tab w:val="left" w:pos="1916"/>
            </w:tabs>
            <w:rPr>
              <w:rFonts w:asciiTheme="minorHAnsi" w:eastAsiaTheme="minorEastAsia" w:hAnsiTheme="minorHAnsi" w:cstheme="minorBidi"/>
              <w:noProof/>
              <w:sz w:val="22"/>
              <w:szCs w:val="22"/>
              <w:lang w:eastAsia="en-GB"/>
            </w:rPr>
          </w:pPr>
          <w:hyperlink w:anchor="_Toc496635572" w:history="1">
            <w:r>
              <w:rPr>
                <w:rStyle w:val="Hyperlink"/>
                <w:noProof/>
              </w:rPr>
              <w:t>2.2.4</w:t>
            </w:r>
            <w:r>
              <w:rPr>
                <w:rFonts w:asciiTheme="minorHAnsi" w:eastAsiaTheme="minorEastAsia" w:hAnsiTheme="minorHAnsi" w:cstheme="minorBidi"/>
                <w:noProof/>
                <w:sz w:val="22"/>
                <w:szCs w:val="22"/>
                <w:lang w:eastAsia="en-GB"/>
              </w:rPr>
              <w:tab/>
            </w:r>
            <w:r>
              <w:rPr>
                <w:rStyle w:val="Hyperlink"/>
                <w:noProof/>
              </w:rPr>
              <w:t>Driver 4: Effectiveness of standards is reduced by growing 'emissions gap'</w:t>
            </w:r>
            <w:r>
              <w:rPr>
                <w:noProof/>
                <w:webHidden/>
              </w:rPr>
              <w:tab/>
            </w:r>
            <w:r>
              <w:rPr>
                <w:noProof/>
                <w:webHidden/>
              </w:rPr>
              <w:fldChar w:fldCharType="begin"/>
            </w:r>
            <w:r>
              <w:rPr>
                <w:noProof/>
                <w:webHidden/>
              </w:rPr>
              <w:instrText xml:space="preserve"> PAGEREF _Toc496635572 \h </w:instrText>
            </w:r>
            <w:r>
              <w:rPr>
                <w:noProof/>
                <w:webHidden/>
              </w:rPr>
            </w:r>
            <w:r>
              <w:rPr>
                <w:noProof/>
                <w:webHidden/>
              </w:rPr>
              <w:fldChar w:fldCharType="separate"/>
            </w:r>
            <w:r>
              <w:rPr>
                <w:noProof/>
                <w:webHidden/>
              </w:rPr>
              <w:t>27</w:t>
            </w:r>
            <w:r>
              <w:rPr>
                <w:noProof/>
                <w:webHidden/>
              </w:rPr>
              <w:fldChar w:fldCharType="end"/>
            </w:r>
          </w:hyperlink>
        </w:p>
        <w:p w:rsidR="001A26B0" w:rsidRDefault="00E33A99">
          <w:pPr>
            <w:pStyle w:val="TOC3"/>
            <w:tabs>
              <w:tab w:val="left" w:pos="1916"/>
            </w:tabs>
            <w:rPr>
              <w:rFonts w:asciiTheme="minorHAnsi" w:eastAsiaTheme="minorEastAsia" w:hAnsiTheme="minorHAnsi" w:cstheme="minorBidi"/>
              <w:noProof/>
              <w:sz w:val="22"/>
              <w:szCs w:val="22"/>
              <w:lang w:eastAsia="en-GB"/>
            </w:rPr>
          </w:pPr>
          <w:hyperlink w:anchor="_Toc496635573" w:history="1">
            <w:r>
              <w:rPr>
                <w:rStyle w:val="Hyperlink"/>
                <w:noProof/>
              </w:rPr>
              <w:t>2.2.5</w:t>
            </w:r>
            <w:r>
              <w:rPr>
                <w:rFonts w:asciiTheme="minorHAnsi" w:eastAsiaTheme="minorEastAsia" w:hAnsiTheme="minorHAnsi" w:cstheme="minorBidi"/>
                <w:noProof/>
                <w:sz w:val="22"/>
                <w:szCs w:val="22"/>
                <w:lang w:eastAsia="en-GB"/>
              </w:rPr>
              <w:tab/>
            </w:r>
            <w:r>
              <w:rPr>
                <w:rStyle w:val="Hyperlink"/>
                <w:noProof/>
              </w:rPr>
              <w:t>Driver 5: Road transport activity is increasing</w:t>
            </w:r>
            <w:r>
              <w:rPr>
                <w:noProof/>
                <w:webHidden/>
              </w:rPr>
              <w:tab/>
            </w:r>
            <w:r>
              <w:rPr>
                <w:noProof/>
                <w:webHidden/>
              </w:rPr>
              <w:fldChar w:fldCharType="begin"/>
            </w:r>
            <w:r>
              <w:rPr>
                <w:noProof/>
                <w:webHidden/>
              </w:rPr>
              <w:instrText xml:space="preserve"> PAGEREF _Toc496635573 \h </w:instrText>
            </w:r>
            <w:r>
              <w:rPr>
                <w:noProof/>
                <w:webHidden/>
              </w:rPr>
            </w:r>
            <w:r>
              <w:rPr>
                <w:noProof/>
                <w:webHidden/>
              </w:rPr>
              <w:fldChar w:fldCharType="separate"/>
            </w:r>
            <w:r>
              <w:rPr>
                <w:noProof/>
                <w:webHidden/>
              </w:rPr>
              <w:t>27</w:t>
            </w:r>
            <w:r>
              <w:rPr>
                <w:noProof/>
                <w:webHidden/>
              </w:rPr>
              <w:fldChar w:fldCharType="end"/>
            </w:r>
          </w:hyperlink>
        </w:p>
        <w:p w:rsidR="001A26B0" w:rsidRDefault="00E33A99">
          <w:pPr>
            <w:pStyle w:val="TOC2"/>
            <w:tabs>
              <w:tab w:val="left" w:pos="1077"/>
            </w:tabs>
            <w:rPr>
              <w:rFonts w:asciiTheme="minorHAnsi" w:eastAsiaTheme="minorEastAsia" w:hAnsiTheme="minorHAnsi" w:cstheme="minorBidi"/>
              <w:noProof/>
              <w:sz w:val="22"/>
              <w:szCs w:val="22"/>
              <w:lang w:eastAsia="en-GB"/>
            </w:rPr>
          </w:pPr>
          <w:hyperlink w:anchor="_Toc496635574" w:history="1">
            <w:r>
              <w:rPr>
                <w:rStyle w:val="Hyperlink"/>
                <w:noProof/>
              </w:rPr>
              <w:t>2.3</w:t>
            </w:r>
            <w:r>
              <w:rPr>
                <w:rFonts w:asciiTheme="minorHAnsi" w:eastAsiaTheme="minorEastAsia" w:hAnsiTheme="minorHAnsi" w:cstheme="minorBidi"/>
                <w:noProof/>
                <w:sz w:val="22"/>
                <w:szCs w:val="22"/>
                <w:lang w:eastAsia="en-GB"/>
              </w:rPr>
              <w:tab/>
            </w:r>
            <w:r>
              <w:rPr>
                <w:rStyle w:val="Hyperlink"/>
                <w:noProof/>
              </w:rPr>
              <w:t>Who is affected and how?</w:t>
            </w:r>
            <w:r>
              <w:rPr>
                <w:noProof/>
                <w:webHidden/>
              </w:rPr>
              <w:tab/>
            </w:r>
            <w:r>
              <w:rPr>
                <w:noProof/>
                <w:webHidden/>
              </w:rPr>
              <w:fldChar w:fldCharType="begin"/>
            </w:r>
            <w:r>
              <w:rPr>
                <w:noProof/>
                <w:webHidden/>
              </w:rPr>
              <w:instrText xml:space="preserve"> PAGEREF _Toc496635574 \h </w:instrText>
            </w:r>
            <w:r>
              <w:rPr>
                <w:noProof/>
                <w:webHidden/>
              </w:rPr>
            </w:r>
            <w:r>
              <w:rPr>
                <w:noProof/>
                <w:webHidden/>
              </w:rPr>
              <w:fldChar w:fldCharType="separate"/>
            </w:r>
            <w:r>
              <w:rPr>
                <w:noProof/>
                <w:webHidden/>
              </w:rPr>
              <w:t>28</w:t>
            </w:r>
            <w:r>
              <w:rPr>
                <w:noProof/>
                <w:webHidden/>
              </w:rPr>
              <w:fldChar w:fldCharType="end"/>
            </w:r>
          </w:hyperlink>
        </w:p>
        <w:p w:rsidR="001A26B0" w:rsidRDefault="00E33A99">
          <w:pPr>
            <w:pStyle w:val="TOC1"/>
            <w:rPr>
              <w:rFonts w:asciiTheme="minorHAnsi" w:eastAsiaTheme="minorEastAsia" w:hAnsiTheme="minorHAnsi" w:cstheme="minorBidi"/>
              <w:caps w:val="0"/>
              <w:noProof/>
              <w:sz w:val="22"/>
              <w:szCs w:val="22"/>
              <w:lang w:eastAsia="en-GB"/>
            </w:rPr>
          </w:pPr>
          <w:hyperlink w:anchor="_Toc496635575"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WHY SHOULD THE EU ACT?</w:t>
            </w:r>
            <w:r>
              <w:rPr>
                <w:noProof/>
                <w:webHidden/>
              </w:rPr>
              <w:tab/>
            </w:r>
            <w:r>
              <w:rPr>
                <w:noProof/>
                <w:webHidden/>
              </w:rPr>
              <w:fldChar w:fldCharType="begin"/>
            </w:r>
            <w:r>
              <w:rPr>
                <w:noProof/>
                <w:webHidden/>
              </w:rPr>
              <w:instrText xml:space="preserve"> PAGEREF _Toc496635575 \h </w:instrText>
            </w:r>
            <w:r>
              <w:rPr>
                <w:noProof/>
                <w:webHidden/>
              </w:rPr>
            </w:r>
            <w:r>
              <w:rPr>
                <w:noProof/>
                <w:webHidden/>
              </w:rPr>
              <w:fldChar w:fldCharType="separate"/>
            </w:r>
            <w:r>
              <w:rPr>
                <w:noProof/>
                <w:webHidden/>
              </w:rPr>
              <w:t>28</w:t>
            </w:r>
            <w:r>
              <w:rPr>
                <w:noProof/>
                <w:webHidden/>
              </w:rPr>
              <w:fldChar w:fldCharType="end"/>
            </w:r>
          </w:hyperlink>
        </w:p>
        <w:p w:rsidR="001A26B0" w:rsidRDefault="00E33A99">
          <w:pPr>
            <w:pStyle w:val="TOC2"/>
            <w:tabs>
              <w:tab w:val="left" w:pos="1077"/>
            </w:tabs>
            <w:rPr>
              <w:rFonts w:asciiTheme="minorHAnsi" w:eastAsiaTheme="minorEastAsia" w:hAnsiTheme="minorHAnsi" w:cstheme="minorBidi"/>
              <w:noProof/>
              <w:sz w:val="22"/>
              <w:szCs w:val="22"/>
              <w:lang w:eastAsia="en-GB"/>
            </w:rPr>
          </w:pPr>
          <w:hyperlink w:anchor="_Toc496635576" w:history="1">
            <w:r>
              <w:rPr>
                <w:rStyle w:val="Hyperlink"/>
                <w:bCs/>
                <w:smallCaps/>
                <w:noProof/>
              </w:rPr>
              <w:t>3.1</w:t>
            </w:r>
            <w:r>
              <w:rPr>
                <w:rFonts w:asciiTheme="minorHAnsi" w:eastAsiaTheme="minorEastAsia" w:hAnsiTheme="minorHAnsi" w:cstheme="minorBidi"/>
                <w:noProof/>
                <w:sz w:val="22"/>
                <w:szCs w:val="22"/>
                <w:lang w:eastAsia="en-GB"/>
              </w:rPr>
              <w:tab/>
            </w:r>
            <w:r>
              <w:rPr>
                <w:rStyle w:val="Hyperlink"/>
                <w:noProof/>
              </w:rPr>
              <w:t>The EU's right to act</w:t>
            </w:r>
            <w:r>
              <w:rPr>
                <w:noProof/>
                <w:webHidden/>
              </w:rPr>
              <w:tab/>
            </w:r>
            <w:r>
              <w:rPr>
                <w:noProof/>
                <w:webHidden/>
              </w:rPr>
              <w:fldChar w:fldCharType="begin"/>
            </w:r>
            <w:r>
              <w:rPr>
                <w:noProof/>
                <w:webHidden/>
              </w:rPr>
              <w:instrText xml:space="preserve"> PAGEREF _Toc496635576 \h </w:instrText>
            </w:r>
            <w:r>
              <w:rPr>
                <w:noProof/>
                <w:webHidden/>
              </w:rPr>
            </w:r>
            <w:r>
              <w:rPr>
                <w:noProof/>
                <w:webHidden/>
              </w:rPr>
              <w:fldChar w:fldCharType="separate"/>
            </w:r>
            <w:r>
              <w:rPr>
                <w:noProof/>
                <w:webHidden/>
              </w:rPr>
              <w:t>28</w:t>
            </w:r>
            <w:r>
              <w:rPr>
                <w:noProof/>
                <w:webHidden/>
              </w:rPr>
              <w:fldChar w:fldCharType="end"/>
            </w:r>
          </w:hyperlink>
        </w:p>
        <w:p w:rsidR="001A26B0" w:rsidRDefault="00E33A99">
          <w:pPr>
            <w:pStyle w:val="TOC2"/>
            <w:tabs>
              <w:tab w:val="left" w:pos="1077"/>
            </w:tabs>
            <w:rPr>
              <w:rFonts w:asciiTheme="minorHAnsi" w:eastAsiaTheme="minorEastAsia" w:hAnsiTheme="minorHAnsi" w:cstheme="minorBidi"/>
              <w:noProof/>
              <w:sz w:val="22"/>
              <w:szCs w:val="22"/>
              <w:lang w:eastAsia="en-GB"/>
            </w:rPr>
          </w:pPr>
          <w:hyperlink w:anchor="_Toc496635577" w:history="1">
            <w:r>
              <w:rPr>
                <w:rStyle w:val="Hyperlink"/>
                <w:noProof/>
              </w:rPr>
              <w:t>3.2</w:t>
            </w:r>
            <w:r>
              <w:rPr>
                <w:rFonts w:asciiTheme="minorHAnsi" w:eastAsiaTheme="minorEastAsia" w:hAnsiTheme="minorHAnsi" w:cstheme="minorBidi"/>
                <w:noProof/>
                <w:sz w:val="22"/>
                <w:szCs w:val="22"/>
                <w:lang w:eastAsia="en-GB"/>
              </w:rPr>
              <w:tab/>
            </w:r>
            <w:r>
              <w:rPr>
                <w:rStyle w:val="Hyperlink"/>
                <w:noProof/>
              </w:rPr>
              <w:t>What would happen without EU action?</w:t>
            </w:r>
            <w:r>
              <w:rPr>
                <w:noProof/>
                <w:webHidden/>
              </w:rPr>
              <w:tab/>
            </w:r>
            <w:r>
              <w:rPr>
                <w:noProof/>
                <w:webHidden/>
              </w:rPr>
              <w:fldChar w:fldCharType="begin"/>
            </w:r>
            <w:r>
              <w:rPr>
                <w:noProof/>
                <w:webHidden/>
              </w:rPr>
              <w:instrText xml:space="preserve"> PAGEREF _Toc496635577 \h </w:instrText>
            </w:r>
            <w:r>
              <w:rPr>
                <w:noProof/>
                <w:webHidden/>
              </w:rPr>
            </w:r>
            <w:r>
              <w:rPr>
                <w:noProof/>
                <w:webHidden/>
              </w:rPr>
              <w:fldChar w:fldCharType="separate"/>
            </w:r>
            <w:r>
              <w:rPr>
                <w:noProof/>
                <w:webHidden/>
              </w:rPr>
              <w:t>29</w:t>
            </w:r>
            <w:r>
              <w:rPr>
                <w:noProof/>
                <w:webHidden/>
              </w:rPr>
              <w:fldChar w:fldCharType="end"/>
            </w:r>
          </w:hyperlink>
        </w:p>
        <w:p w:rsidR="001A26B0" w:rsidRDefault="00E33A99">
          <w:pPr>
            <w:pStyle w:val="TOC2"/>
            <w:tabs>
              <w:tab w:val="left" w:pos="1077"/>
            </w:tabs>
            <w:rPr>
              <w:rFonts w:asciiTheme="minorHAnsi" w:eastAsiaTheme="minorEastAsia" w:hAnsiTheme="minorHAnsi" w:cstheme="minorBidi"/>
              <w:noProof/>
              <w:sz w:val="22"/>
              <w:szCs w:val="22"/>
              <w:lang w:eastAsia="en-GB"/>
            </w:rPr>
          </w:pPr>
          <w:hyperlink w:anchor="_Toc496635578" w:history="1">
            <w:r>
              <w:rPr>
                <w:rStyle w:val="Hyperlink"/>
                <w:bCs/>
                <w:smallCaps/>
                <w:noProof/>
              </w:rPr>
              <w:t>3.3</w:t>
            </w:r>
            <w:r>
              <w:rPr>
                <w:rFonts w:asciiTheme="minorHAnsi" w:eastAsiaTheme="minorEastAsia" w:hAnsiTheme="minorHAnsi" w:cstheme="minorBidi"/>
                <w:noProof/>
                <w:sz w:val="22"/>
                <w:szCs w:val="22"/>
                <w:lang w:eastAsia="en-GB"/>
              </w:rPr>
              <w:tab/>
            </w:r>
            <w:r>
              <w:rPr>
                <w:rStyle w:val="Hyperlink"/>
                <w:noProof/>
              </w:rPr>
              <w:t>Analysis of subsidiarity and added value of EU action</w:t>
            </w:r>
            <w:r>
              <w:rPr>
                <w:noProof/>
                <w:webHidden/>
              </w:rPr>
              <w:tab/>
            </w:r>
            <w:r>
              <w:rPr>
                <w:noProof/>
                <w:webHidden/>
              </w:rPr>
              <w:fldChar w:fldCharType="begin"/>
            </w:r>
            <w:r>
              <w:rPr>
                <w:noProof/>
                <w:webHidden/>
              </w:rPr>
              <w:instrText xml:space="preserve"> PAGEREF _Toc496635578 \h </w:instrText>
            </w:r>
            <w:r>
              <w:rPr>
                <w:noProof/>
                <w:webHidden/>
              </w:rPr>
            </w:r>
            <w:r>
              <w:rPr>
                <w:noProof/>
                <w:webHidden/>
              </w:rPr>
              <w:fldChar w:fldCharType="separate"/>
            </w:r>
            <w:r>
              <w:rPr>
                <w:noProof/>
                <w:webHidden/>
              </w:rPr>
              <w:t>29</w:t>
            </w:r>
            <w:r>
              <w:rPr>
                <w:noProof/>
                <w:webHidden/>
              </w:rPr>
              <w:fldChar w:fldCharType="end"/>
            </w:r>
          </w:hyperlink>
        </w:p>
        <w:p w:rsidR="001A26B0" w:rsidRDefault="00E33A99">
          <w:pPr>
            <w:pStyle w:val="TOC1"/>
            <w:rPr>
              <w:rFonts w:asciiTheme="minorHAnsi" w:eastAsiaTheme="minorEastAsia" w:hAnsiTheme="minorHAnsi" w:cstheme="minorBidi"/>
              <w:caps w:val="0"/>
              <w:noProof/>
              <w:sz w:val="22"/>
              <w:szCs w:val="22"/>
              <w:lang w:eastAsia="en-GB"/>
            </w:rPr>
          </w:pPr>
          <w:hyperlink w:anchor="_Toc496635579"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OBJECTIVES</w:t>
            </w:r>
            <w:r>
              <w:rPr>
                <w:noProof/>
                <w:webHidden/>
              </w:rPr>
              <w:tab/>
            </w:r>
            <w:r>
              <w:rPr>
                <w:noProof/>
                <w:webHidden/>
              </w:rPr>
              <w:fldChar w:fldCharType="begin"/>
            </w:r>
            <w:r>
              <w:rPr>
                <w:noProof/>
                <w:webHidden/>
              </w:rPr>
              <w:instrText xml:space="preserve"> PAGEREF _Toc496635579 \h </w:instrText>
            </w:r>
            <w:r>
              <w:rPr>
                <w:noProof/>
                <w:webHidden/>
              </w:rPr>
            </w:r>
            <w:r>
              <w:rPr>
                <w:noProof/>
                <w:webHidden/>
              </w:rPr>
              <w:fldChar w:fldCharType="separate"/>
            </w:r>
            <w:r>
              <w:rPr>
                <w:noProof/>
                <w:webHidden/>
              </w:rPr>
              <w:t>31</w:t>
            </w:r>
            <w:r>
              <w:rPr>
                <w:noProof/>
                <w:webHidden/>
              </w:rPr>
              <w:fldChar w:fldCharType="end"/>
            </w:r>
          </w:hyperlink>
        </w:p>
        <w:p w:rsidR="001A26B0" w:rsidRDefault="00E33A99">
          <w:pPr>
            <w:pStyle w:val="TOC1"/>
            <w:rPr>
              <w:rFonts w:asciiTheme="minorHAnsi" w:eastAsiaTheme="minorEastAsia" w:hAnsiTheme="minorHAnsi" w:cstheme="minorBidi"/>
              <w:caps w:val="0"/>
              <w:noProof/>
              <w:sz w:val="22"/>
              <w:szCs w:val="22"/>
              <w:lang w:eastAsia="en-GB"/>
            </w:rPr>
          </w:pPr>
          <w:hyperlink w:anchor="_Toc496635580" w:history="1">
            <w:r>
              <w:rPr>
                <w:rStyle w:val="Hyperlink"/>
                <w:noProof/>
              </w:rPr>
              <w:t>5</w:t>
            </w:r>
            <w:r>
              <w:rPr>
                <w:rFonts w:asciiTheme="minorHAnsi" w:eastAsiaTheme="minorEastAsia" w:hAnsiTheme="minorHAnsi" w:cstheme="minorBidi"/>
                <w:caps w:val="0"/>
                <w:noProof/>
                <w:sz w:val="22"/>
                <w:szCs w:val="22"/>
                <w:lang w:eastAsia="en-GB"/>
              </w:rPr>
              <w:tab/>
            </w:r>
            <w:r>
              <w:rPr>
                <w:rStyle w:val="Hyperlink"/>
                <w:noProof/>
              </w:rPr>
              <w:t>WHAT ARE THE VARIOUS OPTIONS TO ACHIEVE THE OBJECTIVES?</w:t>
            </w:r>
            <w:r>
              <w:rPr>
                <w:noProof/>
                <w:webHidden/>
              </w:rPr>
              <w:tab/>
            </w:r>
            <w:r>
              <w:rPr>
                <w:noProof/>
                <w:webHidden/>
              </w:rPr>
              <w:fldChar w:fldCharType="begin"/>
            </w:r>
            <w:r>
              <w:rPr>
                <w:noProof/>
                <w:webHidden/>
              </w:rPr>
              <w:instrText xml:space="preserve"> PAGEREF _Toc496635580 \h </w:instrText>
            </w:r>
            <w:r>
              <w:rPr>
                <w:noProof/>
                <w:webHidden/>
              </w:rPr>
            </w:r>
            <w:r>
              <w:rPr>
                <w:noProof/>
                <w:webHidden/>
              </w:rPr>
              <w:fldChar w:fldCharType="separate"/>
            </w:r>
            <w:r>
              <w:rPr>
                <w:noProof/>
                <w:webHidden/>
              </w:rPr>
              <w:t>32</w:t>
            </w:r>
            <w:r>
              <w:rPr>
                <w:noProof/>
                <w:webHidden/>
              </w:rPr>
              <w:fldChar w:fldCharType="end"/>
            </w:r>
          </w:hyperlink>
        </w:p>
        <w:p w:rsidR="001A26B0" w:rsidRDefault="00E33A99">
          <w:pPr>
            <w:pStyle w:val="TOC2"/>
            <w:tabs>
              <w:tab w:val="left" w:pos="1077"/>
            </w:tabs>
            <w:rPr>
              <w:rFonts w:asciiTheme="minorHAnsi" w:eastAsiaTheme="minorEastAsia" w:hAnsiTheme="minorHAnsi" w:cstheme="minorBidi"/>
              <w:noProof/>
              <w:sz w:val="22"/>
              <w:szCs w:val="22"/>
              <w:lang w:eastAsia="en-GB"/>
            </w:rPr>
          </w:pPr>
          <w:hyperlink w:anchor="_Toc496635581" w:history="1">
            <w:r>
              <w:rPr>
                <w:rStyle w:val="Hyperlink"/>
                <w:noProof/>
              </w:rPr>
              <w:t>5.1</w:t>
            </w:r>
            <w:r>
              <w:rPr>
                <w:rFonts w:asciiTheme="minorHAnsi" w:eastAsiaTheme="minorEastAsia" w:hAnsiTheme="minorHAnsi" w:cstheme="minorBidi"/>
                <w:noProof/>
                <w:sz w:val="22"/>
                <w:szCs w:val="22"/>
                <w:lang w:eastAsia="en-GB"/>
              </w:rPr>
              <w:tab/>
            </w:r>
            <w:r>
              <w:rPr>
                <w:rStyle w:val="Hyperlink"/>
                <w:noProof/>
              </w:rPr>
              <w:t>Emission targets (level, timing and metric)</w:t>
            </w:r>
            <w:r>
              <w:rPr>
                <w:noProof/>
                <w:webHidden/>
              </w:rPr>
              <w:tab/>
            </w:r>
            <w:r>
              <w:rPr>
                <w:noProof/>
                <w:webHidden/>
              </w:rPr>
              <w:fldChar w:fldCharType="begin"/>
            </w:r>
            <w:r>
              <w:rPr>
                <w:noProof/>
                <w:webHidden/>
              </w:rPr>
              <w:instrText xml:space="preserve"> PAGEREF _Toc496635581 \h </w:instrText>
            </w:r>
            <w:r>
              <w:rPr>
                <w:noProof/>
                <w:webHidden/>
              </w:rPr>
            </w:r>
            <w:r>
              <w:rPr>
                <w:noProof/>
                <w:webHidden/>
              </w:rPr>
              <w:fldChar w:fldCharType="separate"/>
            </w:r>
            <w:r>
              <w:rPr>
                <w:noProof/>
                <w:webHidden/>
              </w:rPr>
              <w:t>33</w:t>
            </w:r>
            <w:r>
              <w:rPr>
                <w:noProof/>
                <w:webHidden/>
              </w:rPr>
              <w:fldChar w:fldCharType="end"/>
            </w:r>
          </w:hyperlink>
        </w:p>
        <w:p w:rsidR="001A26B0" w:rsidRDefault="00E33A99">
          <w:pPr>
            <w:pStyle w:val="TOC3"/>
            <w:tabs>
              <w:tab w:val="left" w:pos="1916"/>
            </w:tabs>
            <w:rPr>
              <w:rFonts w:asciiTheme="minorHAnsi" w:eastAsiaTheme="minorEastAsia" w:hAnsiTheme="minorHAnsi" w:cstheme="minorBidi"/>
              <w:noProof/>
              <w:sz w:val="22"/>
              <w:szCs w:val="22"/>
              <w:lang w:eastAsia="en-GB"/>
            </w:rPr>
          </w:pPr>
          <w:hyperlink w:anchor="_Toc496635582" w:history="1">
            <w:r>
              <w:rPr>
                <w:rStyle w:val="Hyperlink"/>
                <w:noProof/>
              </w:rPr>
              <w:t>5.1.1</w:t>
            </w:r>
            <w:r>
              <w:rPr>
                <w:rFonts w:asciiTheme="minorHAnsi" w:eastAsiaTheme="minorEastAsia" w:hAnsiTheme="minorHAnsi" w:cstheme="minorBidi"/>
                <w:noProof/>
                <w:sz w:val="22"/>
                <w:szCs w:val="22"/>
                <w:lang w:eastAsia="en-GB"/>
              </w:rPr>
              <w:tab/>
            </w:r>
            <w:r>
              <w:rPr>
                <w:rStyle w:val="Hyperlink"/>
                <w:noProof/>
              </w:rPr>
              <w:t>CO</w:t>
            </w:r>
            <w:r>
              <w:rPr>
                <w:rStyle w:val="Hyperlink"/>
                <w:noProof/>
                <w:vertAlign w:val="subscript"/>
              </w:rPr>
              <w:t>2</w:t>
            </w:r>
            <w:r>
              <w:rPr>
                <w:rStyle w:val="Hyperlink"/>
                <w:noProof/>
              </w:rPr>
              <w:t xml:space="preserve"> emission target level (TL)</w:t>
            </w:r>
            <w:r>
              <w:rPr>
                <w:noProof/>
                <w:webHidden/>
              </w:rPr>
              <w:tab/>
            </w:r>
            <w:r>
              <w:rPr>
                <w:noProof/>
                <w:webHidden/>
              </w:rPr>
              <w:fldChar w:fldCharType="begin"/>
            </w:r>
            <w:r>
              <w:rPr>
                <w:noProof/>
                <w:webHidden/>
              </w:rPr>
              <w:instrText xml:space="preserve"> PAGEREF _Toc496635582 \h </w:instrText>
            </w:r>
            <w:r>
              <w:rPr>
                <w:noProof/>
                <w:webHidden/>
              </w:rPr>
            </w:r>
            <w:r>
              <w:rPr>
                <w:noProof/>
                <w:webHidden/>
              </w:rPr>
              <w:fldChar w:fldCharType="separate"/>
            </w:r>
            <w:r>
              <w:rPr>
                <w:noProof/>
                <w:webHidden/>
              </w:rPr>
              <w:t>34</w:t>
            </w:r>
            <w:r>
              <w:rPr>
                <w:noProof/>
                <w:webHidden/>
              </w:rPr>
              <w:fldChar w:fldCharType="end"/>
            </w:r>
          </w:hyperlink>
        </w:p>
        <w:p w:rsidR="001A26B0" w:rsidRDefault="00E33A99">
          <w:pPr>
            <w:pStyle w:val="TOC4"/>
            <w:tabs>
              <w:tab w:val="left" w:pos="2880"/>
            </w:tabs>
            <w:rPr>
              <w:rFonts w:asciiTheme="minorHAnsi" w:eastAsiaTheme="minorEastAsia" w:hAnsiTheme="minorHAnsi" w:cstheme="minorBidi"/>
              <w:noProof/>
              <w:sz w:val="22"/>
              <w:szCs w:val="22"/>
              <w:lang w:eastAsia="en-GB"/>
            </w:rPr>
          </w:pPr>
          <w:hyperlink w:anchor="_Toc496635583" w:history="1">
            <w:r>
              <w:rPr>
                <w:rStyle w:val="Hyperlink"/>
                <w:noProof/>
              </w:rPr>
              <w:t>5.1.1.1</w:t>
            </w:r>
            <w:r>
              <w:rPr>
                <w:rFonts w:asciiTheme="minorHAnsi" w:eastAsiaTheme="minorEastAsia" w:hAnsiTheme="minorHAnsi" w:cstheme="minorBidi"/>
                <w:noProof/>
                <w:sz w:val="22"/>
                <w:szCs w:val="22"/>
                <w:lang w:eastAsia="en-GB"/>
              </w:rPr>
              <w:tab/>
            </w:r>
            <w:r>
              <w:rPr>
                <w:rStyle w:val="Hyperlink"/>
                <w:noProof/>
              </w:rPr>
              <w:t>CO</w:t>
            </w:r>
            <w:r>
              <w:rPr>
                <w:rStyle w:val="Hyperlink"/>
                <w:noProof/>
                <w:vertAlign w:val="subscript"/>
              </w:rPr>
              <w:t>2</w:t>
            </w:r>
            <w:r>
              <w:rPr>
                <w:rStyle w:val="Hyperlink"/>
                <w:noProof/>
              </w:rPr>
              <w:t xml:space="preserve"> target level for passenger cars (TLC)</w:t>
            </w:r>
            <w:r>
              <w:rPr>
                <w:noProof/>
                <w:webHidden/>
              </w:rPr>
              <w:tab/>
            </w:r>
            <w:r>
              <w:rPr>
                <w:noProof/>
                <w:webHidden/>
              </w:rPr>
              <w:fldChar w:fldCharType="begin"/>
            </w:r>
            <w:r>
              <w:rPr>
                <w:noProof/>
                <w:webHidden/>
              </w:rPr>
              <w:instrText xml:space="preserve"> PAGEREF _Toc496635583 \h </w:instrText>
            </w:r>
            <w:r>
              <w:rPr>
                <w:noProof/>
                <w:webHidden/>
              </w:rPr>
            </w:r>
            <w:r>
              <w:rPr>
                <w:noProof/>
                <w:webHidden/>
              </w:rPr>
              <w:fldChar w:fldCharType="separate"/>
            </w:r>
            <w:r>
              <w:rPr>
                <w:noProof/>
                <w:webHidden/>
              </w:rPr>
              <w:t>34</w:t>
            </w:r>
            <w:r>
              <w:rPr>
                <w:noProof/>
                <w:webHidden/>
              </w:rPr>
              <w:fldChar w:fldCharType="end"/>
            </w:r>
          </w:hyperlink>
        </w:p>
        <w:p w:rsidR="001A26B0" w:rsidRDefault="00E33A99">
          <w:pPr>
            <w:pStyle w:val="TOC4"/>
            <w:tabs>
              <w:tab w:val="left" w:pos="2880"/>
            </w:tabs>
            <w:rPr>
              <w:rFonts w:asciiTheme="minorHAnsi" w:eastAsiaTheme="minorEastAsia" w:hAnsiTheme="minorHAnsi" w:cstheme="minorBidi"/>
              <w:noProof/>
              <w:sz w:val="22"/>
              <w:szCs w:val="22"/>
              <w:lang w:eastAsia="en-GB"/>
            </w:rPr>
          </w:pPr>
          <w:hyperlink w:anchor="_Toc496635584" w:history="1">
            <w:r>
              <w:rPr>
                <w:rStyle w:val="Hyperlink"/>
                <w:noProof/>
              </w:rPr>
              <w:t>5.1.1.2</w:t>
            </w:r>
            <w:r>
              <w:rPr>
                <w:rFonts w:asciiTheme="minorHAnsi" w:eastAsiaTheme="minorEastAsia" w:hAnsiTheme="minorHAnsi" w:cstheme="minorBidi"/>
                <w:noProof/>
                <w:sz w:val="22"/>
                <w:szCs w:val="22"/>
                <w:lang w:eastAsia="en-GB"/>
              </w:rPr>
              <w:tab/>
            </w:r>
            <w:r>
              <w:rPr>
                <w:rStyle w:val="Hyperlink"/>
                <w:noProof/>
              </w:rPr>
              <w:t>CO</w:t>
            </w:r>
            <w:r>
              <w:rPr>
                <w:rStyle w:val="Hyperlink"/>
                <w:noProof/>
                <w:vertAlign w:val="subscript"/>
              </w:rPr>
              <w:t>2</w:t>
            </w:r>
            <w:r>
              <w:rPr>
                <w:rStyle w:val="Hyperlink"/>
                <w:noProof/>
              </w:rPr>
              <w:t xml:space="preserve"> target level for vans (TLV)</w:t>
            </w:r>
            <w:r>
              <w:rPr>
                <w:noProof/>
                <w:webHidden/>
              </w:rPr>
              <w:tab/>
            </w:r>
            <w:r>
              <w:rPr>
                <w:noProof/>
                <w:webHidden/>
              </w:rPr>
              <w:fldChar w:fldCharType="begin"/>
            </w:r>
            <w:r>
              <w:rPr>
                <w:noProof/>
                <w:webHidden/>
              </w:rPr>
              <w:instrText xml:space="preserve"> PAGEREF _Toc496635584 \h </w:instrText>
            </w:r>
            <w:r>
              <w:rPr>
                <w:noProof/>
                <w:webHidden/>
              </w:rPr>
            </w:r>
            <w:r>
              <w:rPr>
                <w:noProof/>
                <w:webHidden/>
              </w:rPr>
              <w:fldChar w:fldCharType="separate"/>
            </w:r>
            <w:r>
              <w:rPr>
                <w:noProof/>
                <w:webHidden/>
              </w:rPr>
              <w:t>35</w:t>
            </w:r>
            <w:r>
              <w:rPr>
                <w:noProof/>
                <w:webHidden/>
              </w:rPr>
              <w:fldChar w:fldCharType="end"/>
            </w:r>
          </w:hyperlink>
        </w:p>
        <w:p w:rsidR="001A26B0" w:rsidRDefault="00E33A99">
          <w:pPr>
            <w:pStyle w:val="TOC3"/>
            <w:tabs>
              <w:tab w:val="left" w:pos="1916"/>
            </w:tabs>
            <w:rPr>
              <w:rFonts w:asciiTheme="minorHAnsi" w:eastAsiaTheme="minorEastAsia" w:hAnsiTheme="minorHAnsi" w:cstheme="minorBidi"/>
              <w:noProof/>
              <w:sz w:val="22"/>
              <w:szCs w:val="22"/>
              <w:lang w:eastAsia="en-GB"/>
            </w:rPr>
          </w:pPr>
          <w:hyperlink w:anchor="_Toc496635585" w:history="1">
            <w:r>
              <w:rPr>
                <w:rStyle w:val="Hyperlink"/>
                <w:noProof/>
              </w:rPr>
              <w:t>5.1.2</w:t>
            </w:r>
            <w:r>
              <w:rPr>
                <w:rFonts w:asciiTheme="minorHAnsi" w:eastAsiaTheme="minorEastAsia" w:hAnsiTheme="minorHAnsi" w:cstheme="minorBidi"/>
                <w:noProof/>
                <w:sz w:val="22"/>
                <w:szCs w:val="22"/>
                <w:lang w:eastAsia="en-GB"/>
              </w:rPr>
              <w:tab/>
            </w:r>
            <w:r>
              <w:rPr>
                <w:rStyle w:val="Hyperlink"/>
                <w:noProof/>
              </w:rPr>
              <w:t>Timing of the CO</w:t>
            </w:r>
            <w:r>
              <w:rPr>
                <w:rStyle w:val="Hyperlink"/>
                <w:noProof/>
                <w:vertAlign w:val="subscript"/>
              </w:rPr>
              <w:t>2</w:t>
            </w:r>
            <w:r>
              <w:rPr>
                <w:rStyle w:val="Hyperlink"/>
                <w:noProof/>
              </w:rPr>
              <w:t xml:space="preserve"> targets (TT)</w:t>
            </w:r>
            <w:r>
              <w:rPr>
                <w:noProof/>
                <w:webHidden/>
              </w:rPr>
              <w:tab/>
            </w:r>
            <w:r>
              <w:rPr>
                <w:noProof/>
                <w:webHidden/>
              </w:rPr>
              <w:fldChar w:fldCharType="begin"/>
            </w:r>
            <w:r>
              <w:rPr>
                <w:noProof/>
                <w:webHidden/>
              </w:rPr>
              <w:instrText xml:space="preserve"> PAGEREF _Toc496635585 \h </w:instrText>
            </w:r>
            <w:r>
              <w:rPr>
                <w:noProof/>
                <w:webHidden/>
              </w:rPr>
            </w:r>
            <w:r>
              <w:rPr>
                <w:noProof/>
                <w:webHidden/>
              </w:rPr>
              <w:fldChar w:fldCharType="separate"/>
            </w:r>
            <w:r>
              <w:rPr>
                <w:noProof/>
                <w:webHidden/>
              </w:rPr>
              <w:t>36</w:t>
            </w:r>
            <w:r>
              <w:rPr>
                <w:noProof/>
                <w:webHidden/>
              </w:rPr>
              <w:fldChar w:fldCharType="end"/>
            </w:r>
          </w:hyperlink>
        </w:p>
        <w:p w:rsidR="001A26B0" w:rsidRDefault="00E33A99">
          <w:pPr>
            <w:pStyle w:val="TOC3"/>
            <w:tabs>
              <w:tab w:val="left" w:pos="1916"/>
            </w:tabs>
            <w:rPr>
              <w:rFonts w:asciiTheme="minorHAnsi" w:eastAsiaTheme="minorEastAsia" w:hAnsiTheme="minorHAnsi" w:cstheme="minorBidi"/>
              <w:noProof/>
              <w:sz w:val="22"/>
              <w:szCs w:val="22"/>
              <w:lang w:eastAsia="en-GB"/>
            </w:rPr>
          </w:pPr>
          <w:hyperlink w:anchor="_Toc496635586" w:history="1">
            <w:r>
              <w:rPr>
                <w:rStyle w:val="Hyperlink"/>
                <w:noProof/>
              </w:rPr>
              <w:t>5.1.3</w:t>
            </w:r>
            <w:r>
              <w:rPr>
                <w:rFonts w:asciiTheme="minorHAnsi" w:eastAsiaTheme="minorEastAsia" w:hAnsiTheme="minorHAnsi" w:cstheme="minorBidi"/>
                <w:noProof/>
                <w:sz w:val="22"/>
                <w:szCs w:val="22"/>
                <w:lang w:eastAsia="en-GB"/>
              </w:rPr>
              <w:tab/>
            </w:r>
            <w:r>
              <w:rPr>
                <w:rStyle w:val="Hyperlink"/>
                <w:noProof/>
              </w:rPr>
              <w:t>Metric for expressing the targets</w:t>
            </w:r>
            <w:r>
              <w:rPr>
                <w:noProof/>
                <w:webHidden/>
              </w:rPr>
              <w:tab/>
            </w:r>
            <w:r>
              <w:rPr>
                <w:noProof/>
                <w:webHidden/>
              </w:rPr>
              <w:fldChar w:fldCharType="begin"/>
            </w:r>
            <w:r>
              <w:rPr>
                <w:noProof/>
                <w:webHidden/>
              </w:rPr>
              <w:instrText xml:space="preserve"> PAGER</w:instrText>
            </w:r>
            <w:r>
              <w:rPr>
                <w:noProof/>
                <w:webHidden/>
              </w:rPr>
              <w:instrText xml:space="preserve">EF _Toc496635586 \h </w:instrText>
            </w:r>
            <w:r>
              <w:rPr>
                <w:noProof/>
                <w:webHidden/>
              </w:rPr>
            </w:r>
            <w:r>
              <w:rPr>
                <w:noProof/>
                <w:webHidden/>
              </w:rPr>
              <w:fldChar w:fldCharType="separate"/>
            </w:r>
            <w:r>
              <w:rPr>
                <w:noProof/>
                <w:webHidden/>
              </w:rPr>
              <w:t>37</w:t>
            </w:r>
            <w:r>
              <w:rPr>
                <w:noProof/>
                <w:webHidden/>
              </w:rPr>
              <w:fldChar w:fldCharType="end"/>
            </w:r>
          </w:hyperlink>
        </w:p>
        <w:p w:rsidR="001A26B0" w:rsidRDefault="00E33A99">
          <w:pPr>
            <w:pStyle w:val="TOC2"/>
            <w:tabs>
              <w:tab w:val="left" w:pos="1077"/>
            </w:tabs>
            <w:rPr>
              <w:rFonts w:asciiTheme="minorHAnsi" w:eastAsiaTheme="minorEastAsia" w:hAnsiTheme="minorHAnsi" w:cstheme="minorBidi"/>
              <w:noProof/>
              <w:sz w:val="22"/>
              <w:szCs w:val="22"/>
              <w:lang w:eastAsia="en-GB"/>
            </w:rPr>
          </w:pPr>
          <w:hyperlink w:anchor="_Toc496635587" w:history="1">
            <w:r>
              <w:rPr>
                <w:rStyle w:val="Hyperlink"/>
                <w:noProof/>
              </w:rPr>
              <w:t>5.2</w:t>
            </w:r>
            <w:r>
              <w:rPr>
                <w:rFonts w:asciiTheme="minorHAnsi" w:eastAsiaTheme="minorEastAsia" w:hAnsiTheme="minorHAnsi" w:cstheme="minorBidi"/>
                <w:noProof/>
                <w:sz w:val="22"/>
                <w:szCs w:val="22"/>
                <w:lang w:eastAsia="en-GB"/>
              </w:rPr>
              <w:tab/>
            </w:r>
            <w:r>
              <w:rPr>
                <w:rStyle w:val="Hyperlink"/>
                <w:noProof/>
              </w:rPr>
              <w:t>Distribution of effort (DOE)</w:t>
            </w:r>
            <w:r>
              <w:rPr>
                <w:noProof/>
                <w:webHidden/>
              </w:rPr>
              <w:tab/>
            </w:r>
            <w:r>
              <w:rPr>
                <w:noProof/>
                <w:webHidden/>
              </w:rPr>
              <w:fldChar w:fldCharType="begin"/>
            </w:r>
            <w:r>
              <w:rPr>
                <w:noProof/>
                <w:webHidden/>
              </w:rPr>
              <w:instrText xml:space="preserve"> PAGEREF _Toc496635587 \h </w:instrText>
            </w:r>
            <w:r>
              <w:rPr>
                <w:noProof/>
                <w:webHidden/>
              </w:rPr>
            </w:r>
            <w:r>
              <w:rPr>
                <w:noProof/>
                <w:webHidden/>
              </w:rPr>
              <w:fldChar w:fldCharType="separate"/>
            </w:r>
            <w:r>
              <w:rPr>
                <w:noProof/>
                <w:webHidden/>
              </w:rPr>
              <w:t>38</w:t>
            </w:r>
            <w:r>
              <w:rPr>
                <w:noProof/>
                <w:webHidden/>
              </w:rPr>
              <w:fldChar w:fldCharType="end"/>
            </w:r>
          </w:hyperlink>
        </w:p>
        <w:p w:rsidR="001A26B0" w:rsidRDefault="00E33A99">
          <w:pPr>
            <w:pStyle w:val="TOC2"/>
            <w:tabs>
              <w:tab w:val="left" w:pos="1077"/>
            </w:tabs>
            <w:rPr>
              <w:rFonts w:asciiTheme="minorHAnsi" w:eastAsiaTheme="minorEastAsia" w:hAnsiTheme="minorHAnsi" w:cstheme="minorBidi"/>
              <w:noProof/>
              <w:sz w:val="22"/>
              <w:szCs w:val="22"/>
              <w:lang w:eastAsia="en-GB"/>
            </w:rPr>
          </w:pPr>
          <w:hyperlink w:anchor="_Toc496635588" w:history="1">
            <w:r>
              <w:rPr>
                <w:rStyle w:val="Hyperlink"/>
                <w:noProof/>
              </w:rPr>
              <w:t>5.3</w:t>
            </w:r>
            <w:r>
              <w:rPr>
                <w:rFonts w:asciiTheme="minorHAnsi" w:eastAsiaTheme="minorEastAsia" w:hAnsiTheme="minorHAnsi" w:cstheme="minorBidi"/>
                <w:noProof/>
                <w:sz w:val="22"/>
                <w:szCs w:val="22"/>
                <w:lang w:eastAsia="en-GB"/>
              </w:rPr>
              <w:tab/>
            </w:r>
            <w:r>
              <w:rPr>
                <w:rStyle w:val="Hyperlink"/>
                <w:noProof/>
              </w:rPr>
              <w:t>ZEV/ LEV incentives</w:t>
            </w:r>
            <w:r>
              <w:rPr>
                <w:noProof/>
                <w:webHidden/>
              </w:rPr>
              <w:tab/>
            </w:r>
            <w:r>
              <w:rPr>
                <w:noProof/>
                <w:webHidden/>
              </w:rPr>
              <w:fldChar w:fldCharType="begin"/>
            </w:r>
            <w:r>
              <w:rPr>
                <w:noProof/>
                <w:webHidden/>
              </w:rPr>
              <w:instrText xml:space="preserve"> PAGEREF _Toc496635588 \h </w:instrText>
            </w:r>
            <w:r>
              <w:rPr>
                <w:noProof/>
                <w:webHidden/>
              </w:rPr>
            </w:r>
            <w:r>
              <w:rPr>
                <w:noProof/>
                <w:webHidden/>
              </w:rPr>
              <w:fldChar w:fldCharType="separate"/>
            </w:r>
            <w:r>
              <w:rPr>
                <w:noProof/>
                <w:webHidden/>
              </w:rPr>
              <w:t>41</w:t>
            </w:r>
            <w:r>
              <w:rPr>
                <w:noProof/>
                <w:webHidden/>
              </w:rPr>
              <w:fldChar w:fldCharType="end"/>
            </w:r>
          </w:hyperlink>
        </w:p>
        <w:p w:rsidR="001A26B0" w:rsidRDefault="00E33A99">
          <w:pPr>
            <w:pStyle w:val="TOC3"/>
            <w:tabs>
              <w:tab w:val="left" w:pos="1916"/>
            </w:tabs>
            <w:rPr>
              <w:rFonts w:asciiTheme="minorHAnsi" w:eastAsiaTheme="minorEastAsia" w:hAnsiTheme="minorHAnsi" w:cstheme="minorBidi"/>
              <w:noProof/>
              <w:sz w:val="22"/>
              <w:szCs w:val="22"/>
              <w:lang w:eastAsia="en-GB"/>
            </w:rPr>
          </w:pPr>
          <w:hyperlink w:anchor="_Toc496635589" w:history="1">
            <w:r>
              <w:rPr>
                <w:rStyle w:val="Hyperlink"/>
                <w:noProof/>
              </w:rPr>
              <w:t>5.3.</w:t>
            </w:r>
            <w:r>
              <w:rPr>
                <w:rStyle w:val="Hyperlink"/>
                <w:noProof/>
              </w:rPr>
              <w:t>1</w:t>
            </w:r>
            <w:r>
              <w:rPr>
                <w:rFonts w:asciiTheme="minorHAnsi" w:eastAsiaTheme="minorEastAsia" w:hAnsiTheme="minorHAnsi" w:cstheme="minorBidi"/>
                <w:noProof/>
                <w:sz w:val="22"/>
                <w:szCs w:val="22"/>
                <w:lang w:eastAsia="en-GB"/>
              </w:rPr>
              <w:tab/>
            </w:r>
            <w:r>
              <w:rPr>
                <w:rStyle w:val="Hyperlink"/>
                <w:noProof/>
              </w:rPr>
              <w:t>Context</w:t>
            </w:r>
            <w:r>
              <w:rPr>
                <w:noProof/>
                <w:webHidden/>
              </w:rPr>
              <w:tab/>
            </w:r>
            <w:r>
              <w:rPr>
                <w:noProof/>
                <w:webHidden/>
              </w:rPr>
              <w:fldChar w:fldCharType="begin"/>
            </w:r>
            <w:r>
              <w:rPr>
                <w:noProof/>
                <w:webHidden/>
              </w:rPr>
              <w:instrText xml:space="preserve"> PAGEREF _Toc496635589 \h </w:instrText>
            </w:r>
            <w:r>
              <w:rPr>
                <w:noProof/>
                <w:webHidden/>
              </w:rPr>
            </w:r>
            <w:r>
              <w:rPr>
                <w:noProof/>
                <w:webHidden/>
              </w:rPr>
              <w:fldChar w:fldCharType="separate"/>
            </w:r>
            <w:r>
              <w:rPr>
                <w:noProof/>
                <w:webHidden/>
              </w:rPr>
              <w:t>41</w:t>
            </w:r>
            <w:r>
              <w:rPr>
                <w:noProof/>
                <w:webHidden/>
              </w:rPr>
              <w:fldChar w:fldCharType="end"/>
            </w:r>
          </w:hyperlink>
        </w:p>
        <w:p w:rsidR="001A26B0" w:rsidRDefault="00E33A99">
          <w:pPr>
            <w:pStyle w:val="TOC3"/>
            <w:tabs>
              <w:tab w:val="left" w:pos="1916"/>
            </w:tabs>
            <w:rPr>
              <w:rFonts w:asciiTheme="minorHAnsi" w:eastAsiaTheme="minorEastAsia" w:hAnsiTheme="minorHAnsi" w:cstheme="minorBidi"/>
              <w:noProof/>
              <w:sz w:val="22"/>
              <w:szCs w:val="22"/>
              <w:lang w:eastAsia="en-GB"/>
            </w:rPr>
          </w:pPr>
          <w:hyperlink w:anchor="_Toc496635590" w:history="1">
            <w:r>
              <w:rPr>
                <w:rStyle w:val="Hyperlink"/>
                <w:noProof/>
              </w:rPr>
              <w:t>5.3.2</w:t>
            </w:r>
            <w:r>
              <w:rPr>
                <w:rFonts w:asciiTheme="minorHAnsi" w:eastAsiaTheme="minorEastAsia" w:hAnsiTheme="minorHAnsi" w:cstheme="minorBidi"/>
                <w:noProof/>
                <w:sz w:val="22"/>
                <w:szCs w:val="22"/>
                <w:lang w:eastAsia="en-GB"/>
              </w:rPr>
              <w:tab/>
            </w:r>
            <w:r>
              <w:rPr>
                <w:rStyle w:val="Hyperlink"/>
                <w:noProof/>
              </w:rPr>
              <w:t>Policy options</w:t>
            </w:r>
            <w:r>
              <w:rPr>
                <w:noProof/>
                <w:webHidden/>
              </w:rPr>
              <w:tab/>
            </w:r>
            <w:r>
              <w:rPr>
                <w:noProof/>
                <w:webHidden/>
              </w:rPr>
              <w:fldChar w:fldCharType="begin"/>
            </w:r>
            <w:r>
              <w:rPr>
                <w:noProof/>
                <w:webHidden/>
              </w:rPr>
              <w:instrText xml:space="preserve"> PAGEREF _Toc496635590 \h </w:instrText>
            </w:r>
            <w:r>
              <w:rPr>
                <w:noProof/>
                <w:webHidden/>
              </w:rPr>
            </w:r>
            <w:r>
              <w:rPr>
                <w:noProof/>
                <w:webHidden/>
              </w:rPr>
              <w:fldChar w:fldCharType="separate"/>
            </w:r>
            <w:r>
              <w:rPr>
                <w:noProof/>
                <w:webHidden/>
              </w:rPr>
              <w:t>47</w:t>
            </w:r>
            <w:r>
              <w:rPr>
                <w:noProof/>
                <w:webHidden/>
              </w:rPr>
              <w:fldChar w:fldCharType="end"/>
            </w:r>
          </w:hyperlink>
        </w:p>
        <w:p w:rsidR="001A26B0" w:rsidRDefault="00E33A99">
          <w:pPr>
            <w:pStyle w:val="TOC4"/>
            <w:tabs>
              <w:tab w:val="left" w:pos="2880"/>
            </w:tabs>
            <w:rPr>
              <w:rFonts w:asciiTheme="minorHAnsi" w:eastAsiaTheme="minorEastAsia" w:hAnsiTheme="minorHAnsi" w:cstheme="minorBidi"/>
              <w:noProof/>
              <w:sz w:val="22"/>
              <w:szCs w:val="22"/>
              <w:lang w:eastAsia="en-GB"/>
            </w:rPr>
          </w:pPr>
          <w:hyperlink w:anchor="_Toc496635591" w:history="1">
            <w:r>
              <w:rPr>
                <w:rStyle w:val="Hyperlink"/>
                <w:noProof/>
              </w:rPr>
              <w:t>5.3.2.1</w:t>
            </w:r>
            <w:r>
              <w:rPr>
                <w:rFonts w:asciiTheme="minorHAnsi" w:eastAsiaTheme="minorEastAsia" w:hAnsiTheme="minorHAnsi" w:cstheme="minorBidi"/>
                <w:noProof/>
                <w:sz w:val="22"/>
                <w:szCs w:val="22"/>
                <w:lang w:eastAsia="en-GB"/>
              </w:rPr>
              <w:tab/>
            </w:r>
            <w:r>
              <w:rPr>
                <w:rStyle w:val="Hyperlink"/>
                <w:noProof/>
              </w:rPr>
              <w:t>LEV definition (LEVD)</w:t>
            </w:r>
            <w:r>
              <w:rPr>
                <w:noProof/>
                <w:webHidden/>
              </w:rPr>
              <w:tab/>
            </w:r>
            <w:r>
              <w:rPr>
                <w:noProof/>
                <w:webHidden/>
              </w:rPr>
              <w:fldChar w:fldCharType="begin"/>
            </w:r>
            <w:r>
              <w:rPr>
                <w:noProof/>
                <w:webHidden/>
              </w:rPr>
              <w:instrText xml:space="preserve"> PAGEREF _Toc496635591 \h </w:instrText>
            </w:r>
            <w:r>
              <w:rPr>
                <w:noProof/>
                <w:webHidden/>
              </w:rPr>
            </w:r>
            <w:r>
              <w:rPr>
                <w:noProof/>
                <w:webHidden/>
              </w:rPr>
              <w:fldChar w:fldCharType="separate"/>
            </w:r>
            <w:r>
              <w:rPr>
                <w:noProof/>
                <w:webHidden/>
              </w:rPr>
              <w:t>47</w:t>
            </w:r>
            <w:r>
              <w:rPr>
                <w:noProof/>
                <w:webHidden/>
              </w:rPr>
              <w:fldChar w:fldCharType="end"/>
            </w:r>
          </w:hyperlink>
        </w:p>
        <w:p w:rsidR="001A26B0" w:rsidRDefault="00E33A99">
          <w:pPr>
            <w:pStyle w:val="TOC4"/>
            <w:tabs>
              <w:tab w:val="left" w:pos="2880"/>
            </w:tabs>
            <w:rPr>
              <w:rFonts w:asciiTheme="minorHAnsi" w:eastAsiaTheme="minorEastAsia" w:hAnsiTheme="minorHAnsi" w:cstheme="minorBidi"/>
              <w:noProof/>
              <w:sz w:val="22"/>
              <w:szCs w:val="22"/>
              <w:lang w:eastAsia="en-GB"/>
            </w:rPr>
          </w:pPr>
          <w:hyperlink w:anchor="_Toc496635592" w:history="1">
            <w:r>
              <w:rPr>
                <w:rStyle w:val="Hyperlink"/>
                <w:noProof/>
              </w:rPr>
              <w:t>5.3.2.2</w:t>
            </w:r>
            <w:r>
              <w:rPr>
                <w:rFonts w:asciiTheme="minorHAnsi" w:eastAsiaTheme="minorEastAsia" w:hAnsiTheme="minorHAnsi" w:cstheme="minorBidi"/>
                <w:noProof/>
                <w:sz w:val="22"/>
                <w:szCs w:val="22"/>
                <w:lang w:eastAsia="en-GB"/>
              </w:rPr>
              <w:tab/>
            </w:r>
            <w:r>
              <w:rPr>
                <w:rStyle w:val="Hyperlink"/>
                <w:noProof/>
              </w:rPr>
              <w:t>Type and level of incentive (LEVT)</w:t>
            </w:r>
            <w:r>
              <w:rPr>
                <w:noProof/>
                <w:webHidden/>
              </w:rPr>
              <w:tab/>
            </w:r>
            <w:r>
              <w:rPr>
                <w:noProof/>
                <w:webHidden/>
              </w:rPr>
              <w:fldChar w:fldCharType="begin"/>
            </w:r>
            <w:r>
              <w:rPr>
                <w:noProof/>
                <w:webHidden/>
              </w:rPr>
              <w:instrText xml:space="preserve"> PAGEREF _Toc496635592 \h </w:instrText>
            </w:r>
            <w:r>
              <w:rPr>
                <w:noProof/>
                <w:webHidden/>
              </w:rPr>
            </w:r>
            <w:r>
              <w:rPr>
                <w:noProof/>
                <w:webHidden/>
              </w:rPr>
              <w:fldChar w:fldCharType="separate"/>
            </w:r>
            <w:r>
              <w:rPr>
                <w:noProof/>
                <w:webHidden/>
              </w:rPr>
              <w:t>48</w:t>
            </w:r>
            <w:r>
              <w:rPr>
                <w:noProof/>
                <w:webHidden/>
              </w:rPr>
              <w:fldChar w:fldCharType="end"/>
            </w:r>
          </w:hyperlink>
        </w:p>
        <w:p w:rsidR="001A26B0" w:rsidRDefault="00E33A99">
          <w:pPr>
            <w:pStyle w:val="TOC2"/>
            <w:tabs>
              <w:tab w:val="left" w:pos="1077"/>
            </w:tabs>
            <w:rPr>
              <w:rFonts w:asciiTheme="minorHAnsi" w:eastAsiaTheme="minorEastAsia" w:hAnsiTheme="minorHAnsi" w:cstheme="minorBidi"/>
              <w:noProof/>
              <w:sz w:val="22"/>
              <w:szCs w:val="22"/>
              <w:lang w:eastAsia="en-GB"/>
            </w:rPr>
          </w:pPr>
          <w:hyperlink w:anchor="_Toc496635593" w:history="1">
            <w:r>
              <w:rPr>
                <w:rStyle w:val="Hyperlink"/>
                <w:noProof/>
              </w:rPr>
              <w:t>5.4</w:t>
            </w:r>
            <w:r>
              <w:rPr>
                <w:rFonts w:asciiTheme="minorHAnsi" w:eastAsiaTheme="minorEastAsia" w:hAnsiTheme="minorHAnsi" w:cstheme="minorBidi"/>
                <w:noProof/>
                <w:sz w:val="22"/>
                <w:szCs w:val="22"/>
                <w:lang w:eastAsia="en-GB"/>
              </w:rPr>
              <w:tab/>
            </w:r>
            <w:r>
              <w:rPr>
                <w:rStyle w:val="Hyperlink"/>
                <w:noProof/>
              </w:rPr>
              <w:t>Elements for cost-effective implementation</w:t>
            </w:r>
            <w:r>
              <w:rPr>
                <w:noProof/>
                <w:webHidden/>
              </w:rPr>
              <w:tab/>
            </w:r>
            <w:r>
              <w:rPr>
                <w:noProof/>
                <w:webHidden/>
              </w:rPr>
              <w:fldChar w:fldCharType="begin"/>
            </w:r>
            <w:r>
              <w:rPr>
                <w:noProof/>
                <w:webHidden/>
              </w:rPr>
              <w:instrText xml:space="preserve"> PAGEREF _Toc496635593 \h </w:instrText>
            </w:r>
            <w:r>
              <w:rPr>
                <w:noProof/>
                <w:webHidden/>
              </w:rPr>
            </w:r>
            <w:r>
              <w:rPr>
                <w:noProof/>
                <w:webHidden/>
              </w:rPr>
              <w:fldChar w:fldCharType="separate"/>
            </w:r>
            <w:r>
              <w:rPr>
                <w:noProof/>
                <w:webHidden/>
              </w:rPr>
              <w:t>50</w:t>
            </w:r>
            <w:r>
              <w:rPr>
                <w:noProof/>
                <w:webHidden/>
              </w:rPr>
              <w:fldChar w:fldCharType="end"/>
            </w:r>
          </w:hyperlink>
        </w:p>
        <w:p w:rsidR="001A26B0" w:rsidRDefault="00E33A99">
          <w:pPr>
            <w:pStyle w:val="TOC3"/>
            <w:tabs>
              <w:tab w:val="left" w:pos="1916"/>
            </w:tabs>
            <w:rPr>
              <w:rFonts w:asciiTheme="minorHAnsi" w:eastAsiaTheme="minorEastAsia" w:hAnsiTheme="minorHAnsi" w:cstheme="minorBidi"/>
              <w:noProof/>
              <w:sz w:val="22"/>
              <w:szCs w:val="22"/>
              <w:lang w:eastAsia="en-GB"/>
            </w:rPr>
          </w:pPr>
          <w:hyperlink w:anchor="_Toc496635594" w:history="1">
            <w:r>
              <w:rPr>
                <w:rStyle w:val="Hyperlink"/>
                <w:noProof/>
              </w:rPr>
              <w:t>5.4.1</w:t>
            </w:r>
            <w:r>
              <w:rPr>
                <w:rFonts w:asciiTheme="minorHAnsi" w:eastAsiaTheme="minorEastAsia" w:hAnsiTheme="minorHAnsi" w:cstheme="minorBidi"/>
                <w:noProof/>
                <w:sz w:val="22"/>
                <w:szCs w:val="22"/>
                <w:lang w:eastAsia="en-GB"/>
              </w:rPr>
              <w:tab/>
            </w:r>
            <w:r>
              <w:rPr>
                <w:rStyle w:val="Hyperlink"/>
                <w:noProof/>
              </w:rPr>
              <w:t>Eco-innovations (ECO)</w:t>
            </w:r>
            <w:r>
              <w:rPr>
                <w:noProof/>
                <w:webHidden/>
              </w:rPr>
              <w:tab/>
            </w:r>
            <w:r>
              <w:rPr>
                <w:noProof/>
                <w:webHidden/>
              </w:rPr>
              <w:fldChar w:fldCharType="begin"/>
            </w:r>
            <w:r>
              <w:rPr>
                <w:noProof/>
                <w:webHidden/>
              </w:rPr>
              <w:instrText xml:space="preserve"> PAGEREF _Toc4966355</w:instrText>
            </w:r>
            <w:r>
              <w:rPr>
                <w:noProof/>
                <w:webHidden/>
              </w:rPr>
              <w:instrText xml:space="preserve">94 \h </w:instrText>
            </w:r>
            <w:r>
              <w:rPr>
                <w:noProof/>
                <w:webHidden/>
              </w:rPr>
            </w:r>
            <w:r>
              <w:rPr>
                <w:noProof/>
                <w:webHidden/>
              </w:rPr>
              <w:fldChar w:fldCharType="separate"/>
            </w:r>
            <w:r>
              <w:rPr>
                <w:noProof/>
                <w:webHidden/>
              </w:rPr>
              <w:t>50</w:t>
            </w:r>
            <w:r>
              <w:rPr>
                <w:noProof/>
                <w:webHidden/>
              </w:rPr>
              <w:fldChar w:fldCharType="end"/>
            </w:r>
          </w:hyperlink>
        </w:p>
        <w:p w:rsidR="001A26B0" w:rsidRDefault="00E33A99">
          <w:pPr>
            <w:pStyle w:val="TOC3"/>
            <w:tabs>
              <w:tab w:val="left" w:pos="1916"/>
            </w:tabs>
            <w:rPr>
              <w:rFonts w:asciiTheme="minorHAnsi" w:eastAsiaTheme="minorEastAsia" w:hAnsiTheme="minorHAnsi" w:cstheme="minorBidi"/>
              <w:noProof/>
              <w:sz w:val="22"/>
              <w:szCs w:val="22"/>
              <w:lang w:eastAsia="en-GB"/>
            </w:rPr>
          </w:pPr>
          <w:hyperlink w:anchor="_Toc496635595" w:history="1">
            <w:r>
              <w:rPr>
                <w:rStyle w:val="Hyperlink"/>
                <w:noProof/>
              </w:rPr>
              <w:t>5.4.2</w:t>
            </w:r>
            <w:r>
              <w:rPr>
                <w:rFonts w:asciiTheme="minorHAnsi" w:eastAsiaTheme="minorEastAsia" w:hAnsiTheme="minorHAnsi" w:cstheme="minorBidi"/>
                <w:noProof/>
                <w:sz w:val="22"/>
                <w:szCs w:val="22"/>
                <w:lang w:eastAsia="en-GB"/>
              </w:rPr>
              <w:tab/>
            </w:r>
            <w:r>
              <w:rPr>
                <w:rStyle w:val="Hyperlink"/>
                <w:noProof/>
              </w:rPr>
              <w:t>Pooling (POOL)</w:t>
            </w:r>
            <w:r>
              <w:rPr>
                <w:noProof/>
                <w:webHidden/>
              </w:rPr>
              <w:tab/>
            </w:r>
            <w:r>
              <w:rPr>
                <w:noProof/>
                <w:webHidden/>
              </w:rPr>
              <w:fldChar w:fldCharType="begin"/>
            </w:r>
            <w:r>
              <w:rPr>
                <w:noProof/>
                <w:webHidden/>
              </w:rPr>
              <w:instrText xml:space="preserve"> PAGEREF _Toc496635595 \h </w:instrText>
            </w:r>
            <w:r>
              <w:rPr>
                <w:noProof/>
                <w:webHidden/>
              </w:rPr>
            </w:r>
            <w:r>
              <w:rPr>
                <w:noProof/>
                <w:webHidden/>
              </w:rPr>
              <w:fldChar w:fldCharType="separate"/>
            </w:r>
            <w:r>
              <w:rPr>
                <w:noProof/>
                <w:webHidden/>
              </w:rPr>
              <w:t>54</w:t>
            </w:r>
            <w:r>
              <w:rPr>
                <w:noProof/>
                <w:webHidden/>
              </w:rPr>
              <w:fldChar w:fldCharType="end"/>
            </w:r>
          </w:hyperlink>
        </w:p>
        <w:p w:rsidR="001A26B0" w:rsidRDefault="00E33A99">
          <w:pPr>
            <w:pStyle w:val="TOC3"/>
            <w:tabs>
              <w:tab w:val="left" w:pos="1916"/>
            </w:tabs>
            <w:rPr>
              <w:rFonts w:asciiTheme="minorHAnsi" w:eastAsiaTheme="minorEastAsia" w:hAnsiTheme="minorHAnsi" w:cstheme="minorBidi"/>
              <w:noProof/>
              <w:sz w:val="22"/>
              <w:szCs w:val="22"/>
              <w:lang w:eastAsia="en-GB"/>
            </w:rPr>
          </w:pPr>
          <w:hyperlink w:anchor="_Toc496635596" w:history="1">
            <w:r>
              <w:rPr>
                <w:rStyle w:val="Hyperlink"/>
                <w:noProof/>
              </w:rPr>
              <w:t>5.4.3</w:t>
            </w:r>
            <w:r>
              <w:rPr>
                <w:rFonts w:asciiTheme="minorHAnsi" w:eastAsiaTheme="minorEastAsia" w:hAnsiTheme="minorHAnsi" w:cstheme="minorBidi"/>
                <w:noProof/>
                <w:sz w:val="22"/>
                <w:szCs w:val="22"/>
                <w:lang w:eastAsia="en-GB"/>
              </w:rPr>
              <w:tab/>
            </w:r>
            <w:r>
              <w:rPr>
                <w:rStyle w:val="Hyperlink"/>
                <w:noProof/>
              </w:rPr>
              <w:t>Trading (TRADE)</w:t>
            </w:r>
            <w:r>
              <w:rPr>
                <w:noProof/>
                <w:webHidden/>
              </w:rPr>
              <w:tab/>
            </w:r>
            <w:r>
              <w:rPr>
                <w:noProof/>
                <w:webHidden/>
              </w:rPr>
              <w:fldChar w:fldCharType="begin"/>
            </w:r>
            <w:r>
              <w:rPr>
                <w:noProof/>
                <w:webHidden/>
              </w:rPr>
              <w:instrText xml:space="preserve"> PAGEREF _Toc496635596 \h </w:instrText>
            </w:r>
            <w:r>
              <w:rPr>
                <w:noProof/>
                <w:webHidden/>
              </w:rPr>
            </w:r>
            <w:r>
              <w:rPr>
                <w:noProof/>
                <w:webHidden/>
              </w:rPr>
              <w:fldChar w:fldCharType="separate"/>
            </w:r>
            <w:r>
              <w:rPr>
                <w:noProof/>
                <w:webHidden/>
              </w:rPr>
              <w:t>54</w:t>
            </w:r>
            <w:r>
              <w:rPr>
                <w:noProof/>
                <w:webHidden/>
              </w:rPr>
              <w:fldChar w:fldCharType="end"/>
            </w:r>
          </w:hyperlink>
        </w:p>
        <w:p w:rsidR="001A26B0" w:rsidRDefault="00E33A99">
          <w:pPr>
            <w:pStyle w:val="TOC3"/>
            <w:tabs>
              <w:tab w:val="left" w:pos="1916"/>
            </w:tabs>
            <w:rPr>
              <w:rFonts w:asciiTheme="minorHAnsi" w:eastAsiaTheme="minorEastAsia" w:hAnsiTheme="minorHAnsi" w:cstheme="minorBidi"/>
              <w:noProof/>
              <w:sz w:val="22"/>
              <w:szCs w:val="22"/>
              <w:lang w:eastAsia="en-GB"/>
            </w:rPr>
          </w:pPr>
          <w:hyperlink w:anchor="_Toc496635597" w:history="1">
            <w:r>
              <w:rPr>
                <w:rStyle w:val="Hyperlink"/>
                <w:noProof/>
              </w:rPr>
              <w:t>5.4.4</w:t>
            </w:r>
            <w:r>
              <w:rPr>
                <w:rFonts w:asciiTheme="minorHAnsi" w:eastAsiaTheme="minorEastAsia" w:hAnsiTheme="minorHAnsi" w:cstheme="minorBidi"/>
                <w:noProof/>
                <w:sz w:val="22"/>
                <w:szCs w:val="22"/>
                <w:lang w:eastAsia="en-GB"/>
              </w:rPr>
              <w:tab/>
            </w:r>
            <w:r>
              <w:rPr>
                <w:rStyle w:val="Hyperlink"/>
                <w:noProof/>
              </w:rPr>
              <w:t>Banking and borrowing (BB)</w:t>
            </w:r>
            <w:r>
              <w:rPr>
                <w:noProof/>
                <w:webHidden/>
              </w:rPr>
              <w:tab/>
            </w:r>
            <w:r>
              <w:rPr>
                <w:noProof/>
                <w:webHidden/>
              </w:rPr>
              <w:fldChar w:fldCharType="begin"/>
            </w:r>
            <w:r>
              <w:rPr>
                <w:noProof/>
                <w:webHidden/>
              </w:rPr>
              <w:instrText xml:space="preserve"> PAGEREF _Toc496635597 \h </w:instrText>
            </w:r>
            <w:r>
              <w:rPr>
                <w:noProof/>
                <w:webHidden/>
              </w:rPr>
            </w:r>
            <w:r>
              <w:rPr>
                <w:noProof/>
                <w:webHidden/>
              </w:rPr>
              <w:fldChar w:fldCharType="separate"/>
            </w:r>
            <w:r>
              <w:rPr>
                <w:noProof/>
                <w:webHidden/>
              </w:rPr>
              <w:t>55</w:t>
            </w:r>
            <w:r>
              <w:rPr>
                <w:noProof/>
                <w:webHidden/>
              </w:rPr>
              <w:fldChar w:fldCharType="end"/>
            </w:r>
          </w:hyperlink>
        </w:p>
        <w:p w:rsidR="001A26B0" w:rsidRDefault="00E33A99">
          <w:pPr>
            <w:pStyle w:val="TOC3"/>
            <w:tabs>
              <w:tab w:val="left" w:pos="1916"/>
            </w:tabs>
            <w:rPr>
              <w:rFonts w:asciiTheme="minorHAnsi" w:eastAsiaTheme="minorEastAsia" w:hAnsiTheme="minorHAnsi" w:cstheme="minorBidi"/>
              <w:noProof/>
              <w:sz w:val="22"/>
              <w:szCs w:val="22"/>
              <w:lang w:eastAsia="en-GB"/>
            </w:rPr>
          </w:pPr>
          <w:hyperlink w:anchor="_Toc496635598" w:history="1">
            <w:r>
              <w:rPr>
                <w:rStyle w:val="Hyperlink"/>
                <w:noProof/>
              </w:rPr>
              <w:t>5.4.5</w:t>
            </w:r>
            <w:r>
              <w:rPr>
                <w:rFonts w:asciiTheme="minorHAnsi" w:eastAsiaTheme="minorEastAsia" w:hAnsiTheme="minorHAnsi" w:cstheme="minorBidi"/>
                <w:noProof/>
                <w:sz w:val="22"/>
                <w:szCs w:val="22"/>
                <w:lang w:eastAsia="en-GB"/>
              </w:rPr>
              <w:tab/>
            </w:r>
            <w:r>
              <w:rPr>
                <w:rStyle w:val="Hyperlink"/>
                <w:noProof/>
              </w:rPr>
              <w:t>Exemptions and derogations</w:t>
            </w:r>
            <w:r>
              <w:rPr>
                <w:noProof/>
                <w:webHidden/>
              </w:rPr>
              <w:tab/>
            </w:r>
            <w:r>
              <w:rPr>
                <w:noProof/>
                <w:webHidden/>
              </w:rPr>
              <w:fldChar w:fldCharType="begin"/>
            </w:r>
            <w:r>
              <w:rPr>
                <w:noProof/>
                <w:webHidden/>
              </w:rPr>
              <w:instrText xml:space="preserve"> PAGEREF _Toc496635598 \h </w:instrText>
            </w:r>
            <w:r>
              <w:rPr>
                <w:noProof/>
                <w:webHidden/>
              </w:rPr>
            </w:r>
            <w:r>
              <w:rPr>
                <w:noProof/>
                <w:webHidden/>
              </w:rPr>
              <w:fldChar w:fldCharType="separate"/>
            </w:r>
            <w:r>
              <w:rPr>
                <w:noProof/>
                <w:webHidden/>
              </w:rPr>
              <w:t>56</w:t>
            </w:r>
            <w:r>
              <w:rPr>
                <w:noProof/>
                <w:webHidden/>
              </w:rPr>
              <w:fldChar w:fldCharType="end"/>
            </w:r>
          </w:hyperlink>
        </w:p>
        <w:p w:rsidR="001A26B0" w:rsidRDefault="00E33A99">
          <w:pPr>
            <w:pStyle w:val="TOC4"/>
            <w:tabs>
              <w:tab w:val="left" w:pos="2880"/>
            </w:tabs>
            <w:rPr>
              <w:rFonts w:asciiTheme="minorHAnsi" w:eastAsiaTheme="minorEastAsia" w:hAnsiTheme="minorHAnsi" w:cstheme="minorBidi"/>
              <w:noProof/>
              <w:sz w:val="22"/>
              <w:szCs w:val="22"/>
              <w:lang w:eastAsia="en-GB"/>
            </w:rPr>
          </w:pPr>
          <w:hyperlink w:anchor="_Toc496635599" w:history="1">
            <w:r>
              <w:rPr>
                <w:rStyle w:val="Hyperlink"/>
                <w:noProof/>
                <w:lang w:val="fr-BE"/>
              </w:rPr>
              <w:t>5.4.5.</w:t>
            </w:r>
            <w:r>
              <w:rPr>
                <w:rStyle w:val="Hyperlink"/>
                <w:noProof/>
                <w:lang w:val="fr-BE"/>
              </w:rPr>
              <w:t>1</w:t>
            </w:r>
            <w:r>
              <w:rPr>
                <w:rFonts w:asciiTheme="minorHAnsi" w:eastAsiaTheme="minorEastAsia" w:hAnsiTheme="minorHAnsi" w:cstheme="minorBidi"/>
                <w:noProof/>
                <w:sz w:val="22"/>
                <w:szCs w:val="22"/>
                <w:lang w:eastAsia="en-GB"/>
              </w:rPr>
              <w:tab/>
            </w:r>
            <w:r>
              <w:rPr>
                <w:rStyle w:val="Hyperlink"/>
                <w:noProof/>
              </w:rPr>
              <w:t xml:space="preserve">'De </w:t>
            </w:r>
            <w:r>
              <w:rPr>
                <w:rStyle w:val="Hyperlink"/>
                <w:noProof/>
                <w:lang w:val="fr-BE"/>
              </w:rPr>
              <w:t>minimis' exemptions' and 'small volume' derogations</w:t>
            </w:r>
            <w:r>
              <w:rPr>
                <w:noProof/>
                <w:webHidden/>
              </w:rPr>
              <w:tab/>
            </w:r>
            <w:r>
              <w:rPr>
                <w:noProof/>
                <w:webHidden/>
              </w:rPr>
              <w:fldChar w:fldCharType="begin"/>
            </w:r>
            <w:r>
              <w:rPr>
                <w:noProof/>
                <w:webHidden/>
              </w:rPr>
              <w:instrText xml:space="preserve"> PAGEREF _Toc496635599 \h </w:instrText>
            </w:r>
            <w:r>
              <w:rPr>
                <w:noProof/>
                <w:webHidden/>
              </w:rPr>
            </w:r>
            <w:r>
              <w:rPr>
                <w:noProof/>
                <w:webHidden/>
              </w:rPr>
              <w:fldChar w:fldCharType="separate"/>
            </w:r>
            <w:r>
              <w:rPr>
                <w:noProof/>
                <w:webHidden/>
              </w:rPr>
              <w:t>57</w:t>
            </w:r>
            <w:r>
              <w:rPr>
                <w:noProof/>
                <w:webHidden/>
              </w:rPr>
              <w:fldChar w:fldCharType="end"/>
            </w:r>
          </w:hyperlink>
        </w:p>
        <w:p w:rsidR="001A26B0" w:rsidRDefault="00E33A99">
          <w:pPr>
            <w:pStyle w:val="TOC4"/>
            <w:tabs>
              <w:tab w:val="left" w:pos="2880"/>
            </w:tabs>
            <w:rPr>
              <w:rFonts w:asciiTheme="minorHAnsi" w:eastAsiaTheme="minorEastAsia" w:hAnsiTheme="minorHAnsi" w:cstheme="minorBidi"/>
              <w:noProof/>
              <w:sz w:val="22"/>
              <w:szCs w:val="22"/>
              <w:lang w:eastAsia="en-GB"/>
            </w:rPr>
          </w:pPr>
          <w:hyperlink w:anchor="_Toc496635600" w:history="1">
            <w:r>
              <w:rPr>
                <w:rStyle w:val="Hyperlink"/>
                <w:noProof/>
              </w:rPr>
              <w:t>5.4.5.2</w:t>
            </w:r>
            <w:r>
              <w:rPr>
                <w:rFonts w:asciiTheme="minorHAnsi" w:eastAsiaTheme="minorEastAsia" w:hAnsiTheme="minorHAnsi" w:cstheme="minorBidi"/>
                <w:noProof/>
                <w:sz w:val="22"/>
                <w:szCs w:val="22"/>
                <w:lang w:eastAsia="en-GB"/>
              </w:rPr>
              <w:tab/>
            </w:r>
            <w:r>
              <w:rPr>
                <w:rStyle w:val="Hyperlink"/>
                <w:noProof/>
              </w:rPr>
              <w:t>Niche derogations for car manufacturers (NIC)</w:t>
            </w:r>
            <w:r>
              <w:rPr>
                <w:noProof/>
                <w:webHidden/>
              </w:rPr>
              <w:tab/>
            </w:r>
            <w:r>
              <w:rPr>
                <w:noProof/>
                <w:webHidden/>
              </w:rPr>
              <w:fldChar w:fldCharType="begin"/>
            </w:r>
            <w:r>
              <w:rPr>
                <w:noProof/>
                <w:webHidden/>
              </w:rPr>
              <w:instrText xml:space="preserve"> PAGEREF _Toc496635600 \h </w:instrText>
            </w:r>
            <w:r>
              <w:rPr>
                <w:noProof/>
                <w:webHidden/>
              </w:rPr>
            </w:r>
            <w:r>
              <w:rPr>
                <w:noProof/>
                <w:webHidden/>
              </w:rPr>
              <w:fldChar w:fldCharType="separate"/>
            </w:r>
            <w:r>
              <w:rPr>
                <w:noProof/>
                <w:webHidden/>
              </w:rPr>
              <w:t>58</w:t>
            </w:r>
            <w:r>
              <w:rPr>
                <w:noProof/>
                <w:webHidden/>
              </w:rPr>
              <w:fldChar w:fldCharType="end"/>
            </w:r>
          </w:hyperlink>
        </w:p>
        <w:p w:rsidR="001A26B0" w:rsidRDefault="00E33A99">
          <w:pPr>
            <w:pStyle w:val="TOC2"/>
            <w:tabs>
              <w:tab w:val="left" w:pos="1077"/>
            </w:tabs>
            <w:rPr>
              <w:rFonts w:asciiTheme="minorHAnsi" w:eastAsiaTheme="minorEastAsia" w:hAnsiTheme="minorHAnsi" w:cstheme="minorBidi"/>
              <w:noProof/>
              <w:sz w:val="22"/>
              <w:szCs w:val="22"/>
              <w:lang w:eastAsia="en-GB"/>
            </w:rPr>
          </w:pPr>
          <w:hyperlink w:anchor="_Toc496635601" w:history="1">
            <w:r>
              <w:rPr>
                <w:rStyle w:val="Hyperlink"/>
                <w:noProof/>
              </w:rPr>
              <w:t>5.5</w:t>
            </w:r>
            <w:r>
              <w:rPr>
                <w:rFonts w:asciiTheme="minorHAnsi" w:eastAsiaTheme="minorEastAsia" w:hAnsiTheme="minorHAnsi" w:cstheme="minorBidi"/>
                <w:noProof/>
                <w:sz w:val="22"/>
                <w:szCs w:val="22"/>
                <w:lang w:eastAsia="en-GB"/>
              </w:rPr>
              <w:tab/>
            </w:r>
            <w:r>
              <w:rPr>
                <w:rStyle w:val="Hyperlink"/>
                <w:noProof/>
              </w:rPr>
              <w:t>Governance</w:t>
            </w:r>
            <w:r>
              <w:rPr>
                <w:noProof/>
                <w:webHidden/>
              </w:rPr>
              <w:tab/>
            </w:r>
            <w:r>
              <w:rPr>
                <w:noProof/>
                <w:webHidden/>
              </w:rPr>
              <w:fldChar w:fldCharType="begin"/>
            </w:r>
            <w:r>
              <w:rPr>
                <w:noProof/>
                <w:webHidden/>
              </w:rPr>
              <w:instrText xml:space="preserve"> PAGEREF _Toc496635601 \h </w:instrText>
            </w:r>
            <w:r>
              <w:rPr>
                <w:noProof/>
                <w:webHidden/>
              </w:rPr>
            </w:r>
            <w:r>
              <w:rPr>
                <w:noProof/>
                <w:webHidden/>
              </w:rPr>
              <w:fldChar w:fldCharType="separate"/>
            </w:r>
            <w:r>
              <w:rPr>
                <w:noProof/>
                <w:webHidden/>
              </w:rPr>
              <w:t>59</w:t>
            </w:r>
            <w:r>
              <w:rPr>
                <w:noProof/>
                <w:webHidden/>
              </w:rPr>
              <w:fldChar w:fldCharType="end"/>
            </w:r>
          </w:hyperlink>
        </w:p>
        <w:p w:rsidR="001A26B0" w:rsidRDefault="00E33A99">
          <w:pPr>
            <w:pStyle w:val="TOC3"/>
            <w:tabs>
              <w:tab w:val="left" w:pos="1916"/>
            </w:tabs>
            <w:rPr>
              <w:rFonts w:asciiTheme="minorHAnsi" w:eastAsiaTheme="minorEastAsia" w:hAnsiTheme="minorHAnsi" w:cstheme="minorBidi"/>
              <w:noProof/>
              <w:sz w:val="22"/>
              <w:szCs w:val="22"/>
              <w:lang w:eastAsia="en-GB"/>
            </w:rPr>
          </w:pPr>
          <w:hyperlink w:anchor="_Toc496635602" w:history="1">
            <w:r>
              <w:rPr>
                <w:rStyle w:val="Hyperlink"/>
                <w:noProof/>
              </w:rPr>
              <w:t>5.5.1</w:t>
            </w:r>
            <w:r>
              <w:rPr>
                <w:rFonts w:asciiTheme="minorHAnsi" w:eastAsiaTheme="minorEastAsia" w:hAnsiTheme="minorHAnsi" w:cstheme="minorBidi"/>
                <w:noProof/>
                <w:sz w:val="22"/>
                <w:szCs w:val="22"/>
                <w:lang w:eastAsia="en-GB"/>
              </w:rPr>
              <w:tab/>
            </w:r>
            <w:r>
              <w:rPr>
                <w:rStyle w:val="Hyperlink"/>
                <w:noProof/>
              </w:rPr>
              <w:t>Real-world emissions (RWG)</w:t>
            </w:r>
            <w:r>
              <w:rPr>
                <w:noProof/>
                <w:webHidden/>
              </w:rPr>
              <w:tab/>
            </w:r>
            <w:r>
              <w:rPr>
                <w:noProof/>
                <w:webHidden/>
              </w:rPr>
              <w:fldChar w:fldCharType="begin"/>
            </w:r>
            <w:r>
              <w:rPr>
                <w:noProof/>
                <w:webHidden/>
              </w:rPr>
              <w:instrText xml:space="preserve"> PAGEREF _Toc496635602 \h </w:instrText>
            </w:r>
            <w:r>
              <w:rPr>
                <w:noProof/>
                <w:webHidden/>
              </w:rPr>
            </w:r>
            <w:r>
              <w:rPr>
                <w:noProof/>
                <w:webHidden/>
              </w:rPr>
              <w:fldChar w:fldCharType="separate"/>
            </w:r>
            <w:r>
              <w:rPr>
                <w:noProof/>
                <w:webHidden/>
              </w:rPr>
              <w:t>60</w:t>
            </w:r>
            <w:r>
              <w:rPr>
                <w:noProof/>
                <w:webHidden/>
              </w:rPr>
              <w:fldChar w:fldCharType="end"/>
            </w:r>
          </w:hyperlink>
        </w:p>
        <w:p w:rsidR="001A26B0" w:rsidRDefault="00E33A99">
          <w:pPr>
            <w:pStyle w:val="TOC3"/>
            <w:tabs>
              <w:tab w:val="left" w:pos="1916"/>
            </w:tabs>
            <w:rPr>
              <w:rFonts w:asciiTheme="minorHAnsi" w:eastAsiaTheme="minorEastAsia" w:hAnsiTheme="minorHAnsi" w:cstheme="minorBidi"/>
              <w:noProof/>
              <w:sz w:val="22"/>
              <w:szCs w:val="22"/>
              <w:lang w:eastAsia="en-GB"/>
            </w:rPr>
          </w:pPr>
          <w:hyperlink w:anchor="_Toc496635603" w:history="1">
            <w:r>
              <w:rPr>
                <w:rStyle w:val="Hyperlink"/>
                <w:noProof/>
              </w:rPr>
              <w:t>5.5.2</w:t>
            </w:r>
            <w:r>
              <w:rPr>
                <w:rFonts w:asciiTheme="minorHAnsi" w:eastAsiaTheme="minorEastAsia" w:hAnsiTheme="minorHAnsi" w:cstheme="minorBidi"/>
                <w:noProof/>
                <w:sz w:val="22"/>
                <w:szCs w:val="22"/>
                <w:lang w:eastAsia="en-GB"/>
              </w:rPr>
              <w:tab/>
            </w:r>
            <w:r>
              <w:rPr>
                <w:rStyle w:val="Hyperlink"/>
                <w:noProof/>
              </w:rPr>
              <w:t xml:space="preserve">Market surveillance (conformity of production, in service conformity) </w:t>
            </w:r>
            <w:r>
              <w:rPr>
                <w:rStyle w:val="Hyperlink"/>
                <w:noProof/>
              </w:rPr>
              <w:t>(MSU)</w:t>
            </w:r>
            <w:r>
              <w:rPr>
                <w:noProof/>
                <w:webHidden/>
              </w:rPr>
              <w:tab/>
            </w:r>
            <w:r>
              <w:rPr>
                <w:noProof/>
                <w:webHidden/>
              </w:rPr>
              <w:fldChar w:fldCharType="begin"/>
            </w:r>
            <w:r>
              <w:rPr>
                <w:noProof/>
                <w:webHidden/>
              </w:rPr>
              <w:instrText xml:space="preserve"> PAGEREF _Toc496635603 \h </w:instrText>
            </w:r>
            <w:r>
              <w:rPr>
                <w:noProof/>
                <w:webHidden/>
              </w:rPr>
            </w:r>
            <w:r>
              <w:rPr>
                <w:noProof/>
                <w:webHidden/>
              </w:rPr>
              <w:fldChar w:fldCharType="separate"/>
            </w:r>
            <w:r>
              <w:rPr>
                <w:noProof/>
                <w:webHidden/>
              </w:rPr>
              <w:t>63</w:t>
            </w:r>
            <w:r>
              <w:rPr>
                <w:noProof/>
                <w:webHidden/>
              </w:rPr>
              <w:fldChar w:fldCharType="end"/>
            </w:r>
          </w:hyperlink>
        </w:p>
        <w:p w:rsidR="001A26B0" w:rsidRDefault="00E33A99">
          <w:pPr>
            <w:pStyle w:val="TOC1"/>
            <w:rPr>
              <w:rFonts w:asciiTheme="minorHAnsi" w:eastAsiaTheme="minorEastAsia" w:hAnsiTheme="minorHAnsi" w:cstheme="minorBidi"/>
              <w:caps w:val="0"/>
              <w:noProof/>
              <w:sz w:val="22"/>
              <w:szCs w:val="22"/>
              <w:lang w:eastAsia="en-GB"/>
            </w:rPr>
          </w:pPr>
          <w:hyperlink w:anchor="_Toc496635604" w:history="1">
            <w:r>
              <w:rPr>
                <w:rStyle w:val="Hyperlink"/>
                <w:noProof/>
              </w:rPr>
              <w:t>6</w:t>
            </w:r>
            <w:r>
              <w:rPr>
                <w:rFonts w:asciiTheme="minorHAnsi" w:eastAsiaTheme="minorEastAsia" w:hAnsiTheme="minorHAnsi" w:cstheme="minorBidi"/>
                <w:caps w:val="0"/>
                <w:noProof/>
                <w:sz w:val="22"/>
                <w:szCs w:val="22"/>
                <w:lang w:eastAsia="en-GB"/>
              </w:rPr>
              <w:tab/>
            </w:r>
            <w:r>
              <w:rPr>
                <w:rStyle w:val="Hyperlink"/>
                <w:noProof/>
              </w:rPr>
              <w:t xml:space="preserve">WHAT ARE THE ECONOMIC/EMPLOYMENT, ENVIRONMENTAL AND SOCIAL IMPACTS OF THE DIFFERENT POLICY OPTIONS AND WHO WILL BE </w:t>
            </w:r>
            <w:r>
              <w:rPr>
                <w:rStyle w:val="Hyperlink"/>
                <w:noProof/>
              </w:rPr>
              <w:t>AFFECTED?</w:t>
            </w:r>
            <w:r>
              <w:rPr>
                <w:noProof/>
                <w:webHidden/>
              </w:rPr>
              <w:tab/>
            </w:r>
            <w:r>
              <w:rPr>
                <w:noProof/>
                <w:webHidden/>
              </w:rPr>
              <w:fldChar w:fldCharType="begin"/>
            </w:r>
            <w:r>
              <w:rPr>
                <w:noProof/>
                <w:webHidden/>
              </w:rPr>
              <w:instrText xml:space="preserve"> PAGEREF _Toc496635604 \h </w:instrText>
            </w:r>
            <w:r>
              <w:rPr>
                <w:noProof/>
                <w:webHidden/>
              </w:rPr>
            </w:r>
            <w:r>
              <w:rPr>
                <w:noProof/>
                <w:webHidden/>
              </w:rPr>
              <w:fldChar w:fldCharType="separate"/>
            </w:r>
            <w:r>
              <w:rPr>
                <w:noProof/>
                <w:webHidden/>
              </w:rPr>
              <w:t>66</w:t>
            </w:r>
            <w:r>
              <w:rPr>
                <w:noProof/>
                <w:webHidden/>
              </w:rPr>
              <w:fldChar w:fldCharType="end"/>
            </w:r>
          </w:hyperlink>
        </w:p>
        <w:p w:rsidR="001A26B0" w:rsidRDefault="00E33A99">
          <w:pPr>
            <w:pStyle w:val="TOC2"/>
            <w:tabs>
              <w:tab w:val="left" w:pos="1077"/>
            </w:tabs>
            <w:rPr>
              <w:rFonts w:asciiTheme="minorHAnsi" w:eastAsiaTheme="minorEastAsia" w:hAnsiTheme="minorHAnsi" w:cstheme="minorBidi"/>
              <w:noProof/>
              <w:sz w:val="22"/>
              <w:szCs w:val="22"/>
              <w:lang w:eastAsia="en-GB"/>
            </w:rPr>
          </w:pPr>
          <w:hyperlink w:anchor="_Toc496635605" w:history="1">
            <w:r>
              <w:rPr>
                <w:rStyle w:val="Hyperlink"/>
                <w:noProof/>
              </w:rPr>
              <w:t>6.1</w:t>
            </w:r>
            <w:r>
              <w:rPr>
                <w:rFonts w:asciiTheme="minorHAnsi" w:eastAsiaTheme="minorEastAsia" w:hAnsiTheme="minorHAnsi" w:cstheme="minorBidi"/>
                <w:noProof/>
                <w:sz w:val="22"/>
                <w:szCs w:val="22"/>
                <w:lang w:eastAsia="en-GB"/>
              </w:rPr>
              <w:tab/>
            </w:r>
            <w:r>
              <w:rPr>
                <w:rStyle w:val="Hyperlink"/>
                <w:noProof/>
              </w:rPr>
              <w:t>General methodological considerations</w:t>
            </w:r>
            <w:r>
              <w:rPr>
                <w:noProof/>
                <w:webHidden/>
              </w:rPr>
              <w:tab/>
            </w:r>
            <w:r>
              <w:rPr>
                <w:noProof/>
                <w:webHidden/>
              </w:rPr>
              <w:fldChar w:fldCharType="begin"/>
            </w:r>
            <w:r>
              <w:rPr>
                <w:noProof/>
                <w:webHidden/>
              </w:rPr>
              <w:instrText xml:space="preserve"> PAGEREF _Toc496635605 \h </w:instrText>
            </w:r>
            <w:r>
              <w:rPr>
                <w:noProof/>
                <w:webHidden/>
              </w:rPr>
            </w:r>
            <w:r>
              <w:rPr>
                <w:noProof/>
                <w:webHidden/>
              </w:rPr>
              <w:fldChar w:fldCharType="separate"/>
            </w:r>
            <w:r>
              <w:rPr>
                <w:noProof/>
                <w:webHidden/>
              </w:rPr>
              <w:t>66</w:t>
            </w:r>
            <w:r>
              <w:rPr>
                <w:noProof/>
                <w:webHidden/>
              </w:rPr>
              <w:fldChar w:fldCharType="end"/>
            </w:r>
          </w:hyperlink>
        </w:p>
        <w:p w:rsidR="001A26B0" w:rsidRDefault="00E33A99">
          <w:pPr>
            <w:pStyle w:val="TOC2"/>
            <w:tabs>
              <w:tab w:val="left" w:pos="1077"/>
            </w:tabs>
            <w:rPr>
              <w:rFonts w:asciiTheme="minorHAnsi" w:eastAsiaTheme="minorEastAsia" w:hAnsiTheme="minorHAnsi" w:cstheme="minorBidi"/>
              <w:noProof/>
              <w:sz w:val="22"/>
              <w:szCs w:val="22"/>
              <w:lang w:eastAsia="en-GB"/>
            </w:rPr>
          </w:pPr>
          <w:hyperlink w:anchor="_Toc496635606" w:history="1">
            <w:r>
              <w:rPr>
                <w:rStyle w:val="Hyperlink"/>
                <w:noProof/>
              </w:rPr>
              <w:t>6.2</w:t>
            </w:r>
            <w:r>
              <w:rPr>
                <w:rFonts w:asciiTheme="minorHAnsi" w:eastAsiaTheme="minorEastAsia" w:hAnsiTheme="minorHAnsi" w:cstheme="minorBidi"/>
                <w:noProof/>
                <w:sz w:val="22"/>
                <w:szCs w:val="22"/>
                <w:lang w:eastAsia="en-GB"/>
              </w:rPr>
              <w:tab/>
            </w:r>
            <w:r>
              <w:rPr>
                <w:rStyle w:val="Hyperlink"/>
                <w:noProof/>
              </w:rPr>
              <w:t>Consistency with previous analytical work</w:t>
            </w:r>
            <w:r>
              <w:rPr>
                <w:noProof/>
                <w:webHidden/>
              </w:rPr>
              <w:tab/>
            </w:r>
            <w:r>
              <w:rPr>
                <w:noProof/>
                <w:webHidden/>
              </w:rPr>
              <w:fldChar w:fldCharType="begin"/>
            </w:r>
            <w:r>
              <w:rPr>
                <w:noProof/>
                <w:webHidden/>
              </w:rPr>
              <w:instrText xml:space="preserve"> PAGEREF _Toc496635606 \h </w:instrText>
            </w:r>
            <w:r>
              <w:rPr>
                <w:noProof/>
                <w:webHidden/>
              </w:rPr>
            </w:r>
            <w:r>
              <w:rPr>
                <w:noProof/>
                <w:webHidden/>
              </w:rPr>
              <w:fldChar w:fldCharType="separate"/>
            </w:r>
            <w:r>
              <w:rPr>
                <w:noProof/>
                <w:webHidden/>
              </w:rPr>
              <w:t>68</w:t>
            </w:r>
            <w:r>
              <w:rPr>
                <w:noProof/>
                <w:webHidden/>
              </w:rPr>
              <w:fldChar w:fldCharType="end"/>
            </w:r>
          </w:hyperlink>
        </w:p>
        <w:p w:rsidR="001A26B0" w:rsidRDefault="00E33A99">
          <w:pPr>
            <w:pStyle w:val="TOC2"/>
            <w:tabs>
              <w:tab w:val="left" w:pos="1077"/>
            </w:tabs>
            <w:rPr>
              <w:rFonts w:asciiTheme="minorHAnsi" w:eastAsiaTheme="minorEastAsia" w:hAnsiTheme="minorHAnsi" w:cstheme="minorBidi"/>
              <w:noProof/>
              <w:sz w:val="22"/>
              <w:szCs w:val="22"/>
              <w:lang w:eastAsia="en-GB"/>
            </w:rPr>
          </w:pPr>
          <w:hyperlink w:anchor="_Toc496635607" w:history="1">
            <w:r>
              <w:rPr>
                <w:rStyle w:val="Hyperlink"/>
                <w:noProof/>
              </w:rPr>
              <w:t>6.3</w:t>
            </w:r>
            <w:r>
              <w:rPr>
                <w:rFonts w:asciiTheme="minorHAnsi" w:eastAsiaTheme="minorEastAsia" w:hAnsiTheme="minorHAnsi" w:cstheme="minorBidi"/>
                <w:noProof/>
                <w:sz w:val="22"/>
                <w:szCs w:val="22"/>
                <w:lang w:eastAsia="en-GB"/>
              </w:rPr>
              <w:tab/>
            </w:r>
            <w:r>
              <w:rPr>
                <w:rStyle w:val="Hyperlink"/>
                <w:noProof/>
              </w:rPr>
              <w:t>Emission targets: me</w:t>
            </w:r>
            <w:r>
              <w:rPr>
                <w:rStyle w:val="Hyperlink"/>
                <w:noProof/>
              </w:rPr>
              <w:t>tric, level and timing</w:t>
            </w:r>
            <w:r>
              <w:rPr>
                <w:noProof/>
                <w:webHidden/>
              </w:rPr>
              <w:tab/>
            </w:r>
            <w:r>
              <w:rPr>
                <w:noProof/>
                <w:webHidden/>
              </w:rPr>
              <w:fldChar w:fldCharType="begin"/>
            </w:r>
            <w:r>
              <w:rPr>
                <w:noProof/>
                <w:webHidden/>
              </w:rPr>
              <w:instrText xml:space="preserve"> PAGEREF _Toc496635607 \h </w:instrText>
            </w:r>
            <w:r>
              <w:rPr>
                <w:noProof/>
                <w:webHidden/>
              </w:rPr>
            </w:r>
            <w:r>
              <w:rPr>
                <w:noProof/>
                <w:webHidden/>
              </w:rPr>
              <w:fldChar w:fldCharType="separate"/>
            </w:r>
            <w:r>
              <w:rPr>
                <w:noProof/>
                <w:webHidden/>
              </w:rPr>
              <w:t>69</w:t>
            </w:r>
            <w:r>
              <w:rPr>
                <w:noProof/>
                <w:webHidden/>
              </w:rPr>
              <w:fldChar w:fldCharType="end"/>
            </w:r>
          </w:hyperlink>
        </w:p>
        <w:p w:rsidR="001A26B0" w:rsidRDefault="00E33A99">
          <w:pPr>
            <w:pStyle w:val="TOC3"/>
            <w:tabs>
              <w:tab w:val="left" w:pos="1916"/>
            </w:tabs>
            <w:rPr>
              <w:rFonts w:asciiTheme="minorHAnsi" w:eastAsiaTheme="minorEastAsia" w:hAnsiTheme="minorHAnsi" w:cstheme="minorBidi"/>
              <w:noProof/>
              <w:sz w:val="22"/>
              <w:szCs w:val="22"/>
              <w:lang w:eastAsia="en-GB"/>
            </w:rPr>
          </w:pPr>
          <w:hyperlink w:anchor="_Toc496635608" w:history="1">
            <w:r>
              <w:rPr>
                <w:rStyle w:val="Hyperlink"/>
                <w:noProof/>
              </w:rPr>
              <w:t>6.3.1</w:t>
            </w:r>
            <w:r>
              <w:rPr>
                <w:rFonts w:asciiTheme="minorHAnsi" w:eastAsiaTheme="minorEastAsia" w:hAnsiTheme="minorHAnsi" w:cstheme="minorBidi"/>
                <w:noProof/>
                <w:sz w:val="22"/>
                <w:szCs w:val="22"/>
                <w:lang w:eastAsia="en-GB"/>
              </w:rPr>
              <w:tab/>
            </w:r>
            <w:r>
              <w:rPr>
                <w:rStyle w:val="Hyperlink"/>
                <w:noProof/>
              </w:rPr>
              <w:t>Metric for expressing the targets</w:t>
            </w:r>
            <w:r>
              <w:rPr>
                <w:noProof/>
                <w:webHidden/>
              </w:rPr>
              <w:tab/>
            </w:r>
            <w:r>
              <w:rPr>
                <w:noProof/>
                <w:webHidden/>
              </w:rPr>
              <w:fldChar w:fldCharType="begin"/>
            </w:r>
            <w:r>
              <w:rPr>
                <w:noProof/>
                <w:webHidden/>
              </w:rPr>
              <w:instrText xml:space="preserve"> PAGEREF _Toc496635608 \h </w:instrText>
            </w:r>
            <w:r>
              <w:rPr>
                <w:noProof/>
                <w:webHidden/>
              </w:rPr>
            </w:r>
            <w:r>
              <w:rPr>
                <w:noProof/>
                <w:webHidden/>
              </w:rPr>
              <w:fldChar w:fldCharType="separate"/>
            </w:r>
            <w:r>
              <w:rPr>
                <w:noProof/>
                <w:webHidden/>
              </w:rPr>
              <w:t>69</w:t>
            </w:r>
            <w:r>
              <w:rPr>
                <w:noProof/>
                <w:webHidden/>
              </w:rPr>
              <w:fldChar w:fldCharType="end"/>
            </w:r>
          </w:hyperlink>
        </w:p>
        <w:p w:rsidR="001A26B0" w:rsidRDefault="00E33A99">
          <w:pPr>
            <w:pStyle w:val="TOC4"/>
            <w:tabs>
              <w:tab w:val="left" w:pos="2880"/>
            </w:tabs>
            <w:rPr>
              <w:rFonts w:asciiTheme="minorHAnsi" w:eastAsiaTheme="minorEastAsia" w:hAnsiTheme="minorHAnsi" w:cstheme="minorBidi"/>
              <w:noProof/>
              <w:sz w:val="22"/>
              <w:szCs w:val="22"/>
              <w:lang w:eastAsia="en-GB"/>
            </w:rPr>
          </w:pPr>
          <w:hyperlink w:anchor="_Toc496635609" w:history="1">
            <w:r>
              <w:rPr>
                <w:rStyle w:val="Hyperlink"/>
                <w:noProof/>
              </w:rPr>
              <w:t>6.3.1.1</w:t>
            </w:r>
            <w:r>
              <w:rPr>
                <w:rFonts w:asciiTheme="minorHAnsi" w:eastAsiaTheme="minorEastAsia" w:hAnsiTheme="minorHAnsi" w:cstheme="minorBidi"/>
                <w:noProof/>
                <w:sz w:val="22"/>
                <w:szCs w:val="22"/>
                <w:lang w:eastAsia="en-GB"/>
              </w:rPr>
              <w:tab/>
            </w:r>
            <w:r>
              <w:rPr>
                <w:rStyle w:val="Hyperlink"/>
                <w:noProof/>
              </w:rPr>
              <w:t>Option TM_WTW: metric for setting the targets based on Well-to-Wheel approach</w:t>
            </w:r>
            <w:r>
              <w:rPr>
                <w:noProof/>
                <w:webHidden/>
              </w:rPr>
              <w:tab/>
            </w:r>
            <w:r>
              <w:rPr>
                <w:noProof/>
                <w:webHidden/>
              </w:rPr>
              <w:fldChar w:fldCharType="begin"/>
            </w:r>
            <w:r>
              <w:rPr>
                <w:noProof/>
                <w:webHidden/>
              </w:rPr>
              <w:instrText xml:space="preserve"> PAGEREF _Toc496635609 \h </w:instrText>
            </w:r>
            <w:r>
              <w:rPr>
                <w:noProof/>
                <w:webHidden/>
              </w:rPr>
            </w:r>
            <w:r>
              <w:rPr>
                <w:noProof/>
                <w:webHidden/>
              </w:rPr>
              <w:fldChar w:fldCharType="separate"/>
            </w:r>
            <w:r>
              <w:rPr>
                <w:noProof/>
                <w:webHidden/>
              </w:rPr>
              <w:t>69</w:t>
            </w:r>
            <w:r>
              <w:rPr>
                <w:noProof/>
                <w:webHidden/>
              </w:rPr>
              <w:fldChar w:fldCharType="end"/>
            </w:r>
          </w:hyperlink>
        </w:p>
        <w:p w:rsidR="001A26B0" w:rsidRDefault="00E33A99">
          <w:pPr>
            <w:pStyle w:val="TOC4"/>
            <w:tabs>
              <w:tab w:val="left" w:pos="2880"/>
            </w:tabs>
            <w:rPr>
              <w:rFonts w:asciiTheme="minorHAnsi" w:eastAsiaTheme="minorEastAsia" w:hAnsiTheme="minorHAnsi" w:cstheme="minorBidi"/>
              <w:noProof/>
              <w:sz w:val="22"/>
              <w:szCs w:val="22"/>
              <w:lang w:eastAsia="en-GB"/>
            </w:rPr>
          </w:pPr>
          <w:hyperlink w:anchor="_Toc496635610" w:history="1">
            <w:r>
              <w:rPr>
                <w:rStyle w:val="Hyperlink"/>
                <w:noProof/>
              </w:rPr>
              <w:t>6.3.1.2</w:t>
            </w:r>
            <w:r>
              <w:rPr>
                <w:rFonts w:asciiTheme="minorHAnsi" w:eastAsiaTheme="minorEastAsia" w:hAnsiTheme="minorHAnsi" w:cstheme="minorBidi"/>
                <w:noProof/>
                <w:sz w:val="22"/>
                <w:szCs w:val="22"/>
                <w:lang w:eastAsia="en-GB"/>
              </w:rPr>
              <w:tab/>
            </w:r>
            <w:r>
              <w:rPr>
                <w:rStyle w:val="Hyperlink"/>
                <w:noProof/>
              </w:rPr>
              <w:t>Option TM_EMB: metric for setting the targets based on embedded emissions</w:t>
            </w:r>
            <w:r>
              <w:rPr>
                <w:noProof/>
                <w:webHidden/>
              </w:rPr>
              <w:tab/>
            </w:r>
            <w:r>
              <w:rPr>
                <w:noProof/>
                <w:webHidden/>
              </w:rPr>
              <w:fldChar w:fldCharType="begin"/>
            </w:r>
            <w:r>
              <w:rPr>
                <w:noProof/>
                <w:webHidden/>
              </w:rPr>
              <w:instrText xml:space="preserve"> PAGEREF _Toc496635610 \h </w:instrText>
            </w:r>
            <w:r>
              <w:rPr>
                <w:noProof/>
                <w:webHidden/>
              </w:rPr>
            </w:r>
            <w:r>
              <w:rPr>
                <w:noProof/>
                <w:webHidden/>
              </w:rPr>
              <w:fldChar w:fldCharType="separate"/>
            </w:r>
            <w:r>
              <w:rPr>
                <w:noProof/>
                <w:webHidden/>
              </w:rPr>
              <w:t>70</w:t>
            </w:r>
            <w:r>
              <w:rPr>
                <w:noProof/>
                <w:webHidden/>
              </w:rPr>
              <w:fldChar w:fldCharType="end"/>
            </w:r>
          </w:hyperlink>
        </w:p>
        <w:p w:rsidR="001A26B0" w:rsidRDefault="00E33A99">
          <w:pPr>
            <w:pStyle w:val="TOC4"/>
            <w:tabs>
              <w:tab w:val="left" w:pos="2880"/>
            </w:tabs>
            <w:rPr>
              <w:rFonts w:asciiTheme="minorHAnsi" w:eastAsiaTheme="minorEastAsia" w:hAnsiTheme="minorHAnsi" w:cstheme="minorBidi"/>
              <w:noProof/>
              <w:sz w:val="22"/>
              <w:szCs w:val="22"/>
              <w:lang w:eastAsia="en-GB"/>
            </w:rPr>
          </w:pPr>
          <w:hyperlink w:anchor="_Toc496635611" w:history="1">
            <w:r>
              <w:rPr>
                <w:rStyle w:val="Hyperlink"/>
                <w:noProof/>
              </w:rPr>
              <w:t>6.3.1.3</w:t>
            </w:r>
            <w:r>
              <w:rPr>
                <w:rFonts w:asciiTheme="minorHAnsi" w:eastAsiaTheme="minorEastAsia" w:hAnsiTheme="minorHAnsi" w:cstheme="minorBidi"/>
                <w:noProof/>
                <w:sz w:val="22"/>
                <w:szCs w:val="22"/>
                <w:lang w:eastAsia="en-GB"/>
              </w:rPr>
              <w:tab/>
            </w:r>
            <w:r>
              <w:rPr>
                <w:rStyle w:val="Hyperlink"/>
                <w:noProof/>
              </w:rPr>
              <w:t>Option TM_MIL: metric for setting the targets based on mileage weighting</w:t>
            </w:r>
            <w:r>
              <w:rPr>
                <w:noProof/>
                <w:webHidden/>
              </w:rPr>
              <w:tab/>
            </w:r>
            <w:r>
              <w:rPr>
                <w:noProof/>
                <w:webHidden/>
              </w:rPr>
              <w:fldChar w:fldCharType="begin"/>
            </w:r>
            <w:r>
              <w:rPr>
                <w:noProof/>
                <w:webHidden/>
              </w:rPr>
              <w:instrText xml:space="preserve"> PAGEREF _Toc496635611 \h </w:instrText>
            </w:r>
            <w:r>
              <w:rPr>
                <w:noProof/>
                <w:webHidden/>
              </w:rPr>
            </w:r>
            <w:r>
              <w:rPr>
                <w:noProof/>
                <w:webHidden/>
              </w:rPr>
              <w:fldChar w:fldCharType="separate"/>
            </w:r>
            <w:r>
              <w:rPr>
                <w:noProof/>
                <w:webHidden/>
              </w:rPr>
              <w:t>72</w:t>
            </w:r>
            <w:r>
              <w:rPr>
                <w:noProof/>
                <w:webHidden/>
              </w:rPr>
              <w:fldChar w:fldCharType="end"/>
            </w:r>
          </w:hyperlink>
        </w:p>
        <w:p w:rsidR="001A26B0" w:rsidRDefault="00E33A99">
          <w:pPr>
            <w:pStyle w:val="TOC3"/>
            <w:tabs>
              <w:tab w:val="left" w:pos="1916"/>
            </w:tabs>
            <w:rPr>
              <w:rFonts w:asciiTheme="minorHAnsi" w:eastAsiaTheme="minorEastAsia" w:hAnsiTheme="minorHAnsi" w:cstheme="minorBidi"/>
              <w:noProof/>
              <w:sz w:val="22"/>
              <w:szCs w:val="22"/>
              <w:lang w:eastAsia="en-GB"/>
            </w:rPr>
          </w:pPr>
          <w:hyperlink w:anchor="_Toc496635612" w:history="1">
            <w:r>
              <w:rPr>
                <w:rStyle w:val="Hyperlink"/>
                <w:noProof/>
              </w:rPr>
              <w:t>6.3.2</w:t>
            </w:r>
            <w:r>
              <w:rPr>
                <w:rFonts w:asciiTheme="minorHAnsi" w:eastAsiaTheme="minorEastAsia" w:hAnsiTheme="minorHAnsi" w:cstheme="minorBidi"/>
                <w:noProof/>
                <w:sz w:val="22"/>
                <w:szCs w:val="22"/>
                <w:lang w:eastAsia="en-GB"/>
              </w:rPr>
              <w:tab/>
            </w:r>
            <w:r>
              <w:rPr>
                <w:rStyle w:val="Hyperlink"/>
                <w:noProof/>
              </w:rPr>
              <w:t>Target levels for cars (TL</w:t>
            </w:r>
            <w:r>
              <w:rPr>
                <w:rStyle w:val="Hyperlink"/>
                <w:noProof/>
              </w:rPr>
              <w:t>C) and vans (TLV)</w:t>
            </w:r>
            <w:r>
              <w:rPr>
                <w:noProof/>
                <w:webHidden/>
              </w:rPr>
              <w:tab/>
            </w:r>
            <w:r>
              <w:rPr>
                <w:noProof/>
                <w:webHidden/>
              </w:rPr>
              <w:fldChar w:fldCharType="begin"/>
            </w:r>
            <w:r>
              <w:rPr>
                <w:noProof/>
                <w:webHidden/>
              </w:rPr>
              <w:instrText xml:space="preserve"> PAGEREF _Toc496635612 \h </w:instrText>
            </w:r>
            <w:r>
              <w:rPr>
                <w:noProof/>
                <w:webHidden/>
              </w:rPr>
            </w:r>
            <w:r>
              <w:rPr>
                <w:noProof/>
                <w:webHidden/>
              </w:rPr>
              <w:fldChar w:fldCharType="separate"/>
            </w:r>
            <w:r>
              <w:rPr>
                <w:noProof/>
                <w:webHidden/>
              </w:rPr>
              <w:t>73</w:t>
            </w:r>
            <w:r>
              <w:rPr>
                <w:noProof/>
                <w:webHidden/>
              </w:rPr>
              <w:fldChar w:fldCharType="end"/>
            </w:r>
          </w:hyperlink>
        </w:p>
        <w:p w:rsidR="001A26B0" w:rsidRDefault="00E33A99">
          <w:pPr>
            <w:pStyle w:val="TOC4"/>
            <w:tabs>
              <w:tab w:val="left" w:pos="2880"/>
            </w:tabs>
            <w:rPr>
              <w:rFonts w:asciiTheme="minorHAnsi" w:eastAsiaTheme="minorEastAsia" w:hAnsiTheme="minorHAnsi" w:cstheme="minorBidi"/>
              <w:noProof/>
              <w:sz w:val="22"/>
              <w:szCs w:val="22"/>
              <w:lang w:eastAsia="en-GB"/>
            </w:rPr>
          </w:pPr>
          <w:hyperlink w:anchor="_Toc496635613" w:history="1">
            <w:r>
              <w:rPr>
                <w:rStyle w:val="Hyperlink"/>
                <w:noProof/>
              </w:rPr>
              <w:t>6.3.2.1</w:t>
            </w:r>
            <w:r>
              <w:rPr>
                <w:rFonts w:asciiTheme="minorHAnsi" w:eastAsiaTheme="minorEastAsia" w:hAnsiTheme="minorHAnsi" w:cstheme="minorBidi"/>
                <w:noProof/>
                <w:sz w:val="22"/>
                <w:szCs w:val="22"/>
                <w:lang w:eastAsia="en-GB"/>
              </w:rPr>
              <w:tab/>
            </w:r>
            <w:r>
              <w:rPr>
                <w:rStyle w:val="Hyperlink"/>
                <w:noProof/>
              </w:rPr>
              <w:t>Introduction</w:t>
            </w:r>
            <w:r>
              <w:rPr>
                <w:noProof/>
                <w:webHidden/>
              </w:rPr>
              <w:tab/>
            </w:r>
            <w:r>
              <w:rPr>
                <w:noProof/>
                <w:webHidden/>
              </w:rPr>
              <w:fldChar w:fldCharType="begin"/>
            </w:r>
            <w:r>
              <w:rPr>
                <w:noProof/>
                <w:webHidden/>
              </w:rPr>
              <w:instrText xml:space="preserve"> PAGEREF _Toc496635613 \h </w:instrText>
            </w:r>
            <w:r>
              <w:rPr>
                <w:noProof/>
                <w:webHidden/>
              </w:rPr>
            </w:r>
            <w:r>
              <w:rPr>
                <w:noProof/>
                <w:webHidden/>
              </w:rPr>
              <w:fldChar w:fldCharType="separate"/>
            </w:r>
            <w:r>
              <w:rPr>
                <w:noProof/>
                <w:webHidden/>
              </w:rPr>
              <w:t>73</w:t>
            </w:r>
            <w:r>
              <w:rPr>
                <w:noProof/>
                <w:webHidden/>
              </w:rPr>
              <w:fldChar w:fldCharType="end"/>
            </w:r>
          </w:hyperlink>
        </w:p>
        <w:p w:rsidR="001A26B0" w:rsidRDefault="00E33A99">
          <w:pPr>
            <w:pStyle w:val="TOC4"/>
            <w:tabs>
              <w:tab w:val="left" w:pos="2880"/>
            </w:tabs>
            <w:rPr>
              <w:rFonts w:asciiTheme="minorHAnsi" w:eastAsiaTheme="minorEastAsia" w:hAnsiTheme="minorHAnsi" w:cstheme="minorBidi"/>
              <w:noProof/>
              <w:sz w:val="22"/>
              <w:szCs w:val="22"/>
              <w:lang w:eastAsia="en-GB"/>
            </w:rPr>
          </w:pPr>
          <w:hyperlink w:anchor="_Toc496635614" w:history="1">
            <w:r>
              <w:rPr>
                <w:rStyle w:val="Hyperlink"/>
                <w:noProof/>
              </w:rPr>
              <w:t>6.3.2.2</w:t>
            </w:r>
            <w:r>
              <w:rPr>
                <w:rFonts w:asciiTheme="minorHAnsi" w:eastAsiaTheme="minorEastAsia" w:hAnsiTheme="minorHAnsi" w:cstheme="minorBidi"/>
                <w:noProof/>
                <w:sz w:val="22"/>
                <w:szCs w:val="22"/>
                <w:lang w:eastAsia="en-GB"/>
              </w:rPr>
              <w:tab/>
            </w:r>
            <w:r>
              <w:rPr>
                <w:rStyle w:val="Hyperlink"/>
                <w:noProof/>
              </w:rPr>
              <w:t>Economic impacts (including employment)</w:t>
            </w:r>
            <w:r>
              <w:rPr>
                <w:noProof/>
                <w:webHidden/>
              </w:rPr>
              <w:tab/>
            </w:r>
            <w:r>
              <w:rPr>
                <w:noProof/>
                <w:webHidden/>
              </w:rPr>
              <w:fldChar w:fldCharType="begin"/>
            </w:r>
            <w:r>
              <w:rPr>
                <w:noProof/>
                <w:webHidden/>
              </w:rPr>
              <w:instrText xml:space="preserve"> PAGEREF _Toc496635614 \h </w:instrText>
            </w:r>
            <w:r>
              <w:rPr>
                <w:noProof/>
                <w:webHidden/>
              </w:rPr>
            </w:r>
            <w:r>
              <w:rPr>
                <w:noProof/>
                <w:webHidden/>
              </w:rPr>
              <w:fldChar w:fldCharType="separate"/>
            </w:r>
            <w:r>
              <w:rPr>
                <w:noProof/>
                <w:webHidden/>
              </w:rPr>
              <w:t>75</w:t>
            </w:r>
            <w:r>
              <w:rPr>
                <w:noProof/>
                <w:webHidden/>
              </w:rPr>
              <w:fldChar w:fldCharType="end"/>
            </w:r>
          </w:hyperlink>
        </w:p>
        <w:p w:rsidR="001A26B0" w:rsidRDefault="00E33A99">
          <w:pPr>
            <w:pStyle w:val="TOC4"/>
            <w:tabs>
              <w:tab w:val="left" w:pos="2880"/>
            </w:tabs>
            <w:rPr>
              <w:rFonts w:asciiTheme="minorHAnsi" w:eastAsiaTheme="minorEastAsia" w:hAnsiTheme="minorHAnsi" w:cstheme="minorBidi"/>
              <w:noProof/>
              <w:sz w:val="22"/>
              <w:szCs w:val="22"/>
              <w:lang w:eastAsia="en-GB"/>
            </w:rPr>
          </w:pPr>
          <w:hyperlink w:anchor="_Toc496635615" w:history="1">
            <w:r>
              <w:rPr>
                <w:rStyle w:val="Hyperlink"/>
                <w:noProof/>
              </w:rPr>
              <w:t>6.3.2.3</w:t>
            </w:r>
            <w:r>
              <w:rPr>
                <w:rFonts w:asciiTheme="minorHAnsi" w:eastAsiaTheme="minorEastAsia" w:hAnsiTheme="minorHAnsi" w:cstheme="minorBidi"/>
                <w:noProof/>
                <w:sz w:val="22"/>
                <w:szCs w:val="22"/>
                <w:lang w:eastAsia="en-GB"/>
              </w:rPr>
              <w:tab/>
            </w:r>
            <w:r>
              <w:rPr>
                <w:rStyle w:val="Hyperlink"/>
                <w:noProof/>
              </w:rPr>
              <w:t>Social Impacts</w:t>
            </w:r>
            <w:r>
              <w:rPr>
                <w:noProof/>
                <w:webHidden/>
              </w:rPr>
              <w:tab/>
            </w:r>
            <w:r>
              <w:rPr>
                <w:noProof/>
                <w:webHidden/>
              </w:rPr>
              <w:fldChar w:fldCharType="begin"/>
            </w:r>
            <w:r>
              <w:rPr>
                <w:noProof/>
                <w:webHidden/>
              </w:rPr>
              <w:instrText xml:space="preserve"> PAGEREF _Toc496635615 \h </w:instrText>
            </w:r>
            <w:r>
              <w:rPr>
                <w:noProof/>
                <w:webHidden/>
              </w:rPr>
            </w:r>
            <w:r>
              <w:rPr>
                <w:noProof/>
                <w:webHidden/>
              </w:rPr>
              <w:fldChar w:fldCharType="separate"/>
            </w:r>
            <w:r>
              <w:rPr>
                <w:noProof/>
                <w:webHidden/>
              </w:rPr>
              <w:t>99</w:t>
            </w:r>
            <w:r>
              <w:rPr>
                <w:noProof/>
                <w:webHidden/>
              </w:rPr>
              <w:fldChar w:fldCharType="end"/>
            </w:r>
          </w:hyperlink>
        </w:p>
        <w:p w:rsidR="001A26B0" w:rsidRDefault="00E33A99">
          <w:pPr>
            <w:pStyle w:val="TOC4"/>
            <w:tabs>
              <w:tab w:val="left" w:pos="2880"/>
            </w:tabs>
            <w:rPr>
              <w:rFonts w:asciiTheme="minorHAnsi" w:eastAsiaTheme="minorEastAsia" w:hAnsiTheme="minorHAnsi" w:cstheme="minorBidi"/>
              <w:noProof/>
              <w:sz w:val="22"/>
              <w:szCs w:val="22"/>
              <w:lang w:eastAsia="en-GB"/>
            </w:rPr>
          </w:pPr>
          <w:hyperlink w:anchor="_Toc496635616" w:history="1">
            <w:r>
              <w:rPr>
                <w:rStyle w:val="Hyperlink"/>
                <w:noProof/>
              </w:rPr>
              <w:t>6.3.2.4</w:t>
            </w:r>
            <w:r>
              <w:rPr>
                <w:rFonts w:asciiTheme="minorHAnsi" w:eastAsiaTheme="minorEastAsia" w:hAnsiTheme="minorHAnsi" w:cstheme="minorBidi"/>
                <w:noProof/>
                <w:sz w:val="22"/>
                <w:szCs w:val="22"/>
                <w:lang w:eastAsia="en-GB"/>
              </w:rPr>
              <w:tab/>
            </w:r>
            <w:r>
              <w:rPr>
                <w:rStyle w:val="Hyperlink"/>
                <w:noProof/>
              </w:rPr>
              <w:t>Environmental impacts</w:t>
            </w:r>
            <w:r>
              <w:rPr>
                <w:noProof/>
                <w:webHidden/>
              </w:rPr>
              <w:tab/>
            </w:r>
            <w:r>
              <w:rPr>
                <w:noProof/>
                <w:webHidden/>
              </w:rPr>
              <w:fldChar w:fldCharType="begin"/>
            </w:r>
            <w:r>
              <w:rPr>
                <w:noProof/>
                <w:webHidden/>
              </w:rPr>
              <w:instrText xml:space="preserve"> PAGEREF _Toc496635616 \h </w:instrText>
            </w:r>
            <w:r>
              <w:rPr>
                <w:noProof/>
                <w:webHidden/>
              </w:rPr>
            </w:r>
            <w:r>
              <w:rPr>
                <w:noProof/>
                <w:webHidden/>
              </w:rPr>
              <w:fldChar w:fldCharType="separate"/>
            </w:r>
            <w:r>
              <w:rPr>
                <w:noProof/>
                <w:webHidden/>
              </w:rPr>
              <w:t>101</w:t>
            </w:r>
            <w:r>
              <w:rPr>
                <w:noProof/>
                <w:webHidden/>
              </w:rPr>
              <w:fldChar w:fldCharType="end"/>
            </w:r>
          </w:hyperlink>
        </w:p>
        <w:p w:rsidR="001A26B0" w:rsidRDefault="00E33A99">
          <w:pPr>
            <w:pStyle w:val="TOC3"/>
            <w:tabs>
              <w:tab w:val="left" w:pos="1916"/>
            </w:tabs>
            <w:rPr>
              <w:rFonts w:asciiTheme="minorHAnsi" w:eastAsiaTheme="minorEastAsia" w:hAnsiTheme="minorHAnsi" w:cstheme="minorBidi"/>
              <w:noProof/>
              <w:sz w:val="22"/>
              <w:szCs w:val="22"/>
              <w:lang w:eastAsia="en-GB"/>
            </w:rPr>
          </w:pPr>
          <w:hyperlink w:anchor="_Toc496635617" w:history="1">
            <w:r>
              <w:rPr>
                <w:rStyle w:val="Hyperlink"/>
                <w:noProof/>
              </w:rPr>
              <w:t>6.3.3</w:t>
            </w:r>
            <w:r>
              <w:rPr>
                <w:rFonts w:asciiTheme="minorHAnsi" w:eastAsiaTheme="minorEastAsia" w:hAnsiTheme="minorHAnsi" w:cstheme="minorBidi"/>
                <w:noProof/>
                <w:sz w:val="22"/>
                <w:szCs w:val="22"/>
                <w:lang w:eastAsia="en-GB"/>
              </w:rPr>
              <w:tab/>
            </w:r>
            <w:r>
              <w:rPr>
                <w:rStyle w:val="Hyperlink"/>
                <w:noProof/>
              </w:rPr>
              <w:t>Timing of the targets (TT)</w:t>
            </w:r>
            <w:r>
              <w:rPr>
                <w:noProof/>
                <w:webHidden/>
              </w:rPr>
              <w:tab/>
            </w:r>
            <w:r>
              <w:rPr>
                <w:noProof/>
                <w:webHidden/>
              </w:rPr>
              <w:fldChar w:fldCharType="begin"/>
            </w:r>
            <w:r>
              <w:rPr>
                <w:noProof/>
                <w:webHidden/>
              </w:rPr>
              <w:instrText xml:space="preserve"> PAGEREF _Toc496635617 \h </w:instrText>
            </w:r>
            <w:r>
              <w:rPr>
                <w:noProof/>
                <w:webHidden/>
              </w:rPr>
            </w:r>
            <w:r>
              <w:rPr>
                <w:noProof/>
                <w:webHidden/>
              </w:rPr>
              <w:fldChar w:fldCharType="separate"/>
            </w:r>
            <w:r>
              <w:rPr>
                <w:noProof/>
                <w:webHidden/>
              </w:rPr>
              <w:t>109</w:t>
            </w:r>
            <w:r>
              <w:rPr>
                <w:noProof/>
                <w:webHidden/>
              </w:rPr>
              <w:fldChar w:fldCharType="end"/>
            </w:r>
          </w:hyperlink>
        </w:p>
        <w:p w:rsidR="001A26B0" w:rsidRDefault="00E33A99">
          <w:pPr>
            <w:pStyle w:val="TOC4"/>
            <w:tabs>
              <w:tab w:val="left" w:pos="2880"/>
            </w:tabs>
            <w:rPr>
              <w:rFonts w:asciiTheme="minorHAnsi" w:eastAsiaTheme="minorEastAsia" w:hAnsiTheme="minorHAnsi" w:cstheme="minorBidi"/>
              <w:noProof/>
              <w:sz w:val="22"/>
              <w:szCs w:val="22"/>
              <w:lang w:eastAsia="en-GB"/>
            </w:rPr>
          </w:pPr>
          <w:hyperlink w:anchor="_Toc496635618" w:history="1">
            <w:r>
              <w:rPr>
                <w:rStyle w:val="Hyperlink"/>
                <w:noProof/>
              </w:rPr>
              <w:t>6.3.3.1</w:t>
            </w:r>
            <w:r>
              <w:rPr>
                <w:rFonts w:asciiTheme="minorHAnsi" w:eastAsiaTheme="minorEastAsia" w:hAnsiTheme="minorHAnsi" w:cstheme="minorBidi"/>
                <w:noProof/>
                <w:sz w:val="22"/>
                <w:szCs w:val="22"/>
                <w:lang w:eastAsia="en-GB"/>
              </w:rPr>
              <w:tab/>
            </w:r>
            <w:r>
              <w:rPr>
                <w:rStyle w:val="Hyperlink"/>
                <w:noProof/>
              </w:rPr>
              <w:t xml:space="preserve">Option </w:t>
            </w:r>
            <w:r>
              <w:rPr>
                <w:rStyle w:val="Hyperlink"/>
                <w:noProof/>
              </w:rPr>
              <w:t>TT 1: The new fleet-wide targets start to apply in 2030.</w:t>
            </w:r>
            <w:r>
              <w:rPr>
                <w:noProof/>
                <w:webHidden/>
              </w:rPr>
              <w:tab/>
            </w:r>
            <w:r>
              <w:rPr>
                <w:noProof/>
                <w:webHidden/>
              </w:rPr>
              <w:fldChar w:fldCharType="begin"/>
            </w:r>
            <w:r>
              <w:rPr>
                <w:noProof/>
                <w:webHidden/>
              </w:rPr>
              <w:instrText xml:space="preserve"> PAGEREF _Toc496635618 \h </w:instrText>
            </w:r>
            <w:r>
              <w:rPr>
                <w:noProof/>
                <w:webHidden/>
              </w:rPr>
            </w:r>
            <w:r>
              <w:rPr>
                <w:noProof/>
                <w:webHidden/>
              </w:rPr>
              <w:fldChar w:fldCharType="separate"/>
            </w:r>
            <w:r>
              <w:rPr>
                <w:noProof/>
                <w:webHidden/>
              </w:rPr>
              <w:t>109</w:t>
            </w:r>
            <w:r>
              <w:rPr>
                <w:noProof/>
                <w:webHidden/>
              </w:rPr>
              <w:fldChar w:fldCharType="end"/>
            </w:r>
          </w:hyperlink>
        </w:p>
        <w:p w:rsidR="001A26B0" w:rsidRDefault="00E33A99">
          <w:pPr>
            <w:pStyle w:val="TOC4"/>
            <w:tabs>
              <w:tab w:val="left" w:pos="2880"/>
            </w:tabs>
            <w:rPr>
              <w:rFonts w:asciiTheme="minorHAnsi" w:eastAsiaTheme="minorEastAsia" w:hAnsiTheme="minorHAnsi" w:cstheme="minorBidi"/>
              <w:noProof/>
              <w:sz w:val="22"/>
              <w:szCs w:val="22"/>
              <w:lang w:eastAsia="en-GB"/>
            </w:rPr>
          </w:pPr>
          <w:hyperlink w:anchor="_Toc496635619" w:history="1">
            <w:r>
              <w:rPr>
                <w:rStyle w:val="Hyperlink"/>
                <w:noProof/>
              </w:rPr>
              <w:t>6.3.3.2</w:t>
            </w:r>
            <w:r>
              <w:rPr>
                <w:rFonts w:asciiTheme="minorHAnsi" w:eastAsiaTheme="minorEastAsia" w:hAnsiTheme="minorHAnsi" w:cstheme="minorBidi"/>
                <w:noProof/>
                <w:sz w:val="22"/>
                <w:szCs w:val="22"/>
                <w:lang w:eastAsia="en-GB"/>
              </w:rPr>
              <w:tab/>
            </w:r>
            <w:r>
              <w:rPr>
                <w:rStyle w:val="Hyperlink"/>
                <w:noProof/>
              </w:rPr>
              <w:t xml:space="preserve">Option TT 2: New fleet-wide targets start to apply in 2025, </w:t>
            </w:r>
            <w:r>
              <w:rPr>
                <w:rStyle w:val="Hyperlink"/>
                <w:noProof/>
              </w:rPr>
              <w:t>and stricter fleet-wide targets start to apply in 2030.</w:t>
            </w:r>
            <w:r>
              <w:rPr>
                <w:noProof/>
                <w:webHidden/>
              </w:rPr>
              <w:tab/>
            </w:r>
            <w:r>
              <w:rPr>
                <w:noProof/>
                <w:webHidden/>
              </w:rPr>
              <w:fldChar w:fldCharType="begin"/>
            </w:r>
            <w:r>
              <w:rPr>
                <w:noProof/>
                <w:webHidden/>
              </w:rPr>
              <w:instrText xml:space="preserve"> PAGEREF _Toc496635619 \h </w:instrText>
            </w:r>
            <w:r>
              <w:rPr>
                <w:noProof/>
                <w:webHidden/>
              </w:rPr>
            </w:r>
            <w:r>
              <w:rPr>
                <w:noProof/>
                <w:webHidden/>
              </w:rPr>
              <w:fldChar w:fldCharType="separate"/>
            </w:r>
            <w:r>
              <w:rPr>
                <w:noProof/>
                <w:webHidden/>
              </w:rPr>
              <w:t>110</w:t>
            </w:r>
            <w:r>
              <w:rPr>
                <w:noProof/>
                <w:webHidden/>
              </w:rPr>
              <w:fldChar w:fldCharType="end"/>
            </w:r>
          </w:hyperlink>
        </w:p>
        <w:p w:rsidR="001A26B0" w:rsidRDefault="00E33A99">
          <w:pPr>
            <w:pStyle w:val="TOC4"/>
            <w:tabs>
              <w:tab w:val="left" w:pos="2880"/>
            </w:tabs>
            <w:rPr>
              <w:rFonts w:asciiTheme="minorHAnsi" w:eastAsiaTheme="minorEastAsia" w:hAnsiTheme="minorHAnsi" w:cstheme="minorBidi"/>
              <w:noProof/>
              <w:sz w:val="22"/>
              <w:szCs w:val="22"/>
              <w:lang w:eastAsia="en-GB"/>
            </w:rPr>
          </w:pPr>
          <w:hyperlink w:anchor="_Toc496635620" w:history="1">
            <w:r>
              <w:rPr>
                <w:rStyle w:val="Hyperlink"/>
                <w:noProof/>
              </w:rPr>
              <w:t>6.3.3.3</w:t>
            </w:r>
            <w:r>
              <w:rPr>
                <w:rFonts w:asciiTheme="minorHAnsi" w:eastAsiaTheme="minorEastAsia" w:hAnsiTheme="minorHAnsi" w:cstheme="minorBidi"/>
                <w:noProof/>
                <w:sz w:val="22"/>
                <w:szCs w:val="22"/>
                <w:lang w:eastAsia="en-GB"/>
              </w:rPr>
              <w:tab/>
            </w:r>
            <w:r>
              <w:rPr>
                <w:rStyle w:val="Hyperlink"/>
                <w:noProof/>
              </w:rPr>
              <w:t xml:space="preserve">Option TT 3: New fleet-wide targets are defined for each of </w:t>
            </w:r>
            <w:r>
              <w:rPr>
                <w:rStyle w:val="Hyperlink"/>
                <w:noProof/>
              </w:rPr>
              <w:t>the years until 2030.</w:t>
            </w:r>
            <w:r>
              <w:rPr>
                <w:noProof/>
                <w:webHidden/>
              </w:rPr>
              <w:tab/>
            </w:r>
            <w:r>
              <w:rPr>
                <w:noProof/>
                <w:webHidden/>
              </w:rPr>
              <w:fldChar w:fldCharType="begin"/>
            </w:r>
            <w:r>
              <w:rPr>
                <w:noProof/>
                <w:webHidden/>
              </w:rPr>
              <w:instrText xml:space="preserve"> PAGEREF _Toc496635620 \h </w:instrText>
            </w:r>
            <w:r>
              <w:rPr>
                <w:noProof/>
                <w:webHidden/>
              </w:rPr>
            </w:r>
            <w:r>
              <w:rPr>
                <w:noProof/>
                <w:webHidden/>
              </w:rPr>
              <w:fldChar w:fldCharType="separate"/>
            </w:r>
            <w:r>
              <w:rPr>
                <w:noProof/>
                <w:webHidden/>
              </w:rPr>
              <w:t>110</w:t>
            </w:r>
            <w:r>
              <w:rPr>
                <w:noProof/>
                <w:webHidden/>
              </w:rPr>
              <w:fldChar w:fldCharType="end"/>
            </w:r>
          </w:hyperlink>
        </w:p>
        <w:p w:rsidR="001A26B0" w:rsidRDefault="00E33A99">
          <w:pPr>
            <w:pStyle w:val="TOC2"/>
            <w:tabs>
              <w:tab w:val="left" w:pos="1077"/>
            </w:tabs>
            <w:rPr>
              <w:rFonts w:asciiTheme="minorHAnsi" w:eastAsiaTheme="minorEastAsia" w:hAnsiTheme="minorHAnsi" w:cstheme="minorBidi"/>
              <w:noProof/>
              <w:sz w:val="22"/>
              <w:szCs w:val="22"/>
              <w:lang w:eastAsia="en-GB"/>
            </w:rPr>
          </w:pPr>
          <w:hyperlink w:anchor="_Toc496635621" w:history="1">
            <w:r>
              <w:rPr>
                <w:rStyle w:val="Hyperlink"/>
                <w:noProof/>
              </w:rPr>
              <w:t>6.4</w:t>
            </w:r>
            <w:r>
              <w:rPr>
                <w:rFonts w:asciiTheme="minorHAnsi" w:eastAsiaTheme="minorEastAsia" w:hAnsiTheme="minorHAnsi" w:cstheme="minorBidi"/>
                <w:noProof/>
                <w:sz w:val="22"/>
                <w:szCs w:val="22"/>
                <w:lang w:eastAsia="en-GB"/>
              </w:rPr>
              <w:tab/>
            </w:r>
            <w:r>
              <w:rPr>
                <w:rStyle w:val="Hyperlink"/>
                <w:noProof/>
              </w:rPr>
              <w:t>Distribution of effort (DOE)</w:t>
            </w:r>
            <w:r>
              <w:rPr>
                <w:noProof/>
                <w:webHidden/>
              </w:rPr>
              <w:tab/>
            </w:r>
            <w:r>
              <w:rPr>
                <w:noProof/>
                <w:webHidden/>
              </w:rPr>
              <w:fldChar w:fldCharType="begin"/>
            </w:r>
            <w:r>
              <w:rPr>
                <w:noProof/>
                <w:webHidden/>
              </w:rPr>
              <w:instrText xml:space="preserve"> PAGEREF _Toc496635621 \h </w:instrText>
            </w:r>
            <w:r>
              <w:rPr>
                <w:noProof/>
                <w:webHidden/>
              </w:rPr>
            </w:r>
            <w:r>
              <w:rPr>
                <w:noProof/>
                <w:webHidden/>
              </w:rPr>
              <w:fldChar w:fldCharType="separate"/>
            </w:r>
            <w:r>
              <w:rPr>
                <w:noProof/>
                <w:webHidden/>
              </w:rPr>
              <w:t>111</w:t>
            </w:r>
            <w:r>
              <w:rPr>
                <w:noProof/>
                <w:webHidden/>
              </w:rPr>
              <w:fldChar w:fldCharType="end"/>
            </w:r>
          </w:hyperlink>
        </w:p>
        <w:p w:rsidR="001A26B0" w:rsidRDefault="00E33A99">
          <w:pPr>
            <w:pStyle w:val="TOC4"/>
            <w:tabs>
              <w:tab w:val="left" w:pos="2880"/>
            </w:tabs>
            <w:rPr>
              <w:rFonts w:asciiTheme="minorHAnsi" w:eastAsiaTheme="minorEastAsia" w:hAnsiTheme="minorHAnsi" w:cstheme="minorBidi"/>
              <w:noProof/>
              <w:sz w:val="22"/>
              <w:szCs w:val="22"/>
              <w:lang w:eastAsia="en-GB"/>
            </w:rPr>
          </w:pPr>
          <w:hyperlink w:anchor="_Toc496635622" w:history="1">
            <w:r>
              <w:rPr>
                <w:rStyle w:val="Hyperlink"/>
                <w:noProof/>
              </w:rPr>
              <w:t>6.4.1.1</w:t>
            </w:r>
            <w:r>
              <w:rPr>
                <w:rFonts w:asciiTheme="minorHAnsi" w:eastAsiaTheme="minorEastAsia" w:hAnsiTheme="minorHAnsi" w:cstheme="minorBidi"/>
                <w:noProof/>
                <w:sz w:val="22"/>
                <w:szCs w:val="22"/>
                <w:lang w:eastAsia="en-GB"/>
              </w:rPr>
              <w:tab/>
            </w:r>
            <w:r>
              <w:rPr>
                <w:rStyle w:val="Hyperlink"/>
                <w:noProof/>
              </w:rPr>
              <w:t>Methodology and introduction</w:t>
            </w:r>
            <w:r>
              <w:rPr>
                <w:noProof/>
                <w:webHidden/>
              </w:rPr>
              <w:tab/>
            </w:r>
            <w:r>
              <w:rPr>
                <w:noProof/>
                <w:webHidden/>
              </w:rPr>
              <w:fldChar w:fldCharType="begin"/>
            </w:r>
            <w:r>
              <w:rPr>
                <w:noProof/>
                <w:webHidden/>
              </w:rPr>
              <w:instrText xml:space="preserve"> PAGEREF _Toc496635622 \h </w:instrText>
            </w:r>
            <w:r>
              <w:rPr>
                <w:noProof/>
                <w:webHidden/>
              </w:rPr>
            </w:r>
            <w:r>
              <w:rPr>
                <w:noProof/>
                <w:webHidden/>
              </w:rPr>
              <w:fldChar w:fldCharType="separate"/>
            </w:r>
            <w:r>
              <w:rPr>
                <w:noProof/>
                <w:webHidden/>
              </w:rPr>
              <w:t>111</w:t>
            </w:r>
            <w:r>
              <w:rPr>
                <w:noProof/>
                <w:webHidden/>
              </w:rPr>
              <w:fldChar w:fldCharType="end"/>
            </w:r>
          </w:hyperlink>
        </w:p>
        <w:p w:rsidR="001A26B0" w:rsidRDefault="00E33A99">
          <w:pPr>
            <w:pStyle w:val="TOC2"/>
            <w:tabs>
              <w:tab w:val="left" w:pos="1077"/>
            </w:tabs>
            <w:rPr>
              <w:rFonts w:asciiTheme="minorHAnsi" w:eastAsiaTheme="minorEastAsia" w:hAnsiTheme="minorHAnsi" w:cstheme="minorBidi"/>
              <w:noProof/>
              <w:sz w:val="22"/>
              <w:szCs w:val="22"/>
              <w:lang w:eastAsia="en-GB"/>
            </w:rPr>
          </w:pPr>
          <w:hyperlink w:anchor="_Toc496635623" w:history="1">
            <w:r>
              <w:rPr>
                <w:rStyle w:val="Hyperlink"/>
                <w:noProof/>
              </w:rPr>
              <w:t>6.5</w:t>
            </w:r>
            <w:r>
              <w:rPr>
                <w:rFonts w:asciiTheme="minorHAnsi" w:eastAsiaTheme="minorEastAsia" w:hAnsiTheme="minorHAnsi" w:cstheme="minorBidi"/>
                <w:noProof/>
                <w:sz w:val="22"/>
                <w:szCs w:val="22"/>
                <w:lang w:eastAsia="en-GB"/>
              </w:rPr>
              <w:tab/>
            </w:r>
            <w:r>
              <w:rPr>
                <w:rStyle w:val="Hyperlink"/>
                <w:noProof/>
              </w:rPr>
              <w:t>ZEV/ LEV incentives</w:t>
            </w:r>
            <w:r>
              <w:rPr>
                <w:noProof/>
                <w:webHidden/>
              </w:rPr>
              <w:tab/>
            </w:r>
            <w:r>
              <w:rPr>
                <w:noProof/>
                <w:webHidden/>
              </w:rPr>
              <w:fldChar w:fldCharType="begin"/>
            </w:r>
            <w:r>
              <w:rPr>
                <w:noProof/>
                <w:webHidden/>
              </w:rPr>
              <w:instrText xml:space="preserve"> PAGEREF _Toc496635623 \h </w:instrText>
            </w:r>
            <w:r>
              <w:rPr>
                <w:noProof/>
                <w:webHidden/>
              </w:rPr>
            </w:r>
            <w:r>
              <w:rPr>
                <w:noProof/>
                <w:webHidden/>
              </w:rPr>
              <w:fldChar w:fldCharType="separate"/>
            </w:r>
            <w:r>
              <w:rPr>
                <w:noProof/>
                <w:webHidden/>
              </w:rPr>
              <w:t>117</w:t>
            </w:r>
            <w:r>
              <w:rPr>
                <w:noProof/>
                <w:webHidden/>
              </w:rPr>
              <w:fldChar w:fldCharType="end"/>
            </w:r>
          </w:hyperlink>
        </w:p>
        <w:p w:rsidR="001A26B0" w:rsidRDefault="00E33A99">
          <w:pPr>
            <w:pStyle w:val="TOC3"/>
            <w:tabs>
              <w:tab w:val="left" w:pos="1916"/>
            </w:tabs>
            <w:rPr>
              <w:rFonts w:asciiTheme="minorHAnsi" w:eastAsiaTheme="minorEastAsia" w:hAnsiTheme="minorHAnsi" w:cstheme="minorBidi"/>
              <w:noProof/>
              <w:sz w:val="22"/>
              <w:szCs w:val="22"/>
              <w:lang w:eastAsia="en-GB"/>
            </w:rPr>
          </w:pPr>
          <w:hyperlink w:anchor="_Toc496635624" w:history="1">
            <w:r>
              <w:rPr>
                <w:rStyle w:val="Hyperlink"/>
                <w:noProof/>
              </w:rPr>
              <w:t>6.5.</w:t>
            </w:r>
            <w:r>
              <w:rPr>
                <w:rStyle w:val="Hyperlink"/>
                <w:noProof/>
              </w:rPr>
              <w:t>1</w:t>
            </w:r>
            <w:r>
              <w:rPr>
                <w:rFonts w:asciiTheme="minorHAnsi" w:eastAsiaTheme="minorEastAsia" w:hAnsiTheme="minorHAnsi" w:cstheme="minorBidi"/>
                <w:noProof/>
                <w:sz w:val="22"/>
                <w:szCs w:val="22"/>
                <w:lang w:eastAsia="en-GB"/>
              </w:rPr>
              <w:tab/>
            </w:r>
            <w:r>
              <w:rPr>
                <w:rStyle w:val="Hyperlink"/>
                <w:noProof/>
              </w:rPr>
              <w:t>Introduction and methodological considerations</w:t>
            </w:r>
            <w:r>
              <w:rPr>
                <w:noProof/>
                <w:webHidden/>
              </w:rPr>
              <w:tab/>
            </w:r>
            <w:r>
              <w:rPr>
                <w:noProof/>
                <w:webHidden/>
              </w:rPr>
              <w:fldChar w:fldCharType="begin"/>
            </w:r>
            <w:r>
              <w:rPr>
                <w:noProof/>
                <w:webHidden/>
              </w:rPr>
              <w:instrText xml:space="preserve"> PAGEREF _Toc496635624 \h </w:instrText>
            </w:r>
            <w:r>
              <w:rPr>
                <w:noProof/>
                <w:webHidden/>
              </w:rPr>
            </w:r>
            <w:r>
              <w:rPr>
                <w:noProof/>
                <w:webHidden/>
              </w:rPr>
              <w:fldChar w:fldCharType="separate"/>
            </w:r>
            <w:r>
              <w:rPr>
                <w:noProof/>
                <w:webHidden/>
              </w:rPr>
              <w:t>117</w:t>
            </w:r>
            <w:r>
              <w:rPr>
                <w:noProof/>
                <w:webHidden/>
              </w:rPr>
              <w:fldChar w:fldCharType="end"/>
            </w:r>
          </w:hyperlink>
        </w:p>
        <w:p w:rsidR="001A26B0" w:rsidRDefault="00E33A99">
          <w:pPr>
            <w:pStyle w:val="TOC3"/>
            <w:tabs>
              <w:tab w:val="left" w:pos="1916"/>
            </w:tabs>
            <w:rPr>
              <w:rFonts w:asciiTheme="minorHAnsi" w:eastAsiaTheme="minorEastAsia" w:hAnsiTheme="minorHAnsi" w:cstheme="minorBidi"/>
              <w:noProof/>
              <w:sz w:val="22"/>
              <w:szCs w:val="22"/>
              <w:lang w:eastAsia="en-GB"/>
            </w:rPr>
          </w:pPr>
          <w:hyperlink w:anchor="_Toc496635625" w:history="1">
            <w:r>
              <w:rPr>
                <w:rStyle w:val="Hyperlink"/>
                <w:noProof/>
              </w:rPr>
              <w:t>6.5.2</w:t>
            </w:r>
            <w:r>
              <w:rPr>
                <w:rFonts w:asciiTheme="minorHAnsi" w:eastAsiaTheme="minorEastAsia" w:hAnsiTheme="minorHAnsi" w:cstheme="minorBidi"/>
                <w:noProof/>
                <w:sz w:val="22"/>
                <w:szCs w:val="22"/>
                <w:lang w:eastAsia="en-GB"/>
              </w:rPr>
              <w:tab/>
            </w:r>
            <w:r>
              <w:rPr>
                <w:rStyle w:val="Hyperlink"/>
                <w:noProof/>
              </w:rPr>
              <w:t>Passenger cars: assessment of options with additional incentives for l</w:t>
            </w:r>
            <w:r>
              <w:rPr>
                <w:rStyle w:val="Hyperlink"/>
                <w:noProof/>
              </w:rPr>
              <w:t>ow-emission vehicles</w:t>
            </w:r>
            <w:r>
              <w:rPr>
                <w:noProof/>
                <w:webHidden/>
              </w:rPr>
              <w:tab/>
            </w:r>
            <w:r>
              <w:rPr>
                <w:noProof/>
                <w:webHidden/>
              </w:rPr>
              <w:fldChar w:fldCharType="begin"/>
            </w:r>
            <w:r>
              <w:rPr>
                <w:noProof/>
                <w:webHidden/>
              </w:rPr>
              <w:instrText xml:space="preserve"> PAGEREF _Toc496635625 \h </w:instrText>
            </w:r>
            <w:r>
              <w:rPr>
                <w:noProof/>
                <w:webHidden/>
              </w:rPr>
            </w:r>
            <w:r>
              <w:rPr>
                <w:noProof/>
                <w:webHidden/>
              </w:rPr>
              <w:fldChar w:fldCharType="separate"/>
            </w:r>
            <w:r>
              <w:rPr>
                <w:noProof/>
                <w:webHidden/>
              </w:rPr>
              <w:t>118</w:t>
            </w:r>
            <w:r>
              <w:rPr>
                <w:noProof/>
                <w:webHidden/>
              </w:rPr>
              <w:fldChar w:fldCharType="end"/>
            </w:r>
          </w:hyperlink>
        </w:p>
        <w:p w:rsidR="001A26B0" w:rsidRDefault="00E33A99">
          <w:pPr>
            <w:pStyle w:val="TOC4"/>
            <w:tabs>
              <w:tab w:val="left" w:pos="2880"/>
            </w:tabs>
            <w:rPr>
              <w:rFonts w:asciiTheme="minorHAnsi" w:eastAsiaTheme="minorEastAsia" w:hAnsiTheme="minorHAnsi" w:cstheme="minorBidi"/>
              <w:noProof/>
              <w:sz w:val="22"/>
              <w:szCs w:val="22"/>
              <w:lang w:eastAsia="en-GB"/>
            </w:rPr>
          </w:pPr>
          <w:hyperlink w:anchor="_Toc496635626" w:history="1">
            <w:r>
              <w:rPr>
                <w:rStyle w:val="Hyperlink"/>
                <w:noProof/>
              </w:rPr>
              <w:t>6.5.2.1</w:t>
            </w:r>
            <w:r>
              <w:rPr>
                <w:rFonts w:asciiTheme="minorHAnsi" w:eastAsiaTheme="minorEastAsia" w:hAnsiTheme="minorHAnsi" w:cstheme="minorBidi"/>
                <w:noProof/>
                <w:sz w:val="22"/>
                <w:szCs w:val="22"/>
                <w:lang w:eastAsia="en-GB"/>
              </w:rPr>
              <w:tab/>
            </w:r>
            <w:r>
              <w:rPr>
                <w:rStyle w:val="Hyperlink"/>
                <w:noProof/>
              </w:rPr>
              <w:t>Economic impacts</w:t>
            </w:r>
            <w:r>
              <w:rPr>
                <w:noProof/>
                <w:webHidden/>
              </w:rPr>
              <w:tab/>
            </w:r>
            <w:r>
              <w:rPr>
                <w:noProof/>
                <w:webHidden/>
              </w:rPr>
              <w:fldChar w:fldCharType="begin"/>
            </w:r>
            <w:r>
              <w:rPr>
                <w:noProof/>
                <w:webHidden/>
              </w:rPr>
              <w:instrText xml:space="preserve"> PAGEREF _Toc496635626 \h </w:instrText>
            </w:r>
            <w:r>
              <w:rPr>
                <w:noProof/>
                <w:webHidden/>
              </w:rPr>
            </w:r>
            <w:r>
              <w:rPr>
                <w:noProof/>
                <w:webHidden/>
              </w:rPr>
              <w:fldChar w:fldCharType="separate"/>
            </w:r>
            <w:r>
              <w:rPr>
                <w:noProof/>
                <w:webHidden/>
              </w:rPr>
              <w:t>119</w:t>
            </w:r>
            <w:r>
              <w:rPr>
                <w:noProof/>
                <w:webHidden/>
              </w:rPr>
              <w:fldChar w:fldCharType="end"/>
            </w:r>
          </w:hyperlink>
        </w:p>
        <w:p w:rsidR="001A26B0" w:rsidRDefault="00E33A99">
          <w:pPr>
            <w:pStyle w:val="TOC4"/>
            <w:tabs>
              <w:tab w:val="left" w:pos="2880"/>
            </w:tabs>
            <w:rPr>
              <w:rFonts w:asciiTheme="minorHAnsi" w:eastAsiaTheme="minorEastAsia" w:hAnsiTheme="minorHAnsi" w:cstheme="minorBidi"/>
              <w:noProof/>
              <w:sz w:val="22"/>
              <w:szCs w:val="22"/>
              <w:lang w:eastAsia="en-GB"/>
            </w:rPr>
          </w:pPr>
          <w:hyperlink w:anchor="_Toc496635627" w:history="1">
            <w:r>
              <w:rPr>
                <w:rStyle w:val="Hyperlink"/>
                <w:noProof/>
              </w:rPr>
              <w:t>6.5.2.2</w:t>
            </w:r>
            <w:r>
              <w:rPr>
                <w:rFonts w:asciiTheme="minorHAnsi" w:eastAsiaTheme="minorEastAsia" w:hAnsiTheme="minorHAnsi" w:cstheme="minorBidi"/>
                <w:noProof/>
                <w:sz w:val="22"/>
                <w:szCs w:val="22"/>
                <w:lang w:eastAsia="en-GB"/>
              </w:rPr>
              <w:tab/>
            </w:r>
            <w:r>
              <w:rPr>
                <w:rStyle w:val="Hyperlink"/>
                <w:noProof/>
              </w:rPr>
              <w:t>Social Impacts</w:t>
            </w:r>
            <w:r>
              <w:rPr>
                <w:noProof/>
                <w:webHidden/>
              </w:rPr>
              <w:tab/>
            </w:r>
            <w:r>
              <w:rPr>
                <w:noProof/>
                <w:webHidden/>
              </w:rPr>
              <w:fldChar w:fldCharType="begin"/>
            </w:r>
            <w:r>
              <w:rPr>
                <w:noProof/>
                <w:webHidden/>
              </w:rPr>
              <w:instrText xml:space="preserve"> PAGEREF _Toc496635627 \h </w:instrText>
            </w:r>
            <w:r>
              <w:rPr>
                <w:noProof/>
                <w:webHidden/>
              </w:rPr>
            </w:r>
            <w:r>
              <w:rPr>
                <w:noProof/>
                <w:webHidden/>
              </w:rPr>
              <w:fldChar w:fldCharType="separate"/>
            </w:r>
            <w:r>
              <w:rPr>
                <w:noProof/>
                <w:webHidden/>
              </w:rPr>
              <w:t>128</w:t>
            </w:r>
            <w:r>
              <w:rPr>
                <w:noProof/>
                <w:webHidden/>
              </w:rPr>
              <w:fldChar w:fldCharType="end"/>
            </w:r>
          </w:hyperlink>
        </w:p>
        <w:p w:rsidR="001A26B0" w:rsidRDefault="00E33A99">
          <w:pPr>
            <w:pStyle w:val="TOC4"/>
            <w:tabs>
              <w:tab w:val="left" w:pos="2880"/>
            </w:tabs>
            <w:rPr>
              <w:rFonts w:asciiTheme="minorHAnsi" w:eastAsiaTheme="minorEastAsia" w:hAnsiTheme="minorHAnsi" w:cstheme="minorBidi"/>
              <w:noProof/>
              <w:sz w:val="22"/>
              <w:szCs w:val="22"/>
              <w:lang w:eastAsia="en-GB"/>
            </w:rPr>
          </w:pPr>
          <w:hyperlink w:anchor="_Toc496635628" w:history="1">
            <w:r>
              <w:rPr>
                <w:rStyle w:val="Hyperlink"/>
                <w:noProof/>
              </w:rPr>
              <w:t>6.5.2.3</w:t>
            </w:r>
            <w:r>
              <w:rPr>
                <w:rFonts w:asciiTheme="minorHAnsi" w:eastAsiaTheme="minorEastAsia" w:hAnsiTheme="minorHAnsi" w:cstheme="minorBidi"/>
                <w:noProof/>
                <w:sz w:val="22"/>
                <w:szCs w:val="22"/>
                <w:lang w:eastAsia="en-GB"/>
              </w:rPr>
              <w:tab/>
            </w:r>
            <w:r>
              <w:rPr>
                <w:rStyle w:val="Hyperlink"/>
                <w:noProof/>
              </w:rPr>
              <w:t>Environmental impacts</w:t>
            </w:r>
            <w:r>
              <w:rPr>
                <w:noProof/>
                <w:webHidden/>
              </w:rPr>
              <w:tab/>
            </w:r>
            <w:r>
              <w:rPr>
                <w:noProof/>
                <w:webHidden/>
              </w:rPr>
              <w:fldChar w:fldCharType="begin"/>
            </w:r>
            <w:r>
              <w:rPr>
                <w:noProof/>
                <w:webHidden/>
              </w:rPr>
              <w:instrText xml:space="preserve"> PAGEREF _Toc496635628 \h </w:instrText>
            </w:r>
            <w:r>
              <w:rPr>
                <w:noProof/>
                <w:webHidden/>
              </w:rPr>
            </w:r>
            <w:r>
              <w:rPr>
                <w:noProof/>
                <w:webHidden/>
              </w:rPr>
              <w:fldChar w:fldCharType="separate"/>
            </w:r>
            <w:r>
              <w:rPr>
                <w:noProof/>
                <w:webHidden/>
              </w:rPr>
              <w:t>129</w:t>
            </w:r>
            <w:r>
              <w:rPr>
                <w:noProof/>
                <w:webHidden/>
              </w:rPr>
              <w:fldChar w:fldCharType="end"/>
            </w:r>
          </w:hyperlink>
        </w:p>
        <w:p w:rsidR="001A26B0" w:rsidRDefault="00E33A99">
          <w:pPr>
            <w:pStyle w:val="TOC3"/>
            <w:tabs>
              <w:tab w:val="left" w:pos="1916"/>
            </w:tabs>
            <w:rPr>
              <w:rFonts w:asciiTheme="minorHAnsi" w:eastAsiaTheme="minorEastAsia" w:hAnsiTheme="minorHAnsi" w:cstheme="minorBidi"/>
              <w:noProof/>
              <w:sz w:val="22"/>
              <w:szCs w:val="22"/>
              <w:lang w:eastAsia="en-GB"/>
            </w:rPr>
          </w:pPr>
          <w:hyperlink w:anchor="_Toc496635629" w:history="1">
            <w:r>
              <w:rPr>
                <w:rStyle w:val="Hyperlink"/>
                <w:noProof/>
              </w:rPr>
              <w:t>6.5.3</w:t>
            </w:r>
            <w:r>
              <w:rPr>
                <w:rFonts w:asciiTheme="minorHAnsi" w:eastAsiaTheme="minorEastAsia" w:hAnsiTheme="minorHAnsi" w:cstheme="minorBidi"/>
                <w:noProof/>
                <w:sz w:val="22"/>
                <w:szCs w:val="22"/>
                <w:lang w:eastAsia="en-GB"/>
              </w:rPr>
              <w:tab/>
            </w:r>
            <w:r>
              <w:rPr>
                <w:rStyle w:val="Hyperlink"/>
                <w:noProof/>
              </w:rPr>
              <w:t>Vans: assessment of options with additional incentives for low-emission vehicles</w:t>
            </w:r>
            <w:r>
              <w:rPr>
                <w:noProof/>
                <w:webHidden/>
              </w:rPr>
              <w:tab/>
            </w:r>
            <w:r>
              <w:rPr>
                <w:noProof/>
                <w:webHidden/>
              </w:rPr>
              <w:fldChar w:fldCharType="begin"/>
            </w:r>
            <w:r>
              <w:rPr>
                <w:noProof/>
                <w:webHidden/>
              </w:rPr>
              <w:instrText xml:space="preserve"> PAGEREF _Toc496635629 \h </w:instrText>
            </w:r>
            <w:r>
              <w:rPr>
                <w:noProof/>
                <w:webHidden/>
              </w:rPr>
            </w:r>
            <w:r>
              <w:rPr>
                <w:noProof/>
                <w:webHidden/>
              </w:rPr>
              <w:fldChar w:fldCharType="separate"/>
            </w:r>
            <w:r>
              <w:rPr>
                <w:noProof/>
                <w:webHidden/>
              </w:rPr>
              <w:t>131</w:t>
            </w:r>
            <w:r>
              <w:rPr>
                <w:noProof/>
                <w:webHidden/>
              </w:rPr>
              <w:fldChar w:fldCharType="end"/>
            </w:r>
          </w:hyperlink>
        </w:p>
        <w:p w:rsidR="001A26B0" w:rsidRDefault="00E33A99">
          <w:pPr>
            <w:pStyle w:val="TOC4"/>
            <w:tabs>
              <w:tab w:val="left" w:pos="2880"/>
            </w:tabs>
            <w:rPr>
              <w:rFonts w:asciiTheme="minorHAnsi" w:eastAsiaTheme="minorEastAsia" w:hAnsiTheme="minorHAnsi" w:cstheme="minorBidi"/>
              <w:noProof/>
              <w:sz w:val="22"/>
              <w:szCs w:val="22"/>
              <w:lang w:eastAsia="en-GB"/>
            </w:rPr>
          </w:pPr>
          <w:hyperlink w:anchor="_Toc496635630" w:history="1">
            <w:r>
              <w:rPr>
                <w:rStyle w:val="Hyperlink"/>
                <w:noProof/>
              </w:rPr>
              <w:t>6.5.3.1</w:t>
            </w:r>
            <w:r>
              <w:rPr>
                <w:rFonts w:asciiTheme="minorHAnsi" w:eastAsiaTheme="minorEastAsia" w:hAnsiTheme="minorHAnsi" w:cstheme="minorBidi"/>
                <w:noProof/>
                <w:sz w:val="22"/>
                <w:szCs w:val="22"/>
                <w:lang w:eastAsia="en-GB"/>
              </w:rPr>
              <w:tab/>
            </w:r>
            <w:r>
              <w:rPr>
                <w:rStyle w:val="Hyperlink"/>
                <w:noProof/>
              </w:rPr>
              <w:t>Economic impacts</w:t>
            </w:r>
            <w:r>
              <w:rPr>
                <w:noProof/>
                <w:webHidden/>
              </w:rPr>
              <w:tab/>
            </w:r>
            <w:r>
              <w:rPr>
                <w:noProof/>
                <w:webHidden/>
              </w:rPr>
              <w:fldChar w:fldCharType="begin"/>
            </w:r>
            <w:r>
              <w:rPr>
                <w:noProof/>
                <w:webHidden/>
              </w:rPr>
              <w:instrText xml:space="preserve"> PAGEREF _T</w:instrText>
            </w:r>
            <w:r>
              <w:rPr>
                <w:noProof/>
                <w:webHidden/>
              </w:rPr>
              <w:instrText xml:space="preserve">oc496635630 \h </w:instrText>
            </w:r>
            <w:r>
              <w:rPr>
                <w:noProof/>
                <w:webHidden/>
              </w:rPr>
            </w:r>
            <w:r>
              <w:rPr>
                <w:noProof/>
                <w:webHidden/>
              </w:rPr>
              <w:fldChar w:fldCharType="separate"/>
            </w:r>
            <w:r>
              <w:rPr>
                <w:noProof/>
                <w:webHidden/>
              </w:rPr>
              <w:t>132</w:t>
            </w:r>
            <w:r>
              <w:rPr>
                <w:noProof/>
                <w:webHidden/>
              </w:rPr>
              <w:fldChar w:fldCharType="end"/>
            </w:r>
          </w:hyperlink>
        </w:p>
        <w:p w:rsidR="001A26B0" w:rsidRDefault="00E33A99">
          <w:pPr>
            <w:pStyle w:val="TOC4"/>
            <w:tabs>
              <w:tab w:val="left" w:pos="2880"/>
            </w:tabs>
            <w:rPr>
              <w:rFonts w:asciiTheme="minorHAnsi" w:eastAsiaTheme="minorEastAsia" w:hAnsiTheme="minorHAnsi" w:cstheme="minorBidi"/>
              <w:noProof/>
              <w:sz w:val="22"/>
              <w:szCs w:val="22"/>
              <w:lang w:eastAsia="en-GB"/>
            </w:rPr>
          </w:pPr>
          <w:hyperlink w:anchor="_Toc496635631" w:history="1">
            <w:r>
              <w:rPr>
                <w:rStyle w:val="Hyperlink"/>
                <w:noProof/>
              </w:rPr>
              <w:t>6.5.3.2</w:t>
            </w:r>
            <w:r>
              <w:rPr>
                <w:rFonts w:asciiTheme="minorHAnsi" w:eastAsiaTheme="minorEastAsia" w:hAnsiTheme="minorHAnsi" w:cstheme="minorBidi"/>
                <w:noProof/>
                <w:sz w:val="22"/>
                <w:szCs w:val="22"/>
                <w:lang w:eastAsia="en-GB"/>
              </w:rPr>
              <w:tab/>
            </w:r>
            <w:r>
              <w:rPr>
                <w:rStyle w:val="Hyperlink"/>
                <w:noProof/>
              </w:rPr>
              <w:t>Social Impacts</w:t>
            </w:r>
            <w:r>
              <w:rPr>
                <w:noProof/>
                <w:webHidden/>
              </w:rPr>
              <w:tab/>
            </w:r>
            <w:r>
              <w:rPr>
                <w:noProof/>
                <w:webHidden/>
              </w:rPr>
              <w:fldChar w:fldCharType="begin"/>
            </w:r>
            <w:r>
              <w:rPr>
                <w:noProof/>
                <w:webHidden/>
              </w:rPr>
              <w:instrText xml:space="preserve"> PAGEREF _Toc496635631 \h </w:instrText>
            </w:r>
            <w:r>
              <w:rPr>
                <w:noProof/>
                <w:webHidden/>
              </w:rPr>
            </w:r>
            <w:r>
              <w:rPr>
                <w:noProof/>
                <w:webHidden/>
              </w:rPr>
              <w:fldChar w:fldCharType="separate"/>
            </w:r>
            <w:r>
              <w:rPr>
                <w:noProof/>
                <w:webHidden/>
              </w:rPr>
              <w:t>134</w:t>
            </w:r>
            <w:r>
              <w:rPr>
                <w:noProof/>
                <w:webHidden/>
              </w:rPr>
              <w:fldChar w:fldCharType="end"/>
            </w:r>
          </w:hyperlink>
        </w:p>
        <w:p w:rsidR="001A26B0" w:rsidRDefault="00E33A99">
          <w:pPr>
            <w:pStyle w:val="TOC4"/>
            <w:tabs>
              <w:tab w:val="left" w:pos="2880"/>
            </w:tabs>
            <w:rPr>
              <w:rFonts w:asciiTheme="minorHAnsi" w:eastAsiaTheme="minorEastAsia" w:hAnsiTheme="minorHAnsi" w:cstheme="minorBidi"/>
              <w:noProof/>
              <w:sz w:val="22"/>
              <w:szCs w:val="22"/>
              <w:lang w:eastAsia="en-GB"/>
            </w:rPr>
          </w:pPr>
          <w:hyperlink w:anchor="_Toc496635632" w:history="1">
            <w:r>
              <w:rPr>
                <w:rStyle w:val="Hyperlink"/>
                <w:noProof/>
              </w:rPr>
              <w:t>6.5.3.3</w:t>
            </w:r>
            <w:r>
              <w:rPr>
                <w:rFonts w:asciiTheme="minorHAnsi" w:eastAsiaTheme="minorEastAsia" w:hAnsiTheme="minorHAnsi" w:cstheme="minorBidi"/>
                <w:noProof/>
                <w:sz w:val="22"/>
                <w:szCs w:val="22"/>
                <w:lang w:eastAsia="en-GB"/>
              </w:rPr>
              <w:tab/>
            </w:r>
            <w:r>
              <w:rPr>
                <w:rStyle w:val="Hyperlink"/>
                <w:noProof/>
              </w:rPr>
              <w:t>Environmental impacts</w:t>
            </w:r>
            <w:r>
              <w:rPr>
                <w:noProof/>
                <w:webHidden/>
              </w:rPr>
              <w:tab/>
            </w:r>
            <w:r>
              <w:rPr>
                <w:noProof/>
                <w:webHidden/>
              </w:rPr>
              <w:fldChar w:fldCharType="begin"/>
            </w:r>
            <w:r>
              <w:rPr>
                <w:noProof/>
                <w:webHidden/>
              </w:rPr>
              <w:instrText xml:space="preserve"> PAGEREF _Toc496635632 \h </w:instrText>
            </w:r>
            <w:r>
              <w:rPr>
                <w:noProof/>
                <w:webHidden/>
              </w:rPr>
            </w:r>
            <w:r>
              <w:rPr>
                <w:noProof/>
                <w:webHidden/>
              </w:rPr>
              <w:fldChar w:fldCharType="separate"/>
            </w:r>
            <w:r>
              <w:rPr>
                <w:noProof/>
                <w:webHidden/>
              </w:rPr>
              <w:t>135</w:t>
            </w:r>
            <w:r>
              <w:rPr>
                <w:noProof/>
                <w:webHidden/>
              </w:rPr>
              <w:fldChar w:fldCharType="end"/>
            </w:r>
          </w:hyperlink>
        </w:p>
        <w:p w:rsidR="001A26B0" w:rsidRDefault="00E33A99">
          <w:pPr>
            <w:pStyle w:val="TOC3"/>
            <w:tabs>
              <w:tab w:val="left" w:pos="1916"/>
            </w:tabs>
            <w:rPr>
              <w:rFonts w:asciiTheme="minorHAnsi" w:eastAsiaTheme="minorEastAsia" w:hAnsiTheme="minorHAnsi" w:cstheme="minorBidi"/>
              <w:noProof/>
              <w:sz w:val="22"/>
              <w:szCs w:val="22"/>
              <w:lang w:eastAsia="en-GB"/>
            </w:rPr>
          </w:pPr>
          <w:hyperlink w:anchor="_Toc496635633" w:history="1">
            <w:r>
              <w:rPr>
                <w:rStyle w:val="Hyperlink"/>
                <w:noProof/>
              </w:rPr>
              <w:t>6.5.4</w:t>
            </w:r>
            <w:r>
              <w:rPr>
                <w:rFonts w:asciiTheme="minorHAnsi" w:eastAsiaTheme="minorEastAsia" w:hAnsiTheme="minorHAnsi" w:cstheme="minorBidi"/>
                <w:noProof/>
                <w:sz w:val="22"/>
                <w:szCs w:val="22"/>
                <w:lang w:eastAsia="en-GB"/>
              </w:rPr>
              <w:tab/>
            </w:r>
            <w:r>
              <w:rPr>
                <w:rStyle w:val="Hyperlink"/>
                <w:noProof/>
              </w:rPr>
              <w:t>Macroeconomic impacts, including employment, of setting LEV incentives for cars and vans</w:t>
            </w:r>
            <w:r>
              <w:rPr>
                <w:noProof/>
                <w:webHidden/>
              </w:rPr>
              <w:tab/>
            </w:r>
            <w:r>
              <w:rPr>
                <w:noProof/>
                <w:webHidden/>
              </w:rPr>
              <w:fldChar w:fldCharType="begin"/>
            </w:r>
            <w:r>
              <w:rPr>
                <w:noProof/>
                <w:webHidden/>
              </w:rPr>
              <w:instrText xml:space="preserve"> PAGEREF _Toc496635633 \h </w:instrText>
            </w:r>
            <w:r>
              <w:rPr>
                <w:noProof/>
                <w:webHidden/>
              </w:rPr>
            </w:r>
            <w:r>
              <w:rPr>
                <w:noProof/>
                <w:webHidden/>
              </w:rPr>
              <w:fldChar w:fldCharType="separate"/>
            </w:r>
            <w:r>
              <w:rPr>
                <w:noProof/>
                <w:webHidden/>
              </w:rPr>
              <w:t>137</w:t>
            </w:r>
            <w:r>
              <w:rPr>
                <w:noProof/>
                <w:webHidden/>
              </w:rPr>
              <w:fldChar w:fldCharType="end"/>
            </w:r>
          </w:hyperlink>
        </w:p>
        <w:p w:rsidR="001A26B0" w:rsidRDefault="00E33A99">
          <w:pPr>
            <w:pStyle w:val="TOC4"/>
            <w:tabs>
              <w:tab w:val="left" w:pos="2880"/>
            </w:tabs>
            <w:rPr>
              <w:rFonts w:asciiTheme="minorHAnsi" w:eastAsiaTheme="minorEastAsia" w:hAnsiTheme="minorHAnsi" w:cstheme="minorBidi"/>
              <w:noProof/>
              <w:sz w:val="22"/>
              <w:szCs w:val="22"/>
              <w:lang w:eastAsia="en-GB"/>
            </w:rPr>
          </w:pPr>
          <w:hyperlink w:anchor="_Toc496635634" w:history="1">
            <w:r>
              <w:rPr>
                <w:rStyle w:val="Hyperlink"/>
                <w:noProof/>
              </w:rPr>
              <w:t>6.5.4.1</w:t>
            </w:r>
            <w:r>
              <w:rPr>
                <w:rFonts w:asciiTheme="minorHAnsi" w:eastAsiaTheme="minorEastAsia" w:hAnsiTheme="minorHAnsi" w:cstheme="minorBidi"/>
                <w:noProof/>
                <w:sz w:val="22"/>
                <w:szCs w:val="22"/>
                <w:lang w:eastAsia="en-GB"/>
              </w:rPr>
              <w:tab/>
            </w:r>
            <w:r>
              <w:rPr>
                <w:rStyle w:val="Hyperlink"/>
                <w:noProof/>
              </w:rPr>
              <w:t>Introduction and met</w:t>
            </w:r>
            <w:r>
              <w:rPr>
                <w:rStyle w:val="Hyperlink"/>
                <w:noProof/>
              </w:rPr>
              <w:t>hodological considerations</w:t>
            </w:r>
            <w:r>
              <w:rPr>
                <w:noProof/>
                <w:webHidden/>
              </w:rPr>
              <w:tab/>
            </w:r>
            <w:r>
              <w:rPr>
                <w:noProof/>
                <w:webHidden/>
              </w:rPr>
              <w:fldChar w:fldCharType="begin"/>
            </w:r>
            <w:r>
              <w:rPr>
                <w:noProof/>
                <w:webHidden/>
              </w:rPr>
              <w:instrText xml:space="preserve"> PAGEREF _Toc496635634 \h </w:instrText>
            </w:r>
            <w:r>
              <w:rPr>
                <w:noProof/>
                <w:webHidden/>
              </w:rPr>
            </w:r>
            <w:r>
              <w:rPr>
                <w:noProof/>
                <w:webHidden/>
              </w:rPr>
              <w:fldChar w:fldCharType="separate"/>
            </w:r>
            <w:r>
              <w:rPr>
                <w:noProof/>
                <w:webHidden/>
              </w:rPr>
              <w:t>137</w:t>
            </w:r>
            <w:r>
              <w:rPr>
                <w:noProof/>
                <w:webHidden/>
              </w:rPr>
              <w:fldChar w:fldCharType="end"/>
            </w:r>
          </w:hyperlink>
        </w:p>
        <w:p w:rsidR="001A26B0" w:rsidRDefault="00E33A99">
          <w:pPr>
            <w:pStyle w:val="TOC2"/>
            <w:tabs>
              <w:tab w:val="left" w:pos="1077"/>
            </w:tabs>
            <w:rPr>
              <w:rFonts w:asciiTheme="minorHAnsi" w:eastAsiaTheme="minorEastAsia" w:hAnsiTheme="minorHAnsi" w:cstheme="minorBidi"/>
              <w:noProof/>
              <w:sz w:val="22"/>
              <w:szCs w:val="22"/>
              <w:lang w:eastAsia="en-GB"/>
            </w:rPr>
          </w:pPr>
          <w:hyperlink w:anchor="_Toc496635635" w:history="1">
            <w:r>
              <w:rPr>
                <w:rStyle w:val="Hyperlink"/>
                <w:noProof/>
              </w:rPr>
              <w:t>6.6</w:t>
            </w:r>
            <w:r>
              <w:rPr>
                <w:rFonts w:asciiTheme="minorHAnsi" w:eastAsiaTheme="minorEastAsia" w:hAnsiTheme="minorHAnsi" w:cstheme="minorBidi"/>
                <w:noProof/>
                <w:sz w:val="22"/>
                <w:szCs w:val="22"/>
                <w:lang w:eastAsia="en-GB"/>
              </w:rPr>
              <w:tab/>
            </w:r>
            <w:r>
              <w:rPr>
                <w:rStyle w:val="Hyperlink"/>
                <w:noProof/>
              </w:rPr>
              <w:t>Elements supporting cost-effective implementation</w:t>
            </w:r>
            <w:r>
              <w:rPr>
                <w:noProof/>
                <w:webHidden/>
              </w:rPr>
              <w:tab/>
            </w:r>
            <w:r>
              <w:rPr>
                <w:noProof/>
                <w:webHidden/>
              </w:rPr>
              <w:fldChar w:fldCharType="begin"/>
            </w:r>
            <w:r>
              <w:rPr>
                <w:noProof/>
                <w:webHidden/>
              </w:rPr>
              <w:instrText xml:space="preserve"> PAGEREF _Toc496635635 \h </w:instrText>
            </w:r>
            <w:r>
              <w:rPr>
                <w:noProof/>
                <w:webHidden/>
              </w:rPr>
            </w:r>
            <w:r>
              <w:rPr>
                <w:noProof/>
                <w:webHidden/>
              </w:rPr>
              <w:fldChar w:fldCharType="separate"/>
            </w:r>
            <w:r>
              <w:rPr>
                <w:noProof/>
                <w:webHidden/>
              </w:rPr>
              <w:t>142</w:t>
            </w:r>
            <w:r>
              <w:rPr>
                <w:noProof/>
                <w:webHidden/>
              </w:rPr>
              <w:fldChar w:fldCharType="end"/>
            </w:r>
          </w:hyperlink>
        </w:p>
        <w:p w:rsidR="001A26B0" w:rsidRDefault="00E33A99">
          <w:pPr>
            <w:pStyle w:val="TOC3"/>
            <w:tabs>
              <w:tab w:val="left" w:pos="1916"/>
            </w:tabs>
            <w:rPr>
              <w:rFonts w:asciiTheme="minorHAnsi" w:eastAsiaTheme="minorEastAsia" w:hAnsiTheme="minorHAnsi" w:cstheme="minorBidi"/>
              <w:noProof/>
              <w:sz w:val="22"/>
              <w:szCs w:val="22"/>
              <w:lang w:eastAsia="en-GB"/>
            </w:rPr>
          </w:pPr>
          <w:hyperlink w:anchor="_Toc496635636" w:history="1">
            <w:r>
              <w:rPr>
                <w:rStyle w:val="Hyperlink"/>
                <w:noProof/>
              </w:rPr>
              <w:t>6.6.1</w:t>
            </w:r>
            <w:r>
              <w:rPr>
                <w:rFonts w:asciiTheme="minorHAnsi" w:eastAsiaTheme="minorEastAsia" w:hAnsiTheme="minorHAnsi" w:cstheme="minorBidi"/>
                <w:noProof/>
                <w:sz w:val="22"/>
                <w:szCs w:val="22"/>
                <w:lang w:eastAsia="en-GB"/>
              </w:rPr>
              <w:tab/>
            </w:r>
            <w:r>
              <w:rPr>
                <w:rStyle w:val="Hyperlink"/>
                <w:noProof/>
              </w:rPr>
              <w:t>Eco-innovations (ECO)</w:t>
            </w:r>
            <w:r>
              <w:rPr>
                <w:noProof/>
                <w:webHidden/>
              </w:rPr>
              <w:tab/>
            </w:r>
            <w:r>
              <w:rPr>
                <w:noProof/>
                <w:webHidden/>
              </w:rPr>
              <w:fldChar w:fldCharType="begin"/>
            </w:r>
            <w:r>
              <w:rPr>
                <w:noProof/>
                <w:webHidden/>
              </w:rPr>
              <w:instrText xml:space="preserve"> PAGEREF _Toc496635636 \h </w:instrText>
            </w:r>
            <w:r>
              <w:rPr>
                <w:noProof/>
                <w:webHidden/>
              </w:rPr>
            </w:r>
            <w:r>
              <w:rPr>
                <w:noProof/>
                <w:webHidden/>
              </w:rPr>
              <w:fldChar w:fldCharType="separate"/>
            </w:r>
            <w:r>
              <w:rPr>
                <w:noProof/>
                <w:webHidden/>
              </w:rPr>
              <w:t>142</w:t>
            </w:r>
            <w:r>
              <w:rPr>
                <w:noProof/>
                <w:webHidden/>
              </w:rPr>
              <w:fldChar w:fldCharType="end"/>
            </w:r>
          </w:hyperlink>
        </w:p>
        <w:p w:rsidR="001A26B0" w:rsidRDefault="00E33A99">
          <w:pPr>
            <w:pStyle w:val="TOC4"/>
            <w:tabs>
              <w:tab w:val="left" w:pos="2880"/>
            </w:tabs>
            <w:rPr>
              <w:rFonts w:asciiTheme="minorHAnsi" w:eastAsiaTheme="minorEastAsia" w:hAnsiTheme="minorHAnsi" w:cstheme="minorBidi"/>
              <w:noProof/>
              <w:sz w:val="22"/>
              <w:szCs w:val="22"/>
              <w:lang w:eastAsia="en-GB"/>
            </w:rPr>
          </w:pPr>
          <w:hyperlink w:anchor="_Toc496635637" w:history="1">
            <w:r>
              <w:rPr>
                <w:rStyle w:val="Hyperlink"/>
                <w:noProof/>
              </w:rPr>
              <w:t>6.6.1.1</w:t>
            </w:r>
            <w:r>
              <w:rPr>
                <w:rFonts w:asciiTheme="minorHAnsi" w:eastAsiaTheme="minorEastAsia" w:hAnsiTheme="minorHAnsi" w:cstheme="minorBidi"/>
                <w:noProof/>
                <w:sz w:val="22"/>
                <w:szCs w:val="22"/>
                <w:lang w:eastAsia="en-GB"/>
              </w:rPr>
              <w:tab/>
            </w:r>
            <w:r>
              <w:rPr>
                <w:rStyle w:val="Hyperlink"/>
                <w:noProof/>
              </w:rPr>
              <w:t>Future review and possible adjustment of the cap on the eco-innovation savings (Option ECO 1)</w:t>
            </w:r>
            <w:r>
              <w:rPr>
                <w:noProof/>
                <w:webHidden/>
              </w:rPr>
              <w:tab/>
            </w:r>
            <w:r>
              <w:rPr>
                <w:noProof/>
                <w:webHidden/>
              </w:rPr>
              <w:fldChar w:fldCharType="begin"/>
            </w:r>
            <w:r>
              <w:rPr>
                <w:noProof/>
                <w:webHidden/>
              </w:rPr>
              <w:instrText xml:space="preserve"> PAGEREF _Toc496635637 \h </w:instrText>
            </w:r>
            <w:r>
              <w:rPr>
                <w:noProof/>
                <w:webHidden/>
              </w:rPr>
            </w:r>
            <w:r>
              <w:rPr>
                <w:noProof/>
                <w:webHidden/>
              </w:rPr>
              <w:fldChar w:fldCharType="separate"/>
            </w:r>
            <w:r>
              <w:rPr>
                <w:noProof/>
                <w:webHidden/>
              </w:rPr>
              <w:t>142</w:t>
            </w:r>
            <w:r>
              <w:rPr>
                <w:noProof/>
                <w:webHidden/>
              </w:rPr>
              <w:fldChar w:fldCharType="end"/>
            </w:r>
          </w:hyperlink>
        </w:p>
        <w:p w:rsidR="001A26B0" w:rsidRDefault="00E33A99">
          <w:pPr>
            <w:pStyle w:val="TOC4"/>
            <w:tabs>
              <w:tab w:val="left" w:pos="2880"/>
            </w:tabs>
            <w:rPr>
              <w:rFonts w:asciiTheme="minorHAnsi" w:eastAsiaTheme="minorEastAsia" w:hAnsiTheme="minorHAnsi" w:cstheme="minorBidi"/>
              <w:noProof/>
              <w:sz w:val="22"/>
              <w:szCs w:val="22"/>
              <w:lang w:eastAsia="en-GB"/>
            </w:rPr>
          </w:pPr>
          <w:hyperlink w:anchor="_Toc496635638" w:history="1">
            <w:r>
              <w:rPr>
                <w:rStyle w:val="Hyperlink"/>
                <w:noProof/>
              </w:rPr>
              <w:t>6.6.1.2</w:t>
            </w:r>
            <w:r>
              <w:rPr>
                <w:rFonts w:asciiTheme="minorHAnsi" w:eastAsiaTheme="minorEastAsia" w:hAnsiTheme="minorHAnsi" w:cstheme="minorBidi"/>
                <w:noProof/>
                <w:sz w:val="22"/>
                <w:szCs w:val="22"/>
                <w:lang w:eastAsia="en-GB"/>
              </w:rPr>
              <w:tab/>
            </w:r>
            <w:r>
              <w:rPr>
                <w:rStyle w:val="Hyperlink"/>
                <w:noProof/>
              </w:rPr>
              <w:t>Extend the scope of the eco-innovation regime to include mobile air-conditioning (MAC) systems including a future review and possible adjustment of the cap on the eco-innovat</w:t>
            </w:r>
            <w:r>
              <w:rPr>
                <w:rStyle w:val="Hyperlink"/>
                <w:noProof/>
              </w:rPr>
              <w:t>ion savings (Option ECO 2)</w:t>
            </w:r>
            <w:r>
              <w:rPr>
                <w:noProof/>
                <w:webHidden/>
              </w:rPr>
              <w:tab/>
            </w:r>
            <w:r>
              <w:rPr>
                <w:noProof/>
                <w:webHidden/>
              </w:rPr>
              <w:fldChar w:fldCharType="begin"/>
            </w:r>
            <w:r>
              <w:rPr>
                <w:noProof/>
                <w:webHidden/>
              </w:rPr>
              <w:instrText xml:space="preserve"> PAGEREF _Toc496635638 \h </w:instrText>
            </w:r>
            <w:r>
              <w:rPr>
                <w:noProof/>
                <w:webHidden/>
              </w:rPr>
            </w:r>
            <w:r>
              <w:rPr>
                <w:noProof/>
                <w:webHidden/>
              </w:rPr>
              <w:fldChar w:fldCharType="separate"/>
            </w:r>
            <w:r>
              <w:rPr>
                <w:noProof/>
                <w:webHidden/>
              </w:rPr>
              <w:t>143</w:t>
            </w:r>
            <w:r>
              <w:rPr>
                <w:noProof/>
                <w:webHidden/>
              </w:rPr>
              <w:fldChar w:fldCharType="end"/>
            </w:r>
          </w:hyperlink>
        </w:p>
        <w:p w:rsidR="001A26B0" w:rsidRDefault="00E33A99">
          <w:pPr>
            <w:pStyle w:val="TOC3"/>
            <w:tabs>
              <w:tab w:val="left" w:pos="1916"/>
            </w:tabs>
            <w:rPr>
              <w:rFonts w:asciiTheme="minorHAnsi" w:eastAsiaTheme="minorEastAsia" w:hAnsiTheme="minorHAnsi" w:cstheme="minorBidi"/>
              <w:noProof/>
              <w:sz w:val="22"/>
              <w:szCs w:val="22"/>
              <w:lang w:eastAsia="en-GB"/>
            </w:rPr>
          </w:pPr>
          <w:hyperlink w:anchor="_Toc496635639" w:history="1">
            <w:r>
              <w:rPr>
                <w:rStyle w:val="Hyperlink"/>
                <w:noProof/>
              </w:rPr>
              <w:t>6.6.2</w:t>
            </w:r>
            <w:r>
              <w:rPr>
                <w:rFonts w:asciiTheme="minorHAnsi" w:eastAsiaTheme="minorEastAsia" w:hAnsiTheme="minorHAnsi" w:cstheme="minorBidi"/>
                <w:noProof/>
                <w:sz w:val="22"/>
                <w:szCs w:val="22"/>
                <w:lang w:eastAsia="en-GB"/>
              </w:rPr>
              <w:tab/>
            </w:r>
            <w:r>
              <w:rPr>
                <w:rStyle w:val="Hyperlink"/>
                <w:noProof/>
              </w:rPr>
              <w:t>Pooling (POOL)</w:t>
            </w:r>
            <w:r>
              <w:rPr>
                <w:noProof/>
                <w:webHidden/>
              </w:rPr>
              <w:tab/>
            </w:r>
            <w:r>
              <w:rPr>
                <w:noProof/>
                <w:webHidden/>
              </w:rPr>
              <w:fldChar w:fldCharType="begin"/>
            </w:r>
            <w:r>
              <w:rPr>
                <w:noProof/>
                <w:webHidden/>
              </w:rPr>
              <w:instrText xml:space="preserve"> PAGEREF _Toc496635639 \h </w:instrText>
            </w:r>
            <w:r>
              <w:rPr>
                <w:noProof/>
                <w:webHidden/>
              </w:rPr>
            </w:r>
            <w:r>
              <w:rPr>
                <w:noProof/>
                <w:webHidden/>
              </w:rPr>
              <w:fldChar w:fldCharType="separate"/>
            </w:r>
            <w:r>
              <w:rPr>
                <w:noProof/>
                <w:webHidden/>
              </w:rPr>
              <w:t>143</w:t>
            </w:r>
            <w:r>
              <w:rPr>
                <w:noProof/>
                <w:webHidden/>
              </w:rPr>
              <w:fldChar w:fldCharType="end"/>
            </w:r>
          </w:hyperlink>
        </w:p>
        <w:p w:rsidR="001A26B0" w:rsidRDefault="00E33A99">
          <w:pPr>
            <w:pStyle w:val="TOC4"/>
            <w:tabs>
              <w:tab w:val="left" w:pos="2880"/>
            </w:tabs>
            <w:rPr>
              <w:rFonts w:asciiTheme="minorHAnsi" w:eastAsiaTheme="minorEastAsia" w:hAnsiTheme="minorHAnsi" w:cstheme="minorBidi"/>
              <w:noProof/>
              <w:sz w:val="22"/>
              <w:szCs w:val="22"/>
              <w:lang w:eastAsia="en-GB"/>
            </w:rPr>
          </w:pPr>
          <w:hyperlink w:anchor="_Toc496635640" w:history="1">
            <w:r>
              <w:rPr>
                <w:rStyle w:val="Hyperlink"/>
                <w:noProof/>
              </w:rPr>
              <w:t>6.6.2.1</w:t>
            </w:r>
            <w:r>
              <w:rPr>
                <w:rFonts w:asciiTheme="minorHAnsi" w:eastAsiaTheme="minorEastAsia" w:hAnsiTheme="minorHAnsi" w:cstheme="minorBidi"/>
                <w:noProof/>
                <w:sz w:val="22"/>
                <w:szCs w:val="22"/>
                <w:lang w:eastAsia="en-GB"/>
              </w:rPr>
              <w:tab/>
            </w:r>
            <w:r>
              <w:rPr>
                <w:rStyle w:val="Hyperlink"/>
                <w:noProof/>
              </w:rPr>
              <w:t>Change nothing (Option POOL 0)</w:t>
            </w:r>
            <w:r>
              <w:rPr>
                <w:noProof/>
                <w:webHidden/>
              </w:rPr>
              <w:tab/>
            </w:r>
            <w:r>
              <w:rPr>
                <w:noProof/>
                <w:webHidden/>
              </w:rPr>
              <w:fldChar w:fldCharType="begin"/>
            </w:r>
            <w:r>
              <w:rPr>
                <w:noProof/>
                <w:webHidden/>
              </w:rPr>
              <w:instrText xml:space="preserve"> PAGEREF _Toc496635640 \h </w:instrText>
            </w:r>
            <w:r>
              <w:rPr>
                <w:noProof/>
                <w:webHidden/>
              </w:rPr>
            </w:r>
            <w:r>
              <w:rPr>
                <w:noProof/>
                <w:webHidden/>
              </w:rPr>
              <w:fldChar w:fldCharType="separate"/>
            </w:r>
            <w:r>
              <w:rPr>
                <w:noProof/>
                <w:webHidden/>
              </w:rPr>
              <w:t>143</w:t>
            </w:r>
            <w:r>
              <w:rPr>
                <w:noProof/>
                <w:webHidden/>
              </w:rPr>
              <w:fldChar w:fldCharType="end"/>
            </w:r>
          </w:hyperlink>
        </w:p>
        <w:p w:rsidR="001A26B0" w:rsidRDefault="00E33A99">
          <w:pPr>
            <w:pStyle w:val="TOC4"/>
            <w:tabs>
              <w:tab w:val="left" w:pos="2880"/>
            </w:tabs>
            <w:rPr>
              <w:rFonts w:asciiTheme="minorHAnsi" w:eastAsiaTheme="minorEastAsia" w:hAnsiTheme="minorHAnsi" w:cstheme="minorBidi"/>
              <w:noProof/>
              <w:sz w:val="22"/>
              <w:szCs w:val="22"/>
              <w:lang w:eastAsia="en-GB"/>
            </w:rPr>
          </w:pPr>
          <w:hyperlink w:anchor="_Toc496635641" w:history="1">
            <w:r>
              <w:rPr>
                <w:rStyle w:val="Hyperlink"/>
                <w:noProof/>
              </w:rPr>
              <w:t>6.6.2.2</w:t>
            </w:r>
            <w:r>
              <w:rPr>
                <w:rFonts w:asciiTheme="minorHAnsi" w:eastAsiaTheme="minorEastAsia" w:hAnsiTheme="minorHAnsi" w:cstheme="minorBidi"/>
                <w:noProof/>
                <w:sz w:val="22"/>
                <w:szCs w:val="22"/>
                <w:lang w:eastAsia="en-GB"/>
              </w:rPr>
              <w:tab/>
            </w:r>
            <w:r>
              <w:rPr>
                <w:rStyle w:val="Hyperlink"/>
                <w:noProof/>
              </w:rPr>
              <w:t>An empowerment for the Commission to specify the conditions for open pool arrangements (Option POOL 1)</w:t>
            </w:r>
            <w:r>
              <w:rPr>
                <w:noProof/>
                <w:webHidden/>
              </w:rPr>
              <w:tab/>
            </w:r>
            <w:r>
              <w:rPr>
                <w:noProof/>
                <w:webHidden/>
              </w:rPr>
              <w:fldChar w:fldCharType="begin"/>
            </w:r>
            <w:r>
              <w:rPr>
                <w:noProof/>
                <w:webHidden/>
              </w:rPr>
              <w:instrText xml:space="preserve"> PAGEREF _Toc496635641 \h </w:instrText>
            </w:r>
            <w:r>
              <w:rPr>
                <w:noProof/>
                <w:webHidden/>
              </w:rPr>
            </w:r>
            <w:r>
              <w:rPr>
                <w:noProof/>
                <w:webHidden/>
              </w:rPr>
              <w:fldChar w:fldCharType="separate"/>
            </w:r>
            <w:r>
              <w:rPr>
                <w:noProof/>
                <w:webHidden/>
              </w:rPr>
              <w:t>144</w:t>
            </w:r>
            <w:r>
              <w:rPr>
                <w:noProof/>
                <w:webHidden/>
              </w:rPr>
              <w:fldChar w:fldCharType="end"/>
            </w:r>
          </w:hyperlink>
        </w:p>
        <w:p w:rsidR="001A26B0" w:rsidRDefault="00E33A99">
          <w:pPr>
            <w:pStyle w:val="TOC3"/>
            <w:tabs>
              <w:tab w:val="left" w:pos="1916"/>
            </w:tabs>
            <w:rPr>
              <w:rFonts w:asciiTheme="minorHAnsi" w:eastAsiaTheme="minorEastAsia" w:hAnsiTheme="minorHAnsi" w:cstheme="minorBidi"/>
              <w:noProof/>
              <w:sz w:val="22"/>
              <w:szCs w:val="22"/>
              <w:lang w:eastAsia="en-GB"/>
            </w:rPr>
          </w:pPr>
          <w:hyperlink w:anchor="_Toc496635642" w:history="1">
            <w:r>
              <w:rPr>
                <w:rStyle w:val="Hyperlink"/>
                <w:noProof/>
              </w:rPr>
              <w:t>6.6.3</w:t>
            </w:r>
            <w:r>
              <w:rPr>
                <w:rFonts w:asciiTheme="minorHAnsi" w:eastAsiaTheme="minorEastAsia" w:hAnsiTheme="minorHAnsi" w:cstheme="minorBidi"/>
                <w:noProof/>
                <w:sz w:val="22"/>
                <w:szCs w:val="22"/>
                <w:lang w:eastAsia="en-GB"/>
              </w:rPr>
              <w:tab/>
            </w:r>
            <w:r>
              <w:rPr>
                <w:rStyle w:val="Hyperlink"/>
                <w:noProof/>
              </w:rPr>
              <w:t>Trading (TRADE)</w:t>
            </w:r>
            <w:r>
              <w:rPr>
                <w:noProof/>
                <w:webHidden/>
              </w:rPr>
              <w:tab/>
            </w:r>
            <w:r>
              <w:rPr>
                <w:noProof/>
                <w:webHidden/>
              </w:rPr>
              <w:fldChar w:fldCharType="begin"/>
            </w:r>
            <w:r>
              <w:rPr>
                <w:noProof/>
                <w:webHidden/>
              </w:rPr>
              <w:instrText xml:space="preserve"> PAGEREF _Toc496635642 \h </w:instrText>
            </w:r>
            <w:r>
              <w:rPr>
                <w:noProof/>
                <w:webHidden/>
              </w:rPr>
            </w:r>
            <w:r>
              <w:rPr>
                <w:noProof/>
                <w:webHidden/>
              </w:rPr>
              <w:fldChar w:fldCharType="separate"/>
            </w:r>
            <w:r>
              <w:rPr>
                <w:noProof/>
                <w:webHidden/>
              </w:rPr>
              <w:t>144</w:t>
            </w:r>
            <w:r>
              <w:rPr>
                <w:noProof/>
                <w:webHidden/>
              </w:rPr>
              <w:fldChar w:fldCharType="end"/>
            </w:r>
          </w:hyperlink>
        </w:p>
        <w:p w:rsidR="001A26B0" w:rsidRDefault="00E33A99">
          <w:pPr>
            <w:pStyle w:val="TOC4"/>
            <w:tabs>
              <w:tab w:val="left" w:pos="2880"/>
            </w:tabs>
            <w:rPr>
              <w:rFonts w:asciiTheme="minorHAnsi" w:eastAsiaTheme="minorEastAsia" w:hAnsiTheme="minorHAnsi" w:cstheme="minorBidi"/>
              <w:noProof/>
              <w:sz w:val="22"/>
              <w:szCs w:val="22"/>
              <w:lang w:eastAsia="en-GB"/>
            </w:rPr>
          </w:pPr>
          <w:hyperlink w:anchor="_Toc496635643" w:history="1">
            <w:r>
              <w:rPr>
                <w:rStyle w:val="Hyperlink"/>
                <w:noProof/>
              </w:rPr>
              <w:t>6.6.3.1</w:t>
            </w:r>
            <w:r>
              <w:rPr>
                <w:rFonts w:asciiTheme="minorHAnsi" w:eastAsiaTheme="minorEastAsia" w:hAnsiTheme="minorHAnsi" w:cstheme="minorBidi"/>
                <w:noProof/>
                <w:sz w:val="22"/>
                <w:szCs w:val="22"/>
                <w:lang w:eastAsia="en-GB"/>
              </w:rPr>
              <w:tab/>
            </w:r>
            <w:r>
              <w:rPr>
                <w:rStyle w:val="Hyperlink"/>
                <w:noProof/>
              </w:rPr>
              <w:t>Change nothi</w:t>
            </w:r>
            <w:r>
              <w:rPr>
                <w:rStyle w:val="Hyperlink"/>
                <w:noProof/>
              </w:rPr>
              <w:t>ng (Option TRADE 0)</w:t>
            </w:r>
            <w:r>
              <w:rPr>
                <w:noProof/>
                <w:webHidden/>
              </w:rPr>
              <w:tab/>
            </w:r>
            <w:r>
              <w:rPr>
                <w:noProof/>
                <w:webHidden/>
              </w:rPr>
              <w:fldChar w:fldCharType="begin"/>
            </w:r>
            <w:r>
              <w:rPr>
                <w:noProof/>
                <w:webHidden/>
              </w:rPr>
              <w:instrText xml:space="preserve"> PAGEREF _Toc496635643 \h </w:instrText>
            </w:r>
            <w:r>
              <w:rPr>
                <w:noProof/>
                <w:webHidden/>
              </w:rPr>
            </w:r>
            <w:r>
              <w:rPr>
                <w:noProof/>
                <w:webHidden/>
              </w:rPr>
              <w:fldChar w:fldCharType="separate"/>
            </w:r>
            <w:r>
              <w:rPr>
                <w:noProof/>
                <w:webHidden/>
              </w:rPr>
              <w:t>144</w:t>
            </w:r>
            <w:r>
              <w:rPr>
                <w:noProof/>
                <w:webHidden/>
              </w:rPr>
              <w:fldChar w:fldCharType="end"/>
            </w:r>
          </w:hyperlink>
        </w:p>
        <w:p w:rsidR="001A26B0" w:rsidRDefault="00E33A99">
          <w:pPr>
            <w:pStyle w:val="TOC4"/>
            <w:tabs>
              <w:tab w:val="left" w:pos="2880"/>
            </w:tabs>
            <w:rPr>
              <w:rFonts w:asciiTheme="minorHAnsi" w:eastAsiaTheme="minorEastAsia" w:hAnsiTheme="minorHAnsi" w:cstheme="minorBidi"/>
              <w:noProof/>
              <w:sz w:val="22"/>
              <w:szCs w:val="22"/>
              <w:lang w:eastAsia="en-GB"/>
            </w:rPr>
          </w:pPr>
          <w:hyperlink w:anchor="_Toc496635644" w:history="1">
            <w:r>
              <w:rPr>
                <w:rStyle w:val="Hyperlink"/>
                <w:noProof/>
              </w:rPr>
              <w:t>6.6.3.2</w:t>
            </w:r>
            <w:r>
              <w:rPr>
                <w:rFonts w:asciiTheme="minorHAnsi" w:eastAsiaTheme="minorEastAsia" w:hAnsiTheme="minorHAnsi" w:cstheme="minorBidi"/>
                <w:noProof/>
                <w:sz w:val="22"/>
                <w:szCs w:val="22"/>
                <w:lang w:eastAsia="en-GB"/>
              </w:rPr>
              <w:tab/>
            </w:r>
            <w:r>
              <w:rPr>
                <w:rStyle w:val="Hyperlink"/>
                <w:noProof/>
              </w:rPr>
              <w:t>Introduce trading as an additional modality for reaching the CO</w:t>
            </w:r>
            <w:r>
              <w:rPr>
                <w:rStyle w:val="Hyperlink"/>
                <w:noProof/>
                <w:vertAlign w:val="subscript"/>
              </w:rPr>
              <w:t>2</w:t>
            </w:r>
            <w:r>
              <w:rPr>
                <w:rStyle w:val="Hyperlink"/>
                <w:noProof/>
              </w:rPr>
              <w:t xml:space="preserve"> targets and/or LEV mandates (Opti</w:t>
            </w:r>
            <w:r>
              <w:rPr>
                <w:rStyle w:val="Hyperlink"/>
                <w:noProof/>
              </w:rPr>
              <w:t>on TRADE 1)</w:t>
            </w:r>
            <w:r>
              <w:rPr>
                <w:noProof/>
                <w:webHidden/>
              </w:rPr>
              <w:tab/>
            </w:r>
            <w:r>
              <w:rPr>
                <w:noProof/>
                <w:webHidden/>
              </w:rPr>
              <w:fldChar w:fldCharType="begin"/>
            </w:r>
            <w:r>
              <w:rPr>
                <w:noProof/>
                <w:webHidden/>
              </w:rPr>
              <w:instrText xml:space="preserve"> PAGEREF _Toc496635644 \h </w:instrText>
            </w:r>
            <w:r>
              <w:rPr>
                <w:noProof/>
                <w:webHidden/>
              </w:rPr>
            </w:r>
            <w:r>
              <w:rPr>
                <w:noProof/>
                <w:webHidden/>
              </w:rPr>
              <w:fldChar w:fldCharType="separate"/>
            </w:r>
            <w:r>
              <w:rPr>
                <w:noProof/>
                <w:webHidden/>
              </w:rPr>
              <w:t>144</w:t>
            </w:r>
            <w:r>
              <w:rPr>
                <w:noProof/>
                <w:webHidden/>
              </w:rPr>
              <w:fldChar w:fldCharType="end"/>
            </w:r>
          </w:hyperlink>
        </w:p>
        <w:p w:rsidR="001A26B0" w:rsidRDefault="00E33A99">
          <w:pPr>
            <w:pStyle w:val="TOC3"/>
            <w:tabs>
              <w:tab w:val="left" w:pos="1916"/>
            </w:tabs>
            <w:rPr>
              <w:rFonts w:asciiTheme="minorHAnsi" w:eastAsiaTheme="minorEastAsia" w:hAnsiTheme="minorHAnsi" w:cstheme="minorBidi"/>
              <w:noProof/>
              <w:sz w:val="22"/>
              <w:szCs w:val="22"/>
              <w:lang w:eastAsia="en-GB"/>
            </w:rPr>
          </w:pPr>
          <w:hyperlink w:anchor="_Toc496635645" w:history="1">
            <w:r>
              <w:rPr>
                <w:rStyle w:val="Hyperlink"/>
                <w:noProof/>
              </w:rPr>
              <w:t>6.6.4</w:t>
            </w:r>
            <w:r>
              <w:rPr>
                <w:rFonts w:asciiTheme="minorHAnsi" w:eastAsiaTheme="minorEastAsia" w:hAnsiTheme="minorHAnsi" w:cstheme="minorBidi"/>
                <w:noProof/>
                <w:sz w:val="22"/>
                <w:szCs w:val="22"/>
                <w:lang w:eastAsia="en-GB"/>
              </w:rPr>
              <w:tab/>
            </w:r>
            <w:r>
              <w:rPr>
                <w:rStyle w:val="Hyperlink"/>
                <w:noProof/>
              </w:rPr>
              <w:t>Banking and borrowing (BB)</w:t>
            </w:r>
            <w:r>
              <w:rPr>
                <w:noProof/>
                <w:webHidden/>
              </w:rPr>
              <w:tab/>
            </w:r>
            <w:r>
              <w:rPr>
                <w:noProof/>
                <w:webHidden/>
              </w:rPr>
              <w:fldChar w:fldCharType="begin"/>
            </w:r>
            <w:r>
              <w:rPr>
                <w:noProof/>
                <w:webHidden/>
              </w:rPr>
              <w:instrText xml:space="preserve"> PAGEREF _Toc496635645 \h </w:instrText>
            </w:r>
            <w:r>
              <w:rPr>
                <w:noProof/>
                <w:webHidden/>
              </w:rPr>
            </w:r>
            <w:r>
              <w:rPr>
                <w:noProof/>
                <w:webHidden/>
              </w:rPr>
              <w:fldChar w:fldCharType="separate"/>
            </w:r>
            <w:r>
              <w:rPr>
                <w:noProof/>
                <w:webHidden/>
              </w:rPr>
              <w:t>145</w:t>
            </w:r>
            <w:r>
              <w:rPr>
                <w:noProof/>
                <w:webHidden/>
              </w:rPr>
              <w:fldChar w:fldCharType="end"/>
            </w:r>
          </w:hyperlink>
        </w:p>
        <w:p w:rsidR="001A26B0" w:rsidRDefault="00E33A99">
          <w:pPr>
            <w:pStyle w:val="TOC4"/>
            <w:tabs>
              <w:tab w:val="left" w:pos="2880"/>
            </w:tabs>
            <w:rPr>
              <w:rFonts w:asciiTheme="minorHAnsi" w:eastAsiaTheme="minorEastAsia" w:hAnsiTheme="minorHAnsi" w:cstheme="minorBidi"/>
              <w:noProof/>
              <w:sz w:val="22"/>
              <w:szCs w:val="22"/>
              <w:lang w:eastAsia="en-GB"/>
            </w:rPr>
          </w:pPr>
          <w:hyperlink w:anchor="_Toc496635646" w:history="1">
            <w:r>
              <w:rPr>
                <w:rStyle w:val="Hyperlink"/>
                <w:noProof/>
              </w:rPr>
              <w:t>6.6.4.1</w:t>
            </w:r>
            <w:r>
              <w:rPr>
                <w:rFonts w:asciiTheme="minorHAnsi" w:eastAsiaTheme="minorEastAsia" w:hAnsiTheme="minorHAnsi" w:cstheme="minorBidi"/>
                <w:noProof/>
                <w:sz w:val="22"/>
                <w:szCs w:val="22"/>
                <w:lang w:eastAsia="en-GB"/>
              </w:rPr>
              <w:tab/>
            </w:r>
            <w:r>
              <w:rPr>
                <w:rStyle w:val="Hyperlink"/>
                <w:noProof/>
              </w:rPr>
              <w:t>Change nothing (Option BB 0)</w:t>
            </w:r>
            <w:r>
              <w:rPr>
                <w:noProof/>
                <w:webHidden/>
              </w:rPr>
              <w:tab/>
            </w:r>
            <w:r>
              <w:rPr>
                <w:noProof/>
                <w:webHidden/>
              </w:rPr>
              <w:fldChar w:fldCharType="begin"/>
            </w:r>
            <w:r>
              <w:rPr>
                <w:noProof/>
                <w:webHidden/>
              </w:rPr>
              <w:instrText xml:space="preserve"> PAGEREF _Toc496635646 \h </w:instrText>
            </w:r>
            <w:r>
              <w:rPr>
                <w:noProof/>
                <w:webHidden/>
              </w:rPr>
            </w:r>
            <w:r>
              <w:rPr>
                <w:noProof/>
                <w:webHidden/>
              </w:rPr>
              <w:fldChar w:fldCharType="separate"/>
            </w:r>
            <w:r>
              <w:rPr>
                <w:noProof/>
                <w:webHidden/>
              </w:rPr>
              <w:t>145</w:t>
            </w:r>
            <w:r>
              <w:rPr>
                <w:noProof/>
                <w:webHidden/>
              </w:rPr>
              <w:fldChar w:fldCharType="end"/>
            </w:r>
          </w:hyperlink>
        </w:p>
        <w:p w:rsidR="001A26B0" w:rsidRDefault="00E33A99">
          <w:pPr>
            <w:pStyle w:val="TOC4"/>
            <w:tabs>
              <w:tab w:val="left" w:pos="2880"/>
            </w:tabs>
            <w:rPr>
              <w:rFonts w:asciiTheme="minorHAnsi" w:eastAsiaTheme="minorEastAsia" w:hAnsiTheme="minorHAnsi" w:cstheme="minorBidi"/>
              <w:noProof/>
              <w:sz w:val="22"/>
              <w:szCs w:val="22"/>
              <w:lang w:eastAsia="en-GB"/>
            </w:rPr>
          </w:pPr>
          <w:hyperlink w:anchor="_Toc496635647" w:history="1">
            <w:r>
              <w:rPr>
                <w:rStyle w:val="Hyperlink"/>
                <w:noProof/>
              </w:rPr>
              <w:t>6.6.4.2</w:t>
            </w:r>
            <w:r>
              <w:rPr>
                <w:rFonts w:asciiTheme="minorHAnsi" w:eastAsiaTheme="minorEastAsia" w:hAnsiTheme="minorHAnsi" w:cstheme="minorBidi"/>
                <w:noProof/>
                <w:sz w:val="22"/>
                <w:szCs w:val="22"/>
                <w:lang w:eastAsia="en-GB"/>
              </w:rPr>
              <w:tab/>
            </w:r>
            <w:r>
              <w:rPr>
                <w:rStyle w:val="Hyperlink"/>
                <w:noProof/>
              </w:rPr>
              <w:t>Banking only (Option BB1)</w:t>
            </w:r>
            <w:r>
              <w:rPr>
                <w:noProof/>
                <w:webHidden/>
              </w:rPr>
              <w:tab/>
            </w:r>
            <w:r>
              <w:rPr>
                <w:noProof/>
                <w:webHidden/>
              </w:rPr>
              <w:fldChar w:fldCharType="begin"/>
            </w:r>
            <w:r>
              <w:rPr>
                <w:noProof/>
                <w:webHidden/>
              </w:rPr>
              <w:instrText xml:space="preserve"> PAGEREF _Toc496635647 \h </w:instrText>
            </w:r>
            <w:r>
              <w:rPr>
                <w:noProof/>
                <w:webHidden/>
              </w:rPr>
            </w:r>
            <w:r>
              <w:rPr>
                <w:noProof/>
                <w:webHidden/>
              </w:rPr>
              <w:fldChar w:fldCharType="separate"/>
            </w:r>
            <w:r>
              <w:rPr>
                <w:noProof/>
                <w:webHidden/>
              </w:rPr>
              <w:t>146</w:t>
            </w:r>
            <w:r>
              <w:rPr>
                <w:noProof/>
                <w:webHidden/>
              </w:rPr>
              <w:fldChar w:fldCharType="end"/>
            </w:r>
          </w:hyperlink>
        </w:p>
        <w:p w:rsidR="001A26B0" w:rsidRDefault="00E33A99">
          <w:pPr>
            <w:pStyle w:val="TOC4"/>
            <w:tabs>
              <w:tab w:val="left" w:pos="2880"/>
            </w:tabs>
            <w:rPr>
              <w:rFonts w:asciiTheme="minorHAnsi" w:eastAsiaTheme="minorEastAsia" w:hAnsiTheme="minorHAnsi" w:cstheme="minorBidi"/>
              <w:noProof/>
              <w:sz w:val="22"/>
              <w:szCs w:val="22"/>
              <w:lang w:eastAsia="en-GB"/>
            </w:rPr>
          </w:pPr>
          <w:hyperlink w:anchor="_Toc496635648" w:history="1">
            <w:r>
              <w:rPr>
                <w:rStyle w:val="Hyperlink"/>
                <w:noProof/>
              </w:rPr>
              <w:t>6.6.4.3</w:t>
            </w:r>
            <w:r>
              <w:rPr>
                <w:rFonts w:asciiTheme="minorHAnsi" w:eastAsiaTheme="minorEastAsia" w:hAnsiTheme="minorHAnsi" w:cstheme="minorBidi"/>
                <w:noProof/>
                <w:sz w:val="22"/>
                <w:szCs w:val="22"/>
                <w:lang w:eastAsia="en-GB"/>
              </w:rPr>
              <w:tab/>
            </w:r>
            <w:r>
              <w:rPr>
                <w:rStyle w:val="Hyperlink"/>
                <w:noProof/>
              </w:rPr>
              <w:t>Banking and borrowing (Option BB 2)</w:t>
            </w:r>
            <w:r>
              <w:rPr>
                <w:noProof/>
                <w:webHidden/>
              </w:rPr>
              <w:tab/>
            </w:r>
            <w:r>
              <w:rPr>
                <w:noProof/>
                <w:webHidden/>
              </w:rPr>
              <w:fldChar w:fldCharType="begin"/>
            </w:r>
            <w:r>
              <w:rPr>
                <w:noProof/>
                <w:webHidden/>
              </w:rPr>
              <w:instrText xml:space="preserve"> PAGEREF _Toc496</w:instrText>
            </w:r>
            <w:r>
              <w:rPr>
                <w:noProof/>
                <w:webHidden/>
              </w:rPr>
              <w:instrText xml:space="preserve">635648 \h </w:instrText>
            </w:r>
            <w:r>
              <w:rPr>
                <w:noProof/>
                <w:webHidden/>
              </w:rPr>
            </w:r>
            <w:r>
              <w:rPr>
                <w:noProof/>
                <w:webHidden/>
              </w:rPr>
              <w:fldChar w:fldCharType="separate"/>
            </w:r>
            <w:r>
              <w:rPr>
                <w:noProof/>
                <w:webHidden/>
              </w:rPr>
              <w:t>147</w:t>
            </w:r>
            <w:r>
              <w:rPr>
                <w:noProof/>
                <w:webHidden/>
              </w:rPr>
              <w:fldChar w:fldCharType="end"/>
            </w:r>
          </w:hyperlink>
        </w:p>
        <w:p w:rsidR="001A26B0" w:rsidRDefault="00E33A99">
          <w:pPr>
            <w:pStyle w:val="TOC3"/>
            <w:tabs>
              <w:tab w:val="left" w:pos="1916"/>
            </w:tabs>
            <w:rPr>
              <w:rFonts w:asciiTheme="minorHAnsi" w:eastAsiaTheme="minorEastAsia" w:hAnsiTheme="minorHAnsi" w:cstheme="minorBidi"/>
              <w:noProof/>
              <w:sz w:val="22"/>
              <w:szCs w:val="22"/>
              <w:lang w:eastAsia="en-GB"/>
            </w:rPr>
          </w:pPr>
          <w:hyperlink w:anchor="_Toc496635649" w:history="1">
            <w:r>
              <w:rPr>
                <w:rStyle w:val="Hyperlink"/>
                <w:noProof/>
              </w:rPr>
              <w:t>6.6.5</w:t>
            </w:r>
            <w:r>
              <w:rPr>
                <w:rFonts w:asciiTheme="minorHAnsi" w:eastAsiaTheme="minorEastAsia" w:hAnsiTheme="minorHAnsi" w:cstheme="minorBidi"/>
                <w:noProof/>
                <w:sz w:val="22"/>
                <w:szCs w:val="22"/>
                <w:lang w:eastAsia="en-GB"/>
              </w:rPr>
              <w:tab/>
            </w:r>
            <w:r>
              <w:rPr>
                <w:rStyle w:val="Hyperlink"/>
                <w:noProof/>
              </w:rPr>
              <w:t>Niche derogations for car manufacturers (NIC)</w:t>
            </w:r>
            <w:r>
              <w:rPr>
                <w:noProof/>
                <w:webHidden/>
              </w:rPr>
              <w:tab/>
            </w:r>
            <w:r>
              <w:rPr>
                <w:noProof/>
                <w:webHidden/>
              </w:rPr>
              <w:fldChar w:fldCharType="begin"/>
            </w:r>
            <w:r>
              <w:rPr>
                <w:noProof/>
                <w:webHidden/>
              </w:rPr>
              <w:instrText xml:space="preserve"> PAGEREF _Toc496635649 \h </w:instrText>
            </w:r>
            <w:r>
              <w:rPr>
                <w:noProof/>
                <w:webHidden/>
              </w:rPr>
            </w:r>
            <w:r>
              <w:rPr>
                <w:noProof/>
                <w:webHidden/>
              </w:rPr>
              <w:fldChar w:fldCharType="separate"/>
            </w:r>
            <w:r>
              <w:rPr>
                <w:noProof/>
                <w:webHidden/>
              </w:rPr>
              <w:t>147</w:t>
            </w:r>
            <w:r>
              <w:rPr>
                <w:noProof/>
                <w:webHidden/>
              </w:rPr>
              <w:fldChar w:fldCharType="end"/>
            </w:r>
          </w:hyperlink>
        </w:p>
        <w:p w:rsidR="001A26B0" w:rsidRDefault="00E33A99">
          <w:pPr>
            <w:pStyle w:val="TOC4"/>
            <w:tabs>
              <w:tab w:val="left" w:pos="2880"/>
            </w:tabs>
            <w:rPr>
              <w:rFonts w:asciiTheme="minorHAnsi" w:eastAsiaTheme="minorEastAsia" w:hAnsiTheme="minorHAnsi" w:cstheme="minorBidi"/>
              <w:noProof/>
              <w:sz w:val="22"/>
              <w:szCs w:val="22"/>
              <w:lang w:eastAsia="en-GB"/>
            </w:rPr>
          </w:pPr>
          <w:hyperlink w:anchor="_Toc496635650" w:history="1">
            <w:r>
              <w:rPr>
                <w:rStyle w:val="Hyperlink"/>
                <w:noProof/>
              </w:rPr>
              <w:t>6.6.5.1</w:t>
            </w:r>
            <w:r>
              <w:rPr>
                <w:rFonts w:asciiTheme="minorHAnsi" w:eastAsiaTheme="minorEastAsia" w:hAnsiTheme="minorHAnsi" w:cstheme="minorBidi"/>
                <w:noProof/>
                <w:sz w:val="22"/>
                <w:szCs w:val="22"/>
                <w:lang w:eastAsia="en-GB"/>
              </w:rPr>
              <w:tab/>
            </w:r>
            <w:r>
              <w:rPr>
                <w:rStyle w:val="Hyperlink"/>
                <w:noProof/>
              </w:rPr>
              <w:t>Change nothing (Option NIC 0)</w:t>
            </w:r>
            <w:r>
              <w:rPr>
                <w:noProof/>
                <w:webHidden/>
              </w:rPr>
              <w:tab/>
            </w:r>
            <w:r>
              <w:rPr>
                <w:noProof/>
                <w:webHidden/>
              </w:rPr>
              <w:fldChar w:fldCharType="begin"/>
            </w:r>
            <w:r>
              <w:rPr>
                <w:noProof/>
                <w:webHidden/>
              </w:rPr>
              <w:instrText xml:space="preserve"> PAGEREF _Toc496635650 \h </w:instrText>
            </w:r>
            <w:r>
              <w:rPr>
                <w:noProof/>
                <w:webHidden/>
              </w:rPr>
            </w:r>
            <w:r>
              <w:rPr>
                <w:noProof/>
                <w:webHidden/>
              </w:rPr>
              <w:fldChar w:fldCharType="separate"/>
            </w:r>
            <w:r>
              <w:rPr>
                <w:noProof/>
                <w:webHidden/>
              </w:rPr>
              <w:t>147</w:t>
            </w:r>
            <w:r>
              <w:rPr>
                <w:noProof/>
                <w:webHidden/>
              </w:rPr>
              <w:fldChar w:fldCharType="end"/>
            </w:r>
          </w:hyperlink>
        </w:p>
        <w:p w:rsidR="001A26B0" w:rsidRDefault="00E33A99">
          <w:pPr>
            <w:pStyle w:val="TOC4"/>
            <w:tabs>
              <w:tab w:val="left" w:pos="2880"/>
            </w:tabs>
            <w:rPr>
              <w:rFonts w:asciiTheme="minorHAnsi" w:eastAsiaTheme="minorEastAsia" w:hAnsiTheme="minorHAnsi" w:cstheme="minorBidi"/>
              <w:noProof/>
              <w:sz w:val="22"/>
              <w:szCs w:val="22"/>
              <w:lang w:eastAsia="en-GB"/>
            </w:rPr>
          </w:pPr>
          <w:hyperlink w:anchor="_Toc496635651" w:history="1">
            <w:r>
              <w:rPr>
                <w:rStyle w:val="Hyperlink"/>
                <w:noProof/>
              </w:rPr>
              <w:t>6.6.5.2</w:t>
            </w:r>
            <w:r>
              <w:rPr>
                <w:rFonts w:asciiTheme="minorHAnsi" w:eastAsiaTheme="minorEastAsia" w:hAnsiTheme="minorHAnsi" w:cstheme="minorBidi"/>
                <w:noProof/>
                <w:sz w:val="22"/>
                <w:szCs w:val="22"/>
                <w:lang w:eastAsia="en-GB"/>
              </w:rPr>
              <w:tab/>
            </w:r>
            <w:r>
              <w:rPr>
                <w:rStyle w:val="Hyperlink"/>
                <w:noProof/>
              </w:rPr>
              <w:t>Set new derogation targets for niche manufacturers (Option NIC 1)</w:t>
            </w:r>
            <w:r>
              <w:rPr>
                <w:noProof/>
                <w:webHidden/>
              </w:rPr>
              <w:tab/>
            </w:r>
            <w:r>
              <w:rPr>
                <w:noProof/>
                <w:webHidden/>
              </w:rPr>
              <w:fldChar w:fldCharType="begin"/>
            </w:r>
            <w:r>
              <w:rPr>
                <w:noProof/>
                <w:webHidden/>
              </w:rPr>
              <w:instrText xml:space="preserve"> PAGEREF _Toc496635651 \h </w:instrText>
            </w:r>
            <w:r>
              <w:rPr>
                <w:noProof/>
                <w:webHidden/>
              </w:rPr>
            </w:r>
            <w:r>
              <w:rPr>
                <w:noProof/>
                <w:webHidden/>
              </w:rPr>
              <w:fldChar w:fldCharType="separate"/>
            </w:r>
            <w:r>
              <w:rPr>
                <w:noProof/>
                <w:webHidden/>
              </w:rPr>
              <w:t>148</w:t>
            </w:r>
            <w:r>
              <w:rPr>
                <w:noProof/>
                <w:webHidden/>
              </w:rPr>
              <w:fldChar w:fldCharType="end"/>
            </w:r>
          </w:hyperlink>
        </w:p>
        <w:p w:rsidR="001A26B0" w:rsidRDefault="00E33A99">
          <w:pPr>
            <w:pStyle w:val="TOC4"/>
            <w:tabs>
              <w:tab w:val="left" w:pos="2880"/>
            </w:tabs>
            <w:rPr>
              <w:rFonts w:asciiTheme="minorHAnsi" w:eastAsiaTheme="minorEastAsia" w:hAnsiTheme="minorHAnsi" w:cstheme="minorBidi"/>
              <w:noProof/>
              <w:sz w:val="22"/>
              <w:szCs w:val="22"/>
              <w:lang w:eastAsia="en-GB"/>
            </w:rPr>
          </w:pPr>
          <w:hyperlink w:anchor="_Toc496635652" w:history="1">
            <w:r>
              <w:rPr>
                <w:rStyle w:val="Hyperlink"/>
                <w:noProof/>
              </w:rPr>
              <w:t>6.6.5.3</w:t>
            </w:r>
            <w:r>
              <w:rPr>
                <w:rFonts w:asciiTheme="minorHAnsi" w:eastAsiaTheme="minorEastAsia" w:hAnsiTheme="minorHAnsi" w:cstheme="minorBidi"/>
                <w:noProof/>
                <w:sz w:val="22"/>
                <w:szCs w:val="22"/>
                <w:lang w:eastAsia="en-GB"/>
              </w:rPr>
              <w:tab/>
            </w:r>
            <w:r>
              <w:rPr>
                <w:rStyle w:val="Hyperlink"/>
                <w:noProof/>
              </w:rPr>
              <w:t>Remove the niche derogation (Optio</w:t>
            </w:r>
            <w:r>
              <w:rPr>
                <w:rStyle w:val="Hyperlink"/>
                <w:noProof/>
              </w:rPr>
              <w:t>n NIC 2)</w:t>
            </w:r>
            <w:r>
              <w:rPr>
                <w:noProof/>
                <w:webHidden/>
              </w:rPr>
              <w:tab/>
            </w:r>
            <w:r>
              <w:rPr>
                <w:noProof/>
                <w:webHidden/>
              </w:rPr>
              <w:fldChar w:fldCharType="begin"/>
            </w:r>
            <w:r>
              <w:rPr>
                <w:noProof/>
                <w:webHidden/>
              </w:rPr>
              <w:instrText xml:space="preserve"> PAGEREF _Toc496635652 \h </w:instrText>
            </w:r>
            <w:r>
              <w:rPr>
                <w:noProof/>
                <w:webHidden/>
              </w:rPr>
            </w:r>
            <w:r>
              <w:rPr>
                <w:noProof/>
                <w:webHidden/>
              </w:rPr>
              <w:fldChar w:fldCharType="separate"/>
            </w:r>
            <w:r>
              <w:rPr>
                <w:noProof/>
                <w:webHidden/>
              </w:rPr>
              <w:t>149</w:t>
            </w:r>
            <w:r>
              <w:rPr>
                <w:noProof/>
                <w:webHidden/>
              </w:rPr>
              <w:fldChar w:fldCharType="end"/>
            </w:r>
          </w:hyperlink>
        </w:p>
        <w:p w:rsidR="001A26B0" w:rsidRDefault="00E33A99">
          <w:pPr>
            <w:pStyle w:val="TOC2"/>
            <w:tabs>
              <w:tab w:val="left" w:pos="1077"/>
            </w:tabs>
            <w:rPr>
              <w:rFonts w:asciiTheme="minorHAnsi" w:eastAsiaTheme="minorEastAsia" w:hAnsiTheme="minorHAnsi" w:cstheme="minorBidi"/>
              <w:noProof/>
              <w:sz w:val="22"/>
              <w:szCs w:val="22"/>
              <w:lang w:eastAsia="en-GB"/>
            </w:rPr>
          </w:pPr>
          <w:hyperlink w:anchor="_Toc496635653" w:history="1">
            <w:r>
              <w:rPr>
                <w:rStyle w:val="Hyperlink"/>
                <w:noProof/>
              </w:rPr>
              <w:t>6.7</w:t>
            </w:r>
            <w:r>
              <w:rPr>
                <w:rFonts w:asciiTheme="minorHAnsi" w:eastAsiaTheme="minorEastAsia" w:hAnsiTheme="minorHAnsi" w:cstheme="minorBidi"/>
                <w:noProof/>
                <w:sz w:val="22"/>
                <w:szCs w:val="22"/>
                <w:lang w:eastAsia="en-GB"/>
              </w:rPr>
              <w:tab/>
            </w:r>
            <w:r>
              <w:rPr>
                <w:rStyle w:val="Hyperlink"/>
                <w:noProof/>
              </w:rPr>
              <w:t>Governance</w:t>
            </w:r>
            <w:r>
              <w:rPr>
                <w:noProof/>
                <w:webHidden/>
              </w:rPr>
              <w:tab/>
            </w:r>
            <w:r>
              <w:rPr>
                <w:noProof/>
                <w:webHidden/>
              </w:rPr>
              <w:fldChar w:fldCharType="begin"/>
            </w:r>
            <w:r>
              <w:rPr>
                <w:noProof/>
                <w:webHidden/>
              </w:rPr>
              <w:instrText xml:space="preserve"> PAGEREF _Toc496635653 \h </w:instrText>
            </w:r>
            <w:r>
              <w:rPr>
                <w:noProof/>
                <w:webHidden/>
              </w:rPr>
            </w:r>
            <w:r>
              <w:rPr>
                <w:noProof/>
                <w:webHidden/>
              </w:rPr>
              <w:fldChar w:fldCharType="separate"/>
            </w:r>
            <w:r>
              <w:rPr>
                <w:noProof/>
                <w:webHidden/>
              </w:rPr>
              <w:t>150</w:t>
            </w:r>
            <w:r>
              <w:rPr>
                <w:noProof/>
                <w:webHidden/>
              </w:rPr>
              <w:fldChar w:fldCharType="end"/>
            </w:r>
          </w:hyperlink>
        </w:p>
        <w:p w:rsidR="001A26B0" w:rsidRDefault="00E33A99">
          <w:pPr>
            <w:pStyle w:val="TOC3"/>
            <w:tabs>
              <w:tab w:val="left" w:pos="1916"/>
            </w:tabs>
            <w:rPr>
              <w:rFonts w:asciiTheme="minorHAnsi" w:eastAsiaTheme="minorEastAsia" w:hAnsiTheme="minorHAnsi" w:cstheme="minorBidi"/>
              <w:noProof/>
              <w:sz w:val="22"/>
              <w:szCs w:val="22"/>
              <w:lang w:eastAsia="en-GB"/>
            </w:rPr>
          </w:pPr>
          <w:hyperlink w:anchor="_Toc496635654" w:history="1">
            <w:r>
              <w:rPr>
                <w:rStyle w:val="Hyperlink"/>
                <w:noProof/>
              </w:rPr>
              <w:t>6.7.1</w:t>
            </w:r>
            <w:r>
              <w:rPr>
                <w:rFonts w:asciiTheme="minorHAnsi" w:eastAsiaTheme="minorEastAsia" w:hAnsiTheme="minorHAnsi" w:cstheme="minorBidi"/>
                <w:noProof/>
                <w:sz w:val="22"/>
                <w:szCs w:val="22"/>
                <w:lang w:eastAsia="en-GB"/>
              </w:rPr>
              <w:tab/>
            </w:r>
            <w:r>
              <w:rPr>
                <w:rStyle w:val="Hyperlink"/>
                <w:noProof/>
              </w:rPr>
              <w:t>Real-world emissions (RWG)</w:t>
            </w:r>
            <w:r>
              <w:rPr>
                <w:noProof/>
                <w:webHidden/>
              </w:rPr>
              <w:tab/>
            </w:r>
            <w:r>
              <w:rPr>
                <w:noProof/>
                <w:webHidden/>
              </w:rPr>
              <w:fldChar w:fldCharType="begin"/>
            </w:r>
            <w:r>
              <w:rPr>
                <w:noProof/>
                <w:webHidden/>
              </w:rPr>
              <w:instrText xml:space="preserve"> PAGEREF _Toc496635654 \h </w:instrText>
            </w:r>
            <w:r>
              <w:rPr>
                <w:noProof/>
                <w:webHidden/>
              </w:rPr>
            </w:r>
            <w:r>
              <w:rPr>
                <w:noProof/>
                <w:webHidden/>
              </w:rPr>
              <w:fldChar w:fldCharType="separate"/>
            </w:r>
            <w:r>
              <w:rPr>
                <w:noProof/>
                <w:webHidden/>
              </w:rPr>
              <w:t>150</w:t>
            </w:r>
            <w:r>
              <w:rPr>
                <w:noProof/>
                <w:webHidden/>
              </w:rPr>
              <w:fldChar w:fldCharType="end"/>
            </w:r>
          </w:hyperlink>
        </w:p>
        <w:p w:rsidR="001A26B0" w:rsidRDefault="00E33A99">
          <w:pPr>
            <w:pStyle w:val="TOC4"/>
            <w:tabs>
              <w:tab w:val="left" w:pos="2880"/>
            </w:tabs>
            <w:rPr>
              <w:rFonts w:asciiTheme="minorHAnsi" w:eastAsiaTheme="minorEastAsia" w:hAnsiTheme="minorHAnsi" w:cstheme="minorBidi"/>
              <w:noProof/>
              <w:sz w:val="22"/>
              <w:szCs w:val="22"/>
              <w:lang w:eastAsia="en-GB"/>
            </w:rPr>
          </w:pPr>
          <w:hyperlink w:anchor="_Toc496635655" w:history="1">
            <w:r>
              <w:rPr>
                <w:rStyle w:val="Hyperlink"/>
                <w:noProof/>
              </w:rPr>
              <w:t>6.7.1.1</w:t>
            </w:r>
            <w:r>
              <w:rPr>
                <w:rFonts w:asciiTheme="minorHAnsi" w:eastAsiaTheme="minorEastAsia" w:hAnsiTheme="minorHAnsi" w:cstheme="minorBidi"/>
                <w:noProof/>
                <w:sz w:val="22"/>
                <w:szCs w:val="22"/>
                <w:lang w:eastAsia="en-GB"/>
              </w:rPr>
              <w:tab/>
            </w:r>
            <w:r>
              <w:rPr>
                <w:rStyle w:val="Hyperlink"/>
                <w:noProof/>
              </w:rPr>
              <w:t>Change nothing (Option RWG 0)</w:t>
            </w:r>
            <w:r>
              <w:rPr>
                <w:noProof/>
                <w:webHidden/>
              </w:rPr>
              <w:tab/>
            </w:r>
            <w:r>
              <w:rPr>
                <w:noProof/>
                <w:webHidden/>
              </w:rPr>
              <w:fldChar w:fldCharType="begin"/>
            </w:r>
            <w:r>
              <w:rPr>
                <w:noProof/>
                <w:webHidden/>
              </w:rPr>
              <w:instrText xml:space="preserve"> PAGEREF _Toc496635655 \</w:instrText>
            </w:r>
            <w:r>
              <w:rPr>
                <w:noProof/>
                <w:webHidden/>
              </w:rPr>
              <w:instrText xml:space="preserve">h </w:instrText>
            </w:r>
            <w:r>
              <w:rPr>
                <w:noProof/>
                <w:webHidden/>
              </w:rPr>
            </w:r>
            <w:r>
              <w:rPr>
                <w:noProof/>
                <w:webHidden/>
              </w:rPr>
              <w:fldChar w:fldCharType="separate"/>
            </w:r>
            <w:r>
              <w:rPr>
                <w:noProof/>
                <w:webHidden/>
              </w:rPr>
              <w:t>150</w:t>
            </w:r>
            <w:r>
              <w:rPr>
                <w:noProof/>
                <w:webHidden/>
              </w:rPr>
              <w:fldChar w:fldCharType="end"/>
            </w:r>
          </w:hyperlink>
        </w:p>
        <w:p w:rsidR="001A26B0" w:rsidRDefault="00E33A99">
          <w:pPr>
            <w:pStyle w:val="TOC4"/>
            <w:tabs>
              <w:tab w:val="left" w:pos="2880"/>
            </w:tabs>
            <w:rPr>
              <w:rFonts w:asciiTheme="minorHAnsi" w:eastAsiaTheme="minorEastAsia" w:hAnsiTheme="minorHAnsi" w:cstheme="minorBidi"/>
              <w:noProof/>
              <w:sz w:val="22"/>
              <w:szCs w:val="22"/>
              <w:lang w:eastAsia="en-GB"/>
            </w:rPr>
          </w:pPr>
          <w:hyperlink w:anchor="_Toc496635656" w:history="1">
            <w:r>
              <w:rPr>
                <w:rStyle w:val="Hyperlink"/>
                <w:noProof/>
              </w:rPr>
              <w:t>6.7.1.2</w:t>
            </w:r>
            <w:r>
              <w:rPr>
                <w:rFonts w:asciiTheme="minorHAnsi" w:eastAsiaTheme="minorEastAsia" w:hAnsiTheme="minorHAnsi" w:cstheme="minorBidi"/>
                <w:noProof/>
                <w:sz w:val="22"/>
                <w:szCs w:val="22"/>
                <w:lang w:eastAsia="en-GB"/>
              </w:rPr>
              <w:tab/>
            </w:r>
            <w:r>
              <w:rPr>
                <w:rStyle w:val="Hyperlink"/>
                <w:noProof/>
              </w:rPr>
              <w:t>Option RWG 1:  Collection, publication, and monitoring of real world fuel consumption data</w:t>
            </w:r>
            <w:r>
              <w:rPr>
                <w:noProof/>
                <w:webHidden/>
              </w:rPr>
              <w:tab/>
            </w:r>
            <w:r>
              <w:rPr>
                <w:noProof/>
                <w:webHidden/>
              </w:rPr>
              <w:fldChar w:fldCharType="begin"/>
            </w:r>
            <w:r>
              <w:rPr>
                <w:noProof/>
                <w:webHidden/>
              </w:rPr>
              <w:instrText xml:space="preserve"> PAGEREF _Toc496635656 \h </w:instrText>
            </w:r>
            <w:r>
              <w:rPr>
                <w:noProof/>
                <w:webHidden/>
              </w:rPr>
            </w:r>
            <w:r>
              <w:rPr>
                <w:noProof/>
                <w:webHidden/>
              </w:rPr>
              <w:fldChar w:fldCharType="separate"/>
            </w:r>
            <w:r>
              <w:rPr>
                <w:noProof/>
                <w:webHidden/>
              </w:rPr>
              <w:t>150</w:t>
            </w:r>
            <w:r>
              <w:rPr>
                <w:noProof/>
                <w:webHidden/>
              </w:rPr>
              <w:fldChar w:fldCharType="end"/>
            </w:r>
          </w:hyperlink>
        </w:p>
        <w:p w:rsidR="001A26B0" w:rsidRDefault="00E33A99">
          <w:pPr>
            <w:pStyle w:val="TOC3"/>
            <w:tabs>
              <w:tab w:val="left" w:pos="1916"/>
            </w:tabs>
            <w:rPr>
              <w:rFonts w:asciiTheme="minorHAnsi" w:eastAsiaTheme="minorEastAsia" w:hAnsiTheme="minorHAnsi" w:cstheme="minorBidi"/>
              <w:noProof/>
              <w:sz w:val="22"/>
              <w:szCs w:val="22"/>
              <w:lang w:eastAsia="en-GB"/>
            </w:rPr>
          </w:pPr>
          <w:hyperlink w:anchor="_Toc496635657" w:history="1">
            <w:r>
              <w:rPr>
                <w:rStyle w:val="Hyperlink"/>
                <w:noProof/>
              </w:rPr>
              <w:t>6.7.2</w:t>
            </w:r>
            <w:r>
              <w:rPr>
                <w:rFonts w:asciiTheme="minorHAnsi" w:eastAsiaTheme="minorEastAsia" w:hAnsiTheme="minorHAnsi" w:cstheme="minorBidi"/>
                <w:noProof/>
                <w:sz w:val="22"/>
                <w:szCs w:val="22"/>
                <w:lang w:eastAsia="en-GB"/>
              </w:rPr>
              <w:tab/>
            </w:r>
            <w:r>
              <w:rPr>
                <w:rStyle w:val="Hyperlink"/>
                <w:noProof/>
              </w:rPr>
              <w:t>Market surveillance (conformity of production, in service conformity) (MSU)</w:t>
            </w:r>
            <w:r>
              <w:rPr>
                <w:noProof/>
                <w:webHidden/>
              </w:rPr>
              <w:tab/>
            </w:r>
            <w:r>
              <w:rPr>
                <w:noProof/>
                <w:webHidden/>
              </w:rPr>
              <w:fldChar w:fldCharType="begin"/>
            </w:r>
            <w:r>
              <w:rPr>
                <w:noProof/>
                <w:webHidden/>
              </w:rPr>
              <w:instrText xml:space="preserve"> PAGEREF _Toc496635657 \h </w:instrText>
            </w:r>
            <w:r>
              <w:rPr>
                <w:noProof/>
                <w:webHidden/>
              </w:rPr>
            </w:r>
            <w:r>
              <w:rPr>
                <w:noProof/>
                <w:webHidden/>
              </w:rPr>
              <w:fldChar w:fldCharType="separate"/>
            </w:r>
            <w:r>
              <w:rPr>
                <w:noProof/>
                <w:webHidden/>
              </w:rPr>
              <w:t>151</w:t>
            </w:r>
            <w:r>
              <w:rPr>
                <w:noProof/>
                <w:webHidden/>
              </w:rPr>
              <w:fldChar w:fldCharType="end"/>
            </w:r>
          </w:hyperlink>
        </w:p>
        <w:p w:rsidR="001A26B0" w:rsidRDefault="00E33A99">
          <w:pPr>
            <w:pStyle w:val="TOC4"/>
            <w:tabs>
              <w:tab w:val="left" w:pos="2880"/>
            </w:tabs>
            <w:rPr>
              <w:rFonts w:asciiTheme="minorHAnsi" w:eastAsiaTheme="minorEastAsia" w:hAnsiTheme="minorHAnsi" w:cstheme="minorBidi"/>
              <w:noProof/>
              <w:sz w:val="22"/>
              <w:szCs w:val="22"/>
              <w:lang w:eastAsia="en-GB"/>
            </w:rPr>
          </w:pPr>
          <w:hyperlink w:anchor="_Toc496635658" w:history="1">
            <w:r>
              <w:rPr>
                <w:rStyle w:val="Hyperlink"/>
                <w:noProof/>
              </w:rPr>
              <w:t>6.7.2.1</w:t>
            </w:r>
            <w:r>
              <w:rPr>
                <w:rFonts w:asciiTheme="minorHAnsi" w:eastAsiaTheme="minorEastAsia" w:hAnsiTheme="minorHAnsi" w:cstheme="minorBidi"/>
                <w:noProof/>
                <w:sz w:val="22"/>
                <w:szCs w:val="22"/>
                <w:lang w:eastAsia="en-GB"/>
              </w:rPr>
              <w:tab/>
            </w:r>
            <w:r>
              <w:rPr>
                <w:rStyle w:val="Hyperlink"/>
                <w:noProof/>
              </w:rPr>
              <w:t>Option MSU 0 – no change</w:t>
            </w:r>
            <w:r>
              <w:rPr>
                <w:noProof/>
                <w:webHidden/>
              </w:rPr>
              <w:tab/>
            </w:r>
            <w:r>
              <w:rPr>
                <w:noProof/>
                <w:webHidden/>
              </w:rPr>
              <w:fldChar w:fldCharType="begin"/>
            </w:r>
            <w:r>
              <w:rPr>
                <w:noProof/>
                <w:webHidden/>
              </w:rPr>
              <w:instrText xml:space="preserve"> PAGEREF _Toc496635658 \h </w:instrText>
            </w:r>
            <w:r>
              <w:rPr>
                <w:noProof/>
                <w:webHidden/>
              </w:rPr>
            </w:r>
            <w:r>
              <w:rPr>
                <w:noProof/>
                <w:webHidden/>
              </w:rPr>
              <w:fldChar w:fldCharType="separate"/>
            </w:r>
            <w:r>
              <w:rPr>
                <w:noProof/>
                <w:webHidden/>
              </w:rPr>
              <w:t>151</w:t>
            </w:r>
            <w:r>
              <w:rPr>
                <w:noProof/>
                <w:webHidden/>
              </w:rPr>
              <w:fldChar w:fldCharType="end"/>
            </w:r>
          </w:hyperlink>
        </w:p>
        <w:p w:rsidR="001A26B0" w:rsidRDefault="00E33A99">
          <w:pPr>
            <w:pStyle w:val="TOC4"/>
            <w:tabs>
              <w:tab w:val="left" w:pos="2880"/>
            </w:tabs>
            <w:rPr>
              <w:rFonts w:asciiTheme="minorHAnsi" w:eastAsiaTheme="minorEastAsia" w:hAnsiTheme="minorHAnsi" w:cstheme="minorBidi"/>
              <w:noProof/>
              <w:sz w:val="22"/>
              <w:szCs w:val="22"/>
              <w:lang w:eastAsia="en-GB"/>
            </w:rPr>
          </w:pPr>
          <w:hyperlink w:anchor="_Toc496635659" w:history="1">
            <w:r>
              <w:rPr>
                <w:rStyle w:val="Hyperlink"/>
                <w:noProof/>
              </w:rPr>
              <w:t>6.7.2.2</w:t>
            </w:r>
            <w:r>
              <w:rPr>
                <w:rFonts w:asciiTheme="minorHAnsi" w:eastAsiaTheme="minorEastAsia" w:hAnsiTheme="minorHAnsi" w:cstheme="minorBidi"/>
                <w:noProof/>
                <w:sz w:val="22"/>
                <w:szCs w:val="22"/>
                <w:lang w:eastAsia="en-GB"/>
              </w:rPr>
              <w:tab/>
            </w:r>
            <w:r>
              <w:rPr>
                <w:rStyle w:val="Hyperlink"/>
                <w:noProof/>
              </w:rPr>
              <w:t>Option MSU 1: Obligation to report deviations and the introduction of a correction mechanism</w:t>
            </w:r>
            <w:r>
              <w:rPr>
                <w:noProof/>
                <w:webHidden/>
              </w:rPr>
              <w:tab/>
            </w:r>
            <w:r>
              <w:rPr>
                <w:noProof/>
                <w:webHidden/>
              </w:rPr>
              <w:fldChar w:fldCharType="begin"/>
            </w:r>
            <w:r>
              <w:rPr>
                <w:noProof/>
                <w:webHidden/>
              </w:rPr>
              <w:instrText xml:space="preserve"> PAGEREF _Toc496635659 \h </w:instrText>
            </w:r>
            <w:r>
              <w:rPr>
                <w:noProof/>
                <w:webHidden/>
              </w:rPr>
            </w:r>
            <w:r>
              <w:rPr>
                <w:noProof/>
                <w:webHidden/>
              </w:rPr>
              <w:fldChar w:fldCharType="separate"/>
            </w:r>
            <w:r>
              <w:rPr>
                <w:noProof/>
                <w:webHidden/>
              </w:rPr>
              <w:t>152</w:t>
            </w:r>
            <w:r>
              <w:rPr>
                <w:noProof/>
                <w:webHidden/>
              </w:rPr>
              <w:fldChar w:fldCharType="end"/>
            </w:r>
          </w:hyperlink>
        </w:p>
        <w:p w:rsidR="001A26B0" w:rsidRDefault="00E33A99">
          <w:pPr>
            <w:pStyle w:val="TOC1"/>
            <w:rPr>
              <w:rFonts w:asciiTheme="minorHAnsi" w:eastAsiaTheme="minorEastAsia" w:hAnsiTheme="minorHAnsi" w:cstheme="minorBidi"/>
              <w:caps w:val="0"/>
              <w:noProof/>
              <w:sz w:val="22"/>
              <w:szCs w:val="22"/>
              <w:lang w:eastAsia="en-GB"/>
            </w:rPr>
          </w:pPr>
          <w:hyperlink w:anchor="_Toc496635660" w:history="1">
            <w:r>
              <w:rPr>
                <w:rStyle w:val="Hyperlink"/>
                <w:noProof/>
              </w:rPr>
              <w:t>7</w:t>
            </w:r>
            <w:r>
              <w:rPr>
                <w:rFonts w:asciiTheme="minorHAnsi" w:eastAsiaTheme="minorEastAsia" w:hAnsiTheme="minorHAnsi" w:cstheme="minorBidi"/>
                <w:caps w:val="0"/>
                <w:noProof/>
                <w:sz w:val="22"/>
                <w:szCs w:val="22"/>
                <w:lang w:eastAsia="en-GB"/>
              </w:rPr>
              <w:tab/>
            </w:r>
            <w:r>
              <w:rPr>
                <w:rStyle w:val="Hyperlink"/>
                <w:noProof/>
              </w:rPr>
              <w:t>Comparison of options</w:t>
            </w:r>
            <w:r>
              <w:rPr>
                <w:noProof/>
                <w:webHidden/>
              </w:rPr>
              <w:tab/>
            </w:r>
            <w:r>
              <w:rPr>
                <w:noProof/>
                <w:webHidden/>
              </w:rPr>
              <w:fldChar w:fldCharType="begin"/>
            </w:r>
            <w:r>
              <w:rPr>
                <w:noProof/>
                <w:webHidden/>
              </w:rPr>
              <w:instrText xml:space="preserve"> PAGEREF _Toc496635660 \h </w:instrText>
            </w:r>
            <w:r>
              <w:rPr>
                <w:noProof/>
                <w:webHidden/>
              </w:rPr>
            </w:r>
            <w:r>
              <w:rPr>
                <w:noProof/>
                <w:webHidden/>
              </w:rPr>
              <w:fldChar w:fldCharType="separate"/>
            </w:r>
            <w:r>
              <w:rPr>
                <w:noProof/>
                <w:webHidden/>
              </w:rPr>
              <w:t>153</w:t>
            </w:r>
            <w:r>
              <w:rPr>
                <w:noProof/>
                <w:webHidden/>
              </w:rPr>
              <w:fldChar w:fldCharType="end"/>
            </w:r>
          </w:hyperlink>
        </w:p>
        <w:p w:rsidR="001A26B0" w:rsidRDefault="00E33A99">
          <w:pPr>
            <w:pStyle w:val="TOC2"/>
            <w:tabs>
              <w:tab w:val="left" w:pos="1077"/>
            </w:tabs>
            <w:rPr>
              <w:rFonts w:asciiTheme="minorHAnsi" w:eastAsiaTheme="minorEastAsia" w:hAnsiTheme="minorHAnsi" w:cstheme="minorBidi"/>
              <w:noProof/>
              <w:sz w:val="22"/>
              <w:szCs w:val="22"/>
              <w:lang w:eastAsia="en-GB"/>
            </w:rPr>
          </w:pPr>
          <w:hyperlink w:anchor="_Toc496635661" w:history="1">
            <w:r>
              <w:rPr>
                <w:rStyle w:val="Hyperlink"/>
                <w:noProof/>
              </w:rPr>
              <w:t>7.1</w:t>
            </w:r>
            <w:r>
              <w:rPr>
                <w:rFonts w:asciiTheme="minorHAnsi" w:eastAsiaTheme="minorEastAsia" w:hAnsiTheme="minorHAnsi" w:cstheme="minorBidi"/>
                <w:noProof/>
                <w:sz w:val="22"/>
                <w:szCs w:val="22"/>
                <w:lang w:eastAsia="en-GB"/>
              </w:rPr>
              <w:tab/>
            </w:r>
            <w:r>
              <w:rPr>
                <w:rStyle w:val="Hyperlink"/>
                <w:noProof/>
              </w:rPr>
              <w:t>Emission targets</w:t>
            </w:r>
            <w:r>
              <w:rPr>
                <w:noProof/>
                <w:webHidden/>
              </w:rPr>
              <w:tab/>
            </w:r>
            <w:r>
              <w:rPr>
                <w:noProof/>
                <w:webHidden/>
              </w:rPr>
              <w:fldChar w:fldCharType="begin"/>
            </w:r>
            <w:r>
              <w:rPr>
                <w:noProof/>
                <w:webHidden/>
              </w:rPr>
              <w:instrText xml:space="preserve"> PAGERE</w:instrText>
            </w:r>
            <w:r>
              <w:rPr>
                <w:noProof/>
                <w:webHidden/>
              </w:rPr>
              <w:instrText xml:space="preserve">F _Toc496635661 \h </w:instrText>
            </w:r>
            <w:r>
              <w:rPr>
                <w:noProof/>
                <w:webHidden/>
              </w:rPr>
            </w:r>
            <w:r>
              <w:rPr>
                <w:noProof/>
                <w:webHidden/>
              </w:rPr>
              <w:fldChar w:fldCharType="separate"/>
            </w:r>
            <w:r>
              <w:rPr>
                <w:noProof/>
                <w:webHidden/>
              </w:rPr>
              <w:t>156</w:t>
            </w:r>
            <w:r>
              <w:rPr>
                <w:noProof/>
                <w:webHidden/>
              </w:rPr>
              <w:fldChar w:fldCharType="end"/>
            </w:r>
          </w:hyperlink>
        </w:p>
        <w:p w:rsidR="001A26B0" w:rsidRDefault="00E33A99">
          <w:pPr>
            <w:pStyle w:val="TOC3"/>
            <w:tabs>
              <w:tab w:val="left" w:pos="1916"/>
            </w:tabs>
            <w:rPr>
              <w:rFonts w:asciiTheme="minorHAnsi" w:eastAsiaTheme="minorEastAsia" w:hAnsiTheme="minorHAnsi" w:cstheme="minorBidi"/>
              <w:noProof/>
              <w:sz w:val="22"/>
              <w:szCs w:val="22"/>
              <w:lang w:eastAsia="en-GB"/>
            </w:rPr>
          </w:pPr>
          <w:hyperlink w:anchor="_Toc496635662" w:history="1">
            <w:r>
              <w:rPr>
                <w:rStyle w:val="Hyperlink"/>
                <w:noProof/>
              </w:rPr>
              <w:t>7.1.1</w:t>
            </w:r>
            <w:r>
              <w:rPr>
                <w:rFonts w:asciiTheme="minorHAnsi" w:eastAsiaTheme="minorEastAsia" w:hAnsiTheme="minorHAnsi" w:cstheme="minorBidi"/>
                <w:noProof/>
                <w:sz w:val="22"/>
                <w:szCs w:val="22"/>
                <w:lang w:eastAsia="en-GB"/>
              </w:rPr>
              <w:tab/>
            </w:r>
            <w:r>
              <w:rPr>
                <w:rStyle w:val="Hyperlink"/>
                <w:noProof/>
              </w:rPr>
              <w:t>Emission target - Metric</w:t>
            </w:r>
            <w:r>
              <w:rPr>
                <w:noProof/>
                <w:webHidden/>
              </w:rPr>
              <w:tab/>
            </w:r>
            <w:r>
              <w:rPr>
                <w:noProof/>
                <w:webHidden/>
              </w:rPr>
              <w:fldChar w:fldCharType="begin"/>
            </w:r>
            <w:r>
              <w:rPr>
                <w:noProof/>
                <w:webHidden/>
              </w:rPr>
              <w:instrText xml:space="preserve"> PAGEREF _Toc496635662 \h </w:instrText>
            </w:r>
            <w:r>
              <w:rPr>
                <w:noProof/>
                <w:webHidden/>
              </w:rPr>
            </w:r>
            <w:r>
              <w:rPr>
                <w:noProof/>
                <w:webHidden/>
              </w:rPr>
              <w:fldChar w:fldCharType="separate"/>
            </w:r>
            <w:r>
              <w:rPr>
                <w:noProof/>
                <w:webHidden/>
              </w:rPr>
              <w:t>156</w:t>
            </w:r>
            <w:r>
              <w:rPr>
                <w:noProof/>
                <w:webHidden/>
              </w:rPr>
              <w:fldChar w:fldCharType="end"/>
            </w:r>
          </w:hyperlink>
        </w:p>
        <w:p w:rsidR="001A26B0" w:rsidRDefault="00E33A99">
          <w:pPr>
            <w:pStyle w:val="TOC3"/>
            <w:tabs>
              <w:tab w:val="left" w:pos="1916"/>
            </w:tabs>
            <w:rPr>
              <w:rFonts w:asciiTheme="minorHAnsi" w:eastAsiaTheme="minorEastAsia" w:hAnsiTheme="minorHAnsi" w:cstheme="minorBidi"/>
              <w:noProof/>
              <w:sz w:val="22"/>
              <w:szCs w:val="22"/>
              <w:lang w:eastAsia="en-GB"/>
            </w:rPr>
          </w:pPr>
          <w:hyperlink w:anchor="_Toc496635663" w:history="1">
            <w:r>
              <w:rPr>
                <w:rStyle w:val="Hyperlink"/>
                <w:noProof/>
              </w:rPr>
              <w:t>7.1.2</w:t>
            </w:r>
            <w:r>
              <w:rPr>
                <w:rFonts w:asciiTheme="minorHAnsi" w:eastAsiaTheme="minorEastAsia" w:hAnsiTheme="minorHAnsi" w:cstheme="minorBidi"/>
                <w:noProof/>
                <w:sz w:val="22"/>
                <w:szCs w:val="22"/>
                <w:lang w:eastAsia="en-GB"/>
              </w:rPr>
              <w:tab/>
            </w:r>
            <w:r>
              <w:rPr>
                <w:rStyle w:val="Hyperlink"/>
                <w:noProof/>
              </w:rPr>
              <w:t>Emission targets – timing</w:t>
            </w:r>
            <w:r>
              <w:rPr>
                <w:noProof/>
                <w:webHidden/>
              </w:rPr>
              <w:tab/>
            </w:r>
            <w:r>
              <w:rPr>
                <w:noProof/>
                <w:webHidden/>
              </w:rPr>
              <w:fldChar w:fldCharType="begin"/>
            </w:r>
            <w:r>
              <w:rPr>
                <w:noProof/>
                <w:webHidden/>
              </w:rPr>
              <w:instrText xml:space="preserve"> PAGEREF _Toc496635663 \h </w:instrText>
            </w:r>
            <w:r>
              <w:rPr>
                <w:noProof/>
                <w:webHidden/>
              </w:rPr>
            </w:r>
            <w:r>
              <w:rPr>
                <w:noProof/>
                <w:webHidden/>
              </w:rPr>
              <w:fldChar w:fldCharType="separate"/>
            </w:r>
            <w:r>
              <w:rPr>
                <w:noProof/>
                <w:webHidden/>
              </w:rPr>
              <w:t>156</w:t>
            </w:r>
            <w:r>
              <w:rPr>
                <w:noProof/>
                <w:webHidden/>
              </w:rPr>
              <w:fldChar w:fldCharType="end"/>
            </w:r>
          </w:hyperlink>
        </w:p>
        <w:p w:rsidR="001A26B0" w:rsidRDefault="00E33A99">
          <w:pPr>
            <w:pStyle w:val="TOC3"/>
            <w:tabs>
              <w:tab w:val="left" w:pos="1916"/>
            </w:tabs>
            <w:rPr>
              <w:rFonts w:asciiTheme="minorHAnsi" w:eastAsiaTheme="minorEastAsia" w:hAnsiTheme="minorHAnsi" w:cstheme="minorBidi"/>
              <w:noProof/>
              <w:sz w:val="22"/>
              <w:szCs w:val="22"/>
              <w:lang w:eastAsia="en-GB"/>
            </w:rPr>
          </w:pPr>
          <w:hyperlink w:anchor="_Toc496635664" w:history="1">
            <w:r>
              <w:rPr>
                <w:rStyle w:val="Hyperlink"/>
                <w:noProof/>
              </w:rPr>
              <w:t>7.1.3</w:t>
            </w:r>
            <w:r>
              <w:rPr>
                <w:rFonts w:asciiTheme="minorHAnsi" w:eastAsiaTheme="minorEastAsia" w:hAnsiTheme="minorHAnsi" w:cstheme="minorBidi"/>
                <w:noProof/>
                <w:sz w:val="22"/>
                <w:szCs w:val="22"/>
                <w:lang w:eastAsia="en-GB"/>
              </w:rPr>
              <w:tab/>
            </w:r>
            <w:r>
              <w:rPr>
                <w:rStyle w:val="Hyperlink"/>
                <w:noProof/>
              </w:rPr>
              <w:t>Emission targets – level for cars</w:t>
            </w:r>
            <w:r>
              <w:rPr>
                <w:noProof/>
                <w:webHidden/>
              </w:rPr>
              <w:tab/>
            </w:r>
            <w:r>
              <w:rPr>
                <w:noProof/>
                <w:webHidden/>
              </w:rPr>
              <w:fldChar w:fldCharType="begin"/>
            </w:r>
            <w:r>
              <w:rPr>
                <w:noProof/>
                <w:webHidden/>
              </w:rPr>
              <w:instrText xml:space="preserve"> PAGEREF _Toc496635664 \h </w:instrText>
            </w:r>
            <w:r>
              <w:rPr>
                <w:noProof/>
                <w:webHidden/>
              </w:rPr>
            </w:r>
            <w:r>
              <w:rPr>
                <w:noProof/>
                <w:webHidden/>
              </w:rPr>
              <w:fldChar w:fldCharType="separate"/>
            </w:r>
            <w:r>
              <w:rPr>
                <w:noProof/>
                <w:webHidden/>
              </w:rPr>
              <w:t>157</w:t>
            </w:r>
            <w:r>
              <w:rPr>
                <w:noProof/>
                <w:webHidden/>
              </w:rPr>
              <w:fldChar w:fldCharType="end"/>
            </w:r>
          </w:hyperlink>
        </w:p>
        <w:p w:rsidR="001A26B0" w:rsidRDefault="00E33A99">
          <w:pPr>
            <w:pStyle w:val="TOC3"/>
            <w:tabs>
              <w:tab w:val="left" w:pos="1916"/>
            </w:tabs>
            <w:rPr>
              <w:rFonts w:asciiTheme="minorHAnsi" w:eastAsiaTheme="minorEastAsia" w:hAnsiTheme="minorHAnsi" w:cstheme="minorBidi"/>
              <w:noProof/>
              <w:sz w:val="22"/>
              <w:szCs w:val="22"/>
              <w:lang w:eastAsia="en-GB"/>
            </w:rPr>
          </w:pPr>
          <w:hyperlink w:anchor="_Toc496635665" w:history="1">
            <w:r>
              <w:rPr>
                <w:rStyle w:val="Hyperlink"/>
                <w:noProof/>
              </w:rPr>
              <w:t>7.1.4</w:t>
            </w:r>
            <w:r>
              <w:rPr>
                <w:rFonts w:asciiTheme="minorHAnsi" w:eastAsiaTheme="minorEastAsia" w:hAnsiTheme="minorHAnsi" w:cstheme="minorBidi"/>
                <w:noProof/>
                <w:sz w:val="22"/>
                <w:szCs w:val="22"/>
                <w:lang w:eastAsia="en-GB"/>
              </w:rPr>
              <w:tab/>
            </w:r>
            <w:r>
              <w:rPr>
                <w:rStyle w:val="Hyperlink"/>
                <w:noProof/>
              </w:rPr>
              <w:t>Emission targets – level for vans</w:t>
            </w:r>
            <w:r>
              <w:rPr>
                <w:noProof/>
                <w:webHidden/>
              </w:rPr>
              <w:tab/>
            </w:r>
            <w:r>
              <w:rPr>
                <w:noProof/>
                <w:webHidden/>
              </w:rPr>
              <w:fldChar w:fldCharType="begin"/>
            </w:r>
            <w:r>
              <w:rPr>
                <w:noProof/>
                <w:webHidden/>
              </w:rPr>
              <w:instrText xml:space="preserve"> PAGEREF _Toc496635665 \h </w:instrText>
            </w:r>
            <w:r>
              <w:rPr>
                <w:noProof/>
                <w:webHidden/>
              </w:rPr>
            </w:r>
            <w:r>
              <w:rPr>
                <w:noProof/>
                <w:webHidden/>
              </w:rPr>
              <w:fldChar w:fldCharType="separate"/>
            </w:r>
            <w:r>
              <w:rPr>
                <w:noProof/>
                <w:webHidden/>
              </w:rPr>
              <w:t>159</w:t>
            </w:r>
            <w:r>
              <w:rPr>
                <w:noProof/>
                <w:webHidden/>
              </w:rPr>
              <w:fldChar w:fldCharType="end"/>
            </w:r>
          </w:hyperlink>
        </w:p>
        <w:p w:rsidR="001A26B0" w:rsidRDefault="00E33A99">
          <w:pPr>
            <w:pStyle w:val="TOC2"/>
            <w:tabs>
              <w:tab w:val="left" w:pos="1077"/>
            </w:tabs>
            <w:rPr>
              <w:rFonts w:asciiTheme="minorHAnsi" w:eastAsiaTheme="minorEastAsia" w:hAnsiTheme="minorHAnsi" w:cstheme="minorBidi"/>
              <w:noProof/>
              <w:sz w:val="22"/>
              <w:szCs w:val="22"/>
              <w:lang w:eastAsia="en-GB"/>
            </w:rPr>
          </w:pPr>
          <w:hyperlink w:anchor="_Toc496635666" w:history="1">
            <w:r>
              <w:rPr>
                <w:rStyle w:val="Hyperlink"/>
                <w:noProof/>
              </w:rPr>
              <w:t>7.2</w:t>
            </w:r>
            <w:r>
              <w:rPr>
                <w:rFonts w:asciiTheme="minorHAnsi" w:eastAsiaTheme="minorEastAsia" w:hAnsiTheme="minorHAnsi" w:cstheme="minorBidi"/>
                <w:noProof/>
                <w:sz w:val="22"/>
                <w:szCs w:val="22"/>
                <w:lang w:eastAsia="en-GB"/>
              </w:rPr>
              <w:tab/>
            </w:r>
            <w:r>
              <w:rPr>
                <w:rStyle w:val="Hyperlink"/>
                <w:noProof/>
              </w:rPr>
              <w:t>Distribution of efforts (cars and vans)</w:t>
            </w:r>
            <w:r>
              <w:rPr>
                <w:noProof/>
                <w:webHidden/>
              </w:rPr>
              <w:tab/>
            </w:r>
            <w:r>
              <w:rPr>
                <w:noProof/>
                <w:webHidden/>
              </w:rPr>
              <w:fldChar w:fldCharType="begin"/>
            </w:r>
            <w:r>
              <w:rPr>
                <w:noProof/>
                <w:webHidden/>
              </w:rPr>
              <w:instrText xml:space="preserve"> PAGEREF _Toc496635666 \h </w:instrText>
            </w:r>
            <w:r>
              <w:rPr>
                <w:noProof/>
                <w:webHidden/>
              </w:rPr>
            </w:r>
            <w:r>
              <w:rPr>
                <w:noProof/>
                <w:webHidden/>
              </w:rPr>
              <w:fldChar w:fldCharType="separate"/>
            </w:r>
            <w:r>
              <w:rPr>
                <w:noProof/>
                <w:webHidden/>
              </w:rPr>
              <w:t>159</w:t>
            </w:r>
            <w:r>
              <w:rPr>
                <w:noProof/>
                <w:webHidden/>
              </w:rPr>
              <w:fldChar w:fldCharType="end"/>
            </w:r>
          </w:hyperlink>
        </w:p>
        <w:p w:rsidR="001A26B0" w:rsidRDefault="00E33A99">
          <w:pPr>
            <w:pStyle w:val="TOC2"/>
            <w:tabs>
              <w:tab w:val="left" w:pos="1077"/>
            </w:tabs>
            <w:rPr>
              <w:rFonts w:asciiTheme="minorHAnsi" w:eastAsiaTheme="minorEastAsia" w:hAnsiTheme="minorHAnsi" w:cstheme="minorBidi"/>
              <w:noProof/>
              <w:sz w:val="22"/>
              <w:szCs w:val="22"/>
              <w:lang w:eastAsia="en-GB"/>
            </w:rPr>
          </w:pPr>
          <w:hyperlink w:anchor="_Toc496635667" w:history="1">
            <w:r>
              <w:rPr>
                <w:rStyle w:val="Hyperlink"/>
                <w:noProof/>
              </w:rPr>
              <w:t>7.3</w:t>
            </w:r>
            <w:r>
              <w:rPr>
                <w:rFonts w:asciiTheme="minorHAnsi" w:eastAsiaTheme="minorEastAsia" w:hAnsiTheme="minorHAnsi" w:cstheme="minorBidi"/>
                <w:noProof/>
                <w:sz w:val="22"/>
                <w:szCs w:val="22"/>
                <w:lang w:eastAsia="en-GB"/>
              </w:rPr>
              <w:tab/>
            </w:r>
            <w:r>
              <w:rPr>
                <w:rStyle w:val="Hyperlink"/>
                <w:noProof/>
              </w:rPr>
              <w:t>ZEV / LEV incentives</w:t>
            </w:r>
            <w:r>
              <w:rPr>
                <w:noProof/>
                <w:webHidden/>
              </w:rPr>
              <w:tab/>
            </w:r>
            <w:r>
              <w:rPr>
                <w:noProof/>
                <w:webHidden/>
              </w:rPr>
              <w:fldChar w:fldCharType="begin"/>
            </w:r>
            <w:r>
              <w:rPr>
                <w:noProof/>
                <w:webHidden/>
              </w:rPr>
              <w:instrText xml:space="preserve"> PAGEREF _Toc496635667 \h </w:instrText>
            </w:r>
            <w:r>
              <w:rPr>
                <w:noProof/>
                <w:webHidden/>
              </w:rPr>
            </w:r>
            <w:r>
              <w:rPr>
                <w:noProof/>
                <w:webHidden/>
              </w:rPr>
              <w:fldChar w:fldCharType="separate"/>
            </w:r>
            <w:r>
              <w:rPr>
                <w:noProof/>
                <w:webHidden/>
              </w:rPr>
              <w:t>160</w:t>
            </w:r>
            <w:r>
              <w:rPr>
                <w:noProof/>
                <w:webHidden/>
              </w:rPr>
              <w:fldChar w:fldCharType="end"/>
            </w:r>
          </w:hyperlink>
        </w:p>
        <w:p w:rsidR="001A26B0" w:rsidRDefault="00E33A99">
          <w:pPr>
            <w:pStyle w:val="TOC3"/>
            <w:tabs>
              <w:tab w:val="left" w:pos="1916"/>
            </w:tabs>
            <w:rPr>
              <w:rFonts w:asciiTheme="minorHAnsi" w:eastAsiaTheme="minorEastAsia" w:hAnsiTheme="minorHAnsi" w:cstheme="minorBidi"/>
              <w:noProof/>
              <w:sz w:val="22"/>
              <w:szCs w:val="22"/>
              <w:lang w:eastAsia="en-GB"/>
            </w:rPr>
          </w:pPr>
          <w:hyperlink w:anchor="_Toc496635668" w:history="1">
            <w:r>
              <w:rPr>
                <w:rStyle w:val="Hyperlink"/>
                <w:noProof/>
              </w:rPr>
              <w:t>7.</w:t>
            </w:r>
            <w:r>
              <w:rPr>
                <w:rStyle w:val="Hyperlink"/>
                <w:noProof/>
              </w:rPr>
              <w:t>3.1</w:t>
            </w:r>
            <w:r>
              <w:rPr>
                <w:rFonts w:asciiTheme="minorHAnsi" w:eastAsiaTheme="minorEastAsia" w:hAnsiTheme="minorHAnsi" w:cstheme="minorBidi"/>
                <w:noProof/>
                <w:sz w:val="22"/>
                <w:szCs w:val="22"/>
                <w:lang w:eastAsia="en-GB"/>
              </w:rPr>
              <w:tab/>
            </w:r>
            <w:r>
              <w:rPr>
                <w:rStyle w:val="Hyperlink"/>
                <w:noProof/>
              </w:rPr>
              <w:t>ZEV / LEV incentives for cars</w:t>
            </w:r>
            <w:r>
              <w:rPr>
                <w:noProof/>
                <w:webHidden/>
              </w:rPr>
              <w:tab/>
            </w:r>
            <w:r>
              <w:rPr>
                <w:noProof/>
                <w:webHidden/>
              </w:rPr>
              <w:fldChar w:fldCharType="begin"/>
            </w:r>
            <w:r>
              <w:rPr>
                <w:noProof/>
                <w:webHidden/>
              </w:rPr>
              <w:instrText xml:space="preserve"> PAGEREF _Toc496635668 \h </w:instrText>
            </w:r>
            <w:r>
              <w:rPr>
                <w:noProof/>
                <w:webHidden/>
              </w:rPr>
            </w:r>
            <w:r>
              <w:rPr>
                <w:noProof/>
                <w:webHidden/>
              </w:rPr>
              <w:fldChar w:fldCharType="separate"/>
            </w:r>
            <w:r>
              <w:rPr>
                <w:noProof/>
                <w:webHidden/>
              </w:rPr>
              <w:t>160</w:t>
            </w:r>
            <w:r>
              <w:rPr>
                <w:noProof/>
                <w:webHidden/>
              </w:rPr>
              <w:fldChar w:fldCharType="end"/>
            </w:r>
          </w:hyperlink>
        </w:p>
        <w:p w:rsidR="001A26B0" w:rsidRDefault="00E33A99">
          <w:pPr>
            <w:pStyle w:val="TOC3"/>
            <w:tabs>
              <w:tab w:val="left" w:pos="1916"/>
            </w:tabs>
            <w:rPr>
              <w:rFonts w:asciiTheme="minorHAnsi" w:eastAsiaTheme="minorEastAsia" w:hAnsiTheme="minorHAnsi" w:cstheme="minorBidi"/>
              <w:noProof/>
              <w:sz w:val="22"/>
              <w:szCs w:val="22"/>
              <w:lang w:eastAsia="en-GB"/>
            </w:rPr>
          </w:pPr>
          <w:hyperlink w:anchor="_Toc496635669" w:history="1">
            <w:r>
              <w:rPr>
                <w:rStyle w:val="Hyperlink"/>
                <w:noProof/>
              </w:rPr>
              <w:t>7.3.2</w:t>
            </w:r>
            <w:r>
              <w:rPr>
                <w:rFonts w:asciiTheme="minorHAnsi" w:eastAsiaTheme="minorEastAsia" w:hAnsiTheme="minorHAnsi" w:cstheme="minorBidi"/>
                <w:noProof/>
                <w:sz w:val="22"/>
                <w:szCs w:val="22"/>
                <w:lang w:eastAsia="en-GB"/>
              </w:rPr>
              <w:tab/>
            </w:r>
            <w:r>
              <w:rPr>
                <w:rStyle w:val="Hyperlink"/>
                <w:noProof/>
              </w:rPr>
              <w:t>ZEV/LEV incentives for vans</w:t>
            </w:r>
            <w:r>
              <w:rPr>
                <w:noProof/>
                <w:webHidden/>
              </w:rPr>
              <w:tab/>
            </w:r>
            <w:r>
              <w:rPr>
                <w:noProof/>
                <w:webHidden/>
              </w:rPr>
              <w:fldChar w:fldCharType="begin"/>
            </w:r>
            <w:r>
              <w:rPr>
                <w:noProof/>
                <w:webHidden/>
              </w:rPr>
              <w:instrText xml:space="preserve"> PAGEREF _Toc496635669 \h </w:instrText>
            </w:r>
            <w:r>
              <w:rPr>
                <w:noProof/>
                <w:webHidden/>
              </w:rPr>
            </w:r>
            <w:r>
              <w:rPr>
                <w:noProof/>
                <w:webHidden/>
              </w:rPr>
              <w:fldChar w:fldCharType="separate"/>
            </w:r>
            <w:r>
              <w:rPr>
                <w:noProof/>
                <w:webHidden/>
              </w:rPr>
              <w:t>163</w:t>
            </w:r>
            <w:r>
              <w:rPr>
                <w:noProof/>
                <w:webHidden/>
              </w:rPr>
              <w:fldChar w:fldCharType="end"/>
            </w:r>
          </w:hyperlink>
        </w:p>
        <w:p w:rsidR="001A26B0" w:rsidRDefault="00E33A99">
          <w:pPr>
            <w:pStyle w:val="TOC2"/>
            <w:tabs>
              <w:tab w:val="left" w:pos="1077"/>
            </w:tabs>
            <w:rPr>
              <w:rFonts w:asciiTheme="minorHAnsi" w:eastAsiaTheme="minorEastAsia" w:hAnsiTheme="minorHAnsi" w:cstheme="minorBidi"/>
              <w:noProof/>
              <w:sz w:val="22"/>
              <w:szCs w:val="22"/>
              <w:lang w:eastAsia="en-GB"/>
            </w:rPr>
          </w:pPr>
          <w:hyperlink w:anchor="_Toc496635670" w:history="1">
            <w:r>
              <w:rPr>
                <w:rStyle w:val="Hyperlink"/>
                <w:noProof/>
              </w:rPr>
              <w:t>7.4</w:t>
            </w:r>
            <w:r>
              <w:rPr>
                <w:rFonts w:asciiTheme="minorHAnsi" w:eastAsiaTheme="minorEastAsia" w:hAnsiTheme="minorHAnsi" w:cstheme="minorBidi"/>
                <w:noProof/>
                <w:sz w:val="22"/>
                <w:szCs w:val="22"/>
                <w:lang w:eastAsia="en-GB"/>
              </w:rPr>
              <w:tab/>
            </w:r>
            <w:r>
              <w:rPr>
                <w:rStyle w:val="Hyperlink"/>
                <w:noProof/>
              </w:rPr>
              <w:t>Elements supporting cost-effective implementation</w:t>
            </w:r>
            <w:r>
              <w:rPr>
                <w:noProof/>
                <w:webHidden/>
              </w:rPr>
              <w:tab/>
            </w:r>
            <w:r>
              <w:rPr>
                <w:noProof/>
                <w:webHidden/>
              </w:rPr>
              <w:fldChar w:fldCharType="begin"/>
            </w:r>
            <w:r>
              <w:rPr>
                <w:noProof/>
                <w:webHidden/>
              </w:rPr>
              <w:instrText xml:space="preserve"> PAGEREF _Toc496635670 \h </w:instrText>
            </w:r>
            <w:r>
              <w:rPr>
                <w:noProof/>
                <w:webHidden/>
              </w:rPr>
            </w:r>
            <w:r>
              <w:rPr>
                <w:noProof/>
                <w:webHidden/>
              </w:rPr>
              <w:fldChar w:fldCharType="separate"/>
            </w:r>
            <w:r>
              <w:rPr>
                <w:noProof/>
                <w:webHidden/>
              </w:rPr>
              <w:t>164</w:t>
            </w:r>
            <w:r>
              <w:rPr>
                <w:noProof/>
                <w:webHidden/>
              </w:rPr>
              <w:fldChar w:fldCharType="end"/>
            </w:r>
          </w:hyperlink>
        </w:p>
        <w:p w:rsidR="001A26B0" w:rsidRDefault="00E33A99">
          <w:pPr>
            <w:pStyle w:val="TOC3"/>
            <w:tabs>
              <w:tab w:val="left" w:pos="1916"/>
            </w:tabs>
            <w:rPr>
              <w:rFonts w:asciiTheme="minorHAnsi" w:eastAsiaTheme="minorEastAsia" w:hAnsiTheme="minorHAnsi" w:cstheme="minorBidi"/>
              <w:noProof/>
              <w:sz w:val="22"/>
              <w:szCs w:val="22"/>
              <w:lang w:eastAsia="en-GB"/>
            </w:rPr>
          </w:pPr>
          <w:hyperlink w:anchor="_Toc496635671" w:history="1">
            <w:r>
              <w:rPr>
                <w:rStyle w:val="Hyperlink"/>
                <w:noProof/>
              </w:rPr>
              <w:t>7.4.1</w:t>
            </w:r>
            <w:r>
              <w:rPr>
                <w:rFonts w:asciiTheme="minorHAnsi" w:eastAsiaTheme="minorEastAsia" w:hAnsiTheme="minorHAnsi" w:cstheme="minorBidi"/>
                <w:noProof/>
                <w:sz w:val="22"/>
                <w:szCs w:val="22"/>
                <w:lang w:eastAsia="en-GB"/>
              </w:rPr>
              <w:tab/>
            </w:r>
            <w:r>
              <w:rPr>
                <w:rStyle w:val="Hyperlink"/>
                <w:noProof/>
              </w:rPr>
              <w:t>Eco-innovations</w:t>
            </w:r>
            <w:r>
              <w:rPr>
                <w:noProof/>
                <w:webHidden/>
              </w:rPr>
              <w:tab/>
            </w:r>
            <w:r>
              <w:rPr>
                <w:noProof/>
                <w:webHidden/>
              </w:rPr>
              <w:fldChar w:fldCharType="begin"/>
            </w:r>
            <w:r>
              <w:rPr>
                <w:noProof/>
                <w:webHidden/>
              </w:rPr>
              <w:instrText xml:space="preserve"> PAGEREF _Toc496635671 \h </w:instrText>
            </w:r>
            <w:r>
              <w:rPr>
                <w:noProof/>
                <w:webHidden/>
              </w:rPr>
            </w:r>
            <w:r>
              <w:rPr>
                <w:noProof/>
                <w:webHidden/>
              </w:rPr>
              <w:fldChar w:fldCharType="separate"/>
            </w:r>
            <w:r>
              <w:rPr>
                <w:noProof/>
                <w:webHidden/>
              </w:rPr>
              <w:t>164</w:t>
            </w:r>
            <w:r>
              <w:rPr>
                <w:noProof/>
                <w:webHidden/>
              </w:rPr>
              <w:fldChar w:fldCharType="end"/>
            </w:r>
          </w:hyperlink>
        </w:p>
        <w:p w:rsidR="001A26B0" w:rsidRDefault="00E33A99">
          <w:pPr>
            <w:pStyle w:val="TOC3"/>
            <w:tabs>
              <w:tab w:val="left" w:pos="1916"/>
            </w:tabs>
            <w:rPr>
              <w:rFonts w:asciiTheme="minorHAnsi" w:eastAsiaTheme="minorEastAsia" w:hAnsiTheme="minorHAnsi" w:cstheme="minorBidi"/>
              <w:noProof/>
              <w:sz w:val="22"/>
              <w:szCs w:val="22"/>
              <w:lang w:eastAsia="en-GB"/>
            </w:rPr>
          </w:pPr>
          <w:hyperlink w:anchor="_Toc496635672" w:history="1">
            <w:r>
              <w:rPr>
                <w:rStyle w:val="Hyperlink"/>
                <w:noProof/>
              </w:rPr>
              <w:t>7.4.2</w:t>
            </w:r>
            <w:r>
              <w:rPr>
                <w:rFonts w:asciiTheme="minorHAnsi" w:eastAsiaTheme="minorEastAsia" w:hAnsiTheme="minorHAnsi" w:cstheme="minorBidi"/>
                <w:noProof/>
                <w:sz w:val="22"/>
                <w:szCs w:val="22"/>
                <w:lang w:eastAsia="en-GB"/>
              </w:rPr>
              <w:tab/>
            </w:r>
            <w:r>
              <w:rPr>
                <w:rStyle w:val="Hyperlink"/>
                <w:noProof/>
              </w:rPr>
              <w:t>Pooling</w:t>
            </w:r>
            <w:r>
              <w:rPr>
                <w:noProof/>
                <w:webHidden/>
              </w:rPr>
              <w:tab/>
            </w:r>
            <w:r>
              <w:rPr>
                <w:noProof/>
                <w:webHidden/>
              </w:rPr>
              <w:fldChar w:fldCharType="begin"/>
            </w:r>
            <w:r>
              <w:rPr>
                <w:noProof/>
                <w:webHidden/>
              </w:rPr>
              <w:instrText xml:space="preserve"> PAGEREF _Toc496635672 \h </w:instrText>
            </w:r>
            <w:r>
              <w:rPr>
                <w:noProof/>
                <w:webHidden/>
              </w:rPr>
            </w:r>
            <w:r>
              <w:rPr>
                <w:noProof/>
                <w:webHidden/>
              </w:rPr>
              <w:fldChar w:fldCharType="separate"/>
            </w:r>
            <w:r>
              <w:rPr>
                <w:noProof/>
                <w:webHidden/>
              </w:rPr>
              <w:t>164</w:t>
            </w:r>
            <w:r>
              <w:rPr>
                <w:noProof/>
                <w:webHidden/>
              </w:rPr>
              <w:fldChar w:fldCharType="end"/>
            </w:r>
          </w:hyperlink>
        </w:p>
        <w:p w:rsidR="001A26B0" w:rsidRDefault="00E33A99">
          <w:pPr>
            <w:pStyle w:val="TOC3"/>
            <w:tabs>
              <w:tab w:val="left" w:pos="1916"/>
            </w:tabs>
            <w:rPr>
              <w:rFonts w:asciiTheme="minorHAnsi" w:eastAsiaTheme="minorEastAsia" w:hAnsiTheme="minorHAnsi" w:cstheme="minorBidi"/>
              <w:noProof/>
              <w:sz w:val="22"/>
              <w:szCs w:val="22"/>
              <w:lang w:eastAsia="en-GB"/>
            </w:rPr>
          </w:pPr>
          <w:hyperlink w:anchor="_Toc496635673" w:history="1">
            <w:r>
              <w:rPr>
                <w:rStyle w:val="Hyperlink"/>
                <w:noProof/>
              </w:rPr>
              <w:t>7.4.3</w:t>
            </w:r>
            <w:r>
              <w:rPr>
                <w:rFonts w:asciiTheme="minorHAnsi" w:eastAsiaTheme="minorEastAsia" w:hAnsiTheme="minorHAnsi" w:cstheme="minorBidi"/>
                <w:noProof/>
                <w:sz w:val="22"/>
                <w:szCs w:val="22"/>
                <w:lang w:eastAsia="en-GB"/>
              </w:rPr>
              <w:tab/>
            </w:r>
            <w:r>
              <w:rPr>
                <w:rStyle w:val="Hyperlink"/>
                <w:noProof/>
              </w:rPr>
              <w:t>Trading</w:t>
            </w:r>
            <w:r>
              <w:rPr>
                <w:noProof/>
                <w:webHidden/>
              </w:rPr>
              <w:tab/>
            </w:r>
            <w:r>
              <w:rPr>
                <w:noProof/>
                <w:webHidden/>
              </w:rPr>
              <w:fldChar w:fldCharType="begin"/>
            </w:r>
            <w:r>
              <w:rPr>
                <w:noProof/>
                <w:webHidden/>
              </w:rPr>
              <w:instrText xml:space="preserve"> PAGEREF _Toc496635673 \h </w:instrText>
            </w:r>
            <w:r>
              <w:rPr>
                <w:noProof/>
                <w:webHidden/>
              </w:rPr>
            </w:r>
            <w:r>
              <w:rPr>
                <w:noProof/>
                <w:webHidden/>
              </w:rPr>
              <w:fldChar w:fldCharType="separate"/>
            </w:r>
            <w:r>
              <w:rPr>
                <w:noProof/>
                <w:webHidden/>
              </w:rPr>
              <w:t>164</w:t>
            </w:r>
            <w:r>
              <w:rPr>
                <w:noProof/>
                <w:webHidden/>
              </w:rPr>
              <w:fldChar w:fldCharType="end"/>
            </w:r>
          </w:hyperlink>
        </w:p>
        <w:p w:rsidR="001A26B0" w:rsidRDefault="00E33A99">
          <w:pPr>
            <w:pStyle w:val="TOC3"/>
            <w:tabs>
              <w:tab w:val="left" w:pos="1916"/>
            </w:tabs>
            <w:rPr>
              <w:rFonts w:asciiTheme="minorHAnsi" w:eastAsiaTheme="minorEastAsia" w:hAnsiTheme="minorHAnsi" w:cstheme="minorBidi"/>
              <w:noProof/>
              <w:sz w:val="22"/>
              <w:szCs w:val="22"/>
              <w:lang w:eastAsia="en-GB"/>
            </w:rPr>
          </w:pPr>
          <w:hyperlink w:anchor="_Toc496635674" w:history="1">
            <w:r>
              <w:rPr>
                <w:rStyle w:val="Hyperlink"/>
                <w:noProof/>
              </w:rPr>
              <w:t>7.4.4</w:t>
            </w:r>
            <w:r>
              <w:rPr>
                <w:rFonts w:asciiTheme="minorHAnsi" w:eastAsiaTheme="minorEastAsia" w:hAnsiTheme="minorHAnsi" w:cstheme="minorBidi"/>
                <w:noProof/>
                <w:sz w:val="22"/>
                <w:szCs w:val="22"/>
                <w:lang w:eastAsia="en-GB"/>
              </w:rPr>
              <w:tab/>
            </w:r>
            <w:r>
              <w:rPr>
                <w:rStyle w:val="Hyperlink"/>
                <w:noProof/>
              </w:rPr>
              <w:t>Banking and borrowing</w:t>
            </w:r>
            <w:r>
              <w:rPr>
                <w:noProof/>
                <w:webHidden/>
              </w:rPr>
              <w:tab/>
            </w:r>
            <w:r>
              <w:rPr>
                <w:noProof/>
                <w:webHidden/>
              </w:rPr>
              <w:fldChar w:fldCharType="begin"/>
            </w:r>
            <w:r>
              <w:rPr>
                <w:noProof/>
                <w:webHidden/>
              </w:rPr>
              <w:instrText xml:space="preserve"> PAGEREF _Toc496635674 \h </w:instrText>
            </w:r>
            <w:r>
              <w:rPr>
                <w:noProof/>
                <w:webHidden/>
              </w:rPr>
            </w:r>
            <w:r>
              <w:rPr>
                <w:noProof/>
                <w:webHidden/>
              </w:rPr>
              <w:fldChar w:fldCharType="separate"/>
            </w:r>
            <w:r>
              <w:rPr>
                <w:noProof/>
                <w:webHidden/>
              </w:rPr>
              <w:t>164</w:t>
            </w:r>
            <w:r>
              <w:rPr>
                <w:noProof/>
                <w:webHidden/>
              </w:rPr>
              <w:fldChar w:fldCharType="end"/>
            </w:r>
          </w:hyperlink>
        </w:p>
        <w:p w:rsidR="001A26B0" w:rsidRDefault="00E33A99">
          <w:pPr>
            <w:pStyle w:val="TOC3"/>
            <w:tabs>
              <w:tab w:val="left" w:pos="1916"/>
            </w:tabs>
            <w:rPr>
              <w:rFonts w:asciiTheme="minorHAnsi" w:eastAsiaTheme="minorEastAsia" w:hAnsiTheme="minorHAnsi" w:cstheme="minorBidi"/>
              <w:noProof/>
              <w:sz w:val="22"/>
              <w:szCs w:val="22"/>
              <w:lang w:eastAsia="en-GB"/>
            </w:rPr>
          </w:pPr>
          <w:hyperlink w:anchor="_Toc496635675" w:history="1">
            <w:r>
              <w:rPr>
                <w:rStyle w:val="Hyperlink"/>
                <w:noProof/>
              </w:rPr>
              <w:t>7.4.5</w:t>
            </w:r>
            <w:r>
              <w:rPr>
                <w:rFonts w:asciiTheme="minorHAnsi" w:eastAsiaTheme="minorEastAsia" w:hAnsiTheme="minorHAnsi" w:cstheme="minorBidi"/>
                <w:noProof/>
                <w:sz w:val="22"/>
                <w:szCs w:val="22"/>
                <w:lang w:eastAsia="en-GB"/>
              </w:rPr>
              <w:tab/>
            </w:r>
            <w:r>
              <w:rPr>
                <w:rStyle w:val="Hyperlink"/>
                <w:noProof/>
              </w:rPr>
              <w:t>Niche derogations for car manufacturers</w:t>
            </w:r>
            <w:r>
              <w:rPr>
                <w:noProof/>
                <w:webHidden/>
              </w:rPr>
              <w:tab/>
            </w:r>
            <w:r>
              <w:rPr>
                <w:noProof/>
                <w:webHidden/>
              </w:rPr>
              <w:fldChar w:fldCharType="begin"/>
            </w:r>
            <w:r>
              <w:rPr>
                <w:noProof/>
                <w:webHidden/>
              </w:rPr>
              <w:instrText xml:space="preserve"> PAGEREF _Toc496635675 \h </w:instrText>
            </w:r>
            <w:r>
              <w:rPr>
                <w:noProof/>
                <w:webHidden/>
              </w:rPr>
            </w:r>
            <w:r>
              <w:rPr>
                <w:noProof/>
                <w:webHidden/>
              </w:rPr>
              <w:fldChar w:fldCharType="separate"/>
            </w:r>
            <w:r>
              <w:rPr>
                <w:noProof/>
                <w:webHidden/>
              </w:rPr>
              <w:t>165</w:t>
            </w:r>
            <w:r>
              <w:rPr>
                <w:noProof/>
                <w:webHidden/>
              </w:rPr>
              <w:fldChar w:fldCharType="end"/>
            </w:r>
          </w:hyperlink>
        </w:p>
        <w:p w:rsidR="001A26B0" w:rsidRDefault="00E33A99">
          <w:pPr>
            <w:pStyle w:val="TOC3"/>
            <w:tabs>
              <w:tab w:val="left" w:pos="1916"/>
            </w:tabs>
            <w:rPr>
              <w:rFonts w:asciiTheme="minorHAnsi" w:eastAsiaTheme="minorEastAsia" w:hAnsiTheme="minorHAnsi" w:cstheme="minorBidi"/>
              <w:noProof/>
              <w:sz w:val="22"/>
              <w:szCs w:val="22"/>
              <w:lang w:eastAsia="en-GB"/>
            </w:rPr>
          </w:pPr>
          <w:hyperlink w:anchor="_Toc496635676" w:history="1">
            <w:r>
              <w:rPr>
                <w:rStyle w:val="Hyperlink"/>
                <w:noProof/>
              </w:rPr>
              <w:t>7.4.6</w:t>
            </w:r>
            <w:r>
              <w:rPr>
                <w:rFonts w:asciiTheme="minorHAnsi" w:eastAsiaTheme="minorEastAsia" w:hAnsiTheme="minorHAnsi" w:cstheme="minorBidi"/>
                <w:noProof/>
                <w:sz w:val="22"/>
                <w:szCs w:val="22"/>
                <w:lang w:eastAsia="en-GB"/>
              </w:rPr>
              <w:tab/>
            </w:r>
            <w:r>
              <w:rPr>
                <w:rStyle w:val="Hyperlink"/>
                <w:noProof/>
              </w:rPr>
              <w:t>Simplification (REFIT aspects)</w:t>
            </w:r>
            <w:r>
              <w:rPr>
                <w:noProof/>
                <w:webHidden/>
              </w:rPr>
              <w:tab/>
            </w:r>
            <w:r>
              <w:rPr>
                <w:noProof/>
                <w:webHidden/>
              </w:rPr>
              <w:fldChar w:fldCharType="begin"/>
            </w:r>
            <w:r>
              <w:rPr>
                <w:noProof/>
                <w:webHidden/>
              </w:rPr>
              <w:instrText xml:space="preserve"> PAGEREF _Toc496635676 \h </w:instrText>
            </w:r>
            <w:r>
              <w:rPr>
                <w:noProof/>
                <w:webHidden/>
              </w:rPr>
            </w:r>
            <w:r>
              <w:rPr>
                <w:noProof/>
                <w:webHidden/>
              </w:rPr>
              <w:fldChar w:fldCharType="separate"/>
            </w:r>
            <w:r>
              <w:rPr>
                <w:noProof/>
                <w:webHidden/>
              </w:rPr>
              <w:t>165</w:t>
            </w:r>
            <w:r>
              <w:rPr>
                <w:noProof/>
                <w:webHidden/>
              </w:rPr>
              <w:fldChar w:fldCharType="end"/>
            </w:r>
          </w:hyperlink>
        </w:p>
        <w:p w:rsidR="001A26B0" w:rsidRDefault="00E33A99">
          <w:pPr>
            <w:pStyle w:val="TOC2"/>
            <w:tabs>
              <w:tab w:val="left" w:pos="1077"/>
            </w:tabs>
            <w:rPr>
              <w:rFonts w:asciiTheme="minorHAnsi" w:eastAsiaTheme="minorEastAsia" w:hAnsiTheme="minorHAnsi" w:cstheme="minorBidi"/>
              <w:noProof/>
              <w:sz w:val="22"/>
              <w:szCs w:val="22"/>
              <w:lang w:eastAsia="en-GB"/>
            </w:rPr>
          </w:pPr>
          <w:hyperlink w:anchor="_Toc496635677" w:history="1">
            <w:r>
              <w:rPr>
                <w:rStyle w:val="Hyperlink"/>
                <w:noProof/>
              </w:rPr>
              <w:t>7.5</w:t>
            </w:r>
            <w:r>
              <w:rPr>
                <w:rFonts w:asciiTheme="minorHAnsi" w:eastAsiaTheme="minorEastAsia" w:hAnsiTheme="minorHAnsi" w:cstheme="minorBidi"/>
                <w:noProof/>
                <w:sz w:val="22"/>
                <w:szCs w:val="22"/>
                <w:lang w:eastAsia="en-GB"/>
              </w:rPr>
              <w:tab/>
            </w:r>
            <w:r>
              <w:rPr>
                <w:rStyle w:val="Hyperlink"/>
                <w:noProof/>
              </w:rPr>
              <w:t>Governance: real-world emissions – market surveillance</w:t>
            </w:r>
            <w:r>
              <w:rPr>
                <w:noProof/>
                <w:webHidden/>
              </w:rPr>
              <w:tab/>
            </w:r>
            <w:r>
              <w:rPr>
                <w:noProof/>
                <w:webHidden/>
              </w:rPr>
              <w:fldChar w:fldCharType="begin"/>
            </w:r>
            <w:r>
              <w:rPr>
                <w:noProof/>
                <w:webHidden/>
              </w:rPr>
              <w:instrText xml:space="preserve"> PAGEREF _Toc496635677 \h </w:instrText>
            </w:r>
            <w:r>
              <w:rPr>
                <w:noProof/>
                <w:webHidden/>
              </w:rPr>
            </w:r>
            <w:r>
              <w:rPr>
                <w:noProof/>
                <w:webHidden/>
              </w:rPr>
              <w:fldChar w:fldCharType="separate"/>
            </w:r>
            <w:r>
              <w:rPr>
                <w:noProof/>
                <w:webHidden/>
              </w:rPr>
              <w:t>165</w:t>
            </w:r>
            <w:r>
              <w:rPr>
                <w:noProof/>
                <w:webHidden/>
              </w:rPr>
              <w:fldChar w:fldCharType="end"/>
            </w:r>
          </w:hyperlink>
        </w:p>
        <w:p w:rsidR="001A26B0" w:rsidRDefault="00E33A99">
          <w:pPr>
            <w:pStyle w:val="TOC1"/>
            <w:rPr>
              <w:rFonts w:asciiTheme="minorHAnsi" w:eastAsiaTheme="minorEastAsia" w:hAnsiTheme="minorHAnsi" w:cstheme="minorBidi"/>
              <w:caps w:val="0"/>
              <w:noProof/>
              <w:sz w:val="22"/>
              <w:szCs w:val="22"/>
              <w:lang w:eastAsia="en-GB"/>
            </w:rPr>
          </w:pPr>
          <w:hyperlink w:anchor="_Toc496635678" w:history="1">
            <w:r>
              <w:rPr>
                <w:rStyle w:val="Hyperlink"/>
                <w:noProof/>
              </w:rPr>
              <w:t>8</w:t>
            </w:r>
            <w:r>
              <w:rPr>
                <w:rFonts w:asciiTheme="minorHAnsi" w:eastAsiaTheme="minorEastAsia" w:hAnsiTheme="minorHAnsi" w:cstheme="minorBidi"/>
                <w:caps w:val="0"/>
                <w:noProof/>
                <w:sz w:val="22"/>
                <w:szCs w:val="22"/>
                <w:lang w:eastAsia="en-GB"/>
              </w:rPr>
              <w:tab/>
            </w:r>
            <w:r>
              <w:rPr>
                <w:rStyle w:val="Hyperlink"/>
                <w:noProof/>
              </w:rPr>
              <w:t>How would impacts be monitored and evaluated?</w:t>
            </w:r>
            <w:r>
              <w:rPr>
                <w:noProof/>
                <w:webHidden/>
              </w:rPr>
              <w:tab/>
            </w:r>
            <w:r>
              <w:rPr>
                <w:noProof/>
                <w:webHidden/>
              </w:rPr>
              <w:fldChar w:fldCharType="begin"/>
            </w:r>
            <w:r>
              <w:rPr>
                <w:noProof/>
                <w:webHidden/>
              </w:rPr>
              <w:instrText xml:space="preserve"> PAGEREF</w:instrText>
            </w:r>
            <w:r>
              <w:rPr>
                <w:noProof/>
                <w:webHidden/>
              </w:rPr>
              <w:instrText xml:space="preserve"> _Toc496635678 \h </w:instrText>
            </w:r>
            <w:r>
              <w:rPr>
                <w:noProof/>
                <w:webHidden/>
              </w:rPr>
            </w:r>
            <w:r>
              <w:rPr>
                <w:noProof/>
                <w:webHidden/>
              </w:rPr>
              <w:fldChar w:fldCharType="separate"/>
            </w:r>
            <w:r>
              <w:rPr>
                <w:noProof/>
                <w:webHidden/>
              </w:rPr>
              <w:t>167</w:t>
            </w:r>
            <w:r>
              <w:rPr>
                <w:noProof/>
                <w:webHidden/>
              </w:rPr>
              <w:fldChar w:fldCharType="end"/>
            </w:r>
          </w:hyperlink>
        </w:p>
        <w:p w:rsidR="001A26B0" w:rsidRDefault="00E33A99">
          <w:pPr>
            <w:pStyle w:val="TOC2"/>
            <w:tabs>
              <w:tab w:val="left" w:pos="1077"/>
            </w:tabs>
            <w:rPr>
              <w:rFonts w:asciiTheme="minorHAnsi" w:eastAsiaTheme="minorEastAsia" w:hAnsiTheme="minorHAnsi" w:cstheme="minorBidi"/>
              <w:noProof/>
              <w:sz w:val="22"/>
              <w:szCs w:val="22"/>
              <w:lang w:eastAsia="en-GB"/>
            </w:rPr>
          </w:pPr>
          <w:hyperlink w:anchor="_Toc496635679" w:history="1">
            <w:r>
              <w:rPr>
                <w:rStyle w:val="Hyperlink"/>
                <w:rFonts w:eastAsiaTheme="minorHAnsi"/>
                <w:noProof/>
              </w:rPr>
              <w:t>8.1</w:t>
            </w:r>
            <w:r>
              <w:rPr>
                <w:rFonts w:asciiTheme="minorHAnsi" w:eastAsiaTheme="minorEastAsia" w:hAnsiTheme="minorHAnsi" w:cstheme="minorBidi"/>
                <w:noProof/>
                <w:sz w:val="22"/>
                <w:szCs w:val="22"/>
                <w:lang w:eastAsia="en-GB"/>
              </w:rPr>
              <w:tab/>
            </w:r>
            <w:r>
              <w:rPr>
                <w:rStyle w:val="Hyperlink"/>
                <w:rFonts w:eastAsiaTheme="minorHAnsi"/>
                <w:noProof/>
              </w:rPr>
              <w:t>Indicators</w:t>
            </w:r>
            <w:r>
              <w:rPr>
                <w:noProof/>
                <w:webHidden/>
              </w:rPr>
              <w:tab/>
            </w:r>
            <w:r>
              <w:rPr>
                <w:noProof/>
                <w:webHidden/>
              </w:rPr>
              <w:fldChar w:fldCharType="begin"/>
            </w:r>
            <w:r>
              <w:rPr>
                <w:noProof/>
                <w:webHidden/>
              </w:rPr>
              <w:instrText xml:space="preserve"> PAGEREF _Toc496635679 \h </w:instrText>
            </w:r>
            <w:r>
              <w:rPr>
                <w:noProof/>
                <w:webHidden/>
              </w:rPr>
            </w:r>
            <w:r>
              <w:rPr>
                <w:noProof/>
                <w:webHidden/>
              </w:rPr>
              <w:fldChar w:fldCharType="separate"/>
            </w:r>
            <w:r>
              <w:rPr>
                <w:noProof/>
                <w:webHidden/>
              </w:rPr>
              <w:t>167</w:t>
            </w:r>
            <w:r>
              <w:rPr>
                <w:noProof/>
                <w:webHidden/>
              </w:rPr>
              <w:fldChar w:fldCharType="end"/>
            </w:r>
          </w:hyperlink>
        </w:p>
        <w:p w:rsidR="001A26B0" w:rsidRDefault="00E33A99">
          <w:pPr>
            <w:pStyle w:val="TOC2"/>
            <w:tabs>
              <w:tab w:val="left" w:pos="1077"/>
            </w:tabs>
            <w:rPr>
              <w:rFonts w:asciiTheme="minorHAnsi" w:eastAsiaTheme="minorEastAsia" w:hAnsiTheme="minorHAnsi" w:cstheme="minorBidi"/>
              <w:noProof/>
              <w:sz w:val="22"/>
              <w:szCs w:val="22"/>
              <w:lang w:eastAsia="en-GB"/>
            </w:rPr>
          </w:pPr>
          <w:hyperlink w:anchor="_Toc496635680" w:history="1">
            <w:r>
              <w:rPr>
                <w:rStyle w:val="Hyperlink"/>
                <w:rFonts w:eastAsiaTheme="minorHAnsi"/>
                <w:noProof/>
              </w:rPr>
              <w:t>8.2</w:t>
            </w:r>
            <w:r>
              <w:rPr>
                <w:rFonts w:asciiTheme="minorHAnsi" w:eastAsiaTheme="minorEastAsia" w:hAnsiTheme="minorHAnsi" w:cstheme="minorBidi"/>
                <w:noProof/>
                <w:sz w:val="22"/>
                <w:szCs w:val="22"/>
                <w:lang w:eastAsia="en-GB"/>
              </w:rPr>
              <w:tab/>
            </w:r>
            <w:r>
              <w:rPr>
                <w:rStyle w:val="Hyperlink"/>
                <w:rFonts w:eastAsiaTheme="minorHAnsi"/>
                <w:noProof/>
              </w:rPr>
              <w:t>Operational objectives</w:t>
            </w:r>
            <w:r>
              <w:rPr>
                <w:noProof/>
                <w:webHidden/>
              </w:rPr>
              <w:tab/>
            </w:r>
            <w:r>
              <w:rPr>
                <w:noProof/>
                <w:webHidden/>
              </w:rPr>
              <w:fldChar w:fldCharType="begin"/>
            </w:r>
            <w:r>
              <w:rPr>
                <w:noProof/>
                <w:webHidden/>
              </w:rPr>
              <w:instrText xml:space="preserve"> PAGEREF _Toc496635680 \h </w:instrText>
            </w:r>
            <w:r>
              <w:rPr>
                <w:noProof/>
                <w:webHidden/>
              </w:rPr>
            </w:r>
            <w:r>
              <w:rPr>
                <w:noProof/>
                <w:webHidden/>
              </w:rPr>
              <w:fldChar w:fldCharType="separate"/>
            </w:r>
            <w:r>
              <w:rPr>
                <w:noProof/>
                <w:webHidden/>
              </w:rPr>
              <w:t>168</w:t>
            </w:r>
            <w:r>
              <w:rPr>
                <w:noProof/>
                <w:webHidden/>
              </w:rPr>
              <w:fldChar w:fldCharType="end"/>
            </w:r>
          </w:hyperlink>
        </w:p>
        <w:p w:rsidR="001A26B0" w:rsidRDefault="00E33A99">
          <w:pPr>
            <w:rPr>
              <w:bCs/>
              <w:noProof/>
            </w:rPr>
          </w:pPr>
          <w:r>
            <w:rPr>
              <w:noProof/>
            </w:rPr>
            <w:fldChar w:fldCharType="end"/>
          </w:r>
        </w:p>
      </w:sdtContent>
    </w:sdt>
    <w:p w:rsidR="001A26B0" w:rsidRDefault="00E33A99">
      <w:pPr>
        <w:rPr>
          <w:noProof/>
        </w:rPr>
      </w:pPr>
      <w:r>
        <w:rPr>
          <w:noProof/>
        </w:rPr>
        <w:br w:type="page"/>
      </w:r>
    </w:p>
    <w:p w:rsidR="001A26B0" w:rsidRDefault="00E33A99">
      <w:pPr>
        <w:jc w:val="center"/>
        <w:rPr>
          <w:b/>
          <w:noProof/>
        </w:rPr>
      </w:pPr>
      <w:r>
        <w:rPr>
          <w:b/>
          <w:noProof/>
        </w:rPr>
        <w:t>List of figures</w:t>
      </w:r>
    </w:p>
    <w:p w:rsidR="001A26B0" w:rsidRDefault="001A26B0">
      <w:pPr>
        <w:rPr>
          <w:noProof/>
        </w:rPr>
      </w:pPr>
    </w:p>
    <w:p w:rsidR="001A26B0" w:rsidRDefault="00E33A99">
      <w:pPr>
        <w:pStyle w:val="TableofFigures"/>
        <w:tabs>
          <w:tab w:val="right" w:leader="dot" w:pos="8603"/>
        </w:tabs>
        <w:rPr>
          <w:rFonts w:asciiTheme="minorHAnsi" w:eastAsiaTheme="minorEastAsia" w:hAnsiTheme="minorHAnsi" w:cstheme="minorBidi"/>
          <w:noProof/>
          <w:sz w:val="22"/>
          <w:szCs w:val="22"/>
          <w:lang w:eastAsia="en-GB"/>
        </w:rPr>
      </w:pPr>
      <w:r>
        <w:rPr>
          <w:i/>
          <w:noProof/>
          <w:highlight w:val="yellow"/>
        </w:rPr>
        <w:fldChar w:fldCharType="begin"/>
      </w:r>
      <w:r>
        <w:rPr>
          <w:i/>
          <w:noProof/>
          <w:highlight w:val="yellow"/>
        </w:rPr>
        <w:instrText xml:space="preserve"> TOC \h \z \c "Figure" </w:instrText>
      </w:r>
      <w:r>
        <w:rPr>
          <w:i/>
          <w:noProof/>
          <w:highlight w:val="yellow"/>
        </w:rPr>
        <w:fldChar w:fldCharType="separate"/>
      </w:r>
      <w:hyperlink w:anchor="_Toc496688547" w:history="1">
        <w:r>
          <w:rPr>
            <w:rStyle w:val="Hyperlink"/>
            <w:noProof/>
          </w:rPr>
          <w:t>Figure 1: Overview of interlinkages between this initiative and other climate, energy and transport related initiatives at EU level</w:t>
        </w:r>
        <w:r>
          <w:rPr>
            <w:noProof/>
            <w:webHidden/>
          </w:rPr>
          <w:tab/>
        </w:r>
        <w:r>
          <w:rPr>
            <w:noProof/>
            <w:webHidden/>
          </w:rPr>
          <w:fldChar w:fldCharType="begin"/>
        </w:r>
        <w:r>
          <w:rPr>
            <w:noProof/>
            <w:webHidden/>
          </w:rPr>
          <w:instrText xml:space="preserve"> PAGEREF _Toc496688547 \h </w:instrText>
        </w:r>
        <w:r>
          <w:rPr>
            <w:noProof/>
            <w:webHidden/>
          </w:rPr>
        </w:r>
        <w:r>
          <w:rPr>
            <w:noProof/>
            <w:webHidden/>
          </w:rPr>
          <w:fldChar w:fldCharType="separate"/>
        </w:r>
        <w:r>
          <w:rPr>
            <w:noProof/>
            <w:webHidden/>
          </w:rPr>
          <w:t>12</w:t>
        </w:r>
        <w:r>
          <w:rPr>
            <w:noProof/>
            <w:webHidden/>
          </w:rPr>
          <w:fldChar w:fldCharType="end"/>
        </w:r>
      </w:hyperlink>
    </w:p>
    <w:p w:rsidR="001A26B0" w:rsidRDefault="00E33A99">
      <w:pPr>
        <w:pStyle w:val="TableofFigures"/>
        <w:tabs>
          <w:tab w:val="right" w:leader="dot" w:pos="8603"/>
        </w:tabs>
        <w:rPr>
          <w:rFonts w:asciiTheme="minorHAnsi" w:eastAsiaTheme="minorEastAsia" w:hAnsiTheme="minorHAnsi" w:cstheme="minorBidi"/>
          <w:noProof/>
          <w:sz w:val="22"/>
          <w:szCs w:val="22"/>
          <w:lang w:eastAsia="en-GB"/>
        </w:rPr>
      </w:pPr>
      <w:hyperlink w:anchor="_Toc496688548" w:history="1">
        <w:r>
          <w:rPr>
            <w:rStyle w:val="Hyperlink"/>
            <w:noProof/>
          </w:rPr>
          <w:t>Figure 2: Drivers, problems and objectives</w:t>
        </w:r>
        <w:r>
          <w:rPr>
            <w:noProof/>
            <w:webHidden/>
          </w:rPr>
          <w:tab/>
        </w:r>
        <w:r>
          <w:rPr>
            <w:noProof/>
            <w:webHidden/>
          </w:rPr>
          <w:fldChar w:fldCharType="begin"/>
        </w:r>
        <w:r>
          <w:rPr>
            <w:noProof/>
            <w:webHidden/>
          </w:rPr>
          <w:instrText xml:space="preserve"> PAGEREF _Toc496688548 \h </w:instrText>
        </w:r>
        <w:r>
          <w:rPr>
            <w:noProof/>
            <w:webHidden/>
          </w:rPr>
        </w:r>
        <w:r>
          <w:rPr>
            <w:noProof/>
            <w:webHidden/>
          </w:rPr>
          <w:fldChar w:fldCharType="separate"/>
        </w:r>
        <w:r>
          <w:rPr>
            <w:noProof/>
            <w:webHidden/>
          </w:rPr>
          <w:t>18</w:t>
        </w:r>
        <w:r>
          <w:rPr>
            <w:noProof/>
            <w:webHidden/>
          </w:rPr>
          <w:fldChar w:fldCharType="end"/>
        </w:r>
      </w:hyperlink>
    </w:p>
    <w:p w:rsidR="001A26B0" w:rsidRDefault="00E33A99">
      <w:pPr>
        <w:pStyle w:val="TableofFigures"/>
        <w:tabs>
          <w:tab w:val="right" w:leader="dot" w:pos="8603"/>
        </w:tabs>
        <w:rPr>
          <w:rFonts w:asciiTheme="minorHAnsi" w:eastAsiaTheme="minorEastAsia" w:hAnsiTheme="minorHAnsi" w:cstheme="minorBidi"/>
          <w:noProof/>
          <w:sz w:val="22"/>
          <w:szCs w:val="22"/>
          <w:lang w:eastAsia="en-GB"/>
        </w:rPr>
      </w:pPr>
      <w:hyperlink w:anchor="_Toc496688549" w:history="1">
        <w:r>
          <w:rPr>
            <w:rStyle w:val="Hyperlink"/>
            <w:noProof/>
          </w:rPr>
          <w:t xml:space="preserve">Figure 3: </w:t>
        </w:r>
        <w:r>
          <w:rPr>
            <w:rStyle w:val="Hyperlink"/>
            <w:bCs/>
            <w:noProof/>
          </w:rPr>
          <w:t>GHG emission</w:t>
        </w:r>
        <w:r>
          <w:rPr>
            <w:rStyle w:val="Hyperlink"/>
            <w:bCs/>
            <w:noProof/>
          </w:rPr>
          <w:t>s from cars and vans (1990-2015)</w:t>
        </w:r>
        <w:r>
          <w:rPr>
            <w:noProof/>
            <w:webHidden/>
          </w:rPr>
          <w:tab/>
        </w:r>
        <w:r>
          <w:rPr>
            <w:noProof/>
            <w:webHidden/>
          </w:rPr>
          <w:fldChar w:fldCharType="begin"/>
        </w:r>
        <w:r>
          <w:rPr>
            <w:noProof/>
            <w:webHidden/>
          </w:rPr>
          <w:instrText xml:space="preserve"> PAGEREF _Toc496688549 \h </w:instrText>
        </w:r>
        <w:r>
          <w:rPr>
            <w:noProof/>
            <w:webHidden/>
          </w:rPr>
        </w:r>
        <w:r>
          <w:rPr>
            <w:noProof/>
            <w:webHidden/>
          </w:rPr>
          <w:fldChar w:fldCharType="separate"/>
        </w:r>
        <w:r>
          <w:rPr>
            <w:noProof/>
            <w:webHidden/>
          </w:rPr>
          <w:t>19</w:t>
        </w:r>
        <w:r>
          <w:rPr>
            <w:noProof/>
            <w:webHidden/>
          </w:rPr>
          <w:fldChar w:fldCharType="end"/>
        </w:r>
      </w:hyperlink>
    </w:p>
    <w:p w:rsidR="001A26B0" w:rsidRDefault="00E33A99">
      <w:pPr>
        <w:pStyle w:val="TableofFigures"/>
        <w:tabs>
          <w:tab w:val="right" w:leader="dot" w:pos="8603"/>
        </w:tabs>
        <w:rPr>
          <w:rFonts w:asciiTheme="minorHAnsi" w:eastAsiaTheme="minorEastAsia" w:hAnsiTheme="minorHAnsi" w:cstheme="minorBidi"/>
          <w:noProof/>
          <w:sz w:val="22"/>
          <w:szCs w:val="22"/>
          <w:lang w:eastAsia="en-GB"/>
        </w:rPr>
      </w:pPr>
      <w:hyperlink w:anchor="_Toc496688550" w:history="1">
        <w:r>
          <w:rPr>
            <w:rStyle w:val="Hyperlink"/>
            <w:noProof/>
          </w:rPr>
          <w:t>Figure 4: Historical fleet CO</w:t>
        </w:r>
        <w:r>
          <w:rPr>
            <w:rStyle w:val="Hyperlink"/>
            <w:noProof/>
            <w:vertAlign w:val="subscript"/>
          </w:rPr>
          <w:t>2</w:t>
        </w:r>
        <w:r>
          <w:rPr>
            <w:rStyle w:val="Hyperlink"/>
            <w:noProof/>
          </w:rPr>
          <w:t xml:space="preserve"> emissions performance and current standards (gCO</w:t>
        </w:r>
        <w:r>
          <w:rPr>
            <w:rStyle w:val="Hyperlink"/>
            <w:noProof/>
            <w:vertAlign w:val="subscript"/>
          </w:rPr>
          <w:t>2</w:t>
        </w:r>
        <w:r>
          <w:rPr>
            <w:rStyle w:val="Hyperlink"/>
            <w:noProof/>
          </w:rPr>
          <w:t>/km normalized</w:t>
        </w:r>
        <w:r>
          <w:rPr>
            <w:rStyle w:val="Hyperlink"/>
            <w:noProof/>
          </w:rPr>
          <w:t xml:space="preserve"> to NEDC) for passenger cars (ICCT, 2017)</w:t>
        </w:r>
        <w:r>
          <w:rPr>
            <w:noProof/>
            <w:webHidden/>
          </w:rPr>
          <w:tab/>
        </w:r>
        <w:r>
          <w:rPr>
            <w:noProof/>
            <w:webHidden/>
          </w:rPr>
          <w:fldChar w:fldCharType="begin"/>
        </w:r>
        <w:r>
          <w:rPr>
            <w:noProof/>
            <w:webHidden/>
          </w:rPr>
          <w:instrText xml:space="preserve"> PAGEREF _Toc496688550 \h </w:instrText>
        </w:r>
        <w:r>
          <w:rPr>
            <w:noProof/>
            <w:webHidden/>
          </w:rPr>
        </w:r>
        <w:r>
          <w:rPr>
            <w:noProof/>
            <w:webHidden/>
          </w:rPr>
          <w:fldChar w:fldCharType="separate"/>
        </w:r>
        <w:r>
          <w:rPr>
            <w:noProof/>
            <w:webHidden/>
          </w:rPr>
          <w:t>22</w:t>
        </w:r>
        <w:r>
          <w:rPr>
            <w:noProof/>
            <w:webHidden/>
          </w:rPr>
          <w:fldChar w:fldCharType="end"/>
        </w:r>
      </w:hyperlink>
    </w:p>
    <w:p w:rsidR="001A26B0" w:rsidRDefault="00E33A99">
      <w:pPr>
        <w:pStyle w:val="TableofFigures"/>
        <w:tabs>
          <w:tab w:val="right" w:leader="dot" w:pos="8603"/>
        </w:tabs>
        <w:rPr>
          <w:rFonts w:asciiTheme="minorHAnsi" w:eastAsiaTheme="minorEastAsia" w:hAnsiTheme="minorHAnsi" w:cstheme="minorBidi"/>
          <w:noProof/>
          <w:sz w:val="22"/>
          <w:szCs w:val="22"/>
          <w:lang w:eastAsia="en-GB"/>
        </w:rPr>
      </w:pPr>
      <w:hyperlink w:anchor="_Toc496688551" w:history="1">
        <w:r>
          <w:rPr>
            <w:rStyle w:val="Hyperlink"/>
            <w:noProof/>
          </w:rPr>
          <w:t xml:space="preserve">Figure 5: </w:t>
        </w:r>
        <w:r>
          <w:rPr>
            <w:rStyle w:val="Hyperlink"/>
            <w:bCs/>
            <w:noProof/>
          </w:rPr>
          <w:t xml:space="preserve">EU-wide fleet target level trajectories for new cars under the different </w:t>
        </w:r>
        <w:r>
          <w:rPr>
            <w:rStyle w:val="Hyperlink"/>
            <w:bCs/>
            <w:noProof/>
          </w:rPr>
          <w:t>TLC options</w:t>
        </w:r>
        <w:r>
          <w:rPr>
            <w:noProof/>
            <w:webHidden/>
          </w:rPr>
          <w:tab/>
        </w:r>
        <w:r>
          <w:rPr>
            <w:noProof/>
            <w:webHidden/>
          </w:rPr>
          <w:fldChar w:fldCharType="begin"/>
        </w:r>
        <w:r>
          <w:rPr>
            <w:noProof/>
            <w:webHidden/>
          </w:rPr>
          <w:instrText xml:space="preserve"> PAGEREF _Toc496688551 \h </w:instrText>
        </w:r>
        <w:r>
          <w:rPr>
            <w:noProof/>
            <w:webHidden/>
          </w:rPr>
        </w:r>
        <w:r>
          <w:rPr>
            <w:noProof/>
            <w:webHidden/>
          </w:rPr>
          <w:fldChar w:fldCharType="separate"/>
        </w:r>
        <w:r>
          <w:rPr>
            <w:noProof/>
            <w:webHidden/>
          </w:rPr>
          <w:t>35</w:t>
        </w:r>
        <w:r>
          <w:rPr>
            <w:noProof/>
            <w:webHidden/>
          </w:rPr>
          <w:fldChar w:fldCharType="end"/>
        </w:r>
      </w:hyperlink>
    </w:p>
    <w:p w:rsidR="001A26B0" w:rsidRDefault="00E33A99">
      <w:pPr>
        <w:pStyle w:val="TableofFigures"/>
        <w:tabs>
          <w:tab w:val="right" w:leader="dot" w:pos="8603"/>
        </w:tabs>
        <w:rPr>
          <w:rFonts w:asciiTheme="minorHAnsi" w:eastAsiaTheme="minorEastAsia" w:hAnsiTheme="minorHAnsi" w:cstheme="minorBidi"/>
          <w:noProof/>
          <w:sz w:val="22"/>
          <w:szCs w:val="22"/>
          <w:lang w:eastAsia="en-GB"/>
        </w:rPr>
      </w:pPr>
      <w:hyperlink w:anchor="_Toc496688552" w:history="1">
        <w:r>
          <w:rPr>
            <w:rStyle w:val="Hyperlink"/>
            <w:noProof/>
          </w:rPr>
          <w:t xml:space="preserve">Figure 6: </w:t>
        </w:r>
        <w:r>
          <w:rPr>
            <w:rStyle w:val="Hyperlink"/>
            <w:bCs/>
            <w:noProof/>
          </w:rPr>
          <w:t>EU-wide fleet target level trajectories for new vans under the different TLV options</w:t>
        </w:r>
        <w:r>
          <w:rPr>
            <w:noProof/>
            <w:webHidden/>
          </w:rPr>
          <w:tab/>
        </w:r>
        <w:r>
          <w:rPr>
            <w:noProof/>
            <w:webHidden/>
          </w:rPr>
          <w:fldChar w:fldCharType="begin"/>
        </w:r>
        <w:r>
          <w:rPr>
            <w:noProof/>
            <w:webHidden/>
          </w:rPr>
          <w:instrText xml:space="preserve"> PAGEREF _Toc496688</w:instrText>
        </w:r>
        <w:r>
          <w:rPr>
            <w:noProof/>
            <w:webHidden/>
          </w:rPr>
          <w:instrText xml:space="preserve">552 \h </w:instrText>
        </w:r>
        <w:r>
          <w:rPr>
            <w:noProof/>
            <w:webHidden/>
          </w:rPr>
        </w:r>
        <w:r>
          <w:rPr>
            <w:noProof/>
            <w:webHidden/>
          </w:rPr>
          <w:fldChar w:fldCharType="separate"/>
        </w:r>
        <w:r>
          <w:rPr>
            <w:noProof/>
            <w:webHidden/>
          </w:rPr>
          <w:t>36</w:t>
        </w:r>
        <w:r>
          <w:rPr>
            <w:noProof/>
            <w:webHidden/>
          </w:rPr>
          <w:fldChar w:fldCharType="end"/>
        </w:r>
      </w:hyperlink>
    </w:p>
    <w:p w:rsidR="001A26B0" w:rsidRDefault="00E33A99">
      <w:pPr>
        <w:pStyle w:val="TableofFigures"/>
        <w:tabs>
          <w:tab w:val="right" w:leader="dot" w:pos="8603"/>
        </w:tabs>
        <w:rPr>
          <w:rFonts w:asciiTheme="minorHAnsi" w:eastAsiaTheme="minorEastAsia" w:hAnsiTheme="minorHAnsi" w:cstheme="minorBidi"/>
          <w:noProof/>
          <w:sz w:val="22"/>
          <w:szCs w:val="22"/>
          <w:lang w:eastAsia="en-GB"/>
        </w:rPr>
      </w:pPr>
      <w:hyperlink w:anchor="_Toc496688553" w:history="1">
        <w:r>
          <w:rPr>
            <w:rStyle w:val="Hyperlink"/>
            <w:noProof/>
          </w:rPr>
          <w:t>Figure 7: Battery costs (USD/kWh) and battery energy density (Wh/L)</w:t>
        </w:r>
        <w:r>
          <w:rPr>
            <w:noProof/>
            <w:webHidden/>
          </w:rPr>
          <w:tab/>
        </w:r>
        <w:r>
          <w:rPr>
            <w:noProof/>
            <w:webHidden/>
          </w:rPr>
          <w:fldChar w:fldCharType="begin"/>
        </w:r>
        <w:r>
          <w:rPr>
            <w:noProof/>
            <w:webHidden/>
          </w:rPr>
          <w:instrText xml:space="preserve"> PAGEREF _Toc496688553 \h </w:instrText>
        </w:r>
        <w:r>
          <w:rPr>
            <w:noProof/>
            <w:webHidden/>
          </w:rPr>
        </w:r>
        <w:r>
          <w:rPr>
            <w:noProof/>
            <w:webHidden/>
          </w:rPr>
          <w:fldChar w:fldCharType="separate"/>
        </w:r>
        <w:r>
          <w:rPr>
            <w:noProof/>
            <w:webHidden/>
          </w:rPr>
          <w:t>42</w:t>
        </w:r>
        <w:r>
          <w:rPr>
            <w:noProof/>
            <w:webHidden/>
          </w:rPr>
          <w:fldChar w:fldCharType="end"/>
        </w:r>
      </w:hyperlink>
    </w:p>
    <w:p w:rsidR="001A26B0" w:rsidRDefault="00E33A99">
      <w:pPr>
        <w:pStyle w:val="TableofFigures"/>
        <w:tabs>
          <w:tab w:val="right" w:leader="dot" w:pos="8603"/>
        </w:tabs>
        <w:rPr>
          <w:rFonts w:asciiTheme="minorHAnsi" w:eastAsiaTheme="minorEastAsia" w:hAnsiTheme="minorHAnsi" w:cstheme="minorBidi"/>
          <w:noProof/>
          <w:sz w:val="22"/>
          <w:szCs w:val="22"/>
          <w:lang w:eastAsia="en-GB"/>
        </w:rPr>
      </w:pPr>
      <w:hyperlink w:anchor="_Toc496688554" w:history="1">
        <w:r>
          <w:rPr>
            <w:rStyle w:val="Hyperlink"/>
            <w:noProof/>
          </w:rPr>
          <w:t>Figure 8: Evolution of Li-ion battery costs (USD/kWh)</w:t>
        </w:r>
        <w:r>
          <w:rPr>
            <w:noProof/>
            <w:webHidden/>
          </w:rPr>
          <w:tab/>
        </w:r>
        <w:r>
          <w:rPr>
            <w:noProof/>
            <w:webHidden/>
          </w:rPr>
          <w:fldChar w:fldCharType="begin"/>
        </w:r>
        <w:r>
          <w:rPr>
            <w:noProof/>
            <w:webHidden/>
          </w:rPr>
          <w:instrText xml:space="preserve"> PAGEREF _Toc496688554 \h </w:instrText>
        </w:r>
        <w:r>
          <w:rPr>
            <w:noProof/>
            <w:webHidden/>
          </w:rPr>
        </w:r>
        <w:r>
          <w:rPr>
            <w:noProof/>
            <w:webHidden/>
          </w:rPr>
          <w:fldChar w:fldCharType="separate"/>
        </w:r>
        <w:r>
          <w:rPr>
            <w:noProof/>
            <w:webHidden/>
          </w:rPr>
          <w:t>43</w:t>
        </w:r>
        <w:r>
          <w:rPr>
            <w:noProof/>
            <w:webHidden/>
          </w:rPr>
          <w:fldChar w:fldCharType="end"/>
        </w:r>
      </w:hyperlink>
    </w:p>
    <w:p w:rsidR="001A26B0" w:rsidRDefault="00E33A99">
      <w:pPr>
        <w:pStyle w:val="TableofFigures"/>
        <w:tabs>
          <w:tab w:val="right" w:leader="dot" w:pos="8603"/>
        </w:tabs>
        <w:rPr>
          <w:rFonts w:asciiTheme="minorHAnsi" w:eastAsiaTheme="minorEastAsia" w:hAnsiTheme="minorHAnsi" w:cstheme="minorBidi"/>
          <w:noProof/>
          <w:sz w:val="22"/>
          <w:szCs w:val="22"/>
          <w:lang w:eastAsia="en-GB"/>
        </w:rPr>
      </w:pPr>
      <w:hyperlink w:anchor="_Toc496688555" w:history="1">
        <w:r>
          <w:rPr>
            <w:rStyle w:val="Hyperlink"/>
            <w:noProof/>
          </w:rPr>
          <w:t xml:space="preserve">Figure 9: Projected </w:t>
        </w:r>
        <w:r>
          <w:rPr>
            <w:rStyle w:val="Hyperlink"/>
            <w:noProof/>
          </w:rPr>
          <w:t>trend of greenhouse gas emissions from road transport between 2005 and 2030 under the baseline</w:t>
        </w:r>
        <w:r>
          <w:rPr>
            <w:noProof/>
            <w:webHidden/>
          </w:rPr>
          <w:tab/>
        </w:r>
        <w:r>
          <w:rPr>
            <w:noProof/>
            <w:webHidden/>
          </w:rPr>
          <w:fldChar w:fldCharType="begin"/>
        </w:r>
        <w:r>
          <w:rPr>
            <w:noProof/>
            <w:webHidden/>
          </w:rPr>
          <w:instrText xml:space="preserve"> PAGEREF _Toc496688555 \h </w:instrText>
        </w:r>
        <w:r>
          <w:rPr>
            <w:noProof/>
            <w:webHidden/>
          </w:rPr>
        </w:r>
        <w:r>
          <w:rPr>
            <w:noProof/>
            <w:webHidden/>
          </w:rPr>
          <w:fldChar w:fldCharType="separate"/>
        </w:r>
        <w:r>
          <w:rPr>
            <w:noProof/>
            <w:webHidden/>
          </w:rPr>
          <w:t>68</w:t>
        </w:r>
        <w:r>
          <w:rPr>
            <w:noProof/>
            <w:webHidden/>
          </w:rPr>
          <w:fldChar w:fldCharType="end"/>
        </w:r>
      </w:hyperlink>
    </w:p>
    <w:p w:rsidR="001A26B0" w:rsidRDefault="00E33A99">
      <w:pPr>
        <w:pStyle w:val="TableofFigures"/>
        <w:tabs>
          <w:tab w:val="right" w:leader="dot" w:pos="8603"/>
        </w:tabs>
        <w:rPr>
          <w:rFonts w:asciiTheme="minorHAnsi" w:eastAsiaTheme="minorEastAsia" w:hAnsiTheme="minorHAnsi" w:cstheme="minorBidi"/>
          <w:noProof/>
          <w:sz w:val="22"/>
          <w:szCs w:val="22"/>
          <w:lang w:eastAsia="en-GB"/>
        </w:rPr>
      </w:pPr>
      <w:hyperlink w:anchor="_Toc496688556" w:history="1">
        <w:r>
          <w:rPr>
            <w:rStyle w:val="Hyperlink"/>
            <w:noProof/>
          </w:rPr>
          <w:t xml:space="preserve">Figure 10: Passenger car fleet </w:t>
        </w:r>
        <w:r>
          <w:rPr>
            <w:rStyle w:val="Hyperlink"/>
            <w:noProof/>
          </w:rPr>
          <w:t>powertrain composition (new cars) in 2025 and 2030 under different TLC options</w:t>
        </w:r>
        <w:r>
          <w:rPr>
            <w:noProof/>
            <w:webHidden/>
          </w:rPr>
          <w:tab/>
        </w:r>
        <w:r>
          <w:rPr>
            <w:noProof/>
            <w:webHidden/>
          </w:rPr>
          <w:fldChar w:fldCharType="begin"/>
        </w:r>
        <w:r>
          <w:rPr>
            <w:noProof/>
            <w:webHidden/>
          </w:rPr>
          <w:instrText xml:space="preserve"> PAGEREF _Toc496688556 \h </w:instrText>
        </w:r>
        <w:r>
          <w:rPr>
            <w:noProof/>
            <w:webHidden/>
          </w:rPr>
        </w:r>
        <w:r>
          <w:rPr>
            <w:noProof/>
            <w:webHidden/>
          </w:rPr>
          <w:fldChar w:fldCharType="separate"/>
        </w:r>
        <w:r>
          <w:rPr>
            <w:noProof/>
            <w:webHidden/>
          </w:rPr>
          <w:t>74</w:t>
        </w:r>
        <w:r>
          <w:rPr>
            <w:noProof/>
            <w:webHidden/>
          </w:rPr>
          <w:fldChar w:fldCharType="end"/>
        </w:r>
      </w:hyperlink>
    </w:p>
    <w:p w:rsidR="001A26B0" w:rsidRDefault="00E33A99">
      <w:pPr>
        <w:pStyle w:val="TableofFigures"/>
        <w:tabs>
          <w:tab w:val="right" w:leader="dot" w:pos="8603"/>
        </w:tabs>
        <w:rPr>
          <w:rFonts w:asciiTheme="minorHAnsi" w:eastAsiaTheme="minorEastAsia" w:hAnsiTheme="minorHAnsi" w:cstheme="minorBidi"/>
          <w:noProof/>
          <w:sz w:val="22"/>
          <w:szCs w:val="22"/>
          <w:lang w:eastAsia="en-GB"/>
        </w:rPr>
      </w:pPr>
      <w:hyperlink w:anchor="_Toc496688557" w:history="1">
        <w:r>
          <w:rPr>
            <w:rStyle w:val="Hyperlink"/>
            <w:noProof/>
          </w:rPr>
          <w:t>Figure 11: Van fleet powertrain composition (new</w:t>
        </w:r>
        <w:r>
          <w:rPr>
            <w:rStyle w:val="Hyperlink"/>
            <w:noProof/>
          </w:rPr>
          <w:t xml:space="preserve"> vans) in 2025 and 2030 under different TLV options</w:t>
        </w:r>
        <w:r>
          <w:rPr>
            <w:noProof/>
            <w:webHidden/>
          </w:rPr>
          <w:tab/>
        </w:r>
        <w:r>
          <w:rPr>
            <w:noProof/>
            <w:webHidden/>
          </w:rPr>
          <w:fldChar w:fldCharType="begin"/>
        </w:r>
        <w:r>
          <w:rPr>
            <w:noProof/>
            <w:webHidden/>
          </w:rPr>
          <w:instrText xml:space="preserve"> PAGEREF _Toc496688557 \h </w:instrText>
        </w:r>
        <w:r>
          <w:rPr>
            <w:noProof/>
            <w:webHidden/>
          </w:rPr>
        </w:r>
        <w:r>
          <w:rPr>
            <w:noProof/>
            <w:webHidden/>
          </w:rPr>
          <w:fldChar w:fldCharType="separate"/>
        </w:r>
        <w:r>
          <w:rPr>
            <w:noProof/>
            <w:webHidden/>
          </w:rPr>
          <w:t>75</w:t>
        </w:r>
        <w:r>
          <w:rPr>
            <w:noProof/>
            <w:webHidden/>
          </w:rPr>
          <w:fldChar w:fldCharType="end"/>
        </w:r>
      </w:hyperlink>
    </w:p>
    <w:p w:rsidR="001A26B0" w:rsidRDefault="00E33A99">
      <w:pPr>
        <w:pStyle w:val="TableofFigures"/>
        <w:tabs>
          <w:tab w:val="right" w:leader="dot" w:pos="8603"/>
        </w:tabs>
        <w:rPr>
          <w:rFonts w:asciiTheme="minorHAnsi" w:eastAsiaTheme="minorEastAsia" w:hAnsiTheme="minorHAnsi" w:cstheme="minorBidi"/>
          <w:noProof/>
          <w:sz w:val="22"/>
          <w:szCs w:val="22"/>
          <w:lang w:eastAsia="en-GB"/>
        </w:rPr>
      </w:pPr>
      <w:hyperlink w:anchor="_Toc496688558" w:history="1">
        <w:r>
          <w:rPr>
            <w:rStyle w:val="Hyperlink"/>
            <w:noProof/>
          </w:rPr>
          <w:t xml:space="preserve">Figure 12: Net economic savings over the vehicle lifetime from a societal </w:t>
        </w:r>
        <w:r>
          <w:rPr>
            <w:rStyle w:val="Hyperlink"/>
            <w:noProof/>
          </w:rPr>
          <w:t>perspective in 2025 and 2030 (EUR/car)</w:t>
        </w:r>
        <w:r>
          <w:rPr>
            <w:noProof/>
            <w:webHidden/>
          </w:rPr>
          <w:tab/>
        </w:r>
        <w:r>
          <w:rPr>
            <w:noProof/>
            <w:webHidden/>
          </w:rPr>
          <w:fldChar w:fldCharType="begin"/>
        </w:r>
        <w:r>
          <w:rPr>
            <w:noProof/>
            <w:webHidden/>
          </w:rPr>
          <w:instrText xml:space="preserve"> PAGEREF _Toc496688558 \h </w:instrText>
        </w:r>
        <w:r>
          <w:rPr>
            <w:noProof/>
            <w:webHidden/>
          </w:rPr>
        </w:r>
        <w:r>
          <w:rPr>
            <w:noProof/>
            <w:webHidden/>
          </w:rPr>
          <w:fldChar w:fldCharType="separate"/>
        </w:r>
        <w:r>
          <w:rPr>
            <w:noProof/>
            <w:webHidden/>
          </w:rPr>
          <w:t>78</w:t>
        </w:r>
        <w:r>
          <w:rPr>
            <w:noProof/>
            <w:webHidden/>
          </w:rPr>
          <w:fldChar w:fldCharType="end"/>
        </w:r>
      </w:hyperlink>
    </w:p>
    <w:p w:rsidR="001A26B0" w:rsidRDefault="00E33A99">
      <w:pPr>
        <w:pStyle w:val="TableofFigures"/>
        <w:tabs>
          <w:tab w:val="right" w:leader="dot" w:pos="8603"/>
        </w:tabs>
        <w:rPr>
          <w:rFonts w:asciiTheme="minorHAnsi" w:eastAsiaTheme="minorEastAsia" w:hAnsiTheme="minorHAnsi" w:cstheme="minorBidi"/>
          <w:noProof/>
          <w:sz w:val="22"/>
          <w:szCs w:val="22"/>
          <w:lang w:eastAsia="en-GB"/>
        </w:rPr>
      </w:pPr>
      <w:hyperlink w:anchor="_Toc496688559" w:history="1">
        <w:r>
          <w:rPr>
            <w:rStyle w:val="Hyperlink"/>
            <w:noProof/>
          </w:rPr>
          <w:t>Figure 13: TCO-15 years (vehicle lifetime) (net savings in EUR/car in 2025 and 2030)</w:t>
        </w:r>
        <w:r>
          <w:rPr>
            <w:noProof/>
            <w:webHidden/>
          </w:rPr>
          <w:tab/>
        </w:r>
        <w:r>
          <w:rPr>
            <w:noProof/>
            <w:webHidden/>
          </w:rPr>
          <w:fldChar w:fldCharType="begin"/>
        </w:r>
        <w:r>
          <w:rPr>
            <w:noProof/>
            <w:webHidden/>
          </w:rPr>
          <w:instrText xml:space="preserve"> PA</w:instrText>
        </w:r>
        <w:r>
          <w:rPr>
            <w:noProof/>
            <w:webHidden/>
          </w:rPr>
          <w:instrText xml:space="preserve">GEREF _Toc496688559 \h </w:instrText>
        </w:r>
        <w:r>
          <w:rPr>
            <w:noProof/>
            <w:webHidden/>
          </w:rPr>
        </w:r>
        <w:r>
          <w:rPr>
            <w:noProof/>
            <w:webHidden/>
          </w:rPr>
          <w:fldChar w:fldCharType="separate"/>
        </w:r>
        <w:r>
          <w:rPr>
            <w:noProof/>
            <w:webHidden/>
          </w:rPr>
          <w:t>79</w:t>
        </w:r>
        <w:r>
          <w:rPr>
            <w:noProof/>
            <w:webHidden/>
          </w:rPr>
          <w:fldChar w:fldCharType="end"/>
        </w:r>
      </w:hyperlink>
    </w:p>
    <w:p w:rsidR="001A26B0" w:rsidRDefault="00E33A99">
      <w:pPr>
        <w:pStyle w:val="TableofFigures"/>
        <w:tabs>
          <w:tab w:val="right" w:leader="dot" w:pos="8603"/>
        </w:tabs>
        <w:rPr>
          <w:rFonts w:asciiTheme="minorHAnsi" w:eastAsiaTheme="minorEastAsia" w:hAnsiTheme="minorHAnsi" w:cstheme="minorBidi"/>
          <w:noProof/>
          <w:sz w:val="22"/>
          <w:szCs w:val="22"/>
          <w:lang w:eastAsia="en-GB"/>
        </w:rPr>
      </w:pPr>
      <w:hyperlink w:anchor="_Toc496688560" w:history="1">
        <w:r>
          <w:rPr>
            <w:rStyle w:val="Hyperlink"/>
            <w:noProof/>
          </w:rPr>
          <w:t>Figure 14: TCO-first user (5 years) (net savings in EUR/car in 2025 and 2030)</w:t>
        </w:r>
        <w:r>
          <w:rPr>
            <w:noProof/>
            <w:webHidden/>
          </w:rPr>
          <w:tab/>
        </w:r>
        <w:r>
          <w:rPr>
            <w:noProof/>
            <w:webHidden/>
          </w:rPr>
          <w:fldChar w:fldCharType="begin"/>
        </w:r>
        <w:r>
          <w:rPr>
            <w:noProof/>
            <w:webHidden/>
          </w:rPr>
          <w:instrText xml:space="preserve"> PAGEREF _Toc496688560 \h </w:instrText>
        </w:r>
        <w:r>
          <w:rPr>
            <w:noProof/>
            <w:webHidden/>
          </w:rPr>
        </w:r>
        <w:r>
          <w:rPr>
            <w:noProof/>
            <w:webHidden/>
          </w:rPr>
          <w:fldChar w:fldCharType="separate"/>
        </w:r>
        <w:r>
          <w:rPr>
            <w:noProof/>
            <w:webHidden/>
          </w:rPr>
          <w:t>80</w:t>
        </w:r>
        <w:r>
          <w:rPr>
            <w:noProof/>
            <w:webHidden/>
          </w:rPr>
          <w:fldChar w:fldCharType="end"/>
        </w:r>
      </w:hyperlink>
    </w:p>
    <w:p w:rsidR="001A26B0" w:rsidRDefault="00E33A99">
      <w:pPr>
        <w:pStyle w:val="TableofFigures"/>
        <w:tabs>
          <w:tab w:val="right" w:leader="dot" w:pos="8603"/>
        </w:tabs>
        <w:rPr>
          <w:rFonts w:asciiTheme="minorHAnsi" w:eastAsiaTheme="minorEastAsia" w:hAnsiTheme="minorHAnsi" w:cstheme="minorBidi"/>
          <w:noProof/>
          <w:sz w:val="22"/>
          <w:szCs w:val="22"/>
          <w:lang w:eastAsia="en-GB"/>
        </w:rPr>
      </w:pPr>
      <w:hyperlink w:anchor="_Toc496688561" w:history="1">
        <w:r>
          <w:rPr>
            <w:rStyle w:val="Hyperlink"/>
            <w:noProof/>
          </w:rPr>
          <w:t>Figure 15: Final energy demand (ktoe) for passenger cars over the period 2020-2040 under different TLC options</w:t>
        </w:r>
        <w:r>
          <w:rPr>
            <w:noProof/>
            <w:webHidden/>
          </w:rPr>
          <w:tab/>
        </w:r>
        <w:r>
          <w:rPr>
            <w:noProof/>
            <w:webHidden/>
          </w:rPr>
          <w:fldChar w:fldCharType="begin"/>
        </w:r>
        <w:r>
          <w:rPr>
            <w:noProof/>
            <w:webHidden/>
          </w:rPr>
          <w:instrText xml:space="preserve"> PAGEREF _Toc496688561 \h </w:instrText>
        </w:r>
        <w:r>
          <w:rPr>
            <w:noProof/>
            <w:webHidden/>
          </w:rPr>
        </w:r>
        <w:r>
          <w:rPr>
            <w:noProof/>
            <w:webHidden/>
          </w:rPr>
          <w:fldChar w:fldCharType="separate"/>
        </w:r>
        <w:r>
          <w:rPr>
            <w:noProof/>
            <w:webHidden/>
          </w:rPr>
          <w:t>81</w:t>
        </w:r>
        <w:r>
          <w:rPr>
            <w:noProof/>
            <w:webHidden/>
          </w:rPr>
          <w:fldChar w:fldCharType="end"/>
        </w:r>
      </w:hyperlink>
    </w:p>
    <w:p w:rsidR="001A26B0" w:rsidRDefault="00E33A99">
      <w:pPr>
        <w:pStyle w:val="TableofFigures"/>
        <w:tabs>
          <w:tab w:val="right" w:leader="dot" w:pos="8603"/>
        </w:tabs>
        <w:rPr>
          <w:rFonts w:asciiTheme="minorHAnsi" w:eastAsiaTheme="minorEastAsia" w:hAnsiTheme="minorHAnsi" w:cstheme="minorBidi"/>
          <w:noProof/>
          <w:sz w:val="22"/>
          <w:szCs w:val="22"/>
          <w:lang w:eastAsia="en-GB"/>
        </w:rPr>
      </w:pPr>
      <w:hyperlink w:anchor="_Toc496688562" w:history="1">
        <w:r>
          <w:rPr>
            <w:rStyle w:val="Hyperlink"/>
            <w:noProof/>
          </w:rPr>
          <w:t>Figure 16: Share (%) of different fuel types in the final energy demand for cars (entire fleet) under different TLC options - 2025 and 2030</w:t>
        </w:r>
        <w:r>
          <w:rPr>
            <w:noProof/>
            <w:webHidden/>
          </w:rPr>
          <w:tab/>
        </w:r>
        <w:r>
          <w:rPr>
            <w:noProof/>
            <w:webHidden/>
          </w:rPr>
          <w:fldChar w:fldCharType="begin"/>
        </w:r>
        <w:r>
          <w:rPr>
            <w:noProof/>
            <w:webHidden/>
          </w:rPr>
          <w:instrText xml:space="preserve"> PAGEREF _Toc496688562 \h </w:instrText>
        </w:r>
        <w:r>
          <w:rPr>
            <w:noProof/>
            <w:webHidden/>
          </w:rPr>
        </w:r>
        <w:r>
          <w:rPr>
            <w:noProof/>
            <w:webHidden/>
          </w:rPr>
          <w:fldChar w:fldCharType="separate"/>
        </w:r>
        <w:r>
          <w:rPr>
            <w:noProof/>
            <w:webHidden/>
          </w:rPr>
          <w:t>82</w:t>
        </w:r>
        <w:r>
          <w:rPr>
            <w:noProof/>
            <w:webHidden/>
          </w:rPr>
          <w:fldChar w:fldCharType="end"/>
        </w:r>
      </w:hyperlink>
    </w:p>
    <w:p w:rsidR="001A26B0" w:rsidRDefault="00E33A99">
      <w:pPr>
        <w:pStyle w:val="TableofFigures"/>
        <w:tabs>
          <w:tab w:val="right" w:leader="dot" w:pos="8603"/>
        </w:tabs>
        <w:rPr>
          <w:rFonts w:asciiTheme="minorHAnsi" w:eastAsiaTheme="minorEastAsia" w:hAnsiTheme="minorHAnsi" w:cstheme="minorBidi"/>
          <w:noProof/>
          <w:sz w:val="22"/>
          <w:szCs w:val="22"/>
          <w:lang w:eastAsia="en-GB"/>
        </w:rPr>
      </w:pPr>
      <w:hyperlink w:anchor="_Toc496688563" w:history="1">
        <w:r>
          <w:rPr>
            <w:rStyle w:val="Hyperlink"/>
            <w:noProof/>
          </w:rPr>
          <w:t>Figure 17: Net economic savings over the vehicle lifetime from a societal perspective in 2025 and 2030 (EUR/van)</w:t>
        </w:r>
        <w:r>
          <w:rPr>
            <w:noProof/>
            <w:webHidden/>
          </w:rPr>
          <w:tab/>
        </w:r>
        <w:r>
          <w:rPr>
            <w:noProof/>
            <w:webHidden/>
          </w:rPr>
          <w:fldChar w:fldCharType="begin"/>
        </w:r>
        <w:r>
          <w:rPr>
            <w:noProof/>
            <w:webHidden/>
          </w:rPr>
          <w:instrText xml:space="preserve"> PAGEREF _Toc496688563 \h </w:instrText>
        </w:r>
        <w:r>
          <w:rPr>
            <w:noProof/>
            <w:webHidden/>
          </w:rPr>
        </w:r>
        <w:r>
          <w:rPr>
            <w:noProof/>
            <w:webHidden/>
          </w:rPr>
          <w:fldChar w:fldCharType="separate"/>
        </w:r>
        <w:r>
          <w:rPr>
            <w:noProof/>
            <w:webHidden/>
          </w:rPr>
          <w:t>86</w:t>
        </w:r>
        <w:r>
          <w:rPr>
            <w:noProof/>
            <w:webHidden/>
          </w:rPr>
          <w:fldChar w:fldCharType="end"/>
        </w:r>
      </w:hyperlink>
    </w:p>
    <w:p w:rsidR="001A26B0" w:rsidRDefault="00E33A99">
      <w:pPr>
        <w:pStyle w:val="TableofFigures"/>
        <w:tabs>
          <w:tab w:val="right" w:leader="dot" w:pos="8603"/>
        </w:tabs>
        <w:rPr>
          <w:rFonts w:asciiTheme="minorHAnsi" w:eastAsiaTheme="minorEastAsia" w:hAnsiTheme="minorHAnsi" w:cstheme="minorBidi"/>
          <w:noProof/>
          <w:sz w:val="22"/>
          <w:szCs w:val="22"/>
          <w:lang w:eastAsia="en-GB"/>
        </w:rPr>
      </w:pPr>
      <w:hyperlink w:anchor="_Toc496688564" w:history="1">
        <w:r>
          <w:rPr>
            <w:rStyle w:val="Hyperlink"/>
            <w:noProof/>
          </w:rPr>
          <w:t>Figure 18: TCO-15 years (vehicle lifetime) in 2025 and 2030 (net savings in EUR/van)</w:t>
        </w:r>
        <w:r>
          <w:rPr>
            <w:noProof/>
            <w:webHidden/>
          </w:rPr>
          <w:tab/>
        </w:r>
        <w:r>
          <w:rPr>
            <w:noProof/>
            <w:webHidden/>
          </w:rPr>
          <w:fldChar w:fldCharType="begin"/>
        </w:r>
        <w:r>
          <w:rPr>
            <w:noProof/>
            <w:webHidden/>
          </w:rPr>
          <w:instrText xml:space="preserve"> PAGEREF _Toc496688564 \h </w:instrText>
        </w:r>
        <w:r>
          <w:rPr>
            <w:noProof/>
            <w:webHidden/>
          </w:rPr>
        </w:r>
        <w:r>
          <w:rPr>
            <w:noProof/>
            <w:webHidden/>
          </w:rPr>
          <w:fldChar w:fldCharType="separate"/>
        </w:r>
        <w:r>
          <w:rPr>
            <w:noProof/>
            <w:webHidden/>
          </w:rPr>
          <w:t>87</w:t>
        </w:r>
        <w:r>
          <w:rPr>
            <w:noProof/>
            <w:webHidden/>
          </w:rPr>
          <w:fldChar w:fldCharType="end"/>
        </w:r>
      </w:hyperlink>
    </w:p>
    <w:p w:rsidR="001A26B0" w:rsidRDefault="00E33A99">
      <w:pPr>
        <w:pStyle w:val="TableofFigures"/>
        <w:tabs>
          <w:tab w:val="right" w:leader="dot" w:pos="8603"/>
        </w:tabs>
        <w:rPr>
          <w:rFonts w:asciiTheme="minorHAnsi" w:eastAsiaTheme="minorEastAsia" w:hAnsiTheme="minorHAnsi" w:cstheme="minorBidi"/>
          <w:noProof/>
          <w:sz w:val="22"/>
          <w:szCs w:val="22"/>
          <w:lang w:eastAsia="en-GB"/>
        </w:rPr>
      </w:pPr>
      <w:hyperlink w:anchor="_Toc496688565" w:history="1">
        <w:r>
          <w:rPr>
            <w:rStyle w:val="Hyperlink"/>
            <w:noProof/>
          </w:rPr>
          <w:t>Figure 19: TCO-first user (5 years) in 2025 and 2030 (net savings in EUR/van)</w:t>
        </w:r>
        <w:r>
          <w:rPr>
            <w:noProof/>
            <w:webHidden/>
          </w:rPr>
          <w:tab/>
        </w:r>
        <w:r>
          <w:rPr>
            <w:noProof/>
            <w:webHidden/>
          </w:rPr>
          <w:fldChar w:fldCharType="begin"/>
        </w:r>
        <w:r>
          <w:rPr>
            <w:noProof/>
            <w:webHidden/>
          </w:rPr>
          <w:instrText xml:space="preserve"> PAGEREF _Toc496688565 \h </w:instrText>
        </w:r>
        <w:r>
          <w:rPr>
            <w:noProof/>
            <w:webHidden/>
          </w:rPr>
        </w:r>
        <w:r>
          <w:rPr>
            <w:noProof/>
            <w:webHidden/>
          </w:rPr>
          <w:fldChar w:fldCharType="separate"/>
        </w:r>
        <w:r>
          <w:rPr>
            <w:noProof/>
            <w:webHidden/>
          </w:rPr>
          <w:t>88</w:t>
        </w:r>
        <w:r>
          <w:rPr>
            <w:noProof/>
            <w:webHidden/>
          </w:rPr>
          <w:fldChar w:fldCharType="end"/>
        </w:r>
      </w:hyperlink>
    </w:p>
    <w:p w:rsidR="001A26B0" w:rsidRDefault="00E33A99">
      <w:pPr>
        <w:pStyle w:val="TableofFigures"/>
        <w:tabs>
          <w:tab w:val="right" w:leader="dot" w:pos="8603"/>
        </w:tabs>
        <w:rPr>
          <w:rFonts w:asciiTheme="minorHAnsi" w:eastAsiaTheme="minorEastAsia" w:hAnsiTheme="minorHAnsi" w:cstheme="minorBidi"/>
          <w:noProof/>
          <w:sz w:val="22"/>
          <w:szCs w:val="22"/>
          <w:lang w:eastAsia="en-GB"/>
        </w:rPr>
      </w:pPr>
      <w:hyperlink w:anchor="_Toc496688566" w:history="1">
        <w:r>
          <w:rPr>
            <w:rStyle w:val="Hyperlink"/>
            <w:noProof/>
          </w:rPr>
          <w:t>Figure</w:t>
        </w:r>
        <w:r>
          <w:rPr>
            <w:rStyle w:val="Hyperlink"/>
            <w:noProof/>
          </w:rPr>
          <w:t xml:space="preserve"> 20: Final energy demand (ktoe) for vans over the period 2020-2040 under different TLV options</w:t>
        </w:r>
        <w:r>
          <w:rPr>
            <w:noProof/>
            <w:webHidden/>
          </w:rPr>
          <w:tab/>
        </w:r>
        <w:r>
          <w:rPr>
            <w:noProof/>
            <w:webHidden/>
          </w:rPr>
          <w:fldChar w:fldCharType="begin"/>
        </w:r>
        <w:r>
          <w:rPr>
            <w:noProof/>
            <w:webHidden/>
          </w:rPr>
          <w:instrText xml:space="preserve"> PAGEREF _Toc496688566 \h </w:instrText>
        </w:r>
        <w:r>
          <w:rPr>
            <w:noProof/>
            <w:webHidden/>
          </w:rPr>
        </w:r>
        <w:r>
          <w:rPr>
            <w:noProof/>
            <w:webHidden/>
          </w:rPr>
          <w:fldChar w:fldCharType="separate"/>
        </w:r>
        <w:r>
          <w:rPr>
            <w:noProof/>
            <w:webHidden/>
          </w:rPr>
          <w:t>89</w:t>
        </w:r>
        <w:r>
          <w:rPr>
            <w:noProof/>
            <w:webHidden/>
          </w:rPr>
          <w:fldChar w:fldCharType="end"/>
        </w:r>
      </w:hyperlink>
    </w:p>
    <w:p w:rsidR="001A26B0" w:rsidRDefault="00E33A99">
      <w:pPr>
        <w:pStyle w:val="TableofFigures"/>
        <w:tabs>
          <w:tab w:val="right" w:leader="dot" w:pos="8603"/>
        </w:tabs>
        <w:rPr>
          <w:rFonts w:asciiTheme="minorHAnsi" w:eastAsiaTheme="minorEastAsia" w:hAnsiTheme="minorHAnsi" w:cstheme="minorBidi"/>
          <w:noProof/>
          <w:sz w:val="22"/>
          <w:szCs w:val="22"/>
          <w:lang w:eastAsia="en-GB"/>
        </w:rPr>
      </w:pPr>
      <w:hyperlink w:anchor="_Toc496688567" w:history="1">
        <w:r>
          <w:rPr>
            <w:rStyle w:val="Hyperlink"/>
            <w:noProof/>
          </w:rPr>
          <w:t>Figure 21: Share (%) of differen</w:t>
        </w:r>
        <w:r>
          <w:rPr>
            <w:rStyle w:val="Hyperlink"/>
            <w:noProof/>
          </w:rPr>
          <w:t>t fuel types in the final energy demand for vans (entire fleet) under different TLV options –2025 and 2030</w:t>
        </w:r>
        <w:r>
          <w:rPr>
            <w:noProof/>
            <w:webHidden/>
          </w:rPr>
          <w:tab/>
        </w:r>
        <w:r>
          <w:rPr>
            <w:noProof/>
            <w:webHidden/>
          </w:rPr>
          <w:fldChar w:fldCharType="begin"/>
        </w:r>
        <w:r>
          <w:rPr>
            <w:noProof/>
            <w:webHidden/>
          </w:rPr>
          <w:instrText xml:space="preserve"> PAGEREF _Toc496688567 \h </w:instrText>
        </w:r>
        <w:r>
          <w:rPr>
            <w:noProof/>
            <w:webHidden/>
          </w:rPr>
        </w:r>
        <w:r>
          <w:rPr>
            <w:noProof/>
            <w:webHidden/>
          </w:rPr>
          <w:fldChar w:fldCharType="separate"/>
        </w:r>
        <w:r>
          <w:rPr>
            <w:noProof/>
            <w:webHidden/>
          </w:rPr>
          <w:t>90</w:t>
        </w:r>
        <w:r>
          <w:rPr>
            <w:noProof/>
            <w:webHidden/>
          </w:rPr>
          <w:fldChar w:fldCharType="end"/>
        </w:r>
      </w:hyperlink>
    </w:p>
    <w:p w:rsidR="001A26B0" w:rsidRDefault="00E33A99">
      <w:pPr>
        <w:pStyle w:val="TableofFigures"/>
        <w:tabs>
          <w:tab w:val="right" w:leader="dot" w:pos="8603"/>
        </w:tabs>
        <w:rPr>
          <w:rFonts w:asciiTheme="minorHAnsi" w:eastAsiaTheme="minorEastAsia" w:hAnsiTheme="minorHAnsi" w:cstheme="minorBidi"/>
          <w:noProof/>
          <w:sz w:val="22"/>
          <w:szCs w:val="22"/>
          <w:lang w:eastAsia="en-GB"/>
        </w:rPr>
      </w:pPr>
      <w:hyperlink w:anchor="_Toc496688568" w:history="1">
        <w:r>
          <w:rPr>
            <w:rStyle w:val="Hyperlink"/>
            <w:noProof/>
          </w:rPr>
          <w:t>Figure 22: TCO-second user (years 6-10) (EUR/car) – 2025 and 2030</w:t>
        </w:r>
        <w:r>
          <w:rPr>
            <w:noProof/>
            <w:webHidden/>
          </w:rPr>
          <w:tab/>
        </w:r>
        <w:r>
          <w:rPr>
            <w:noProof/>
            <w:webHidden/>
          </w:rPr>
          <w:fldChar w:fldCharType="begin"/>
        </w:r>
        <w:r>
          <w:rPr>
            <w:noProof/>
            <w:webHidden/>
          </w:rPr>
          <w:instrText xml:space="preserve"> PAGEREF _Toc496688568 \h </w:instrText>
        </w:r>
        <w:r>
          <w:rPr>
            <w:noProof/>
            <w:webHidden/>
          </w:rPr>
        </w:r>
        <w:r>
          <w:rPr>
            <w:noProof/>
            <w:webHidden/>
          </w:rPr>
          <w:fldChar w:fldCharType="separate"/>
        </w:r>
        <w:r>
          <w:rPr>
            <w:noProof/>
            <w:webHidden/>
          </w:rPr>
          <w:t>100</w:t>
        </w:r>
        <w:r>
          <w:rPr>
            <w:noProof/>
            <w:webHidden/>
          </w:rPr>
          <w:fldChar w:fldCharType="end"/>
        </w:r>
      </w:hyperlink>
    </w:p>
    <w:p w:rsidR="001A26B0" w:rsidRDefault="00E33A99">
      <w:pPr>
        <w:pStyle w:val="TableofFigures"/>
        <w:tabs>
          <w:tab w:val="right" w:leader="dot" w:pos="8603"/>
        </w:tabs>
        <w:rPr>
          <w:rFonts w:asciiTheme="minorHAnsi" w:eastAsiaTheme="minorEastAsia" w:hAnsiTheme="minorHAnsi" w:cstheme="minorBidi"/>
          <w:noProof/>
          <w:sz w:val="22"/>
          <w:szCs w:val="22"/>
          <w:lang w:eastAsia="en-GB"/>
        </w:rPr>
      </w:pPr>
      <w:hyperlink w:anchor="_Toc496688569" w:history="1">
        <w:r>
          <w:rPr>
            <w:rStyle w:val="Hyperlink"/>
            <w:noProof/>
          </w:rPr>
          <w:t>Figure 23:  TCO-second user (years 6-10) (EUR/van) – 2025 and 2030</w:t>
        </w:r>
        <w:r>
          <w:rPr>
            <w:noProof/>
            <w:webHidden/>
          </w:rPr>
          <w:tab/>
        </w:r>
        <w:r>
          <w:rPr>
            <w:noProof/>
            <w:webHidden/>
          </w:rPr>
          <w:fldChar w:fldCharType="begin"/>
        </w:r>
        <w:r>
          <w:rPr>
            <w:noProof/>
            <w:webHidden/>
          </w:rPr>
          <w:instrText xml:space="preserve"> PAGEREF _Toc496688569 \h </w:instrText>
        </w:r>
        <w:r>
          <w:rPr>
            <w:noProof/>
            <w:webHidden/>
          </w:rPr>
        </w:r>
        <w:r>
          <w:rPr>
            <w:noProof/>
            <w:webHidden/>
          </w:rPr>
          <w:fldChar w:fldCharType="separate"/>
        </w:r>
        <w:r>
          <w:rPr>
            <w:noProof/>
            <w:webHidden/>
          </w:rPr>
          <w:t>101</w:t>
        </w:r>
        <w:r>
          <w:rPr>
            <w:noProof/>
            <w:webHidden/>
          </w:rPr>
          <w:fldChar w:fldCharType="end"/>
        </w:r>
      </w:hyperlink>
    </w:p>
    <w:p w:rsidR="001A26B0" w:rsidRDefault="00E33A99">
      <w:pPr>
        <w:pStyle w:val="TableofFigures"/>
        <w:tabs>
          <w:tab w:val="right" w:leader="dot" w:pos="8603"/>
        </w:tabs>
        <w:rPr>
          <w:rFonts w:asciiTheme="minorHAnsi" w:eastAsiaTheme="minorEastAsia" w:hAnsiTheme="minorHAnsi" w:cstheme="minorBidi"/>
          <w:noProof/>
          <w:sz w:val="22"/>
          <w:szCs w:val="22"/>
          <w:lang w:eastAsia="en-GB"/>
        </w:rPr>
      </w:pPr>
      <w:hyperlink w:anchor="_Toc496688570" w:history="1">
        <w:r>
          <w:rPr>
            <w:rStyle w:val="Hyperlink"/>
            <w:noProof/>
          </w:rPr>
          <w:t>Figure 24: (Tailpipe</w:t>
        </w:r>
        <w:r>
          <w:rPr>
            <w:rStyle w:val="Hyperlink"/>
            <w:noProof/>
          </w:rPr>
          <w:t>) CO</w:t>
        </w:r>
        <w:r>
          <w:rPr>
            <w:rStyle w:val="Hyperlink"/>
            <w:noProof/>
            <w:vertAlign w:val="subscript"/>
          </w:rPr>
          <w:t>2</w:t>
        </w:r>
        <w:r>
          <w:rPr>
            <w:rStyle w:val="Hyperlink"/>
            <w:noProof/>
          </w:rPr>
          <w:t xml:space="preserve"> emissions of passenger cars in EU-28 - % reduction compared to 2005</w:t>
        </w:r>
        <w:r>
          <w:rPr>
            <w:noProof/>
            <w:webHidden/>
          </w:rPr>
          <w:tab/>
        </w:r>
        <w:r>
          <w:rPr>
            <w:noProof/>
            <w:webHidden/>
          </w:rPr>
          <w:fldChar w:fldCharType="begin"/>
        </w:r>
        <w:r>
          <w:rPr>
            <w:noProof/>
            <w:webHidden/>
          </w:rPr>
          <w:instrText xml:space="preserve"> PAGEREF _Toc496688570 \h </w:instrText>
        </w:r>
        <w:r>
          <w:rPr>
            <w:noProof/>
            <w:webHidden/>
          </w:rPr>
        </w:r>
        <w:r>
          <w:rPr>
            <w:noProof/>
            <w:webHidden/>
          </w:rPr>
          <w:fldChar w:fldCharType="separate"/>
        </w:r>
        <w:r>
          <w:rPr>
            <w:noProof/>
            <w:webHidden/>
          </w:rPr>
          <w:t>102</w:t>
        </w:r>
        <w:r>
          <w:rPr>
            <w:noProof/>
            <w:webHidden/>
          </w:rPr>
          <w:fldChar w:fldCharType="end"/>
        </w:r>
      </w:hyperlink>
    </w:p>
    <w:p w:rsidR="001A26B0" w:rsidRDefault="00E33A99">
      <w:pPr>
        <w:pStyle w:val="TableofFigures"/>
        <w:tabs>
          <w:tab w:val="right" w:leader="dot" w:pos="8603"/>
        </w:tabs>
        <w:rPr>
          <w:rFonts w:asciiTheme="minorHAnsi" w:eastAsiaTheme="minorEastAsia" w:hAnsiTheme="minorHAnsi" w:cstheme="minorBidi"/>
          <w:noProof/>
          <w:sz w:val="22"/>
          <w:szCs w:val="22"/>
          <w:lang w:eastAsia="en-GB"/>
        </w:rPr>
      </w:pPr>
      <w:hyperlink w:anchor="_Toc496688571" w:history="1">
        <w:r>
          <w:rPr>
            <w:rStyle w:val="Hyperlink"/>
            <w:noProof/>
          </w:rPr>
          <w:t>Figure 25: Cumulative (tailpipe) 2020-2040 CO</w:t>
        </w:r>
        <w:r>
          <w:rPr>
            <w:rStyle w:val="Hyperlink"/>
            <w:noProof/>
            <w:vertAlign w:val="subscript"/>
          </w:rPr>
          <w:t>2</w:t>
        </w:r>
        <w:r>
          <w:rPr>
            <w:rStyle w:val="Hyperlink"/>
            <w:noProof/>
          </w:rPr>
          <w:t xml:space="preserve"> emiss</w:t>
        </w:r>
        <w:r>
          <w:rPr>
            <w:rStyle w:val="Hyperlink"/>
            <w:noProof/>
          </w:rPr>
          <w:t>ions of cars for EU-28 – emission reduction from the baseline (kt)</w:t>
        </w:r>
        <w:r>
          <w:rPr>
            <w:noProof/>
            <w:webHidden/>
          </w:rPr>
          <w:tab/>
        </w:r>
        <w:r>
          <w:rPr>
            <w:noProof/>
            <w:webHidden/>
          </w:rPr>
          <w:fldChar w:fldCharType="begin"/>
        </w:r>
        <w:r>
          <w:rPr>
            <w:noProof/>
            <w:webHidden/>
          </w:rPr>
          <w:instrText xml:space="preserve"> PAGEREF _Toc496688571 \h </w:instrText>
        </w:r>
        <w:r>
          <w:rPr>
            <w:noProof/>
            <w:webHidden/>
          </w:rPr>
        </w:r>
        <w:r>
          <w:rPr>
            <w:noProof/>
            <w:webHidden/>
          </w:rPr>
          <w:fldChar w:fldCharType="separate"/>
        </w:r>
        <w:r>
          <w:rPr>
            <w:noProof/>
            <w:webHidden/>
          </w:rPr>
          <w:t>103</w:t>
        </w:r>
        <w:r>
          <w:rPr>
            <w:noProof/>
            <w:webHidden/>
          </w:rPr>
          <w:fldChar w:fldCharType="end"/>
        </w:r>
      </w:hyperlink>
    </w:p>
    <w:p w:rsidR="001A26B0" w:rsidRDefault="00E33A99">
      <w:pPr>
        <w:pStyle w:val="TableofFigures"/>
        <w:tabs>
          <w:tab w:val="right" w:leader="dot" w:pos="8603"/>
        </w:tabs>
        <w:rPr>
          <w:rFonts w:asciiTheme="minorHAnsi" w:eastAsiaTheme="minorEastAsia" w:hAnsiTheme="minorHAnsi" w:cstheme="minorBidi"/>
          <w:noProof/>
          <w:sz w:val="22"/>
          <w:szCs w:val="22"/>
          <w:lang w:eastAsia="en-GB"/>
        </w:rPr>
      </w:pPr>
      <w:hyperlink w:anchor="_Toc496688572" w:history="1">
        <w:r>
          <w:rPr>
            <w:rStyle w:val="Hyperlink"/>
            <w:noProof/>
          </w:rPr>
          <w:t>Figure 26: (Tailpipe) CO</w:t>
        </w:r>
        <w:r>
          <w:rPr>
            <w:rStyle w:val="Hyperlink"/>
            <w:noProof/>
            <w:vertAlign w:val="subscript"/>
          </w:rPr>
          <w:t>2</w:t>
        </w:r>
        <w:r>
          <w:rPr>
            <w:rStyle w:val="Hyperlink"/>
            <w:noProof/>
          </w:rPr>
          <w:t xml:space="preserve"> emissions of vans in EU-28 - % r</w:t>
        </w:r>
        <w:r>
          <w:rPr>
            <w:rStyle w:val="Hyperlink"/>
            <w:noProof/>
          </w:rPr>
          <w:t>eduction compared to 2005</w:t>
        </w:r>
        <w:r>
          <w:rPr>
            <w:noProof/>
            <w:webHidden/>
          </w:rPr>
          <w:tab/>
        </w:r>
        <w:r>
          <w:rPr>
            <w:noProof/>
            <w:webHidden/>
          </w:rPr>
          <w:fldChar w:fldCharType="begin"/>
        </w:r>
        <w:r>
          <w:rPr>
            <w:noProof/>
            <w:webHidden/>
          </w:rPr>
          <w:instrText xml:space="preserve"> PAGEREF _Toc496688572 \h </w:instrText>
        </w:r>
        <w:r>
          <w:rPr>
            <w:noProof/>
            <w:webHidden/>
          </w:rPr>
        </w:r>
        <w:r>
          <w:rPr>
            <w:noProof/>
            <w:webHidden/>
          </w:rPr>
          <w:fldChar w:fldCharType="separate"/>
        </w:r>
        <w:r>
          <w:rPr>
            <w:noProof/>
            <w:webHidden/>
          </w:rPr>
          <w:t>105</w:t>
        </w:r>
        <w:r>
          <w:rPr>
            <w:noProof/>
            <w:webHidden/>
          </w:rPr>
          <w:fldChar w:fldCharType="end"/>
        </w:r>
      </w:hyperlink>
    </w:p>
    <w:p w:rsidR="001A26B0" w:rsidRDefault="00E33A99">
      <w:pPr>
        <w:pStyle w:val="TableofFigures"/>
        <w:tabs>
          <w:tab w:val="right" w:leader="dot" w:pos="8603"/>
        </w:tabs>
        <w:rPr>
          <w:rFonts w:asciiTheme="minorHAnsi" w:eastAsiaTheme="minorEastAsia" w:hAnsiTheme="minorHAnsi" w:cstheme="minorBidi"/>
          <w:noProof/>
          <w:sz w:val="22"/>
          <w:szCs w:val="22"/>
          <w:lang w:eastAsia="en-GB"/>
        </w:rPr>
      </w:pPr>
      <w:hyperlink w:anchor="_Toc496688573" w:history="1">
        <w:r>
          <w:rPr>
            <w:rStyle w:val="Hyperlink"/>
            <w:noProof/>
          </w:rPr>
          <w:t>Figure 27: Cumulative (tailpipe) 2020-2040 CO</w:t>
        </w:r>
        <w:r>
          <w:rPr>
            <w:rStyle w:val="Hyperlink"/>
            <w:noProof/>
            <w:vertAlign w:val="subscript"/>
          </w:rPr>
          <w:t>2</w:t>
        </w:r>
        <w:r>
          <w:rPr>
            <w:rStyle w:val="Hyperlink"/>
            <w:noProof/>
          </w:rPr>
          <w:t xml:space="preserve"> emissions of vans for EU-28 – emission reduction from the baseline (kt)</w:t>
        </w:r>
        <w:r>
          <w:rPr>
            <w:noProof/>
            <w:webHidden/>
          </w:rPr>
          <w:tab/>
        </w:r>
        <w:r>
          <w:rPr>
            <w:noProof/>
            <w:webHidden/>
          </w:rPr>
          <w:fldChar w:fldCharType="begin"/>
        </w:r>
        <w:r>
          <w:rPr>
            <w:noProof/>
            <w:webHidden/>
          </w:rPr>
          <w:instrText xml:space="preserve"> PAGEREF _Toc496688573 \h </w:instrText>
        </w:r>
        <w:r>
          <w:rPr>
            <w:noProof/>
            <w:webHidden/>
          </w:rPr>
        </w:r>
        <w:r>
          <w:rPr>
            <w:noProof/>
            <w:webHidden/>
          </w:rPr>
          <w:fldChar w:fldCharType="separate"/>
        </w:r>
        <w:r>
          <w:rPr>
            <w:noProof/>
            <w:webHidden/>
          </w:rPr>
          <w:t>105</w:t>
        </w:r>
        <w:r>
          <w:rPr>
            <w:noProof/>
            <w:webHidden/>
          </w:rPr>
          <w:fldChar w:fldCharType="end"/>
        </w:r>
      </w:hyperlink>
    </w:p>
    <w:p w:rsidR="001A26B0" w:rsidRDefault="00E33A99">
      <w:pPr>
        <w:pStyle w:val="TableofFigures"/>
        <w:tabs>
          <w:tab w:val="right" w:leader="dot" w:pos="8603"/>
        </w:tabs>
        <w:rPr>
          <w:rFonts w:asciiTheme="minorHAnsi" w:eastAsiaTheme="minorEastAsia" w:hAnsiTheme="minorHAnsi" w:cstheme="minorBidi"/>
          <w:noProof/>
          <w:sz w:val="22"/>
          <w:szCs w:val="22"/>
          <w:lang w:eastAsia="en-GB"/>
        </w:rPr>
      </w:pPr>
      <w:hyperlink w:anchor="_Toc496688574" w:history="1">
        <w:r>
          <w:rPr>
            <w:rStyle w:val="Hyperlink"/>
            <w:noProof/>
          </w:rPr>
          <w:t>Figure 28: Evolution of GHG emissions between 2005 (</w:t>
        </w:r>
        <w:r>
          <w:rPr>
            <w:rStyle w:val="Hyperlink"/>
            <w:noProof/>
          </w:rPr>
          <w:t xml:space="preserve">100%) and 2030 under the </w:t>
        </w:r>
        <w:r>
          <w:rPr>
            <w:rStyle w:val="Hyperlink"/>
            <w:i/>
            <w:noProof/>
          </w:rPr>
          <w:t>EUCO30</w:t>
        </w:r>
        <w:r>
          <w:rPr>
            <w:rStyle w:val="Hyperlink"/>
            <w:noProof/>
          </w:rPr>
          <w:t xml:space="preserve"> scenario and under the baseline and different policy options for the CO</w:t>
        </w:r>
        <w:r>
          <w:rPr>
            <w:rStyle w:val="Hyperlink"/>
            <w:noProof/>
            <w:vertAlign w:val="subscript"/>
          </w:rPr>
          <w:t>2</w:t>
        </w:r>
        <w:r>
          <w:rPr>
            <w:rStyle w:val="Hyperlink"/>
            <w:noProof/>
          </w:rPr>
          <w:t xml:space="preserve"> target levels for new cars and vans considered in this impact assessment</w:t>
        </w:r>
        <w:r>
          <w:rPr>
            <w:noProof/>
            <w:webHidden/>
          </w:rPr>
          <w:tab/>
        </w:r>
        <w:r>
          <w:rPr>
            <w:noProof/>
            <w:webHidden/>
          </w:rPr>
          <w:fldChar w:fldCharType="begin"/>
        </w:r>
        <w:r>
          <w:rPr>
            <w:noProof/>
            <w:webHidden/>
          </w:rPr>
          <w:instrText xml:space="preserve"> PAGEREF _Toc496688574 \h </w:instrText>
        </w:r>
        <w:r>
          <w:rPr>
            <w:noProof/>
            <w:webHidden/>
          </w:rPr>
        </w:r>
        <w:r>
          <w:rPr>
            <w:noProof/>
            <w:webHidden/>
          </w:rPr>
          <w:fldChar w:fldCharType="separate"/>
        </w:r>
        <w:r>
          <w:rPr>
            <w:noProof/>
            <w:webHidden/>
          </w:rPr>
          <w:t>107</w:t>
        </w:r>
        <w:r>
          <w:rPr>
            <w:noProof/>
            <w:webHidden/>
          </w:rPr>
          <w:fldChar w:fldCharType="end"/>
        </w:r>
      </w:hyperlink>
    </w:p>
    <w:p w:rsidR="001A26B0" w:rsidRDefault="00E33A99">
      <w:pPr>
        <w:pStyle w:val="TableofFigures"/>
        <w:tabs>
          <w:tab w:val="right" w:leader="dot" w:pos="8603"/>
        </w:tabs>
        <w:rPr>
          <w:rFonts w:asciiTheme="minorHAnsi" w:eastAsiaTheme="minorEastAsia" w:hAnsiTheme="minorHAnsi" w:cstheme="minorBidi"/>
          <w:noProof/>
          <w:sz w:val="22"/>
          <w:szCs w:val="22"/>
          <w:lang w:eastAsia="en-GB"/>
        </w:rPr>
      </w:pPr>
      <w:hyperlink w:anchor="_Toc496688575" w:history="1">
        <w:r>
          <w:rPr>
            <w:rStyle w:val="Hyperlink"/>
            <w:noProof/>
          </w:rPr>
          <w:t>Figure 29: Additional manufacturing costs (EUR/car) for categories of passenger car manufacturers under different options DOE and with the EU-wide fleet CO</w:t>
        </w:r>
        <w:r>
          <w:rPr>
            <w:rStyle w:val="Hyperlink"/>
            <w:noProof/>
            <w:vertAlign w:val="subscript"/>
          </w:rPr>
          <w:t>2</w:t>
        </w:r>
        <w:r>
          <w:rPr>
            <w:rStyle w:val="Hyperlink"/>
            <w:noProof/>
          </w:rPr>
          <w:t xml:space="preserve"> target levels as in option TLC30</w:t>
        </w:r>
        <w:r>
          <w:rPr>
            <w:noProof/>
            <w:webHidden/>
          </w:rPr>
          <w:tab/>
        </w:r>
        <w:r>
          <w:rPr>
            <w:noProof/>
            <w:webHidden/>
          </w:rPr>
          <w:fldChar w:fldCharType="begin"/>
        </w:r>
        <w:r>
          <w:rPr>
            <w:noProof/>
            <w:webHidden/>
          </w:rPr>
          <w:instrText xml:space="preserve"> PAGEREF _Toc4</w:instrText>
        </w:r>
        <w:r>
          <w:rPr>
            <w:noProof/>
            <w:webHidden/>
          </w:rPr>
          <w:instrText xml:space="preserve">96688575 \h </w:instrText>
        </w:r>
        <w:r>
          <w:rPr>
            <w:noProof/>
            <w:webHidden/>
          </w:rPr>
        </w:r>
        <w:r>
          <w:rPr>
            <w:noProof/>
            <w:webHidden/>
          </w:rPr>
          <w:fldChar w:fldCharType="separate"/>
        </w:r>
        <w:r>
          <w:rPr>
            <w:noProof/>
            <w:webHidden/>
          </w:rPr>
          <w:t>114</w:t>
        </w:r>
        <w:r>
          <w:rPr>
            <w:noProof/>
            <w:webHidden/>
          </w:rPr>
          <w:fldChar w:fldCharType="end"/>
        </w:r>
      </w:hyperlink>
    </w:p>
    <w:p w:rsidR="001A26B0" w:rsidRDefault="00E33A99">
      <w:pPr>
        <w:pStyle w:val="TableofFigures"/>
        <w:tabs>
          <w:tab w:val="right" w:leader="dot" w:pos="8603"/>
        </w:tabs>
        <w:rPr>
          <w:rFonts w:asciiTheme="minorHAnsi" w:eastAsiaTheme="minorEastAsia" w:hAnsiTheme="minorHAnsi" w:cstheme="minorBidi"/>
          <w:noProof/>
          <w:sz w:val="22"/>
          <w:szCs w:val="22"/>
          <w:lang w:eastAsia="en-GB"/>
        </w:rPr>
      </w:pPr>
      <w:hyperlink w:anchor="_Toc496688576" w:history="1">
        <w:r>
          <w:rPr>
            <w:rStyle w:val="Hyperlink"/>
            <w:noProof/>
          </w:rPr>
          <w:t>Figure 30: Additional manufacturing costs relative to vehicle price (% of car price) for categories of passenger car manufacturers under dif</w:t>
        </w:r>
        <w:r>
          <w:rPr>
            <w:rStyle w:val="Hyperlink"/>
            <w:noProof/>
          </w:rPr>
          <w:t>ferent options DOE and with the EU-wide fleet CO</w:t>
        </w:r>
        <w:r>
          <w:rPr>
            <w:rStyle w:val="Hyperlink"/>
            <w:noProof/>
            <w:vertAlign w:val="subscript"/>
          </w:rPr>
          <w:t>2</w:t>
        </w:r>
        <w:r>
          <w:rPr>
            <w:rStyle w:val="Hyperlink"/>
            <w:noProof/>
          </w:rPr>
          <w:t xml:space="preserve"> target levels as in option TLC30</w:t>
        </w:r>
        <w:r>
          <w:rPr>
            <w:noProof/>
            <w:webHidden/>
          </w:rPr>
          <w:tab/>
        </w:r>
        <w:r>
          <w:rPr>
            <w:noProof/>
            <w:webHidden/>
          </w:rPr>
          <w:fldChar w:fldCharType="begin"/>
        </w:r>
        <w:r>
          <w:rPr>
            <w:noProof/>
            <w:webHidden/>
          </w:rPr>
          <w:instrText xml:space="preserve"> PAGEREF _Toc496688576 \h </w:instrText>
        </w:r>
        <w:r>
          <w:rPr>
            <w:noProof/>
            <w:webHidden/>
          </w:rPr>
        </w:r>
        <w:r>
          <w:rPr>
            <w:noProof/>
            <w:webHidden/>
          </w:rPr>
          <w:fldChar w:fldCharType="separate"/>
        </w:r>
        <w:r>
          <w:rPr>
            <w:noProof/>
            <w:webHidden/>
          </w:rPr>
          <w:t>114</w:t>
        </w:r>
        <w:r>
          <w:rPr>
            <w:noProof/>
            <w:webHidden/>
          </w:rPr>
          <w:fldChar w:fldCharType="end"/>
        </w:r>
      </w:hyperlink>
    </w:p>
    <w:p w:rsidR="001A26B0" w:rsidRDefault="00E33A99">
      <w:pPr>
        <w:pStyle w:val="TableofFigures"/>
        <w:tabs>
          <w:tab w:val="right" w:leader="dot" w:pos="8603"/>
        </w:tabs>
        <w:rPr>
          <w:rFonts w:asciiTheme="minorHAnsi" w:eastAsiaTheme="minorEastAsia" w:hAnsiTheme="minorHAnsi" w:cstheme="minorBidi"/>
          <w:noProof/>
          <w:sz w:val="22"/>
          <w:szCs w:val="22"/>
          <w:lang w:eastAsia="en-GB"/>
        </w:rPr>
      </w:pPr>
      <w:hyperlink w:anchor="_Toc496688577" w:history="1">
        <w:r>
          <w:rPr>
            <w:rStyle w:val="Hyperlink"/>
            <w:noProof/>
          </w:rPr>
          <w:t xml:space="preserve">Figure 31: Additional manufacturing costs </w:t>
        </w:r>
        <w:r>
          <w:rPr>
            <w:rStyle w:val="Hyperlink"/>
            <w:noProof/>
          </w:rPr>
          <w:t>(EUR/van) for categories of van manufacturers under different options DOE and with the EU-wide fleet CO</w:t>
        </w:r>
        <w:r>
          <w:rPr>
            <w:rStyle w:val="Hyperlink"/>
            <w:noProof/>
            <w:vertAlign w:val="subscript"/>
          </w:rPr>
          <w:t>2</w:t>
        </w:r>
        <w:r>
          <w:rPr>
            <w:rStyle w:val="Hyperlink"/>
            <w:noProof/>
          </w:rPr>
          <w:t xml:space="preserve"> target levels as in option TLV40</w:t>
        </w:r>
        <w:r>
          <w:rPr>
            <w:noProof/>
            <w:webHidden/>
          </w:rPr>
          <w:tab/>
        </w:r>
        <w:r>
          <w:rPr>
            <w:noProof/>
            <w:webHidden/>
          </w:rPr>
          <w:fldChar w:fldCharType="begin"/>
        </w:r>
        <w:r>
          <w:rPr>
            <w:noProof/>
            <w:webHidden/>
          </w:rPr>
          <w:instrText xml:space="preserve"> PAGEREF _Toc496688577 \h </w:instrText>
        </w:r>
        <w:r>
          <w:rPr>
            <w:noProof/>
            <w:webHidden/>
          </w:rPr>
        </w:r>
        <w:r>
          <w:rPr>
            <w:noProof/>
            <w:webHidden/>
          </w:rPr>
          <w:fldChar w:fldCharType="separate"/>
        </w:r>
        <w:r>
          <w:rPr>
            <w:noProof/>
            <w:webHidden/>
          </w:rPr>
          <w:t>115</w:t>
        </w:r>
        <w:r>
          <w:rPr>
            <w:noProof/>
            <w:webHidden/>
          </w:rPr>
          <w:fldChar w:fldCharType="end"/>
        </w:r>
      </w:hyperlink>
    </w:p>
    <w:p w:rsidR="001A26B0" w:rsidRDefault="00E33A99">
      <w:pPr>
        <w:pStyle w:val="TableofFigures"/>
        <w:tabs>
          <w:tab w:val="right" w:leader="dot" w:pos="8603"/>
        </w:tabs>
        <w:rPr>
          <w:rFonts w:asciiTheme="minorHAnsi" w:eastAsiaTheme="minorEastAsia" w:hAnsiTheme="minorHAnsi" w:cstheme="minorBidi"/>
          <w:noProof/>
          <w:sz w:val="22"/>
          <w:szCs w:val="22"/>
          <w:lang w:eastAsia="en-GB"/>
        </w:rPr>
      </w:pPr>
      <w:hyperlink w:anchor="_Toc496688578" w:history="1">
        <w:r>
          <w:rPr>
            <w:rStyle w:val="Hyperlink"/>
            <w:noProof/>
          </w:rPr>
          <w:t xml:space="preserve">Figure 32: Additional manufacturing costs relative to vehicle price (% of van price) for categories of van manufacturers under different options DOE and with </w:t>
        </w:r>
        <w:r>
          <w:rPr>
            <w:rStyle w:val="Hyperlink"/>
            <w:noProof/>
          </w:rPr>
          <w:t>the EU-wide fleet CO</w:t>
        </w:r>
        <w:r>
          <w:rPr>
            <w:rStyle w:val="Hyperlink"/>
            <w:noProof/>
            <w:vertAlign w:val="subscript"/>
          </w:rPr>
          <w:t>2</w:t>
        </w:r>
        <w:r>
          <w:rPr>
            <w:rStyle w:val="Hyperlink"/>
            <w:noProof/>
          </w:rPr>
          <w:t xml:space="preserve"> target levels as in option TLV40</w:t>
        </w:r>
        <w:r>
          <w:rPr>
            <w:noProof/>
            <w:webHidden/>
          </w:rPr>
          <w:tab/>
        </w:r>
        <w:r>
          <w:rPr>
            <w:noProof/>
            <w:webHidden/>
          </w:rPr>
          <w:fldChar w:fldCharType="begin"/>
        </w:r>
        <w:r>
          <w:rPr>
            <w:noProof/>
            <w:webHidden/>
          </w:rPr>
          <w:instrText xml:space="preserve"> PAGEREF _Toc496688578 \h </w:instrText>
        </w:r>
        <w:r>
          <w:rPr>
            <w:noProof/>
            <w:webHidden/>
          </w:rPr>
        </w:r>
        <w:r>
          <w:rPr>
            <w:noProof/>
            <w:webHidden/>
          </w:rPr>
          <w:fldChar w:fldCharType="separate"/>
        </w:r>
        <w:r>
          <w:rPr>
            <w:noProof/>
            <w:webHidden/>
          </w:rPr>
          <w:t>115</w:t>
        </w:r>
        <w:r>
          <w:rPr>
            <w:noProof/>
            <w:webHidden/>
          </w:rPr>
          <w:fldChar w:fldCharType="end"/>
        </w:r>
      </w:hyperlink>
    </w:p>
    <w:p w:rsidR="001A26B0" w:rsidRDefault="00E33A99">
      <w:pPr>
        <w:pStyle w:val="TableofFigures"/>
        <w:tabs>
          <w:tab w:val="right" w:leader="dot" w:pos="8603"/>
        </w:tabs>
        <w:rPr>
          <w:rFonts w:asciiTheme="minorHAnsi" w:eastAsiaTheme="minorEastAsia" w:hAnsiTheme="minorHAnsi" w:cstheme="minorBidi"/>
          <w:noProof/>
          <w:sz w:val="22"/>
          <w:szCs w:val="22"/>
          <w:lang w:eastAsia="en-GB"/>
        </w:rPr>
      </w:pPr>
      <w:hyperlink w:anchor="_Toc496688579" w:history="1">
        <w:r>
          <w:rPr>
            <w:rStyle w:val="Hyperlink"/>
            <w:noProof/>
          </w:rPr>
          <w:t>Figure 33: TCO-15 years (vehicle lifetime) (net savings in EUR/car for</w:t>
        </w:r>
        <w:r>
          <w:rPr>
            <w:rStyle w:val="Hyperlink"/>
            <w:noProof/>
          </w:rPr>
          <w:t xml:space="preserve"> 2025 and 2030) for different LEV incentive options</w:t>
        </w:r>
        <w:r>
          <w:rPr>
            <w:noProof/>
            <w:webHidden/>
          </w:rPr>
          <w:tab/>
        </w:r>
        <w:r>
          <w:rPr>
            <w:noProof/>
            <w:webHidden/>
          </w:rPr>
          <w:fldChar w:fldCharType="begin"/>
        </w:r>
        <w:r>
          <w:rPr>
            <w:noProof/>
            <w:webHidden/>
          </w:rPr>
          <w:instrText xml:space="preserve"> PAGEREF _Toc496688579 \h </w:instrText>
        </w:r>
        <w:r>
          <w:rPr>
            <w:noProof/>
            <w:webHidden/>
          </w:rPr>
        </w:r>
        <w:r>
          <w:rPr>
            <w:noProof/>
            <w:webHidden/>
          </w:rPr>
          <w:fldChar w:fldCharType="separate"/>
        </w:r>
        <w:r>
          <w:rPr>
            <w:noProof/>
            <w:webHidden/>
          </w:rPr>
          <w:t>121</w:t>
        </w:r>
        <w:r>
          <w:rPr>
            <w:noProof/>
            <w:webHidden/>
          </w:rPr>
          <w:fldChar w:fldCharType="end"/>
        </w:r>
      </w:hyperlink>
    </w:p>
    <w:p w:rsidR="001A26B0" w:rsidRDefault="00E33A99">
      <w:pPr>
        <w:pStyle w:val="TableofFigures"/>
        <w:tabs>
          <w:tab w:val="right" w:leader="dot" w:pos="8603"/>
        </w:tabs>
        <w:rPr>
          <w:rFonts w:asciiTheme="minorHAnsi" w:eastAsiaTheme="minorEastAsia" w:hAnsiTheme="minorHAnsi" w:cstheme="minorBidi"/>
          <w:noProof/>
          <w:sz w:val="22"/>
          <w:szCs w:val="22"/>
          <w:lang w:eastAsia="en-GB"/>
        </w:rPr>
      </w:pPr>
      <w:hyperlink w:anchor="_Toc496688580" w:history="1">
        <w:r>
          <w:rPr>
            <w:rStyle w:val="Hyperlink"/>
            <w:noProof/>
          </w:rPr>
          <w:t xml:space="preserve">Figure 34: Illustration of the impacts of option LEVT_CRED2 (net savings, </w:t>
        </w:r>
        <w:r>
          <w:rPr>
            <w:rStyle w:val="Hyperlink"/>
            <w:noProof/>
          </w:rPr>
          <w:t>TCO-15 years) in case the LEV benchmark is not exactly met (with the CO</w:t>
        </w:r>
        <w:r>
          <w:rPr>
            <w:rStyle w:val="Hyperlink"/>
            <w:noProof/>
            <w:vertAlign w:val="subscript"/>
          </w:rPr>
          <w:t>2</w:t>
        </w:r>
        <w:r>
          <w:rPr>
            <w:rStyle w:val="Hyperlink"/>
            <w:noProof/>
          </w:rPr>
          <w:t xml:space="preserve"> target of option TLC30 and the benchmark of option LEV%_A)</w:t>
        </w:r>
        <w:r>
          <w:rPr>
            <w:noProof/>
            <w:webHidden/>
          </w:rPr>
          <w:tab/>
        </w:r>
        <w:r>
          <w:rPr>
            <w:noProof/>
            <w:webHidden/>
          </w:rPr>
          <w:fldChar w:fldCharType="begin"/>
        </w:r>
        <w:r>
          <w:rPr>
            <w:noProof/>
            <w:webHidden/>
          </w:rPr>
          <w:instrText xml:space="preserve"> PAGEREF _Toc496688580 \h </w:instrText>
        </w:r>
        <w:r>
          <w:rPr>
            <w:noProof/>
            <w:webHidden/>
          </w:rPr>
        </w:r>
        <w:r>
          <w:rPr>
            <w:noProof/>
            <w:webHidden/>
          </w:rPr>
          <w:fldChar w:fldCharType="separate"/>
        </w:r>
        <w:r>
          <w:rPr>
            <w:noProof/>
            <w:webHidden/>
          </w:rPr>
          <w:t>124</w:t>
        </w:r>
        <w:r>
          <w:rPr>
            <w:noProof/>
            <w:webHidden/>
          </w:rPr>
          <w:fldChar w:fldCharType="end"/>
        </w:r>
      </w:hyperlink>
    </w:p>
    <w:p w:rsidR="001A26B0" w:rsidRDefault="00E33A99">
      <w:pPr>
        <w:pStyle w:val="TableofFigures"/>
        <w:tabs>
          <w:tab w:val="right" w:leader="dot" w:pos="8603"/>
        </w:tabs>
        <w:rPr>
          <w:rFonts w:asciiTheme="minorHAnsi" w:eastAsiaTheme="minorEastAsia" w:hAnsiTheme="minorHAnsi" w:cstheme="minorBidi"/>
          <w:noProof/>
          <w:sz w:val="22"/>
          <w:szCs w:val="22"/>
          <w:lang w:eastAsia="en-GB"/>
        </w:rPr>
      </w:pPr>
      <w:hyperlink w:anchor="_Toc496688581" w:history="1">
        <w:r>
          <w:rPr>
            <w:rStyle w:val="Hyperlink"/>
            <w:noProof/>
          </w:rPr>
          <w:t>Figure 35: Illustration of the impacts of option LEVT_CRED1 (net savings, TCO-15 years) in case the LEV benchmark is not exactly met (with the CO</w:t>
        </w:r>
        <w:r>
          <w:rPr>
            <w:rStyle w:val="Hyperlink"/>
            <w:noProof/>
            <w:vertAlign w:val="subscript"/>
          </w:rPr>
          <w:t>2</w:t>
        </w:r>
        <w:r>
          <w:rPr>
            <w:rStyle w:val="Hyperlink"/>
            <w:noProof/>
          </w:rPr>
          <w:t xml:space="preserve"> target of option TLC30 and the benchmark of option LEV%_A)</w:t>
        </w:r>
        <w:r>
          <w:rPr>
            <w:noProof/>
            <w:webHidden/>
          </w:rPr>
          <w:tab/>
        </w:r>
        <w:r>
          <w:rPr>
            <w:noProof/>
            <w:webHidden/>
          </w:rPr>
          <w:fldChar w:fldCharType="begin"/>
        </w:r>
        <w:r>
          <w:rPr>
            <w:noProof/>
            <w:webHidden/>
          </w:rPr>
          <w:instrText xml:space="preserve"> PAGEREF _Toc496688581 \h </w:instrText>
        </w:r>
        <w:r>
          <w:rPr>
            <w:noProof/>
            <w:webHidden/>
          </w:rPr>
        </w:r>
        <w:r>
          <w:rPr>
            <w:noProof/>
            <w:webHidden/>
          </w:rPr>
          <w:fldChar w:fldCharType="separate"/>
        </w:r>
        <w:r>
          <w:rPr>
            <w:noProof/>
            <w:webHidden/>
          </w:rPr>
          <w:t>125</w:t>
        </w:r>
        <w:r>
          <w:rPr>
            <w:noProof/>
            <w:webHidden/>
          </w:rPr>
          <w:fldChar w:fldCharType="end"/>
        </w:r>
      </w:hyperlink>
    </w:p>
    <w:p w:rsidR="001A26B0" w:rsidRDefault="00E33A99">
      <w:pPr>
        <w:pStyle w:val="TableofFigures"/>
        <w:tabs>
          <w:tab w:val="right" w:leader="dot" w:pos="8603"/>
        </w:tabs>
        <w:rPr>
          <w:rFonts w:asciiTheme="minorHAnsi" w:eastAsiaTheme="minorEastAsia" w:hAnsiTheme="minorHAnsi" w:cstheme="minorBidi"/>
          <w:noProof/>
          <w:sz w:val="22"/>
          <w:szCs w:val="22"/>
          <w:lang w:eastAsia="en-GB"/>
        </w:rPr>
      </w:pPr>
      <w:hyperlink w:anchor="_Toc496688582" w:history="1">
        <w:r>
          <w:rPr>
            <w:rStyle w:val="Hyperlink"/>
            <w:noProof/>
          </w:rPr>
          <w:t>Figure 36: TCO-second user (years 6-10) (EUR/car) in 2025 and 2030 for different LEVD/LEVT options</w:t>
        </w:r>
        <w:r>
          <w:rPr>
            <w:noProof/>
            <w:webHidden/>
          </w:rPr>
          <w:tab/>
        </w:r>
        <w:r>
          <w:rPr>
            <w:noProof/>
            <w:webHidden/>
          </w:rPr>
          <w:fldChar w:fldCharType="begin"/>
        </w:r>
        <w:r>
          <w:rPr>
            <w:noProof/>
            <w:webHidden/>
          </w:rPr>
          <w:instrText xml:space="preserve"> PAGEREF _Toc496688582 \h </w:instrText>
        </w:r>
        <w:r>
          <w:rPr>
            <w:noProof/>
            <w:webHidden/>
          </w:rPr>
        </w:r>
        <w:r>
          <w:rPr>
            <w:noProof/>
            <w:webHidden/>
          </w:rPr>
          <w:fldChar w:fldCharType="separate"/>
        </w:r>
        <w:r>
          <w:rPr>
            <w:noProof/>
            <w:webHidden/>
          </w:rPr>
          <w:t>129</w:t>
        </w:r>
        <w:r>
          <w:rPr>
            <w:noProof/>
            <w:webHidden/>
          </w:rPr>
          <w:fldChar w:fldCharType="end"/>
        </w:r>
      </w:hyperlink>
    </w:p>
    <w:p w:rsidR="001A26B0" w:rsidRDefault="00E33A99">
      <w:pPr>
        <w:pStyle w:val="TableofFigures"/>
        <w:tabs>
          <w:tab w:val="right" w:leader="dot" w:pos="8603"/>
        </w:tabs>
        <w:rPr>
          <w:rFonts w:asciiTheme="minorHAnsi" w:eastAsiaTheme="minorEastAsia" w:hAnsiTheme="minorHAnsi" w:cstheme="minorBidi"/>
          <w:noProof/>
          <w:sz w:val="22"/>
          <w:szCs w:val="22"/>
          <w:lang w:eastAsia="en-GB"/>
        </w:rPr>
      </w:pPr>
      <w:hyperlink w:anchor="_Toc496688583" w:history="1">
        <w:r>
          <w:rPr>
            <w:rStyle w:val="Hyperlink"/>
            <w:noProof/>
          </w:rPr>
          <w:t>Figure 37: TCO- 15 years (EUR/van) in 2025 and 2030 for different LEVD/LEVT options</w:t>
        </w:r>
        <w:r>
          <w:rPr>
            <w:noProof/>
            <w:webHidden/>
          </w:rPr>
          <w:tab/>
        </w:r>
        <w:r>
          <w:rPr>
            <w:noProof/>
            <w:webHidden/>
          </w:rPr>
          <w:fldChar w:fldCharType="begin"/>
        </w:r>
        <w:r>
          <w:rPr>
            <w:noProof/>
            <w:webHidden/>
          </w:rPr>
          <w:instrText xml:space="preserve"> PAGEREF _Toc496688583 \h </w:instrText>
        </w:r>
        <w:r>
          <w:rPr>
            <w:noProof/>
            <w:webHidden/>
          </w:rPr>
        </w:r>
        <w:r>
          <w:rPr>
            <w:noProof/>
            <w:webHidden/>
          </w:rPr>
          <w:fldChar w:fldCharType="separate"/>
        </w:r>
        <w:r>
          <w:rPr>
            <w:noProof/>
            <w:webHidden/>
          </w:rPr>
          <w:t>133</w:t>
        </w:r>
        <w:r>
          <w:rPr>
            <w:noProof/>
            <w:webHidden/>
          </w:rPr>
          <w:fldChar w:fldCharType="end"/>
        </w:r>
      </w:hyperlink>
    </w:p>
    <w:p w:rsidR="001A26B0" w:rsidRDefault="00E33A99">
      <w:pPr>
        <w:pStyle w:val="TableofFigures"/>
        <w:tabs>
          <w:tab w:val="right" w:leader="dot" w:pos="8603"/>
        </w:tabs>
        <w:rPr>
          <w:rFonts w:asciiTheme="minorHAnsi" w:eastAsiaTheme="minorEastAsia" w:hAnsiTheme="minorHAnsi" w:cstheme="minorBidi"/>
          <w:noProof/>
          <w:sz w:val="22"/>
          <w:szCs w:val="22"/>
          <w:lang w:eastAsia="en-GB"/>
        </w:rPr>
      </w:pPr>
      <w:hyperlink w:anchor="_Toc496688584" w:history="1">
        <w:r>
          <w:rPr>
            <w:rStyle w:val="Hyperlink"/>
            <w:noProof/>
          </w:rPr>
          <w:t>Figure 38: TCO-second user (years 6-10) (EUR/van) in 2025 and 2030 for different LEVD/LEVT options</w:t>
        </w:r>
        <w:r>
          <w:rPr>
            <w:noProof/>
            <w:webHidden/>
          </w:rPr>
          <w:tab/>
        </w:r>
        <w:r>
          <w:rPr>
            <w:noProof/>
            <w:webHidden/>
          </w:rPr>
          <w:fldChar w:fldCharType="begin"/>
        </w:r>
        <w:r>
          <w:rPr>
            <w:noProof/>
            <w:webHidden/>
          </w:rPr>
          <w:instrText xml:space="preserve"> PAGEREF _Toc496688584 \h </w:instrText>
        </w:r>
        <w:r>
          <w:rPr>
            <w:noProof/>
            <w:webHidden/>
          </w:rPr>
        </w:r>
        <w:r>
          <w:rPr>
            <w:noProof/>
            <w:webHidden/>
          </w:rPr>
          <w:fldChar w:fldCharType="separate"/>
        </w:r>
        <w:r>
          <w:rPr>
            <w:noProof/>
            <w:webHidden/>
          </w:rPr>
          <w:t>135</w:t>
        </w:r>
        <w:r>
          <w:rPr>
            <w:noProof/>
            <w:webHidden/>
          </w:rPr>
          <w:fldChar w:fldCharType="end"/>
        </w:r>
      </w:hyperlink>
    </w:p>
    <w:p w:rsidR="001A26B0" w:rsidRDefault="00E33A99">
      <w:pPr>
        <w:spacing w:after="0"/>
        <w:jc w:val="left"/>
        <w:rPr>
          <w:noProof/>
        </w:rPr>
      </w:pPr>
      <w:r>
        <w:rPr>
          <w:i/>
          <w:noProof/>
          <w:highlight w:val="yellow"/>
        </w:rPr>
        <w:fldChar w:fldCharType="end"/>
      </w:r>
    </w:p>
    <w:p w:rsidR="001A26B0" w:rsidRDefault="00E33A99">
      <w:pPr>
        <w:spacing w:after="200" w:line="276" w:lineRule="auto"/>
        <w:jc w:val="left"/>
        <w:rPr>
          <w:rFonts w:eastAsiaTheme="majorEastAsia"/>
          <w:b/>
          <w:smallCaps/>
          <w:noProof/>
          <w:szCs w:val="24"/>
        </w:rPr>
      </w:pPr>
      <w:bookmarkStart w:id="1" w:name="_Toc475688970"/>
      <w:bookmarkStart w:id="2" w:name="_Toc485745162"/>
      <w:r>
        <w:rPr>
          <w:rFonts w:eastAsiaTheme="majorEastAsia"/>
          <w:b/>
          <w:smallCaps/>
          <w:noProof/>
          <w:szCs w:val="24"/>
        </w:rPr>
        <w:br w:type="page"/>
      </w:r>
    </w:p>
    <w:p w:rsidR="001A26B0" w:rsidRDefault="00E33A99">
      <w:pPr>
        <w:keepNext/>
        <w:keepLines/>
        <w:spacing w:after="120" w:line="276" w:lineRule="auto"/>
        <w:ind w:left="360"/>
        <w:jc w:val="center"/>
        <w:outlineLvl w:val="0"/>
        <w:rPr>
          <w:rFonts w:eastAsiaTheme="majorEastAsia"/>
          <w:b/>
          <w:smallCaps/>
          <w:noProof/>
          <w:szCs w:val="24"/>
        </w:rPr>
      </w:pPr>
      <w:bookmarkStart w:id="3" w:name="_Toc496635558"/>
      <w:r>
        <w:rPr>
          <w:rFonts w:eastAsiaTheme="majorEastAsia"/>
          <w:b/>
          <w:smallCaps/>
          <w:noProof/>
          <w:szCs w:val="24"/>
        </w:rPr>
        <w:t>Glossary - acronyms and definitions</w:t>
      </w:r>
      <w:bookmarkEnd w:id="1"/>
      <w:bookmarkEnd w:id="2"/>
      <w:bookmarkEnd w:id="3"/>
    </w:p>
    <w:p w:rsidR="001A26B0" w:rsidRDefault="001A26B0">
      <w:pPr>
        <w:spacing w:after="0"/>
        <w:jc w:val="left"/>
        <w:rPr>
          <w:noProof/>
        </w:rPr>
      </w:pPr>
    </w:p>
    <w:p w:rsidR="001A26B0" w:rsidRDefault="00E33A99">
      <w:pPr>
        <w:spacing w:after="40"/>
        <w:ind w:left="2127" w:hanging="2127"/>
        <w:rPr>
          <w:noProof/>
          <w:szCs w:val="24"/>
        </w:rPr>
      </w:pPr>
      <w:r>
        <w:rPr>
          <w:noProof/>
          <w:szCs w:val="24"/>
        </w:rPr>
        <w:t>ACEA</w:t>
      </w:r>
      <w:r>
        <w:rPr>
          <w:noProof/>
          <w:szCs w:val="24"/>
        </w:rPr>
        <w:tab/>
        <w:t>Federation of European Car Manufacturers</w:t>
      </w:r>
    </w:p>
    <w:p w:rsidR="001A26B0" w:rsidRDefault="00E33A99">
      <w:pPr>
        <w:spacing w:after="40"/>
        <w:ind w:left="2127" w:hanging="2127"/>
        <w:rPr>
          <w:noProof/>
          <w:szCs w:val="24"/>
        </w:rPr>
      </w:pPr>
      <w:r>
        <w:rPr>
          <w:noProof/>
          <w:szCs w:val="24"/>
        </w:rPr>
        <w:t>BEV</w:t>
      </w:r>
      <w:r>
        <w:rPr>
          <w:noProof/>
          <w:szCs w:val="24"/>
        </w:rPr>
        <w:tab/>
        <w:t>Battery Electric Vehicle</w:t>
      </w:r>
    </w:p>
    <w:p w:rsidR="001A26B0" w:rsidRDefault="00E33A99">
      <w:pPr>
        <w:spacing w:after="40"/>
        <w:ind w:left="2127" w:hanging="2127"/>
        <w:rPr>
          <w:noProof/>
          <w:szCs w:val="24"/>
        </w:rPr>
      </w:pPr>
      <w:r>
        <w:rPr>
          <w:noProof/>
          <w:szCs w:val="24"/>
        </w:rPr>
        <w:t>CNG</w:t>
      </w:r>
      <w:r>
        <w:rPr>
          <w:noProof/>
          <w:szCs w:val="24"/>
        </w:rPr>
        <w:tab/>
        <w:t>Compressed Natural Gas</w:t>
      </w:r>
    </w:p>
    <w:p w:rsidR="001A26B0" w:rsidRDefault="00E33A99">
      <w:pPr>
        <w:spacing w:after="40"/>
        <w:ind w:left="2127" w:hanging="2127"/>
        <w:rPr>
          <w:noProof/>
          <w:szCs w:val="24"/>
        </w:rPr>
      </w:pPr>
      <w:r>
        <w:rPr>
          <w:noProof/>
          <w:szCs w:val="24"/>
        </w:rPr>
        <w:t>CO</w:t>
      </w:r>
      <w:r>
        <w:rPr>
          <w:noProof/>
          <w:szCs w:val="24"/>
          <w:vertAlign w:val="subscript"/>
        </w:rPr>
        <w:t>2</w:t>
      </w:r>
      <w:r>
        <w:rPr>
          <w:noProof/>
          <w:szCs w:val="24"/>
          <w:vertAlign w:val="subscript"/>
        </w:rPr>
        <w:tab/>
      </w:r>
      <w:r>
        <w:rPr>
          <w:noProof/>
          <w:szCs w:val="24"/>
        </w:rPr>
        <w:t xml:space="preserve">Carbon dioxide </w:t>
      </w:r>
    </w:p>
    <w:p w:rsidR="001A26B0" w:rsidRDefault="00E33A99">
      <w:pPr>
        <w:spacing w:after="40"/>
        <w:ind w:left="2127" w:hanging="2127"/>
        <w:rPr>
          <w:noProof/>
          <w:szCs w:val="24"/>
        </w:rPr>
      </w:pPr>
      <w:r>
        <w:rPr>
          <w:noProof/>
          <w:szCs w:val="24"/>
        </w:rPr>
        <w:t>EMIS</w:t>
      </w:r>
      <w:r>
        <w:rPr>
          <w:noProof/>
          <w:szCs w:val="24"/>
        </w:rPr>
        <w:tab/>
        <w:t>Emission Measurements In the automotive Sector (Committee of the European Parliament)</w:t>
      </w:r>
    </w:p>
    <w:p w:rsidR="001A26B0" w:rsidRDefault="00E33A99">
      <w:pPr>
        <w:spacing w:after="40"/>
        <w:ind w:left="2127" w:hanging="2127"/>
        <w:rPr>
          <w:noProof/>
          <w:szCs w:val="24"/>
        </w:rPr>
      </w:pPr>
      <w:r>
        <w:rPr>
          <w:noProof/>
          <w:szCs w:val="24"/>
        </w:rPr>
        <w:t>ESR</w:t>
      </w:r>
      <w:r>
        <w:rPr>
          <w:noProof/>
          <w:szCs w:val="24"/>
        </w:rPr>
        <w:tab/>
        <w:t>Effort Sharing Regulation</w:t>
      </w:r>
    </w:p>
    <w:p w:rsidR="001A26B0" w:rsidRDefault="00E33A99">
      <w:pPr>
        <w:spacing w:after="40"/>
        <w:ind w:left="2127" w:hanging="2127"/>
        <w:rPr>
          <w:noProof/>
          <w:szCs w:val="24"/>
        </w:rPr>
      </w:pPr>
      <w:r>
        <w:rPr>
          <w:noProof/>
          <w:szCs w:val="24"/>
        </w:rPr>
        <w:t>ETS</w:t>
      </w:r>
      <w:r>
        <w:rPr>
          <w:noProof/>
          <w:szCs w:val="24"/>
        </w:rPr>
        <w:tab/>
        <w:t>EU Emission Trading System</w:t>
      </w:r>
    </w:p>
    <w:p w:rsidR="001A26B0" w:rsidRDefault="00E33A99">
      <w:pPr>
        <w:spacing w:after="40"/>
        <w:ind w:left="2127" w:hanging="2127"/>
        <w:rPr>
          <w:noProof/>
          <w:szCs w:val="24"/>
        </w:rPr>
      </w:pPr>
      <w:r>
        <w:rPr>
          <w:noProof/>
          <w:szCs w:val="24"/>
        </w:rPr>
        <w:t>EV</w:t>
      </w:r>
      <w:r>
        <w:rPr>
          <w:noProof/>
          <w:szCs w:val="24"/>
        </w:rPr>
        <w:tab/>
        <w:t>Electric Vehicle: covers BEV, FCEV and PHEV</w:t>
      </w:r>
    </w:p>
    <w:p w:rsidR="001A26B0" w:rsidRDefault="00E33A99">
      <w:pPr>
        <w:spacing w:after="40"/>
        <w:ind w:left="2127" w:hanging="2127"/>
        <w:rPr>
          <w:noProof/>
          <w:szCs w:val="24"/>
        </w:rPr>
      </w:pPr>
      <w:r>
        <w:rPr>
          <w:noProof/>
          <w:szCs w:val="24"/>
        </w:rPr>
        <w:t>FCEV</w:t>
      </w:r>
      <w:r>
        <w:rPr>
          <w:noProof/>
          <w:szCs w:val="24"/>
        </w:rPr>
        <w:tab/>
        <w:t>Fuel Cell Electric Vehicle</w:t>
      </w:r>
    </w:p>
    <w:p w:rsidR="001A26B0" w:rsidRDefault="00E33A99">
      <w:pPr>
        <w:spacing w:after="40"/>
        <w:ind w:left="2127" w:hanging="2127"/>
        <w:rPr>
          <w:noProof/>
          <w:szCs w:val="24"/>
        </w:rPr>
      </w:pPr>
      <w:r>
        <w:rPr>
          <w:noProof/>
          <w:szCs w:val="24"/>
        </w:rPr>
        <w:t>FCM</w:t>
      </w:r>
      <w:r>
        <w:rPr>
          <w:noProof/>
          <w:szCs w:val="24"/>
        </w:rPr>
        <w:tab/>
        <w:t>Fuel Consumption Measurement</w:t>
      </w:r>
    </w:p>
    <w:p w:rsidR="001A26B0" w:rsidRDefault="00E33A99">
      <w:pPr>
        <w:spacing w:after="40"/>
        <w:ind w:left="2127" w:hanging="2127"/>
        <w:rPr>
          <w:noProof/>
          <w:szCs w:val="24"/>
        </w:rPr>
      </w:pPr>
      <w:r>
        <w:rPr>
          <w:noProof/>
          <w:szCs w:val="24"/>
        </w:rPr>
        <w:t>GDP</w:t>
      </w:r>
      <w:r>
        <w:rPr>
          <w:noProof/>
          <w:szCs w:val="24"/>
        </w:rPr>
        <w:tab/>
        <w:t>Gross Domestic Product</w:t>
      </w:r>
    </w:p>
    <w:p w:rsidR="001A26B0" w:rsidRDefault="00E33A99">
      <w:pPr>
        <w:spacing w:after="40"/>
        <w:ind w:left="2127" w:hanging="2127"/>
        <w:rPr>
          <w:noProof/>
          <w:szCs w:val="24"/>
        </w:rPr>
      </w:pPr>
      <w:r>
        <w:rPr>
          <w:noProof/>
          <w:szCs w:val="24"/>
        </w:rPr>
        <w:t>GHG</w:t>
      </w:r>
      <w:r>
        <w:rPr>
          <w:noProof/>
          <w:szCs w:val="24"/>
        </w:rPr>
        <w:tab/>
        <w:t>Greenhouse gas(es)</w:t>
      </w:r>
    </w:p>
    <w:p w:rsidR="001A26B0" w:rsidRDefault="00E33A99">
      <w:pPr>
        <w:spacing w:after="40"/>
        <w:ind w:left="2127" w:hanging="2127"/>
        <w:rPr>
          <w:noProof/>
          <w:szCs w:val="24"/>
        </w:rPr>
      </w:pPr>
      <w:r>
        <w:rPr>
          <w:noProof/>
          <w:szCs w:val="24"/>
        </w:rPr>
        <w:t>HDV</w:t>
      </w:r>
      <w:r>
        <w:rPr>
          <w:noProof/>
          <w:szCs w:val="24"/>
        </w:rPr>
        <w:tab/>
        <w:t>Heavy-Duty Vehicles, i.e. lorrie</w:t>
      </w:r>
      <w:r>
        <w:rPr>
          <w:noProof/>
          <w:szCs w:val="24"/>
        </w:rPr>
        <w:t>s, buses and coaches (vehicles of more than 3.5 tons)</w:t>
      </w:r>
    </w:p>
    <w:p w:rsidR="001A26B0" w:rsidRDefault="00E33A99">
      <w:pPr>
        <w:spacing w:after="40"/>
        <w:ind w:left="2127" w:hanging="2127"/>
        <w:rPr>
          <w:noProof/>
          <w:szCs w:val="24"/>
        </w:rPr>
      </w:pPr>
      <w:r>
        <w:rPr>
          <w:noProof/>
          <w:szCs w:val="24"/>
        </w:rPr>
        <w:t>HEV</w:t>
      </w:r>
      <w:r>
        <w:rPr>
          <w:noProof/>
          <w:szCs w:val="24"/>
        </w:rPr>
        <w:tab/>
        <w:t>Hybrid Electric Vehicle (not including PHEV)</w:t>
      </w:r>
    </w:p>
    <w:p w:rsidR="001A26B0" w:rsidRDefault="00E33A99">
      <w:pPr>
        <w:spacing w:after="40"/>
        <w:ind w:left="2127" w:hanging="2127"/>
        <w:rPr>
          <w:noProof/>
          <w:szCs w:val="24"/>
        </w:rPr>
      </w:pPr>
      <w:r>
        <w:rPr>
          <w:noProof/>
          <w:szCs w:val="24"/>
        </w:rPr>
        <w:t>ICEV</w:t>
      </w:r>
      <w:r>
        <w:rPr>
          <w:noProof/>
          <w:szCs w:val="24"/>
        </w:rPr>
        <w:tab/>
        <w:t>Internal Combustion Engine Vehicle</w:t>
      </w:r>
    </w:p>
    <w:p w:rsidR="001A26B0" w:rsidRDefault="00E33A99">
      <w:pPr>
        <w:spacing w:after="40"/>
        <w:ind w:left="2127" w:hanging="2127"/>
        <w:rPr>
          <w:noProof/>
          <w:szCs w:val="24"/>
        </w:rPr>
      </w:pPr>
      <w:r>
        <w:rPr>
          <w:noProof/>
          <w:szCs w:val="24"/>
        </w:rPr>
        <w:t>IEA</w:t>
      </w:r>
      <w:r>
        <w:rPr>
          <w:noProof/>
          <w:szCs w:val="24"/>
        </w:rPr>
        <w:tab/>
        <w:t>International Energy Agency</w:t>
      </w:r>
    </w:p>
    <w:p w:rsidR="001A26B0" w:rsidRDefault="00E33A99">
      <w:pPr>
        <w:spacing w:after="40"/>
        <w:ind w:left="2127" w:hanging="2127"/>
        <w:rPr>
          <w:noProof/>
          <w:szCs w:val="24"/>
        </w:rPr>
      </w:pPr>
      <w:r>
        <w:rPr>
          <w:noProof/>
          <w:szCs w:val="24"/>
        </w:rPr>
        <w:t>LCA</w:t>
      </w:r>
      <w:r>
        <w:rPr>
          <w:noProof/>
          <w:szCs w:val="24"/>
        </w:rPr>
        <w:tab/>
        <w:t>Life-Cycle Assessment</w:t>
      </w:r>
    </w:p>
    <w:p w:rsidR="001A26B0" w:rsidRDefault="00E33A99">
      <w:pPr>
        <w:spacing w:after="40"/>
        <w:ind w:left="2127" w:hanging="2127"/>
        <w:rPr>
          <w:noProof/>
          <w:szCs w:val="24"/>
        </w:rPr>
      </w:pPr>
      <w:r>
        <w:rPr>
          <w:noProof/>
          <w:szCs w:val="24"/>
        </w:rPr>
        <w:t>LCV</w:t>
      </w:r>
      <w:r>
        <w:rPr>
          <w:noProof/>
          <w:szCs w:val="24"/>
        </w:rPr>
        <w:tab/>
        <w:t>Light Commercial Vehicle(s): van(s)</w:t>
      </w:r>
    </w:p>
    <w:p w:rsidR="001A26B0" w:rsidRDefault="00E33A99">
      <w:pPr>
        <w:spacing w:after="40"/>
        <w:ind w:left="2127" w:hanging="2127"/>
        <w:rPr>
          <w:noProof/>
          <w:szCs w:val="24"/>
        </w:rPr>
      </w:pPr>
      <w:r>
        <w:rPr>
          <w:noProof/>
          <w:szCs w:val="24"/>
        </w:rPr>
        <w:t>LDV</w:t>
      </w:r>
      <w:r>
        <w:rPr>
          <w:noProof/>
          <w:szCs w:val="24"/>
        </w:rPr>
        <w:tab/>
        <w:t xml:space="preserve">Light-Duty </w:t>
      </w:r>
      <w:r>
        <w:rPr>
          <w:noProof/>
          <w:szCs w:val="24"/>
        </w:rPr>
        <w:t>Vehicle(s), i.e. passenger cars and vans</w:t>
      </w:r>
    </w:p>
    <w:p w:rsidR="001A26B0" w:rsidRDefault="00E33A99">
      <w:pPr>
        <w:spacing w:after="40"/>
        <w:ind w:left="2127" w:hanging="2127"/>
        <w:rPr>
          <w:noProof/>
          <w:szCs w:val="24"/>
        </w:rPr>
      </w:pPr>
      <w:r>
        <w:rPr>
          <w:noProof/>
          <w:szCs w:val="24"/>
        </w:rPr>
        <w:t>LPG</w:t>
      </w:r>
      <w:r>
        <w:rPr>
          <w:noProof/>
          <w:szCs w:val="24"/>
        </w:rPr>
        <w:tab/>
        <w:t>Liquified Petroleum Gas</w:t>
      </w:r>
    </w:p>
    <w:p w:rsidR="001A26B0" w:rsidRDefault="00E33A99">
      <w:pPr>
        <w:spacing w:after="40"/>
        <w:ind w:left="2127" w:hanging="2127"/>
        <w:rPr>
          <w:noProof/>
          <w:szCs w:val="24"/>
        </w:rPr>
      </w:pPr>
      <w:r>
        <w:rPr>
          <w:noProof/>
          <w:szCs w:val="24"/>
        </w:rPr>
        <w:t>LNG</w:t>
      </w:r>
      <w:r>
        <w:rPr>
          <w:noProof/>
          <w:szCs w:val="24"/>
        </w:rPr>
        <w:tab/>
        <w:t>Liquefied Natural Gas</w:t>
      </w:r>
    </w:p>
    <w:p w:rsidR="001A26B0" w:rsidRDefault="00E33A99">
      <w:pPr>
        <w:spacing w:after="40"/>
        <w:ind w:left="2127" w:hanging="2127"/>
        <w:rPr>
          <w:noProof/>
          <w:szCs w:val="24"/>
        </w:rPr>
      </w:pPr>
      <w:r>
        <w:rPr>
          <w:noProof/>
          <w:szCs w:val="24"/>
        </w:rPr>
        <w:t>MAC</w:t>
      </w:r>
      <w:r>
        <w:rPr>
          <w:noProof/>
          <w:szCs w:val="24"/>
        </w:rPr>
        <w:tab/>
        <w:t>Mobile Air Conditioning</w:t>
      </w:r>
    </w:p>
    <w:p w:rsidR="001A26B0" w:rsidRDefault="00E33A99">
      <w:pPr>
        <w:spacing w:after="40"/>
        <w:ind w:left="2127" w:hanging="2127"/>
        <w:rPr>
          <w:noProof/>
          <w:szCs w:val="24"/>
        </w:rPr>
      </w:pPr>
      <w:r>
        <w:rPr>
          <w:noProof/>
          <w:szCs w:val="24"/>
        </w:rPr>
        <w:t>NEDC</w:t>
      </w:r>
      <w:r>
        <w:rPr>
          <w:noProof/>
          <w:szCs w:val="24"/>
        </w:rPr>
        <w:tab/>
        <w:t>New European Driving Cycle</w:t>
      </w:r>
    </w:p>
    <w:p w:rsidR="001A26B0" w:rsidRDefault="00E33A99">
      <w:pPr>
        <w:spacing w:after="40"/>
        <w:ind w:left="2127" w:hanging="2127"/>
        <w:rPr>
          <w:noProof/>
          <w:szCs w:val="24"/>
        </w:rPr>
      </w:pPr>
      <w:r>
        <w:rPr>
          <w:noProof/>
          <w:szCs w:val="24"/>
        </w:rPr>
        <w:t>NGO</w:t>
      </w:r>
      <w:r>
        <w:rPr>
          <w:noProof/>
          <w:szCs w:val="24"/>
        </w:rPr>
        <w:tab/>
        <w:t>Non-Governmental Organisation</w:t>
      </w:r>
    </w:p>
    <w:p w:rsidR="001A26B0" w:rsidRDefault="00E33A99">
      <w:pPr>
        <w:spacing w:after="40"/>
        <w:ind w:left="2127" w:hanging="2127"/>
        <w:rPr>
          <w:noProof/>
          <w:szCs w:val="24"/>
        </w:rPr>
      </w:pPr>
      <w:r>
        <w:rPr>
          <w:noProof/>
          <w:szCs w:val="24"/>
        </w:rPr>
        <w:t>NO</w:t>
      </w:r>
      <w:r>
        <w:rPr>
          <w:noProof/>
          <w:szCs w:val="24"/>
          <w:vertAlign w:val="subscript"/>
        </w:rPr>
        <w:t>x</w:t>
      </w:r>
      <w:r>
        <w:rPr>
          <w:noProof/>
          <w:szCs w:val="24"/>
        </w:rPr>
        <w:tab/>
        <w:t>Nitrogen oxides (nitric oxide (NO) and nitrogen dioxide (NO</w:t>
      </w:r>
      <w:r>
        <w:rPr>
          <w:noProof/>
          <w:szCs w:val="24"/>
          <w:vertAlign w:val="subscript"/>
        </w:rPr>
        <w:t>2</w:t>
      </w:r>
      <w:r>
        <w:rPr>
          <w:noProof/>
          <w:szCs w:val="24"/>
        </w:rPr>
        <w:t>))</w:t>
      </w:r>
    </w:p>
    <w:p w:rsidR="001A26B0" w:rsidRDefault="00E33A99">
      <w:pPr>
        <w:spacing w:after="40"/>
        <w:ind w:left="2127" w:hanging="2127"/>
        <w:rPr>
          <w:noProof/>
          <w:szCs w:val="24"/>
        </w:rPr>
      </w:pPr>
      <w:r>
        <w:rPr>
          <w:noProof/>
          <w:szCs w:val="24"/>
        </w:rPr>
        <w:t>O&amp;M</w:t>
      </w:r>
      <w:r>
        <w:rPr>
          <w:noProof/>
          <w:szCs w:val="24"/>
        </w:rPr>
        <w:tab/>
        <w:t>Operation and Maintenance</w:t>
      </w:r>
    </w:p>
    <w:p w:rsidR="001A26B0" w:rsidRDefault="00E33A99">
      <w:pPr>
        <w:spacing w:after="40"/>
        <w:ind w:left="2127" w:hanging="2127"/>
        <w:rPr>
          <w:noProof/>
          <w:szCs w:val="24"/>
        </w:rPr>
      </w:pPr>
      <w:r>
        <w:rPr>
          <w:noProof/>
          <w:szCs w:val="24"/>
        </w:rPr>
        <w:t>OECD</w:t>
      </w:r>
      <w:r>
        <w:rPr>
          <w:noProof/>
          <w:szCs w:val="24"/>
        </w:rPr>
        <w:tab/>
        <w:t>Organisation for Economic Co-operation and Development</w:t>
      </w:r>
    </w:p>
    <w:p w:rsidR="001A26B0" w:rsidRDefault="00E33A99">
      <w:pPr>
        <w:spacing w:after="40"/>
        <w:ind w:left="2127" w:hanging="2127"/>
        <w:rPr>
          <w:noProof/>
          <w:szCs w:val="24"/>
        </w:rPr>
      </w:pPr>
      <w:r>
        <w:rPr>
          <w:noProof/>
          <w:szCs w:val="24"/>
        </w:rPr>
        <w:t>OBD</w:t>
      </w:r>
      <w:r>
        <w:rPr>
          <w:noProof/>
          <w:szCs w:val="24"/>
        </w:rPr>
        <w:tab/>
        <w:t>On-Board Diagnostics</w:t>
      </w:r>
    </w:p>
    <w:p w:rsidR="001A26B0" w:rsidRDefault="00E33A99">
      <w:pPr>
        <w:spacing w:after="40"/>
        <w:ind w:left="2127" w:hanging="2127"/>
        <w:rPr>
          <w:noProof/>
          <w:szCs w:val="24"/>
        </w:rPr>
      </w:pPr>
      <w:r>
        <w:rPr>
          <w:noProof/>
          <w:szCs w:val="24"/>
        </w:rPr>
        <w:t>PHEV</w:t>
      </w:r>
      <w:r>
        <w:rPr>
          <w:noProof/>
          <w:szCs w:val="24"/>
        </w:rPr>
        <w:tab/>
        <w:t xml:space="preserve">Plug-in Hybrid Electric Vehicle </w:t>
      </w:r>
    </w:p>
    <w:p w:rsidR="001A26B0" w:rsidRDefault="00E33A99">
      <w:pPr>
        <w:spacing w:after="40"/>
        <w:ind w:left="2127" w:hanging="2127"/>
        <w:rPr>
          <w:noProof/>
          <w:szCs w:val="24"/>
        </w:rPr>
      </w:pPr>
      <w:r>
        <w:rPr>
          <w:noProof/>
          <w:szCs w:val="24"/>
        </w:rPr>
        <w:t>PM</w:t>
      </w:r>
      <w:r>
        <w:rPr>
          <w:noProof/>
          <w:szCs w:val="24"/>
        </w:rPr>
        <w:tab/>
        <w:t>Particulate matter</w:t>
      </w:r>
    </w:p>
    <w:p w:rsidR="001A26B0" w:rsidRDefault="00E33A99">
      <w:pPr>
        <w:spacing w:after="40"/>
        <w:ind w:left="2127" w:hanging="2127"/>
        <w:rPr>
          <w:noProof/>
          <w:szCs w:val="24"/>
        </w:rPr>
      </w:pPr>
      <w:r>
        <w:rPr>
          <w:noProof/>
          <w:szCs w:val="24"/>
        </w:rPr>
        <w:t>REEV</w:t>
      </w:r>
      <w:r>
        <w:rPr>
          <w:noProof/>
          <w:szCs w:val="24"/>
        </w:rPr>
        <w:tab/>
        <w:t>Range Extended Electric Vehicle (sub-group of PHEV)</w:t>
      </w:r>
    </w:p>
    <w:p w:rsidR="001A26B0" w:rsidRDefault="00E33A99">
      <w:pPr>
        <w:spacing w:after="40"/>
        <w:ind w:left="2127" w:hanging="2127"/>
        <w:rPr>
          <w:noProof/>
          <w:szCs w:val="24"/>
        </w:rPr>
      </w:pPr>
      <w:r>
        <w:rPr>
          <w:noProof/>
          <w:szCs w:val="24"/>
        </w:rPr>
        <w:t>SAM</w:t>
      </w:r>
      <w:r>
        <w:rPr>
          <w:noProof/>
          <w:szCs w:val="24"/>
        </w:rPr>
        <w:tab/>
        <w:t>Scientific Advice Me</w:t>
      </w:r>
      <w:r>
        <w:rPr>
          <w:noProof/>
          <w:szCs w:val="24"/>
        </w:rPr>
        <w:t>chanism</w:t>
      </w:r>
    </w:p>
    <w:p w:rsidR="001A26B0" w:rsidRDefault="00E33A99">
      <w:pPr>
        <w:spacing w:after="40"/>
        <w:ind w:left="2127" w:hanging="2127"/>
        <w:rPr>
          <w:noProof/>
        </w:rPr>
      </w:pPr>
      <w:r>
        <w:rPr>
          <w:noProof/>
          <w:szCs w:val="24"/>
        </w:rPr>
        <w:t>TLC</w:t>
      </w:r>
      <w:r>
        <w:rPr>
          <w:noProof/>
          <w:szCs w:val="24"/>
        </w:rPr>
        <w:tab/>
      </w:r>
      <w:r>
        <w:rPr>
          <w:noProof/>
        </w:rPr>
        <w:t>CO</w:t>
      </w:r>
      <w:r>
        <w:rPr>
          <w:noProof/>
          <w:vertAlign w:val="subscript"/>
        </w:rPr>
        <w:t>2</w:t>
      </w:r>
      <w:r>
        <w:rPr>
          <w:noProof/>
        </w:rPr>
        <w:t xml:space="preserve"> Target Level for passenger Cars (policy option)</w:t>
      </w:r>
    </w:p>
    <w:p w:rsidR="001A26B0" w:rsidRDefault="00E33A99">
      <w:pPr>
        <w:spacing w:after="40"/>
        <w:ind w:left="2127" w:hanging="2127"/>
        <w:rPr>
          <w:noProof/>
          <w:szCs w:val="24"/>
        </w:rPr>
      </w:pPr>
      <w:r>
        <w:rPr>
          <w:noProof/>
        </w:rPr>
        <w:t>TLV</w:t>
      </w:r>
      <w:r>
        <w:rPr>
          <w:noProof/>
        </w:rPr>
        <w:tab/>
        <w:t>CO</w:t>
      </w:r>
      <w:r>
        <w:rPr>
          <w:noProof/>
          <w:vertAlign w:val="subscript"/>
        </w:rPr>
        <w:t>2</w:t>
      </w:r>
      <w:r>
        <w:rPr>
          <w:noProof/>
        </w:rPr>
        <w:t xml:space="preserve"> Target Level for Vans (policy option)</w:t>
      </w:r>
    </w:p>
    <w:p w:rsidR="001A26B0" w:rsidRDefault="00E33A99">
      <w:pPr>
        <w:spacing w:after="40"/>
        <w:ind w:left="2127" w:hanging="2127"/>
        <w:rPr>
          <w:noProof/>
          <w:szCs w:val="24"/>
        </w:rPr>
      </w:pPr>
      <w:r>
        <w:rPr>
          <w:noProof/>
          <w:szCs w:val="24"/>
        </w:rPr>
        <w:t xml:space="preserve">TTW emissions </w:t>
      </w:r>
      <w:r>
        <w:rPr>
          <w:noProof/>
          <w:szCs w:val="24"/>
        </w:rPr>
        <w:tab/>
        <w:t xml:space="preserve">"Tank-to-wheel" emissions: emissions from the vehicle tailpipe that occur during the drive cycle of vehicles. </w:t>
      </w:r>
    </w:p>
    <w:p w:rsidR="001A26B0" w:rsidRDefault="00E33A99">
      <w:pPr>
        <w:spacing w:after="40"/>
        <w:ind w:left="2127" w:hanging="2127"/>
        <w:rPr>
          <w:noProof/>
          <w:szCs w:val="24"/>
        </w:rPr>
      </w:pPr>
      <w:r>
        <w:rPr>
          <w:noProof/>
          <w:szCs w:val="24"/>
        </w:rPr>
        <w:t>WLTP</w:t>
      </w:r>
      <w:r>
        <w:rPr>
          <w:noProof/>
          <w:szCs w:val="24"/>
        </w:rPr>
        <w:tab/>
        <w:t>Worldwide Harmo</w:t>
      </w:r>
      <w:r>
        <w:rPr>
          <w:noProof/>
          <w:szCs w:val="24"/>
        </w:rPr>
        <w:t>nised Light Vehicles Test Procedure</w:t>
      </w:r>
    </w:p>
    <w:p w:rsidR="001A26B0" w:rsidRDefault="00E33A99">
      <w:pPr>
        <w:spacing w:after="40"/>
        <w:ind w:left="2127" w:hanging="2127"/>
        <w:rPr>
          <w:noProof/>
          <w:szCs w:val="24"/>
        </w:rPr>
      </w:pPr>
      <w:r>
        <w:rPr>
          <w:noProof/>
          <w:szCs w:val="24"/>
        </w:rPr>
        <w:t>WTT emissions</w:t>
      </w:r>
      <w:r>
        <w:rPr>
          <w:noProof/>
          <w:szCs w:val="24"/>
        </w:rPr>
        <w:tab/>
        <w:t>"Well-to-tank" emissions: emission occurring during fuel (incl. electricity, hydrogen) production and transport</w:t>
      </w:r>
    </w:p>
    <w:p w:rsidR="001A26B0" w:rsidRDefault="00E33A99">
      <w:pPr>
        <w:spacing w:after="40"/>
        <w:ind w:left="2160" w:hanging="2160"/>
        <w:rPr>
          <w:noProof/>
          <w:szCs w:val="24"/>
        </w:rPr>
      </w:pPr>
      <w:r>
        <w:rPr>
          <w:noProof/>
          <w:szCs w:val="24"/>
        </w:rPr>
        <w:t xml:space="preserve">WTW emissions </w:t>
      </w:r>
      <w:r>
        <w:rPr>
          <w:noProof/>
          <w:szCs w:val="24"/>
        </w:rPr>
        <w:tab/>
        <w:t xml:space="preserve">"Well-to-wheel" emissions: sum of TTW and WTT emissions </w:t>
      </w:r>
    </w:p>
    <w:p w:rsidR="001A26B0" w:rsidRDefault="00E33A99">
      <w:pPr>
        <w:pStyle w:val="Heading1"/>
        <w:rPr>
          <w:noProof/>
        </w:rPr>
      </w:pPr>
      <w:bookmarkStart w:id="4" w:name="_Toc496003002"/>
      <w:bookmarkEnd w:id="4"/>
      <w:r>
        <w:rPr>
          <w:noProof/>
        </w:rPr>
        <w:br w:type="page"/>
      </w:r>
      <w:bookmarkStart w:id="5" w:name="_Toc496003003"/>
      <w:bookmarkStart w:id="6" w:name="_Toc480815606"/>
      <w:bookmarkStart w:id="7" w:name="_Toc480815607"/>
      <w:bookmarkStart w:id="8" w:name="_Ref493082561"/>
      <w:bookmarkStart w:id="9" w:name="_Toc496635559"/>
      <w:bookmarkEnd w:id="5"/>
      <w:bookmarkEnd w:id="6"/>
      <w:r>
        <w:rPr>
          <w:noProof/>
        </w:rPr>
        <w:t>introduction</w:t>
      </w:r>
      <w:bookmarkEnd w:id="7"/>
      <w:bookmarkEnd w:id="8"/>
      <w:bookmarkEnd w:id="9"/>
    </w:p>
    <w:p w:rsidR="001A26B0" w:rsidRDefault="00E33A99">
      <w:pPr>
        <w:pStyle w:val="Heading2"/>
        <w:rPr>
          <w:noProof/>
        </w:rPr>
      </w:pPr>
      <w:bookmarkStart w:id="10" w:name="_Toc480815608"/>
      <w:bookmarkStart w:id="11" w:name="_Toc493769419"/>
      <w:bookmarkStart w:id="12" w:name="_Toc493797391"/>
      <w:bookmarkStart w:id="13" w:name="_Ref495688885"/>
      <w:bookmarkStart w:id="14" w:name="_Toc496635560"/>
      <w:bookmarkStart w:id="15" w:name="_Toc480815609"/>
      <w:bookmarkStart w:id="16" w:name="_Ref493065378"/>
      <w:r>
        <w:rPr>
          <w:noProof/>
        </w:rPr>
        <w:t>Policy c</w:t>
      </w:r>
      <w:r>
        <w:rPr>
          <w:noProof/>
        </w:rPr>
        <w:t>ontext</w:t>
      </w:r>
      <w:bookmarkEnd w:id="10"/>
      <w:bookmarkEnd w:id="11"/>
      <w:bookmarkEnd w:id="12"/>
      <w:bookmarkEnd w:id="13"/>
      <w:bookmarkEnd w:id="14"/>
    </w:p>
    <w:p w:rsidR="001A26B0" w:rsidRDefault="00E33A99">
      <w:pPr>
        <w:pStyle w:val="ListBullet"/>
        <w:numPr>
          <w:ilvl w:val="0"/>
          <w:numId w:val="0"/>
        </w:numPr>
        <w:spacing w:after="120"/>
        <w:rPr>
          <w:bCs/>
          <w:noProof/>
          <w:lang w:val="en"/>
        </w:rPr>
      </w:pPr>
      <w:r>
        <w:rPr>
          <w:bCs/>
          <w:noProof/>
          <w:lang w:val="en"/>
        </w:rPr>
        <w:t xml:space="preserve">In his </w:t>
      </w:r>
      <w:r>
        <w:rPr>
          <w:b/>
          <w:bCs/>
          <w:noProof/>
          <w:lang w:val="en"/>
        </w:rPr>
        <w:t>State of the Union Address 2017</w:t>
      </w:r>
      <w:r>
        <w:rPr>
          <w:rStyle w:val="FootnoteReference"/>
          <w:bCs/>
          <w:noProof/>
          <w:lang w:val="en"/>
        </w:rPr>
        <w:footnoteReference w:id="1"/>
      </w:r>
      <w:r>
        <w:rPr>
          <w:bCs/>
          <w:noProof/>
          <w:lang w:val="en"/>
        </w:rPr>
        <w:t xml:space="preserve"> President Juncker put it very clearly: while the car industry is a key sector for Europe making world-class products, EU manufacturers will need to invest in the clean cars of the future in order to maintain their strong position. In addition, President J</w:t>
      </w:r>
      <w:r>
        <w:rPr>
          <w:bCs/>
          <w:noProof/>
          <w:lang w:val="en"/>
        </w:rPr>
        <w:t>uncker stated "</w:t>
      </w:r>
      <w:r>
        <w:rPr>
          <w:bCs/>
          <w:noProof/>
        </w:rPr>
        <w:t>I want Europe to be the leader when it comes to the fight against climate change" and announced that "t</w:t>
      </w:r>
      <w:r>
        <w:rPr>
          <w:noProof/>
          <w:szCs w:val="24"/>
          <w:lang w:eastAsia="en-GB"/>
        </w:rPr>
        <w:t>he Commission will shortly present proposals to reduce the carbon emissions of our transport sector</w:t>
      </w:r>
      <w:r>
        <w:rPr>
          <w:noProof/>
        </w:rPr>
        <w:t>"</w:t>
      </w:r>
      <w:r>
        <w:rPr>
          <w:bCs/>
          <w:noProof/>
          <w:lang w:val="en"/>
        </w:rPr>
        <w:t>.</w:t>
      </w:r>
    </w:p>
    <w:p w:rsidR="001A26B0" w:rsidRDefault="00E33A99">
      <w:pPr>
        <w:pStyle w:val="ListBullet"/>
        <w:numPr>
          <w:ilvl w:val="0"/>
          <w:numId w:val="0"/>
        </w:numPr>
        <w:spacing w:after="120"/>
        <w:rPr>
          <w:bCs/>
          <w:noProof/>
          <w:lang w:val="en"/>
        </w:rPr>
      </w:pPr>
      <w:r>
        <w:rPr>
          <w:bCs/>
          <w:noProof/>
          <w:lang w:val="en"/>
        </w:rPr>
        <w:t xml:space="preserve">The </w:t>
      </w:r>
      <w:r>
        <w:rPr>
          <w:b/>
          <w:bCs/>
          <w:noProof/>
          <w:lang w:val="en"/>
        </w:rPr>
        <w:t>automotive industry is crucial f</w:t>
      </w:r>
      <w:r>
        <w:rPr>
          <w:b/>
          <w:bCs/>
          <w:noProof/>
          <w:lang w:val="en"/>
        </w:rPr>
        <w:t>or Europe's prosperity</w:t>
      </w:r>
      <w:r>
        <w:rPr>
          <w:bCs/>
          <w:noProof/>
          <w:lang w:val="en"/>
        </w:rPr>
        <w:t>, providing jobs for 12 million people in manufacturing, sales, maintenance and transport and accounting for 4% of the EU's GDP</w:t>
      </w:r>
      <w:r>
        <w:rPr>
          <w:rStyle w:val="FootnoteReference"/>
          <w:bCs/>
          <w:noProof/>
          <w:lang w:val="en"/>
        </w:rPr>
        <w:footnoteReference w:id="2"/>
      </w:r>
      <w:r>
        <w:rPr>
          <w:bCs/>
          <w:noProof/>
          <w:lang w:val="en"/>
        </w:rPr>
        <w:t>, including in sectors such as steel, aluminium, pla</w:t>
      </w:r>
      <w:bookmarkStart w:id="17" w:name="_GoBack"/>
      <w:bookmarkEnd w:id="17"/>
      <w:r>
        <w:rPr>
          <w:bCs/>
          <w:noProof/>
          <w:lang w:val="en"/>
        </w:rPr>
        <w:t>stics, chemicals, textiles and ICT. The EU is among th</w:t>
      </w:r>
      <w:r>
        <w:rPr>
          <w:bCs/>
          <w:noProof/>
          <w:lang w:val="en"/>
        </w:rPr>
        <w:t xml:space="preserve">e world's biggest producers of motor vehicles and demonstrates technological leadership in this sector.  </w:t>
      </w:r>
    </w:p>
    <w:p w:rsidR="001A26B0" w:rsidRDefault="00E33A99">
      <w:pPr>
        <w:pStyle w:val="ListBullet"/>
        <w:numPr>
          <w:ilvl w:val="0"/>
          <w:numId w:val="0"/>
        </w:numPr>
        <w:spacing w:after="120"/>
        <w:rPr>
          <w:bCs/>
          <w:noProof/>
          <w:lang w:val="en"/>
        </w:rPr>
      </w:pPr>
      <w:r>
        <w:rPr>
          <w:bCs/>
          <w:noProof/>
          <w:lang w:val="en"/>
        </w:rPr>
        <w:t xml:space="preserve">EU industry, in general, and the automotive sector, in particular, are currently facing </w:t>
      </w:r>
      <w:r>
        <w:rPr>
          <w:b/>
          <w:bCs/>
          <w:noProof/>
          <w:lang w:val="en"/>
        </w:rPr>
        <w:t>major transformations</w:t>
      </w:r>
      <w:r>
        <w:rPr>
          <w:bCs/>
          <w:noProof/>
          <w:lang w:val="en"/>
        </w:rPr>
        <w:t>. Digitalization and automation are trans</w:t>
      </w:r>
      <w:r>
        <w:rPr>
          <w:bCs/>
          <w:noProof/>
          <w:lang w:val="en"/>
        </w:rPr>
        <w:t xml:space="preserve">forming traditional manufacturing proceses. Innovation in electrified power trains, autonomous driving and connected vehicles constitute major challenges which may fundamentally transform the sector.  </w:t>
      </w:r>
    </w:p>
    <w:p w:rsidR="001A26B0" w:rsidRDefault="00E33A99">
      <w:pPr>
        <w:pStyle w:val="ListBullet"/>
        <w:numPr>
          <w:ilvl w:val="0"/>
          <w:numId w:val="0"/>
        </w:numPr>
        <w:spacing w:after="120"/>
        <w:rPr>
          <w:bCs/>
          <w:noProof/>
          <w:lang w:val="en"/>
        </w:rPr>
      </w:pPr>
      <w:r>
        <w:rPr>
          <w:bCs/>
          <w:noProof/>
          <w:lang w:val="en"/>
        </w:rPr>
        <w:t xml:space="preserve">Furthermore, following the </w:t>
      </w:r>
      <w:r>
        <w:rPr>
          <w:b/>
          <w:bCs/>
          <w:noProof/>
          <w:lang w:val="en"/>
        </w:rPr>
        <w:t>Paris Agreement</w:t>
      </w:r>
      <w:r>
        <w:rPr>
          <w:rStyle w:val="FootnoteReference"/>
          <w:bCs/>
          <w:noProof/>
          <w:lang w:val="en"/>
        </w:rPr>
        <w:footnoteReference w:id="3"/>
      </w:r>
      <w:r>
        <w:rPr>
          <w:bCs/>
          <w:noProof/>
          <w:lang w:val="en"/>
        </w:rPr>
        <w:t>, the world</w:t>
      </w:r>
      <w:r>
        <w:rPr>
          <w:bCs/>
          <w:noProof/>
          <w:lang w:val="en"/>
        </w:rPr>
        <w:t xml:space="preserve"> has committed to move towards a low-carbon economy. Many countries are now implementing policies for low-carbon transport, including vehicle standards, often in combination with measures to improve air quality. These developments represent an opportunity </w:t>
      </w:r>
      <w:r>
        <w:rPr>
          <w:bCs/>
          <w:noProof/>
          <w:lang w:val="en"/>
        </w:rPr>
        <w:t>for the EU automotive sector to continue to innovate and adapt in order to ensure it remains a technological leader.</w:t>
      </w:r>
    </w:p>
    <w:p w:rsidR="001A26B0" w:rsidRDefault="00E33A99">
      <w:pPr>
        <w:spacing w:after="120"/>
        <w:rPr>
          <w:bCs/>
          <w:noProof/>
        </w:rPr>
      </w:pPr>
      <w:r>
        <w:rPr>
          <w:bCs/>
          <w:noProof/>
          <w:szCs w:val="24"/>
          <w:lang w:val="en"/>
        </w:rPr>
        <w:t>The EU 2030 framework for climate and energy</w:t>
      </w:r>
      <w:r>
        <w:rPr>
          <w:noProof/>
          <w:lang w:eastAsia="en-GB"/>
        </w:rPr>
        <w:t xml:space="preserve"> includes a target of an at least 40% cut in domestic EU greenhouse gas (GHG) emissions compare</w:t>
      </w:r>
      <w:r>
        <w:rPr>
          <w:noProof/>
          <w:lang w:eastAsia="en-GB"/>
        </w:rPr>
        <w:t>d to 1990 levels.</w:t>
      </w:r>
      <w:r>
        <w:rPr>
          <w:bCs/>
          <w:noProof/>
          <w:szCs w:val="24"/>
          <w:lang w:val="en"/>
        </w:rPr>
        <w:t xml:space="preserve"> </w:t>
      </w:r>
      <w:r>
        <w:rPr>
          <w:noProof/>
          <w:szCs w:val="24"/>
        </w:rPr>
        <w:t xml:space="preserve">The emission reductions in the </w:t>
      </w:r>
      <w:r>
        <w:rPr>
          <w:noProof/>
        </w:rPr>
        <w:t>Emissions Trading System (</w:t>
      </w:r>
      <w:r>
        <w:rPr>
          <w:noProof/>
          <w:szCs w:val="24"/>
        </w:rPr>
        <w:t xml:space="preserve">ETS) and non-ETS sectors amount to at least 43% and 30% by 2030 compared to 2005, respectively. The Commission has recently proposed 2030 </w:t>
      </w:r>
      <w:r>
        <w:rPr>
          <w:noProof/>
        </w:rPr>
        <w:t>GHG emission reduction targets for Member S</w:t>
      </w:r>
      <w:r>
        <w:rPr>
          <w:noProof/>
        </w:rPr>
        <w:t>tates under the Effort Sharing Regulation</w:t>
      </w:r>
      <w:r>
        <w:rPr>
          <w:rStyle w:val="FootnoteReference"/>
          <w:noProof/>
        </w:rPr>
        <w:footnoteReference w:id="4"/>
      </w:r>
      <w:r>
        <w:rPr>
          <w:noProof/>
        </w:rPr>
        <w:t xml:space="preserve"> (covering the non-ETS sectors, including road transport) as well as a revised Energy Efficiency Directive</w:t>
      </w:r>
      <w:r>
        <w:rPr>
          <w:rStyle w:val="FootnoteReference"/>
          <w:noProof/>
        </w:rPr>
        <w:footnoteReference w:id="5"/>
      </w:r>
      <w:r>
        <w:rPr>
          <w:noProof/>
        </w:rPr>
        <w:t>. CO</w:t>
      </w:r>
      <w:r>
        <w:rPr>
          <w:noProof/>
          <w:vertAlign w:val="subscript"/>
        </w:rPr>
        <w:t>2</w:t>
      </w:r>
      <w:r>
        <w:rPr>
          <w:noProof/>
        </w:rPr>
        <w:t xml:space="preserve"> standards for light-duty vehicles will help to meet the overall goals set out therein.</w:t>
      </w:r>
    </w:p>
    <w:p w:rsidR="001A26B0" w:rsidRDefault="00E33A99">
      <w:pPr>
        <w:pStyle w:val="ListBullet"/>
        <w:numPr>
          <w:ilvl w:val="0"/>
          <w:numId w:val="0"/>
        </w:numPr>
        <w:spacing w:after="120"/>
        <w:rPr>
          <w:bCs/>
          <w:noProof/>
          <w:lang w:val="en"/>
        </w:rPr>
      </w:pPr>
      <w:r>
        <w:rPr>
          <w:bCs/>
          <w:noProof/>
          <w:lang w:val="en"/>
        </w:rPr>
        <w:t>In addition to</w:t>
      </w:r>
      <w:r>
        <w:rPr>
          <w:bCs/>
          <w:noProof/>
          <w:lang w:val="en"/>
        </w:rPr>
        <w:t xml:space="preserve"> that, daily experience on traffic jams, the crisis over diesel cars emissions and the adoption of policy measures at local level to discorage car use in urban areas, have contributed to making EU consumers more aware of the impact of road transport on hea</w:t>
      </w:r>
      <w:r>
        <w:rPr>
          <w:bCs/>
          <w:noProof/>
          <w:lang w:val="en"/>
        </w:rPr>
        <w:t>lth and air quality.</w:t>
      </w:r>
    </w:p>
    <w:p w:rsidR="001A26B0" w:rsidRDefault="00E33A99">
      <w:pPr>
        <w:pStyle w:val="ListBullet"/>
        <w:numPr>
          <w:ilvl w:val="0"/>
          <w:numId w:val="0"/>
        </w:numPr>
        <w:spacing w:after="120"/>
        <w:rPr>
          <w:bCs/>
          <w:noProof/>
          <w:lang w:val="en"/>
        </w:rPr>
      </w:pPr>
      <w:r>
        <w:rPr>
          <w:b/>
          <w:bCs/>
          <w:noProof/>
          <w:lang w:val="en"/>
        </w:rPr>
        <w:t>These developments take place globally</w:t>
      </w:r>
      <w:r>
        <w:rPr>
          <w:bCs/>
          <w:noProof/>
          <w:lang w:val="en"/>
        </w:rPr>
        <w:t xml:space="preserve"> since nowadays automotive industries are increasingly integrated in global value chains. Global automotive markets are expanding faster than ever before, notably in emerging markets such as India </w:t>
      </w:r>
      <w:r>
        <w:rPr>
          <w:bCs/>
          <w:noProof/>
          <w:lang w:val="en"/>
        </w:rPr>
        <w:t>and China. The latter, in particular, is taking full advantage of the changing automotive landscape and according to a recent report by the International International Energy Agency , in 2016 it became the country with the highest share of electric vehicle</w:t>
      </w:r>
      <w:r>
        <w:rPr>
          <w:bCs/>
          <w:noProof/>
          <w:lang w:val="en"/>
        </w:rPr>
        <w:t xml:space="preserve">s. </w:t>
      </w:r>
    </w:p>
    <w:p w:rsidR="001A26B0" w:rsidRDefault="00E33A99">
      <w:pPr>
        <w:pStyle w:val="ListBullet"/>
        <w:numPr>
          <w:ilvl w:val="0"/>
          <w:numId w:val="0"/>
        </w:numPr>
        <w:spacing w:after="120"/>
        <w:rPr>
          <w:bCs/>
          <w:noProof/>
          <w:lang w:val="en"/>
        </w:rPr>
      </w:pPr>
      <w:r>
        <w:rPr>
          <w:bCs/>
          <w:noProof/>
          <w:lang w:val="en"/>
        </w:rPr>
        <w:t>In addition, EU sales of passenger cars relative to global sales have decreased from 34% before the crisis (2008/2009) to 20% today. This means that EU industry will have to consider not only increasing exporting volumes but also adapting to changing d</w:t>
      </w:r>
      <w:r>
        <w:rPr>
          <w:bCs/>
          <w:noProof/>
          <w:lang w:val="en"/>
        </w:rPr>
        <w:t xml:space="preserve">emands which will require more focus on innovation to retain competitiveness. </w:t>
      </w:r>
    </w:p>
    <w:p w:rsidR="001A26B0" w:rsidRDefault="00E33A99">
      <w:pPr>
        <w:pStyle w:val="ListBullet"/>
        <w:numPr>
          <w:ilvl w:val="0"/>
          <w:numId w:val="0"/>
        </w:numPr>
        <w:spacing w:after="120"/>
        <w:rPr>
          <w:b/>
          <w:bCs/>
          <w:noProof/>
          <w:lang w:val="en"/>
        </w:rPr>
      </w:pPr>
      <w:r>
        <w:rPr>
          <w:bCs/>
          <w:noProof/>
          <w:lang w:val="en"/>
        </w:rPr>
        <w:t xml:space="preserve">Until now, the ambitious emission reduction standards in place in Europe have represented a fundamental tool to push for innovation and investments in low carbon technologies.  </w:t>
      </w:r>
      <w:r>
        <w:rPr>
          <w:b/>
          <w:bCs/>
          <w:noProof/>
          <w:lang w:val="en"/>
        </w:rPr>
        <w:t xml:space="preserve">But today, the EU is no longer the clear leader in this race, with the US, Japan, South Korea and China moving ahead very quickly. </w:t>
      </w:r>
    </w:p>
    <w:p w:rsidR="001A26B0" w:rsidRDefault="00E33A99">
      <w:pPr>
        <w:pStyle w:val="ListBullet"/>
        <w:numPr>
          <w:ilvl w:val="0"/>
          <w:numId w:val="0"/>
        </w:numPr>
        <w:spacing w:after="120"/>
        <w:rPr>
          <w:bCs/>
          <w:noProof/>
          <w:lang w:val="en"/>
        </w:rPr>
      </w:pPr>
      <w:r>
        <w:rPr>
          <w:bCs/>
          <w:noProof/>
          <w:lang w:val="en"/>
        </w:rPr>
        <w:t xml:space="preserve">As highlighted in the recently adopted </w:t>
      </w:r>
      <w:r>
        <w:rPr>
          <w:b/>
          <w:bCs/>
          <w:noProof/>
          <w:lang w:val="en"/>
        </w:rPr>
        <w:t>Renewed Industrial Policy Strategy</w:t>
      </w:r>
      <w:r>
        <w:rPr>
          <w:rStyle w:val="FootnoteReference"/>
          <w:bCs/>
          <w:noProof/>
          <w:lang w:val="en"/>
        </w:rPr>
        <w:footnoteReference w:id="6"/>
      </w:r>
      <w:r>
        <w:rPr>
          <w:bCs/>
          <w:noProof/>
          <w:lang w:val="en"/>
        </w:rPr>
        <w:t>,</w:t>
      </w:r>
      <w:r>
        <w:rPr>
          <w:i/>
          <w:iCs/>
          <w:noProof/>
        </w:rPr>
        <w:t xml:space="preserve"> </w:t>
      </w:r>
      <w:r>
        <w:rPr>
          <w:iCs/>
          <w:noProof/>
        </w:rPr>
        <w:t xml:space="preserve">a modern and competitive automotive industry is </w:t>
      </w:r>
      <w:r>
        <w:rPr>
          <w:iCs/>
          <w:noProof/>
        </w:rPr>
        <w:t>key for the EU economy. However, for the sector to maintain its technological leadership and thrive in global markets, it will have to accelerate the transition towards more sustainable technologies and new business models. Only this will ensure that Europ</w:t>
      </w:r>
      <w:r>
        <w:rPr>
          <w:iCs/>
          <w:noProof/>
        </w:rPr>
        <w:t>e will have the most competitive, innovative and sustainable industry of the 2030 and beyond.</w:t>
      </w:r>
    </w:p>
    <w:p w:rsidR="001A26B0" w:rsidRDefault="00E33A99">
      <w:pPr>
        <w:pStyle w:val="ListBullet"/>
        <w:numPr>
          <w:ilvl w:val="0"/>
          <w:numId w:val="0"/>
        </w:numPr>
        <w:spacing w:after="120"/>
        <w:rPr>
          <w:bCs/>
          <w:noProof/>
          <w:lang w:val="en"/>
        </w:rPr>
      </w:pPr>
      <w:r>
        <w:rPr>
          <w:bCs/>
          <w:noProof/>
          <w:lang w:val="en"/>
        </w:rPr>
        <w:t xml:space="preserve">The Commission's Communication </w:t>
      </w:r>
      <w:r>
        <w:rPr>
          <w:b/>
          <w:bCs/>
          <w:noProof/>
          <w:lang w:val="en"/>
        </w:rPr>
        <w:t>'Europe on the Move</w:t>
      </w:r>
      <w:r>
        <w:rPr>
          <w:bCs/>
          <w:noProof/>
          <w:lang w:val="en"/>
        </w:rPr>
        <w:t>:</w:t>
      </w:r>
      <w:r>
        <w:rPr>
          <w:b/>
          <w:bCs/>
          <w:noProof/>
          <w:lang w:val="en"/>
        </w:rPr>
        <w:t xml:space="preserve"> An agenda for a socially fair transition towards clean, competitive and connected mobility for all'</w:t>
      </w:r>
      <w:r>
        <w:rPr>
          <w:rStyle w:val="FootnoteReference"/>
          <w:bCs/>
          <w:noProof/>
          <w:lang w:val="en"/>
        </w:rPr>
        <w:footnoteReference w:id="7"/>
      </w:r>
      <w:r>
        <w:rPr>
          <w:bCs/>
          <w:noProof/>
          <w:lang w:val="en"/>
        </w:rPr>
        <w:t xml:space="preserve"> makes clear that we want </w:t>
      </w:r>
      <w:r>
        <w:rPr>
          <w:bCs/>
          <w:noProof/>
        </w:rPr>
        <w:t xml:space="preserve">to make sure that the best low-emission, connected and automated mobility solutions, equipment and vehicles will be developed, offered and manufactured in Europe and that we have in place the most modern infrastructure to support </w:t>
      </w:r>
      <w:r>
        <w:rPr>
          <w:bCs/>
          <w:noProof/>
        </w:rPr>
        <w:t>them. The Communication identifies that profound changes in how we enjoy mobility are underway and that the EU must be a leader in shaping this change at a global level, building on the key progress already made.</w:t>
      </w:r>
    </w:p>
    <w:p w:rsidR="001A26B0" w:rsidRDefault="00E33A99">
      <w:pPr>
        <w:pStyle w:val="ListBullet"/>
        <w:numPr>
          <w:ilvl w:val="0"/>
          <w:numId w:val="0"/>
        </w:numPr>
        <w:spacing w:after="120"/>
        <w:rPr>
          <w:noProof/>
        </w:rPr>
      </w:pPr>
      <w:r>
        <w:rPr>
          <w:noProof/>
          <w:szCs w:val="24"/>
        </w:rPr>
        <w:t>T</w:t>
      </w:r>
      <w:r>
        <w:rPr>
          <w:noProof/>
        </w:rPr>
        <w:t>his Communication builds on the earlier Co</w:t>
      </w:r>
      <w:r>
        <w:rPr>
          <w:noProof/>
        </w:rPr>
        <w:t>mmission's European Strategy for Low-Emission mobility</w:t>
      </w:r>
      <w:r>
        <w:rPr>
          <w:rStyle w:val="FootnoteReference"/>
          <w:noProof/>
        </w:rPr>
        <w:footnoteReference w:id="8"/>
      </w:r>
      <w:r>
        <w:rPr>
          <w:noProof/>
        </w:rPr>
        <w:t xml:space="preserve">, published in July 2016, which set out an overall vision built on three pillars: (i) moving towards zero-emission vehicles; (ii) low emission alternative energy for transport; (iii) efficiency of the </w:t>
      </w:r>
      <w:r>
        <w:rPr>
          <w:noProof/>
        </w:rPr>
        <w:t>transport system.</w:t>
      </w:r>
    </w:p>
    <w:p w:rsidR="001A26B0" w:rsidRDefault="00E33A99">
      <w:pPr>
        <w:pStyle w:val="ListBullet"/>
        <w:numPr>
          <w:ilvl w:val="0"/>
          <w:numId w:val="0"/>
        </w:numPr>
        <w:spacing w:after="120"/>
        <w:rPr>
          <w:noProof/>
        </w:rPr>
      </w:pPr>
      <w:r>
        <w:rPr>
          <w:noProof/>
        </w:rPr>
        <w:t xml:space="preserve">The figure below presents an overview of the interlinkages between the various initiatives of the mobility package proposed by the Commission as well as other related EU climate, energy and transport related initiatives. </w:t>
      </w:r>
    </w:p>
    <w:p w:rsidR="001A26B0" w:rsidRDefault="00E33A99">
      <w:pPr>
        <w:pStyle w:val="ListBullet"/>
        <w:numPr>
          <w:ilvl w:val="0"/>
          <w:numId w:val="0"/>
        </w:numPr>
        <w:spacing w:after="120"/>
        <w:rPr>
          <w:noProof/>
        </w:rPr>
      </w:pPr>
      <w:r>
        <w:rPr>
          <w:noProof/>
        </w:rPr>
        <w:t xml:space="preserve">By pursuing an </w:t>
      </w:r>
      <w:r>
        <w:rPr>
          <w:b/>
          <w:noProof/>
        </w:rPr>
        <w:t>i</w:t>
      </w:r>
      <w:r>
        <w:rPr>
          <w:b/>
          <w:noProof/>
        </w:rPr>
        <w:t>ntegrated approach</w:t>
      </w:r>
      <w:r>
        <w:rPr>
          <w:noProof/>
        </w:rPr>
        <w:t xml:space="preserve"> looking both at the </w:t>
      </w:r>
      <w:r>
        <w:rPr>
          <w:b/>
          <w:noProof/>
        </w:rPr>
        <w:t>demand and supply</w:t>
      </w:r>
      <w:r>
        <w:rPr>
          <w:noProof/>
        </w:rPr>
        <w:t xml:space="preserve"> </w:t>
      </w:r>
      <w:r>
        <w:rPr>
          <w:b/>
          <w:noProof/>
        </w:rPr>
        <w:t>side</w:t>
      </w:r>
      <w:r>
        <w:rPr>
          <w:noProof/>
        </w:rPr>
        <w:t xml:space="preserve"> and by establishing an enabling environment and a clear vision and robust regulatory framework, the EU can create an environment that provides EU industry with the certainty and clarity needed t</w:t>
      </w:r>
      <w:r>
        <w:rPr>
          <w:noProof/>
        </w:rPr>
        <w:t xml:space="preserve">o innovate and remain competitive for the future. </w:t>
      </w:r>
    </w:p>
    <w:p w:rsidR="001A26B0" w:rsidRDefault="00E33A99">
      <w:pPr>
        <w:rPr>
          <w:noProof/>
        </w:rPr>
        <w:sectPr w:rsidR="001A26B0">
          <w:headerReference w:type="even" r:id="rId16"/>
          <w:headerReference w:type="default" r:id="rId17"/>
          <w:footerReference w:type="even" r:id="rId18"/>
          <w:footerReference w:type="default" r:id="rId19"/>
          <w:headerReference w:type="first" r:id="rId20"/>
          <w:footerReference w:type="first" r:id="rId21"/>
          <w:pgSz w:w="11906" w:h="16838"/>
          <w:pgMar w:top="1020" w:right="1706" w:bottom="1020" w:left="1587" w:header="601" w:footer="1077" w:gutter="0"/>
          <w:pgNumType w:start="2"/>
          <w:cols w:space="720"/>
          <w:docGrid w:linePitch="326"/>
        </w:sectPr>
      </w:pPr>
      <w:r>
        <w:rPr>
          <w:noProof/>
        </w:rPr>
        <w:br w:type="page"/>
      </w:r>
    </w:p>
    <w:p w:rsidR="001A26B0" w:rsidRDefault="00E33A99">
      <w:pPr>
        <w:pStyle w:val="Caption"/>
        <w:rPr>
          <w:noProof/>
        </w:rPr>
      </w:pPr>
      <w:bookmarkStart w:id="18" w:name="_Toc496688547"/>
      <w:r>
        <w:rPr>
          <w:noProof/>
        </w:rP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Pr>
          <w:noProof/>
        </w:rPr>
        <w:t>: Overview of interlinkages between this initiative and other climate, energy and transport related ini</w:t>
      </w:r>
      <w:r>
        <w:rPr>
          <w:noProof/>
        </w:rPr>
        <w:t>tiatives at EU level</w:t>
      </w:r>
      <w:bookmarkEnd w:id="18"/>
    </w:p>
    <w:p w:rsidR="001A26B0" w:rsidRDefault="00E33A99">
      <w:pPr>
        <w:jc w:val="center"/>
        <w:rPr>
          <w:noProof/>
        </w:rPr>
        <w:sectPr w:rsidR="001A26B0">
          <w:headerReference w:type="even" r:id="rId22"/>
          <w:headerReference w:type="default" r:id="rId23"/>
          <w:footerReference w:type="even" r:id="rId24"/>
          <w:footerReference w:type="default" r:id="rId25"/>
          <w:headerReference w:type="first" r:id="rId26"/>
          <w:footerReference w:type="first" r:id="rId27"/>
          <w:pgSz w:w="16838" w:h="11906" w:orient="landscape"/>
          <w:pgMar w:top="1587" w:right="1020" w:bottom="1706" w:left="1020" w:header="601" w:footer="1077" w:gutter="0"/>
          <w:cols w:space="720"/>
          <w:docGrid w:linePitch="326"/>
        </w:sectPr>
      </w:pPr>
      <w:r>
        <w:rPr>
          <w:noProof/>
          <w:lang w:eastAsia="en-GB"/>
        </w:rPr>
        <w:drawing>
          <wp:inline distT="0" distB="0" distL="0" distR="0">
            <wp:extent cx="7391400" cy="5185832"/>
            <wp:effectExtent l="0" t="0" r="0" b="0"/>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91400" cy="5185832"/>
                    </a:xfrm>
                    <a:prstGeom prst="rect">
                      <a:avLst/>
                    </a:prstGeom>
                    <a:noFill/>
                  </pic:spPr>
                </pic:pic>
              </a:graphicData>
            </a:graphic>
          </wp:inline>
        </w:drawing>
      </w:r>
    </w:p>
    <w:p w:rsidR="001A26B0" w:rsidRDefault="00E33A99">
      <w:pPr>
        <w:spacing w:after="120"/>
        <w:rPr>
          <w:noProof/>
        </w:rPr>
      </w:pPr>
      <w:r>
        <w:rPr>
          <w:bCs/>
          <w:noProof/>
          <w:lang w:val="en"/>
        </w:rPr>
        <w:t xml:space="preserve">This builds on policies proposed or already implemented at national, regional and city level in the EU. </w:t>
      </w:r>
      <w:r>
        <w:rPr>
          <w:noProof/>
        </w:rPr>
        <w:t xml:space="preserve">Many Member States have set objectives to increase the share of </w:t>
      </w:r>
      <w:r>
        <w:rPr>
          <w:noProof/>
        </w:rPr>
        <w:t>zero and low emission vehicles, including both battery electric vehicles and plug-in hybrids</w:t>
      </w:r>
      <w:r>
        <w:rPr>
          <w:noProof/>
          <w:u w:val="single"/>
        </w:rPr>
        <w:t>,</w:t>
      </w:r>
      <w:r>
        <w:rPr>
          <w:noProof/>
        </w:rPr>
        <w:t xml:space="preserve"> by 2020</w:t>
      </w:r>
      <w:r>
        <w:rPr>
          <w:rStyle w:val="FootnoteReference"/>
          <w:noProof/>
        </w:rPr>
        <w:footnoteReference w:id="9"/>
      </w:r>
      <w:r>
        <w:rPr>
          <w:noProof/>
        </w:rPr>
        <w:t xml:space="preserve">. </w:t>
      </w:r>
    </w:p>
    <w:p w:rsidR="001A26B0" w:rsidRDefault="00E33A99">
      <w:pPr>
        <w:spacing w:after="120"/>
        <w:rPr>
          <w:noProof/>
        </w:rPr>
      </w:pPr>
      <w:r>
        <w:rPr>
          <w:noProof/>
        </w:rPr>
        <w:t xml:space="preserve">However, while some </w:t>
      </w:r>
      <w:r>
        <w:rPr>
          <w:b/>
          <w:noProof/>
        </w:rPr>
        <w:t>Member States</w:t>
      </w:r>
      <w:r>
        <w:rPr>
          <w:noProof/>
        </w:rPr>
        <w:t xml:space="preserve"> have made good progress in achieving their objectives, the majority of Member States has made rather slow progress</w:t>
      </w:r>
      <w:r>
        <w:rPr>
          <w:rStyle w:val="FootnoteReference"/>
          <w:noProof/>
        </w:rPr>
        <w:footnoteReference w:id="10"/>
      </w:r>
      <w:r>
        <w:rPr>
          <w:noProof/>
        </w:rPr>
        <w:t xml:space="preserve">. </w:t>
      </w:r>
      <w:r>
        <w:rPr>
          <w:noProof/>
        </w:rPr>
        <w:t>Even if the objectives were to be reached, the share of electric vehicles would remain low in the EU in relation to total vehicle registrations. Furthermore, three Member States, representing 35% of total new car registrations in the EU in 2016, have annou</w:t>
      </w:r>
      <w:r>
        <w:rPr>
          <w:noProof/>
        </w:rPr>
        <w:t>nced plans to phase out CO</w:t>
      </w:r>
      <w:r>
        <w:rPr>
          <w:noProof/>
          <w:vertAlign w:val="subscript"/>
        </w:rPr>
        <w:t>2</w:t>
      </w:r>
      <w:r>
        <w:rPr>
          <w:noProof/>
        </w:rPr>
        <w:t xml:space="preserve"> emitting cars (see </w:t>
      </w:r>
      <w:r>
        <w:rPr>
          <w:noProof/>
        </w:rPr>
        <w:fldChar w:fldCharType="begin"/>
      </w:r>
      <w:r>
        <w:rPr>
          <w:noProof/>
        </w:rPr>
        <w:instrText xml:space="preserve"> REF _Ref495680911 \h  \* MERGEFORMAT </w:instrText>
      </w:r>
      <w:r>
        <w:rPr>
          <w:noProof/>
        </w:rPr>
      </w:r>
      <w:r>
        <w:rPr>
          <w:noProof/>
        </w:rPr>
        <w:fldChar w:fldCharType="separate"/>
      </w:r>
      <w:r>
        <w:rPr>
          <w:noProof/>
        </w:rPr>
        <w:t>Table 1</w:t>
      </w:r>
      <w:r>
        <w:rPr>
          <w:noProof/>
        </w:rPr>
        <w:fldChar w:fldCharType="end"/>
      </w:r>
      <w:r>
        <w:rPr>
          <w:noProof/>
        </w:rPr>
        <w:t xml:space="preserve">). </w:t>
      </w:r>
    </w:p>
    <w:p w:rsidR="001A26B0" w:rsidRDefault="00E33A99">
      <w:pPr>
        <w:spacing w:after="120"/>
        <w:rPr>
          <w:noProof/>
        </w:rPr>
      </w:pPr>
      <w:r>
        <w:rPr>
          <w:noProof/>
        </w:rPr>
        <w:t xml:space="preserve">At the same time, many </w:t>
      </w:r>
      <w:r>
        <w:rPr>
          <w:b/>
          <w:noProof/>
        </w:rPr>
        <w:t>cities</w:t>
      </w:r>
      <w:r>
        <w:rPr>
          <w:noProof/>
        </w:rPr>
        <w:t xml:space="preserve"> in the EU have implemented regulations which limit the access </w:t>
      </w:r>
      <w:r>
        <w:rPr>
          <w:noProof/>
        </w:rPr>
        <w:t>of certain vehicles to urban areas. Most restrictions are within the scope of so-called Low Emission Zones which either limit the city entry of the most polluting vehicles or, in some cases, impose higher fees for such vehicles if they enter the zone. Rece</w:t>
      </w:r>
      <w:r>
        <w:rPr>
          <w:noProof/>
        </w:rPr>
        <w:t xml:space="preserve">ntly some cities have even announced plans to ban diesel and/or petrol cars (see </w:t>
      </w:r>
      <w:r>
        <w:rPr>
          <w:noProof/>
        </w:rPr>
        <w:fldChar w:fldCharType="begin"/>
      </w:r>
      <w:r>
        <w:rPr>
          <w:noProof/>
        </w:rPr>
        <w:instrText xml:space="preserve"> REF _Ref495680911 \h  \* MERGEFORMAT </w:instrText>
      </w:r>
      <w:r>
        <w:rPr>
          <w:noProof/>
        </w:rPr>
      </w:r>
      <w:r>
        <w:rPr>
          <w:noProof/>
        </w:rPr>
        <w:fldChar w:fldCharType="separate"/>
      </w:r>
      <w:r>
        <w:rPr>
          <w:noProof/>
        </w:rPr>
        <w:t>Table 1</w:t>
      </w:r>
      <w:r>
        <w:rPr>
          <w:noProof/>
        </w:rPr>
        <w:fldChar w:fldCharType="end"/>
      </w:r>
      <w:r>
        <w:rPr>
          <w:noProof/>
        </w:rPr>
        <w:t xml:space="preserve">). </w:t>
      </w:r>
    </w:p>
    <w:p w:rsidR="001A26B0" w:rsidRDefault="00E33A99">
      <w:pPr>
        <w:pStyle w:val="Caption"/>
        <w:rPr>
          <w:noProof/>
        </w:rPr>
      </w:pPr>
      <w:bookmarkStart w:id="19" w:name="_Ref495680911"/>
      <w:r>
        <w:rPr>
          <w:noProof/>
        </w:rP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9"/>
      <w:r>
        <w:rPr>
          <w:noProof/>
        </w:rPr>
        <w:t>: Overview of announcements</w:t>
      </w:r>
      <w:r>
        <w:rPr>
          <w:noProof/>
        </w:rPr>
        <w:t xml:space="preserve"> at national and city level to encourage the use of zero- and low-emission vehicles</w:t>
      </w:r>
    </w:p>
    <w:tbl>
      <w:tblPr>
        <w:tblStyle w:val="TableGrid"/>
        <w:tblW w:w="0" w:type="auto"/>
        <w:tblLook w:val="04A0" w:firstRow="1" w:lastRow="0" w:firstColumn="1" w:lastColumn="0" w:noHBand="0" w:noVBand="1"/>
      </w:tblPr>
      <w:tblGrid>
        <w:gridCol w:w="2868"/>
        <w:gridCol w:w="5961"/>
      </w:tblGrid>
      <w:tr w:rsidR="001A26B0">
        <w:tc>
          <w:tcPr>
            <w:tcW w:w="2868" w:type="dxa"/>
          </w:tcPr>
          <w:p w:rsidR="001A26B0" w:rsidRDefault="00E33A99">
            <w:pPr>
              <w:spacing w:after="120"/>
              <w:jc w:val="center"/>
              <w:rPr>
                <w:b/>
                <w:noProof/>
              </w:rPr>
            </w:pPr>
            <w:r>
              <w:rPr>
                <w:b/>
                <w:noProof/>
              </w:rPr>
              <w:t>Geographical coverage</w:t>
            </w:r>
          </w:p>
        </w:tc>
        <w:tc>
          <w:tcPr>
            <w:tcW w:w="5961" w:type="dxa"/>
          </w:tcPr>
          <w:p w:rsidR="001A26B0" w:rsidRDefault="00E33A99">
            <w:pPr>
              <w:spacing w:after="120"/>
              <w:jc w:val="center"/>
              <w:rPr>
                <w:b/>
                <w:noProof/>
              </w:rPr>
            </w:pPr>
            <w:r>
              <w:rPr>
                <w:b/>
                <w:noProof/>
              </w:rPr>
              <w:t>Announcements</w:t>
            </w:r>
          </w:p>
        </w:tc>
      </w:tr>
      <w:tr w:rsidR="001A26B0">
        <w:tc>
          <w:tcPr>
            <w:tcW w:w="8829" w:type="dxa"/>
            <w:gridSpan w:val="2"/>
          </w:tcPr>
          <w:p w:rsidR="001A26B0" w:rsidRDefault="00E33A99">
            <w:pPr>
              <w:spacing w:before="120" w:after="120"/>
              <w:jc w:val="center"/>
              <w:rPr>
                <w:b/>
                <w:i/>
                <w:noProof/>
              </w:rPr>
            </w:pPr>
            <w:r>
              <w:rPr>
                <w:b/>
                <w:i/>
                <w:noProof/>
              </w:rPr>
              <w:t>Member States</w:t>
            </w:r>
          </w:p>
        </w:tc>
      </w:tr>
      <w:tr w:rsidR="001A26B0">
        <w:tc>
          <w:tcPr>
            <w:tcW w:w="2868" w:type="dxa"/>
          </w:tcPr>
          <w:p w:rsidR="001A26B0" w:rsidRDefault="00E33A99">
            <w:pPr>
              <w:spacing w:after="120"/>
              <w:rPr>
                <w:noProof/>
              </w:rPr>
            </w:pPr>
            <w:r>
              <w:rPr>
                <w:noProof/>
              </w:rPr>
              <w:t>France</w:t>
            </w:r>
          </w:p>
        </w:tc>
        <w:tc>
          <w:tcPr>
            <w:tcW w:w="5961" w:type="dxa"/>
          </w:tcPr>
          <w:p w:rsidR="001A26B0" w:rsidRDefault="00E33A99">
            <w:pPr>
              <w:spacing w:after="120"/>
              <w:rPr>
                <w:noProof/>
              </w:rPr>
            </w:pPr>
            <w:r>
              <w:rPr>
                <w:noProof/>
              </w:rPr>
              <w:t>End the sale of new CO</w:t>
            </w:r>
            <w:r>
              <w:rPr>
                <w:noProof/>
                <w:vertAlign w:val="subscript"/>
              </w:rPr>
              <w:t>2</w:t>
            </w:r>
            <w:r>
              <w:rPr>
                <w:noProof/>
              </w:rPr>
              <w:t xml:space="preserve"> emitting cars by 2040</w:t>
            </w:r>
            <w:r>
              <w:rPr>
                <w:rStyle w:val="FootnoteReference"/>
                <w:noProof/>
              </w:rPr>
              <w:footnoteReference w:id="11"/>
            </w:r>
          </w:p>
        </w:tc>
      </w:tr>
      <w:tr w:rsidR="001A26B0">
        <w:tc>
          <w:tcPr>
            <w:tcW w:w="2868" w:type="dxa"/>
          </w:tcPr>
          <w:p w:rsidR="001A26B0" w:rsidRDefault="00E33A99">
            <w:pPr>
              <w:spacing w:after="120"/>
              <w:rPr>
                <w:noProof/>
              </w:rPr>
            </w:pPr>
            <w:r>
              <w:rPr>
                <w:noProof/>
              </w:rPr>
              <w:t>Netherlands</w:t>
            </w:r>
          </w:p>
        </w:tc>
        <w:tc>
          <w:tcPr>
            <w:tcW w:w="5961" w:type="dxa"/>
          </w:tcPr>
          <w:p w:rsidR="001A26B0" w:rsidRDefault="00E33A99">
            <w:pPr>
              <w:spacing w:after="120"/>
              <w:rPr>
                <w:noProof/>
              </w:rPr>
            </w:pPr>
            <w:r>
              <w:rPr>
                <w:noProof/>
              </w:rPr>
              <w:t>End the sale of new CO</w:t>
            </w:r>
            <w:r>
              <w:rPr>
                <w:noProof/>
                <w:vertAlign w:val="subscript"/>
              </w:rPr>
              <w:t>2</w:t>
            </w:r>
            <w:r>
              <w:rPr>
                <w:noProof/>
              </w:rPr>
              <w:t xml:space="preserve"> emitting cars by 2030</w:t>
            </w:r>
            <w:r>
              <w:rPr>
                <w:rStyle w:val="FootnoteReference"/>
                <w:noProof/>
              </w:rPr>
              <w:footnoteReference w:id="12"/>
            </w:r>
          </w:p>
        </w:tc>
      </w:tr>
      <w:tr w:rsidR="001A26B0">
        <w:tc>
          <w:tcPr>
            <w:tcW w:w="2868" w:type="dxa"/>
          </w:tcPr>
          <w:p w:rsidR="001A26B0" w:rsidRDefault="00E33A99">
            <w:pPr>
              <w:spacing w:after="120"/>
              <w:rPr>
                <w:noProof/>
              </w:rPr>
            </w:pPr>
            <w:r>
              <w:rPr>
                <w:noProof/>
              </w:rPr>
              <w:t>United Kingdom</w:t>
            </w:r>
          </w:p>
        </w:tc>
        <w:tc>
          <w:tcPr>
            <w:tcW w:w="5961" w:type="dxa"/>
          </w:tcPr>
          <w:p w:rsidR="001A26B0" w:rsidRDefault="00E33A99">
            <w:pPr>
              <w:spacing w:after="120"/>
              <w:rPr>
                <w:noProof/>
              </w:rPr>
            </w:pPr>
            <w:r>
              <w:rPr>
                <w:noProof/>
              </w:rPr>
              <w:t>End the sale of all new conventional petrol and diesel cars and vans by 2040</w:t>
            </w:r>
            <w:r>
              <w:rPr>
                <w:rStyle w:val="FootnoteReference"/>
                <w:noProof/>
              </w:rPr>
              <w:footnoteReference w:id="13"/>
            </w:r>
            <w:r>
              <w:rPr>
                <w:noProof/>
              </w:rPr>
              <w:t xml:space="preserve"> </w:t>
            </w:r>
          </w:p>
        </w:tc>
      </w:tr>
      <w:tr w:rsidR="001A26B0">
        <w:tc>
          <w:tcPr>
            <w:tcW w:w="8829" w:type="dxa"/>
            <w:gridSpan w:val="2"/>
          </w:tcPr>
          <w:p w:rsidR="001A26B0" w:rsidRDefault="00E33A99">
            <w:pPr>
              <w:spacing w:before="120" w:after="120"/>
              <w:jc w:val="center"/>
              <w:rPr>
                <w:b/>
                <w:i/>
                <w:noProof/>
              </w:rPr>
            </w:pPr>
            <w:r>
              <w:rPr>
                <w:b/>
                <w:i/>
                <w:noProof/>
              </w:rPr>
              <w:t>Cities</w:t>
            </w:r>
          </w:p>
        </w:tc>
      </w:tr>
      <w:tr w:rsidR="001A26B0">
        <w:tc>
          <w:tcPr>
            <w:tcW w:w="2868" w:type="dxa"/>
          </w:tcPr>
          <w:p w:rsidR="001A26B0" w:rsidRDefault="00E33A99">
            <w:pPr>
              <w:spacing w:after="120"/>
              <w:rPr>
                <w:noProof/>
              </w:rPr>
            </w:pPr>
            <w:r>
              <w:rPr>
                <w:noProof/>
              </w:rPr>
              <w:t>Paris (France)</w:t>
            </w:r>
          </w:p>
        </w:tc>
        <w:tc>
          <w:tcPr>
            <w:tcW w:w="5961" w:type="dxa"/>
          </w:tcPr>
          <w:p w:rsidR="001A26B0" w:rsidRDefault="00E33A99">
            <w:pPr>
              <w:spacing w:after="120"/>
              <w:rPr>
                <w:noProof/>
              </w:rPr>
            </w:pPr>
            <w:r>
              <w:rPr>
                <w:noProof/>
              </w:rPr>
              <w:t>Ban of diesel cars from 2024 and petrol cars from 2030</w:t>
            </w:r>
            <w:r>
              <w:rPr>
                <w:rStyle w:val="FootnoteReference"/>
                <w:noProof/>
              </w:rPr>
              <w:footnoteReference w:id="14"/>
            </w:r>
          </w:p>
        </w:tc>
      </w:tr>
      <w:tr w:rsidR="001A26B0">
        <w:tc>
          <w:tcPr>
            <w:tcW w:w="2868" w:type="dxa"/>
          </w:tcPr>
          <w:p w:rsidR="001A26B0" w:rsidRDefault="00E33A99">
            <w:pPr>
              <w:spacing w:after="120"/>
              <w:jc w:val="left"/>
              <w:rPr>
                <w:noProof/>
              </w:rPr>
            </w:pPr>
            <w:r>
              <w:rPr>
                <w:noProof/>
              </w:rPr>
              <w:t>Madrid (Spain) and Athens (Greece)</w:t>
            </w:r>
          </w:p>
        </w:tc>
        <w:tc>
          <w:tcPr>
            <w:tcW w:w="5961" w:type="dxa"/>
          </w:tcPr>
          <w:p w:rsidR="001A26B0" w:rsidRDefault="00E33A99">
            <w:pPr>
              <w:spacing w:after="120"/>
              <w:rPr>
                <w:noProof/>
              </w:rPr>
            </w:pPr>
            <w:r>
              <w:rPr>
                <w:noProof/>
              </w:rPr>
              <w:t>Ban of diesel cars from 2025</w:t>
            </w:r>
            <w:r>
              <w:rPr>
                <w:rStyle w:val="FootnoteReference"/>
                <w:noProof/>
              </w:rPr>
              <w:footnoteReference w:id="15"/>
            </w:r>
          </w:p>
        </w:tc>
      </w:tr>
      <w:tr w:rsidR="001A26B0">
        <w:tc>
          <w:tcPr>
            <w:tcW w:w="2868" w:type="dxa"/>
          </w:tcPr>
          <w:p w:rsidR="001A26B0" w:rsidRDefault="00E33A99">
            <w:pPr>
              <w:spacing w:after="120"/>
              <w:rPr>
                <w:noProof/>
              </w:rPr>
            </w:pPr>
            <w:r>
              <w:rPr>
                <w:noProof/>
              </w:rPr>
              <w:t>Oxford (UK)</w:t>
            </w:r>
          </w:p>
        </w:tc>
        <w:tc>
          <w:tcPr>
            <w:tcW w:w="5961" w:type="dxa"/>
          </w:tcPr>
          <w:p w:rsidR="001A26B0" w:rsidRDefault="00E33A99">
            <w:pPr>
              <w:spacing w:after="120"/>
              <w:rPr>
                <w:noProof/>
              </w:rPr>
            </w:pPr>
            <w:r>
              <w:rPr>
                <w:noProof/>
              </w:rPr>
              <w:t>Ban</w:t>
            </w:r>
            <w:r>
              <w:rPr>
                <w:noProof/>
              </w:rPr>
              <w:t xml:space="preserve"> of all non-electric vehicles in the city centre by 2035</w:t>
            </w:r>
            <w:r>
              <w:rPr>
                <w:rStyle w:val="FootnoteReference"/>
                <w:noProof/>
              </w:rPr>
              <w:footnoteReference w:id="16"/>
            </w:r>
          </w:p>
        </w:tc>
      </w:tr>
    </w:tbl>
    <w:p w:rsidR="001A26B0" w:rsidRDefault="00E33A99">
      <w:pPr>
        <w:spacing w:before="120" w:after="120"/>
        <w:rPr>
          <w:noProof/>
        </w:rPr>
      </w:pPr>
      <w:r>
        <w:rPr>
          <w:noProof/>
        </w:rPr>
        <w:t xml:space="preserve">A policy framework that further stimulates the accelerated uptake of zero- and low-emission vehicles would complement the on-going efforts to address air quality problems and would be well aligned </w:t>
      </w:r>
      <w:r>
        <w:rPr>
          <w:noProof/>
        </w:rPr>
        <w:t>with on-going action at city, regional, and national level. Zero-emission vehicles do not only reduce CO</w:t>
      </w:r>
      <w:r>
        <w:rPr>
          <w:noProof/>
          <w:vertAlign w:val="subscript"/>
        </w:rPr>
        <w:t>2</w:t>
      </w:r>
      <w:r>
        <w:rPr>
          <w:noProof/>
        </w:rPr>
        <w:t xml:space="preserve"> emissions from road transport but deliver also in terms of air pollutant and noise emission free transport.</w:t>
      </w:r>
    </w:p>
    <w:p w:rsidR="001A26B0" w:rsidRDefault="00E33A99">
      <w:pPr>
        <w:pStyle w:val="Heading2"/>
        <w:rPr>
          <w:noProof/>
        </w:rPr>
      </w:pPr>
      <w:bookmarkStart w:id="20" w:name="_Toc496635561"/>
      <w:r>
        <w:rPr>
          <w:noProof/>
        </w:rPr>
        <w:t>Legal context</w:t>
      </w:r>
      <w:bookmarkEnd w:id="15"/>
      <w:bookmarkEnd w:id="16"/>
      <w:bookmarkEnd w:id="20"/>
    </w:p>
    <w:p w:rsidR="001A26B0" w:rsidRDefault="00E33A99">
      <w:pPr>
        <w:pStyle w:val="ListBullet"/>
        <w:numPr>
          <w:ilvl w:val="0"/>
          <w:numId w:val="0"/>
        </w:numPr>
        <w:spacing w:after="120"/>
        <w:rPr>
          <w:noProof/>
          <w:szCs w:val="24"/>
        </w:rPr>
      </w:pPr>
      <w:r>
        <w:rPr>
          <w:noProof/>
          <w:szCs w:val="24"/>
        </w:rPr>
        <w:t xml:space="preserve">The EU has in place two </w:t>
      </w:r>
      <w:r>
        <w:rPr>
          <w:noProof/>
          <w:szCs w:val="24"/>
        </w:rPr>
        <w:t>Regulations setting CO</w:t>
      </w:r>
      <w:r>
        <w:rPr>
          <w:noProof/>
          <w:szCs w:val="24"/>
          <w:vertAlign w:val="subscript"/>
        </w:rPr>
        <w:t>2</w:t>
      </w:r>
      <w:r>
        <w:rPr>
          <w:noProof/>
          <w:szCs w:val="24"/>
        </w:rPr>
        <w:t xml:space="preserve"> targets for new passenger cars and vans, respectively, which are based upon Article 192 of the TFEU (Environment chapter):</w:t>
      </w:r>
    </w:p>
    <w:p w:rsidR="001A26B0" w:rsidRDefault="00E33A99">
      <w:pPr>
        <w:pStyle w:val="ListBullet"/>
        <w:numPr>
          <w:ilvl w:val="0"/>
          <w:numId w:val="25"/>
        </w:numPr>
        <w:spacing w:after="120"/>
        <w:rPr>
          <w:noProof/>
          <w:szCs w:val="24"/>
        </w:rPr>
      </w:pPr>
      <w:r>
        <w:rPr>
          <w:b/>
          <w:noProof/>
          <w:szCs w:val="24"/>
        </w:rPr>
        <w:t xml:space="preserve">Regulation (EC) No 443/2009 </w:t>
      </w:r>
      <w:r>
        <w:rPr>
          <w:noProof/>
          <w:szCs w:val="24"/>
        </w:rPr>
        <w:t>setting a fleet-wide average target for new passenger cars of 130 g CO</w:t>
      </w:r>
      <w:r>
        <w:rPr>
          <w:noProof/>
          <w:szCs w:val="24"/>
          <w:vertAlign w:val="subscript"/>
        </w:rPr>
        <w:t>2</w:t>
      </w:r>
      <w:r>
        <w:rPr>
          <w:noProof/>
          <w:szCs w:val="24"/>
        </w:rPr>
        <w:t>/km from 2</w:t>
      </w:r>
      <w:r>
        <w:rPr>
          <w:noProof/>
          <w:szCs w:val="24"/>
        </w:rPr>
        <w:t>015 and 95g CO</w:t>
      </w:r>
      <w:r>
        <w:rPr>
          <w:noProof/>
          <w:szCs w:val="24"/>
          <w:vertAlign w:val="subscript"/>
        </w:rPr>
        <w:t>2</w:t>
      </w:r>
      <w:r>
        <w:rPr>
          <w:noProof/>
          <w:szCs w:val="24"/>
        </w:rPr>
        <w:t>/km from 2021, and</w:t>
      </w:r>
    </w:p>
    <w:p w:rsidR="001A26B0" w:rsidRDefault="00E33A99">
      <w:pPr>
        <w:pStyle w:val="ListBullet"/>
        <w:numPr>
          <w:ilvl w:val="0"/>
          <w:numId w:val="25"/>
        </w:numPr>
        <w:spacing w:after="120"/>
        <w:rPr>
          <w:noProof/>
          <w:szCs w:val="24"/>
        </w:rPr>
      </w:pPr>
      <w:r>
        <w:rPr>
          <w:b/>
          <w:noProof/>
          <w:szCs w:val="24"/>
        </w:rPr>
        <w:t>Regulation (EU) No 510/2011</w:t>
      </w:r>
      <w:r>
        <w:rPr>
          <w:noProof/>
          <w:szCs w:val="24"/>
        </w:rPr>
        <w:t xml:space="preserve"> setting a fleet-wide average target for new light commercial vehicles of 175 g CO</w:t>
      </w:r>
      <w:r>
        <w:rPr>
          <w:noProof/>
          <w:szCs w:val="24"/>
          <w:vertAlign w:val="subscript"/>
        </w:rPr>
        <w:t>2</w:t>
      </w:r>
      <w:r>
        <w:rPr>
          <w:noProof/>
          <w:szCs w:val="24"/>
        </w:rPr>
        <w:t>/km from 2017 and 147 gCO</w:t>
      </w:r>
      <w:r>
        <w:rPr>
          <w:noProof/>
          <w:szCs w:val="24"/>
          <w:vertAlign w:val="subscript"/>
        </w:rPr>
        <w:t>2</w:t>
      </w:r>
      <w:r>
        <w:rPr>
          <w:noProof/>
          <w:szCs w:val="24"/>
        </w:rPr>
        <w:t>/km from 2020.</w:t>
      </w:r>
    </w:p>
    <w:p w:rsidR="001A26B0" w:rsidRDefault="00E33A99">
      <w:pPr>
        <w:pStyle w:val="ListBullet"/>
        <w:numPr>
          <w:ilvl w:val="0"/>
          <w:numId w:val="0"/>
        </w:numPr>
        <w:spacing w:after="120"/>
        <w:rPr>
          <w:noProof/>
          <w:szCs w:val="24"/>
        </w:rPr>
      </w:pPr>
      <w:r>
        <w:rPr>
          <w:noProof/>
          <w:szCs w:val="24"/>
        </w:rPr>
        <w:t xml:space="preserve">These regulations have been amended in 2014 through </w:t>
      </w:r>
      <w:r>
        <w:rPr>
          <w:noProof/>
        </w:rPr>
        <w:t xml:space="preserve">Regulation (EU) No </w:t>
      </w:r>
      <w:r>
        <w:rPr>
          <w:noProof/>
        </w:rPr>
        <w:t>333/2014 and Regulation (EU) No 254/2014</w:t>
      </w:r>
      <w:r>
        <w:rPr>
          <w:noProof/>
          <w:szCs w:val="24"/>
        </w:rPr>
        <w:t xml:space="preserve"> in order to define the modalities for implementing the 2020/2021 targets.</w:t>
      </w:r>
    </w:p>
    <w:p w:rsidR="001A26B0" w:rsidRDefault="00E33A99">
      <w:pPr>
        <w:pStyle w:val="ListBullet"/>
        <w:numPr>
          <w:ilvl w:val="0"/>
          <w:numId w:val="0"/>
        </w:numPr>
        <w:spacing w:after="120"/>
        <w:rPr>
          <w:noProof/>
          <w:szCs w:val="24"/>
        </w:rPr>
      </w:pPr>
      <w:r>
        <w:rPr>
          <w:noProof/>
          <w:szCs w:val="24"/>
        </w:rPr>
        <w:t>Both Regulations request the Commission to carry out a review by the end of 2015, and to report on it to the Council and the European Parliam</w:t>
      </w:r>
      <w:r>
        <w:rPr>
          <w:noProof/>
          <w:szCs w:val="24"/>
        </w:rPr>
        <w:t xml:space="preserve">ent, accompanied, if appropriate, by a proposal to amend the Regulations for the period beyond 2020. </w:t>
      </w:r>
    </w:p>
    <w:p w:rsidR="001A26B0" w:rsidRDefault="00E33A99">
      <w:pPr>
        <w:pStyle w:val="ListBullet"/>
        <w:numPr>
          <w:ilvl w:val="0"/>
          <w:numId w:val="0"/>
        </w:numPr>
        <w:spacing w:after="120"/>
        <w:rPr>
          <w:noProof/>
        </w:rPr>
      </w:pPr>
      <w:r>
        <w:rPr>
          <w:noProof/>
          <w:szCs w:val="24"/>
        </w:rPr>
        <w:t>The abovementioned emission targets have been set on the basis of the New European Driving Cycle (NEDC) test cycle. From 1 September 2017 on, a new regula</w:t>
      </w:r>
      <w:r>
        <w:rPr>
          <w:noProof/>
          <w:szCs w:val="24"/>
        </w:rPr>
        <w:t xml:space="preserve">tory test procedure, </w:t>
      </w:r>
      <w:r>
        <w:rPr>
          <w:noProof/>
        </w:rPr>
        <w:t>the World Harmonised Light Vehicles Test Procedure (WLTP)</w:t>
      </w:r>
      <w:r>
        <w:rPr>
          <w:rStyle w:val="FootnoteReference"/>
          <w:noProof/>
        </w:rPr>
        <w:footnoteReference w:id="17"/>
      </w:r>
      <w:r>
        <w:rPr>
          <w:noProof/>
        </w:rPr>
        <w:t xml:space="preserve">, developed in the context of the UNECE, has been introduced under the type approval legislation </w:t>
      </w:r>
      <w:r>
        <w:rPr>
          <w:noProof/>
          <w:szCs w:val="24"/>
        </w:rPr>
        <w:t>for determining the emissions of CO</w:t>
      </w:r>
      <w:r>
        <w:rPr>
          <w:noProof/>
          <w:szCs w:val="24"/>
          <w:vertAlign w:val="subscript"/>
        </w:rPr>
        <w:t>2</w:t>
      </w:r>
      <w:r>
        <w:rPr>
          <w:noProof/>
          <w:szCs w:val="24"/>
        </w:rPr>
        <w:t xml:space="preserve"> and the new targets will need to take this </w:t>
      </w:r>
      <w:r>
        <w:rPr>
          <w:noProof/>
          <w:szCs w:val="24"/>
        </w:rPr>
        <w:t>into account</w:t>
      </w:r>
      <w:r>
        <w:rPr>
          <w:noProof/>
        </w:rPr>
        <w:t>. Furthermore, consumer information on the fuel consumption and CO</w:t>
      </w:r>
      <w:r>
        <w:rPr>
          <w:noProof/>
          <w:vertAlign w:val="subscript"/>
        </w:rPr>
        <w:t>2</w:t>
      </w:r>
      <w:r>
        <w:rPr>
          <w:noProof/>
        </w:rPr>
        <w:t xml:space="preserve"> emission of new passenger cars under Directive 1999/94/EC should be based on WLTP as of 1 January 2019</w:t>
      </w:r>
      <w:r>
        <w:rPr>
          <w:rStyle w:val="FootnoteReference"/>
          <w:noProof/>
        </w:rPr>
        <w:footnoteReference w:id="18"/>
      </w:r>
      <w:r>
        <w:rPr>
          <w:noProof/>
        </w:rPr>
        <w:t>.</w:t>
      </w:r>
    </w:p>
    <w:p w:rsidR="001A26B0" w:rsidRDefault="00E33A99">
      <w:pPr>
        <w:pStyle w:val="Heading2"/>
        <w:rPr>
          <w:noProof/>
        </w:rPr>
      </w:pPr>
      <w:bookmarkStart w:id="21" w:name="_Toc480815610"/>
      <w:bookmarkStart w:id="22" w:name="_Ref493755598"/>
      <w:bookmarkStart w:id="23" w:name="_Toc496635562"/>
      <w:r>
        <w:rPr>
          <w:noProof/>
        </w:rPr>
        <w:t>Evaluation of the implementation</w:t>
      </w:r>
      <w:bookmarkEnd w:id="21"/>
      <w:bookmarkEnd w:id="22"/>
      <w:bookmarkEnd w:id="23"/>
    </w:p>
    <w:p w:rsidR="001A26B0" w:rsidRDefault="00E33A99">
      <w:pPr>
        <w:pStyle w:val="ListBullet"/>
        <w:numPr>
          <w:ilvl w:val="0"/>
          <w:numId w:val="0"/>
        </w:numPr>
        <w:spacing w:after="120"/>
        <w:rPr>
          <w:noProof/>
          <w:szCs w:val="24"/>
        </w:rPr>
      </w:pPr>
      <w:r>
        <w:rPr>
          <w:noProof/>
          <w:szCs w:val="24"/>
        </w:rPr>
        <w:t xml:space="preserve">An extensive evaluation of the </w:t>
      </w:r>
      <w:r>
        <w:rPr>
          <w:noProof/>
          <w:szCs w:val="24"/>
        </w:rPr>
        <w:t>existing Regulations was carried out as part of REFIT. This was completed in April 2015 and the final report of the consultants has been published</w:t>
      </w:r>
      <w:r>
        <w:rPr>
          <w:noProof/>
          <w:szCs w:val="24"/>
          <w:vertAlign w:val="superscript"/>
        </w:rPr>
        <w:footnoteReference w:id="19"/>
      </w:r>
      <w:r>
        <w:rPr>
          <w:noProof/>
          <w:szCs w:val="24"/>
        </w:rPr>
        <w:t>.</w:t>
      </w:r>
    </w:p>
    <w:p w:rsidR="001A26B0" w:rsidRDefault="00E33A99">
      <w:pPr>
        <w:pStyle w:val="ListBullet"/>
        <w:numPr>
          <w:ilvl w:val="0"/>
          <w:numId w:val="0"/>
        </w:numPr>
        <w:spacing w:after="120"/>
        <w:rPr>
          <w:noProof/>
          <w:szCs w:val="24"/>
        </w:rPr>
      </w:pPr>
      <w:r>
        <w:rPr>
          <w:noProof/>
          <w:szCs w:val="24"/>
        </w:rPr>
        <w:t>The evaluation report assessed the Regulations against the objectives set in the original legislation, whic</w:t>
      </w:r>
      <w:r>
        <w:rPr>
          <w:noProof/>
          <w:szCs w:val="24"/>
        </w:rPr>
        <w:t>h included providing for a high level of environmental protection in the EU and contributing to reaching the EU's climate change targets, reducing oil consumption and thus improving the EU’s energy security of supply, fostering innovation and the competiti</w:t>
      </w:r>
      <w:r>
        <w:rPr>
          <w:noProof/>
          <w:szCs w:val="24"/>
        </w:rPr>
        <w:t>veness of the European automotive industry and encouraging research into fuel efficiency technologies.</w:t>
      </w:r>
    </w:p>
    <w:p w:rsidR="001A26B0" w:rsidRDefault="00E33A99">
      <w:pPr>
        <w:pStyle w:val="ListBullet"/>
        <w:numPr>
          <w:ilvl w:val="0"/>
          <w:numId w:val="0"/>
        </w:numPr>
        <w:spacing w:after="120"/>
        <w:rPr>
          <w:noProof/>
          <w:szCs w:val="24"/>
        </w:rPr>
      </w:pPr>
      <w:r>
        <w:rPr>
          <w:noProof/>
          <w:szCs w:val="24"/>
        </w:rPr>
        <w:t>It concluded that the Regulations were still relevant, broadly coherent, and had generated significant emissions savings, while being more cost effective</w:t>
      </w:r>
      <w:r>
        <w:rPr>
          <w:noProof/>
          <w:szCs w:val="24"/>
        </w:rPr>
        <w:t xml:space="preserve"> than originally anticipated for meeting the targets set. They also generated significant EU added value that could not have been achieved to the same extent through national measures. As regards impacts on competitiveness and innovation, the impacts of th</w:t>
      </w:r>
      <w:r>
        <w:rPr>
          <w:noProof/>
          <w:szCs w:val="24"/>
        </w:rPr>
        <w:t>e Regulations were found to be generally positive.</w:t>
      </w:r>
    </w:p>
    <w:p w:rsidR="001A26B0" w:rsidRDefault="00E33A99">
      <w:pPr>
        <w:pStyle w:val="ListBullet"/>
        <w:numPr>
          <w:ilvl w:val="0"/>
          <w:numId w:val="0"/>
        </w:numPr>
        <w:spacing w:after="120"/>
        <w:rPr>
          <w:noProof/>
          <w:szCs w:val="24"/>
        </w:rPr>
      </w:pPr>
      <w:r>
        <w:rPr>
          <w:noProof/>
          <w:szCs w:val="24"/>
        </w:rPr>
        <w:t>Box 1 summarises the key outcomes in relation to the main evaluation criteria.</w:t>
      </w:r>
    </w:p>
    <w:tbl>
      <w:tblPr>
        <w:tblStyle w:val="TableGrid"/>
        <w:tblW w:w="0" w:type="auto"/>
        <w:tblLook w:val="04A0" w:firstRow="1" w:lastRow="0" w:firstColumn="1" w:lastColumn="0" w:noHBand="0" w:noVBand="1"/>
      </w:tblPr>
      <w:tblGrid>
        <w:gridCol w:w="8829"/>
      </w:tblGrid>
      <w:tr w:rsidR="001A26B0">
        <w:trPr>
          <w:trHeight w:val="416"/>
        </w:trPr>
        <w:tc>
          <w:tcPr>
            <w:tcW w:w="9288" w:type="dxa"/>
          </w:tcPr>
          <w:p w:rsidR="001A26B0" w:rsidRDefault="00E33A99">
            <w:pPr>
              <w:spacing w:after="200" w:line="276" w:lineRule="auto"/>
              <w:jc w:val="left"/>
              <w:rPr>
                <w:b/>
                <w:noProof/>
                <w:sz w:val="20"/>
              </w:rPr>
            </w:pPr>
            <w:r>
              <w:rPr>
                <w:b/>
                <w:noProof/>
                <w:sz w:val="20"/>
              </w:rPr>
              <w:t>Box 1: Key conclusions of the report on the evaluation of Regulations (EC) No 443/2009 and (EU) No 510/2011 ('the Regulations'</w:t>
            </w:r>
            <w:r>
              <w:rPr>
                <w:b/>
                <w:noProof/>
                <w:sz w:val="20"/>
              </w:rPr>
              <w:t>)</w:t>
            </w:r>
          </w:p>
          <w:p w:rsidR="001A26B0" w:rsidRDefault="00E33A99">
            <w:pPr>
              <w:spacing w:after="0"/>
              <w:rPr>
                <w:b/>
                <w:i/>
                <w:noProof/>
                <w:sz w:val="20"/>
              </w:rPr>
            </w:pPr>
            <w:r>
              <w:rPr>
                <w:b/>
                <w:i/>
                <w:noProof/>
                <w:sz w:val="20"/>
              </w:rPr>
              <w:t>Relevance</w:t>
            </w:r>
          </w:p>
          <w:p w:rsidR="001A26B0" w:rsidRDefault="00E33A99">
            <w:pPr>
              <w:pStyle w:val="ListParagraph"/>
              <w:numPr>
                <w:ilvl w:val="0"/>
                <w:numId w:val="28"/>
              </w:numPr>
              <w:spacing w:after="200" w:line="276" w:lineRule="auto"/>
              <w:jc w:val="left"/>
              <w:rPr>
                <w:noProof/>
                <w:sz w:val="20"/>
              </w:rPr>
            </w:pPr>
            <w:r>
              <w:rPr>
                <w:noProof/>
                <w:sz w:val="20"/>
              </w:rPr>
              <w:t>The Regulations are still valid and will remain so for the period beyond 2020, as:</w:t>
            </w:r>
          </w:p>
          <w:p w:rsidR="001A26B0" w:rsidRDefault="00E33A99">
            <w:pPr>
              <w:pStyle w:val="ListParagraph"/>
              <w:numPr>
                <w:ilvl w:val="1"/>
                <w:numId w:val="28"/>
              </w:numPr>
              <w:spacing w:after="200" w:line="276" w:lineRule="auto"/>
              <w:jc w:val="left"/>
              <w:rPr>
                <w:noProof/>
                <w:sz w:val="20"/>
              </w:rPr>
            </w:pPr>
            <w:r>
              <w:rPr>
                <w:noProof/>
                <w:sz w:val="20"/>
              </w:rPr>
              <w:t xml:space="preserve">all sectors need to contribute to the fight against climate change, </w:t>
            </w:r>
          </w:p>
          <w:p w:rsidR="001A26B0" w:rsidRDefault="00E33A99">
            <w:pPr>
              <w:pStyle w:val="ListParagraph"/>
              <w:numPr>
                <w:ilvl w:val="1"/>
                <w:numId w:val="28"/>
              </w:numPr>
              <w:spacing w:after="200" w:line="276" w:lineRule="auto"/>
              <w:jc w:val="left"/>
              <w:rPr>
                <w:noProof/>
                <w:sz w:val="20"/>
              </w:rPr>
            </w:pPr>
            <w:r>
              <w:rPr>
                <w:noProof/>
                <w:sz w:val="20"/>
              </w:rPr>
              <w:t>the CO</w:t>
            </w:r>
            <w:r>
              <w:rPr>
                <w:noProof/>
                <w:sz w:val="20"/>
                <w:vertAlign w:val="subscript"/>
              </w:rPr>
              <w:t>2</w:t>
            </w:r>
            <w:r>
              <w:rPr>
                <w:noProof/>
                <w:sz w:val="20"/>
              </w:rPr>
              <w:t xml:space="preserve"> performance of new vehicles needs to improve at a faster rate,</w:t>
            </w:r>
          </w:p>
          <w:p w:rsidR="001A26B0" w:rsidRDefault="00E33A99">
            <w:pPr>
              <w:pStyle w:val="ListParagraph"/>
              <w:numPr>
                <w:ilvl w:val="1"/>
                <w:numId w:val="28"/>
              </w:numPr>
              <w:spacing w:after="200" w:line="276" w:lineRule="auto"/>
              <w:jc w:val="left"/>
              <w:rPr>
                <w:noProof/>
                <w:sz w:val="20"/>
              </w:rPr>
            </w:pPr>
            <w:r>
              <w:rPr>
                <w:noProof/>
                <w:sz w:val="20"/>
              </w:rPr>
              <w:t xml:space="preserve">road transport needs </w:t>
            </w:r>
            <w:r>
              <w:rPr>
                <w:noProof/>
                <w:sz w:val="20"/>
              </w:rPr>
              <w:t>to use less oil (to improve the security of energy supply), and</w:t>
            </w:r>
          </w:p>
          <w:p w:rsidR="001A26B0" w:rsidRDefault="00E33A99">
            <w:pPr>
              <w:pStyle w:val="ListParagraph"/>
              <w:numPr>
                <w:ilvl w:val="1"/>
                <w:numId w:val="28"/>
              </w:numPr>
              <w:spacing w:after="200" w:line="276" w:lineRule="auto"/>
              <w:jc w:val="left"/>
              <w:rPr>
                <w:noProof/>
                <w:sz w:val="20"/>
              </w:rPr>
            </w:pPr>
            <w:r>
              <w:rPr>
                <w:noProof/>
                <w:sz w:val="20"/>
              </w:rPr>
              <w:t>CO</w:t>
            </w:r>
            <w:r>
              <w:rPr>
                <w:noProof/>
                <w:sz w:val="20"/>
                <w:vertAlign w:val="subscript"/>
              </w:rPr>
              <w:t>2</w:t>
            </w:r>
            <w:r>
              <w:rPr>
                <w:noProof/>
                <w:sz w:val="20"/>
              </w:rPr>
              <w:t xml:space="preserve"> reductions must be delivered cost-effectively without undermining either sustainable mobility or the competitiveness of the automotive industry.</w:t>
            </w:r>
          </w:p>
          <w:p w:rsidR="001A26B0" w:rsidRDefault="00E33A99">
            <w:pPr>
              <w:spacing w:after="0"/>
              <w:rPr>
                <w:b/>
                <w:i/>
                <w:noProof/>
                <w:sz w:val="20"/>
              </w:rPr>
            </w:pPr>
            <w:r>
              <w:rPr>
                <w:b/>
                <w:i/>
                <w:noProof/>
                <w:sz w:val="20"/>
              </w:rPr>
              <w:t>Effectiveness</w:t>
            </w:r>
          </w:p>
          <w:p w:rsidR="001A26B0" w:rsidRDefault="00E33A99">
            <w:pPr>
              <w:pStyle w:val="ListParagraph"/>
              <w:numPr>
                <w:ilvl w:val="0"/>
                <w:numId w:val="28"/>
              </w:numPr>
              <w:spacing w:after="200" w:line="276" w:lineRule="auto"/>
              <w:jc w:val="left"/>
              <w:rPr>
                <w:noProof/>
                <w:sz w:val="20"/>
              </w:rPr>
            </w:pPr>
            <w:r>
              <w:rPr>
                <w:noProof/>
                <w:sz w:val="20"/>
              </w:rPr>
              <w:t xml:space="preserve">The Regulations have been </w:t>
            </w:r>
            <w:r>
              <w:rPr>
                <w:noProof/>
                <w:sz w:val="20"/>
              </w:rPr>
              <w:t>more successful in reducing CO</w:t>
            </w:r>
            <w:r>
              <w:rPr>
                <w:noProof/>
                <w:sz w:val="20"/>
                <w:vertAlign w:val="subscript"/>
              </w:rPr>
              <w:t>2</w:t>
            </w:r>
            <w:r>
              <w:rPr>
                <w:noProof/>
                <w:sz w:val="20"/>
              </w:rPr>
              <w:t xml:space="preserve"> than previous voluntary agreements with industry (annual improvement rate of 3.4-4.8 gCO</w:t>
            </w:r>
            <w:r>
              <w:rPr>
                <w:noProof/>
                <w:sz w:val="20"/>
                <w:vertAlign w:val="subscript"/>
              </w:rPr>
              <w:t>2</w:t>
            </w:r>
            <w:r>
              <w:rPr>
                <w:noProof/>
                <w:sz w:val="20"/>
              </w:rPr>
              <w:t>/km versus 1.1-1.9 gCO</w:t>
            </w:r>
            <w:r>
              <w:rPr>
                <w:noProof/>
                <w:sz w:val="20"/>
                <w:vertAlign w:val="subscript"/>
              </w:rPr>
              <w:t>2</w:t>
            </w:r>
            <w:r>
              <w:rPr>
                <w:noProof/>
                <w:sz w:val="20"/>
              </w:rPr>
              <w:t>/km).</w:t>
            </w:r>
          </w:p>
          <w:p w:rsidR="001A26B0" w:rsidRDefault="00E33A99">
            <w:pPr>
              <w:pStyle w:val="ListParagraph"/>
              <w:numPr>
                <w:ilvl w:val="0"/>
                <w:numId w:val="28"/>
              </w:numPr>
              <w:spacing w:after="200" w:line="276" w:lineRule="auto"/>
              <w:jc w:val="left"/>
              <w:rPr>
                <w:noProof/>
                <w:sz w:val="20"/>
              </w:rPr>
            </w:pPr>
            <w:r>
              <w:rPr>
                <w:noProof/>
                <w:sz w:val="20"/>
              </w:rPr>
              <w:t>The passenger car CO</w:t>
            </w:r>
            <w:r>
              <w:rPr>
                <w:noProof/>
                <w:sz w:val="20"/>
                <w:vertAlign w:val="subscript"/>
              </w:rPr>
              <w:t>2</w:t>
            </w:r>
            <w:r>
              <w:rPr>
                <w:noProof/>
                <w:sz w:val="20"/>
              </w:rPr>
              <w:t xml:space="preserve"> Regulation is likely to have accounted for 65-85% of the reductions in tailpipe emis</w:t>
            </w:r>
            <w:r>
              <w:rPr>
                <w:noProof/>
                <w:sz w:val="20"/>
              </w:rPr>
              <w:t>sions achieved following its introduction. For light commercial vehicles (LCVs), the Regulation had an important role in speeding up emissions reductions.</w:t>
            </w:r>
          </w:p>
          <w:p w:rsidR="001A26B0" w:rsidRDefault="00E33A99">
            <w:pPr>
              <w:pStyle w:val="ListParagraph"/>
              <w:numPr>
                <w:ilvl w:val="0"/>
                <w:numId w:val="28"/>
              </w:numPr>
              <w:spacing w:after="200" w:line="276" w:lineRule="auto"/>
              <w:jc w:val="left"/>
              <w:rPr>
                <w:noProof/>
                <w:sz w:val="20"/>
              </w:rPr>
            </w:pPr>
            <w:r>
              <w:rPr>
                <w:noProof/>
                <w:sz w:val="20"/>
              </w:rPr>
              <w:t>Impacts on competitiveness and innovation appear generally positive with no signs of competitive dist</w:t>
            </w:r>
            <w:r>
              <w:rPr>
                <w:noProof/>
                <w:sz w:val="20"/>
              </w:rPr>
              <w:t>ortion.</w:t>
            </w:r>
          </w:p>
          <w:p w:rsidR="001A26B0" w:rsidRDefault="00E33A99">
            <w:pPr>
              <w:pStyle w:val="ListParagraph"/>
              <w:numPr>
                <w:ilvl w:val="0"/>
                <w:numId w:val="28"/>
              </w:numPr>
              <w:spacing w:after="200" w:line="276" w:lineRule="auto"/>
              <w:jc w:val="left"/>
              <w:rPr>
                <w:noProof/>
                <w:sz w:val="20"/>
              </w:rPr>
            </w:pPr>
            <w:r>
              <w:rPr>
                <w:noProof/>
                <w:sz w:val="20"/>
              </w:rPr>
              <w:t>The evaluation report highlighted the following weaknesses:</w:t>
            </w:r>
          </w:p>
          <w:p w:rsidR="001A26B0" w:rsidRDefault="00E33A99">
            <w:pPr>
              <w:pStyle w:val="ListParagraph"/>
              <w:numPr>
                <w:ilvl w:val="1"/>
                <w:numId w:val="28"/>
              </w:numPr>
              <w:spacing w:after="200" w:line="276" w:lineRule="auto"/>
              <w:jc w:val="left"/>
              <w:rPr>
                <w:noProof/>
                <w:sz w:val="20"/>
              </w:rPr>
            </w:pPr>
            <w:r>
              <w:rPr>
                <w:noProof/>
                <w:sz w:val="20"/>
              </w:rPr>
              <w:t>The NEDC test cycle does not adequately reflect real-world emissions and there is an increasing discrepancy between test cycle and real-world emissions performance which has eroded the ben</w:t>
            </w:r>
            <w:r>
              <w:rPr>
                <w:noProof/>
                <w:sz w:val="20"/>
              </w:rPr>
              <w:t>efits of the Regulations.</w:t>
            </w:r>
          </w:p>
          <w:p w:rsidR="001A26B0" w:rsidRDefault="00E33A99">
            <w:pPr>
              <w:pStyle w:val="ListParagraph"/>
              <w:numPr>
                <w:ilvl w:val="1"/>
                <w:numId w:val="28"/>
              </w:numPr>
              <w:spacing w:after="200" w:line="276" w:lineRule="auto"/>
              <w:jc w:val="left"/>
              <w:rPr>
                <w:noProof/>
                <w:sz w:val="20"/>
              </w:rPr>
            </w:pPr>
            <w:r>
              <w:rPr>
                <w:noProof/>
                <w:sz w:val="20"/>
              </w:rPr>
              <w:t>The Regulations do not consider emissions due to the production of fuels or associated with vehicle production and disposal.</w:t>
            </w:r>
          </w:p>
          <w:p w:rsidR="001A26B0" w:rsidRDefault="00E33A99">
            <w:pPr>
              <w:pStyle w:val="ListParagraph"/>
              <w:numPr>
                <w:ilvl w:val="1"/>
                <w:numId w:val="28"/>
              </w:numPr>
              <w:spacing w:after="200" w:line="276" w:lineRule="auto"/>
              <w:jc w:val="left"/>
              <w:rPr>
                <w:noProof/>
                <w:sz w:val="20"/>
              </w:rPr>
            </w:pPr>
            <w:r>
              <w:rPr>
                <w:noProof/>
                <w:sz w:val="20"/>
              </w:rPr>
              <w:t>Some design elements (modalities) of the Regulations are likely to have had an impact on the efficiency o</w:t>
            </w:r>
            <w:r>
              <w:rPr>
                <w:noProof/>
                <w:sz w:val="20"/>
              </w:rPr>
              <w:t>f the Regulations. In particular, the use of mass as the utility parameter penalises the mass reduction as an emissions abatement option.</w:t>
            </w:r>
          </w:p>
          <w:p w:rsidR="001A26B0" w:rsidRDefault="00E33A99">
            <w:pPr>
              <w:spacing w:after="0" w:line="276" w:lineRule="auto"/>
              <w:jc w:val="left"/>
              <w:rPr>
                <w:b/>
                <w:i/>
                <w:noProof/>
                <w:sz w:val="20"/>
              </w:rPr>
            </w:pPr>
            <w:r>
              <w:rPr>
                <w:b/>
                <w:i/>
                <w:noProof/>
                <w:sz w:val="20"/>
              </w:rPr>
              <w:t>Efficiency</w:t>
            </w:r>
          </w:p>
          <w:p w:rsidR="001A26B0" w:rsidRDefault="00E33A99">
            <w:pPr>
              <w:pStyle w:val="ListParagraph"/>
              <w:numPr>
                <w:ilvl w:val="0"/>
                <w:numId w:val="28"/>
              </w:numPr>
              <w:spacing w:after="200" w:line="276" w:lineRule="auto"/>
              <w:jc w:val="left"/>
              <w:rPr>
                <w:noProof/>
                <w:sz w:val="20"/>
              </w:rPr>
            </w:pPr>
            <w:r>
              <w:rPr>
                <w:noProof/>
                <w:sz w:val="20"/>
              </w:rPr>
              <w:t>The Regulations have generated net economic benefits to society.</w:t>
            </w:r>
          </w:p>
          <w:p w:rsidR="001A26B0" w:rsidRDefault="00E33A99">
            <w:pPr>
              <w:pStyle w:val="ListParagraph"/>
              <w:numPr>
                <w:ilvl w:val="0"/>
                <w:numId w:val="28"/>
              </w:numPr>
              <w:spacing w:after="200" w:line="276" w:lineRule="auto"/>
              <w:jc w:val="left"/>
              <w:rPr>
                <w:noProof/>
                <w:sz w:val="20"/>
              </w:rPr>
            </w:pPr>
            <w:r>
              <w:rPr>
                <w:noProof/>
                <w:sz w:val="20"/>
              </w:rPr>
              <w:t>Costs to manufacturers have been much lowe</w:t>
            </w:r>
            <w:r>
              <w:rPr>
                <w:noProof/>
                <w:sz w:val="20"/>
              </w:rPr>
              <w:t>r than originally anticipated as emissions abatement technologies have, in general, proved less costly than expected.  For passenger cars, the ex-post average unit costs for meeting the target of 130gCO</w:t>
            </w:r>
            <w:r>
              <w:rPr>
                <w:noProof/>
                <w:sz w:val="20"/>
                <w:vertAlign w:val="subscript"/>
              </w:rPr>
              <w:t>2</w:t>
            </w:r>
            <w:r>
              <w:rPr>
                <w:noProof/>
                <w:sz w:val="20"/>
              </w:rPr>
              <w:t>/km are estimated at €183 per car, while estimates pr</w:t>
            </w:r>
            <w:r>
              <w:rPr>
                <w:noProof/>
                <w:sz w:val="20"/>
              </w:rPr>
              <w:t>ior to the introduction of the Regulation ranged from €430-984 per car.  For LCVs the ex-post estimate to meet the 175gCO2/km was €115 per vehicle, compared with an ex ante estimate of €1,037 per vehicle.</w:t>
            </w:r>
          </w:p>
          <w:p w:rsidR="001A26B0" w:rsidRDefault="00E33A99">
            <w:pPr>
              <w:pStyle w:val="ListParagraph"/>
              <w:numPr>
                <w:ilvl w:val="0"/>
                <w:numId w:val="28"/>
              </w:numPr>
              <w:spacing w:after="200" w:line="276" w:lineRule="auto"/>
              <w:jc w:val="left"/>
              <w:rPr>
                <w:noProof/>
                <w:sz w:val="20"/>
              </w:rPr>
            </w:pPr>
            <w:r>
              <w:rPr>
                <w:noProof/>
                <w:sz w:val="20"/>
              </w:rPr>
              <w:t>Lifetime fuel expenditure savings exceed upfront ma</w:t>
            </w:r>
            <w:r>
              <w:rPr>
                <w:noProof/>
                <w:sz w:val="20"/>
              </w:rPr>
              <w:t>nufacturing costs, but have been lower than anticipated, primarily because of the increasing divergence between test cycle and real world emissions performance.</w:t>
            </w:r>
          </w:p>
          <w:p w:rsidR="001A26B0" w:rsidRDefault="00E33A99">
            <w:pPr>
              <w:spacing w:after="0"/>
              <w:rPr>
                <w:b/>
                <w:i/>
                <w:noProof/>
                <w:sz w:val="20"/>
              </w:rPr>
            </w:pPr>
            <w:r>
              <w:rPr>
                <w:b/>
                <w:i/>
                <w:noProof/>
                <w:sz w:val="20"/>
              </w:rPr>
              <w:t>Coherence</w:t>
            </w:r>
          </w:p>
          <w:p w:rsidR="001A26B0" w:rsidRDefault="00E33A99">
            <w:pPr>
              <w:pStyle w:val="ListParagraph"/>
              <w:numPr>
                <w:ilvl w:val="0"/>
                <w:numId w:val="28"/>
              </w:numPr>
              <w:spacing w:after="200" w:line="276" w:lineRule="auto"/>
              <w:jc w:val="left"/>
              <w:rPr>
                <w:noProof/>
                <w:sz w:val="20"/>
              </w:rPr>
            </w:pPr>
            <w:r>
              <w:rPr>
                <w:noProof/>
                <w:sz w:val="20"/>
              </w:rPr>
              <w:t xml:space="preserve">The Regulations are largely coherent internally and with each other. </w:t>
            </w:r>
          </w:p>
          <w:p w:rsidR="001A26B0" w:rsidRDefault="00E33A99">
            <w:pPr>
              <w:pStyle w:val="ListParagraph"/>
              <w:numPr>
                <w:ilvl w:val="0"/>
                <w:numId w:val="28"/>
              </w:numPr>
              <w:spacing w:after="200" w:line="276" w:lineRule="auto"/>
              <w:jc w:val="left"/>
              <w:rPr>
                <w:noProof/>
                <w:sz w:val="20"/>
              </w:rPr>
            </w:pPr>
            <w:r>
              <w:rPr>
                <w:noProof/>
                <w:sz w:val="20"/>
              </w:rPr>
              <w:t>Modalities pote</w:t>
            </w:r>
            <w:r>
              <w:rPr>
                <w:noProof/>
                <w:sz w:val="20"/>
              </w:rPr>
              <w:t>ntially weakening the Regulations, albeit with limited impacts, are the derogation for niche manufacturers, super-credits and the phase-in period (cars).</w:t>
            </w:r>
          </w:p>
          <w:p w:rsidR="001A26B0" w:rsidRDefault="00E33A99">
            <w:pPr>
              <w:spacing w:after="0"/>
              <w:rPr>
                <w:b/>
                <w:i/>
                <w:noProof/>
                <w:sz w:val="20"/>
              </w:rPr>
            </w:pPr>
            <w:r>
              <w:rPr>
                <w:b/>
                <w:i/>
                <w:noProof/>
                <w:sz w:val="20"/>
              </w:rPr>
              <w:t>EU added value</w:t>
            </w:r>
          </w:p>
          <w:p w:rsidR="001A26B0" w:rsidRDefault="00E33A99">
            <w:pPr>
              <w:numPr>
                <w:ilvl w:val="0"/>
                <w:numId w:val="28"/>
              </w:numPr>
              <w:spacing w:after="200" w:line="276" w:lineRule="auto"/>
              <w:jc w:val="left"/>
              <w:rPr>
                <w:noProof/>
                <w:sz w:val="20"/>
              </w:rPr>
            </w:pPr>
            <w:r>
              <w:rPr>
                <w:noProof/>
                <w:sz w:val="20"/>
              </w:rPr>
              <w:t xml:space="preserve">The harmonisation of the market is the most crucial aspect of EU added-value and it is </w:t>
            </w:r>
            <w:r>
              <w:rPr>
                <w:noProof/>
                <w:sz w:val="20"/>
              </w:rPr>
              <w:t>unlikely that uncoordinated action would have been as efficient.  The Regulations ensure common requirements, thus minimising costs for manufacturers, and provide regulatory certainty.</w:t>
            </w:r>
          </w:p>
        </w:tc>
      </w:tr>
    </w:tbl>
    <w:p w:rsidR="001A26B0" w:rsidRDefault="00E33A99">
      <w:pPr>
        <w:spacing w:before="120" w:after="120"/>
        <w:rPr>
          <w:noProof/>
        </w:rPr>
      </w:pPr>
      <w:r>
        <w:rPr>
          <w:noProof/>
        </w:rPr>
        <w:t xml:space="preserve">The evaluation report included some recommendations that would ensure </w:t>
      </w:r>
      <w:r>
        <w:rPr>
          <w:noProof/>
        </w:rPr>
        <w:t>the Regulations remain relevant, coherent, effective and efficient, including:</w:t>
      </w:r>
    </w:p>
    <w:p w:rsidR="001A26B0" w:rsidRDefault="00E33A99">
      <w:pPr>
        <w:numPr>
          <w:ilvl w:val="0"/>
          <w:numId w:val="27"/>
        </w:numPr>
        <w:spacing w:after="120"/>
        <w:rPr>
          <w:noProof/>
        </w:rPr>
      </w:pPr>
      <w:r>
        <w:rPr>
          <w:noProof/>
        </w:rPr>
        <w:t xml:space="preserve">With respect to relevance, a potential additional need to be considered for the post 2020 legislation is that road transport needs to use less energy. Hence,  energy efficiency </w:t>
      </w:r>
      <w:r>
        <w:rPr>
          <w:noProof/>
        </w:rPr>
        <w:t>would become a more important metric as the LDV fleet moves to a more diverse mix of powertrains</w:t>
      </w:r>
    </w:p>
    <w:p w:rsidR="001A26B0" w:rsidRDefault="00E33A99">
      <w:pPr>
        <w:numPr>
          <w:ilvl w:val="0"/>
          <w:numId w:val="27"/>
        </w:numPr>
        <w:spacing w:after="120"/>
        <w:rPr>
          <w:noProof/>
        </w:rPr>
      </w:pPr>
      <w:r>
        <w:rPr>
          <w:noProof/>
        </w:rPr>
        <w:t>Concerning effectiveness, the most significant weakness identified was the current (NEDC) test cycle causing an increasing discrepancy between real-world and t</w:t>
      </w:r>
      <w:r>
        <w:rPr>
          <w:noProof/>
        </w:rPr>
        <w:t>est cycle emissions, which has eroded a significant portion of the originally expected benefits of the Regulations. This will be largely addressed by the development of WLTP. In addition, sufficient checks are recommended to ensure that the new test does n</w:t>
      </w:r>
      <w:r>
        <w:rPr>
          <w:noProof/>
        </w:rPr>
        <w:t xml:space="preserve">ot in future years become subject to the same problems experienced with the NEDC. </w:t>
      </w:r>
    </w:p>
    <w:p w:rsidR="001A26B0" w:rsidRDefault="00E33A99">
      <w:pPr>
        <w:numPr>
          <w:ilvl w:val="0"/>
          <w:numId w:val="27"/>
        </w:numPr>
        <w:spacing w:after="120"/>
        <w:rPr>
          <w:noProof/>
        </w:rPr>
      </w:pPr>
      <w:r>
        <w:rPr>
          <w:noProof/>
        </w:rPr>
        <w:t>While the lack of consideration of the lifecycle and embedded emissions of vehicles was seen as a relatively minor issue, it was expected to become more significant as the p</w:t>
      </w:r>
      <w:r>
        <w:rPr>
          <w:noProof/>
        </w:rPr>
        <w:t>roportion of electric vehicles increases.</w:t>
      </w:r>
    </w:p>
    <w:p w:rsidR="001A26B0" w:rsidRDefault="00E33A99">
      <w:pPr>
        <w:numPr>
          <w:ilvl w:val="0"/>
          <w:numId w:val="27"/>
        </w:numPr>
        <w:spacing w:after="120"/>
        <w:rPr>
          <w:noProof/>
        </w:rPr>
      </w:pPr>
      <w:r>
        <w:rPr>
          <w:noProof/>
        </w:rPr>
        <w:t>As regards additional incentives to develop low CO</w:t>
      </w:r>
      <w:r>
        <w:rPr>
          <w:noProof/>
          <w:vertAlign w:val="subscript"/>
        </w:rPr>
        <w:t>2</w:t>
      </w:r>
      <w:r>
        <w:rPr>
          <w:noProof/>
        </w:rPr>
        <w:t xml:space="preserve"> emission vehicles, it should be considered whether such mechanism is needed and, if so, to choose one that does not potentially weaken the target.</w:t>
      </w:r>
    </w:p>
    <w:p w:rsidR="001A26B0" w:rsidRDefault="00E33A99">
      <w:pPr>
        <w:numPr>
          <w:ilvl w:val="0"/>
          <w:numId w:val="27"/>
        </w:numPr>
        <w:autoSpaceDE w:val="0"/>
        <w:autoSpaceDN w:val="0"/>
        <w:adjustRightInd w:val="0"/>
        <w:spacing w:after="120"/>
        <w:rPr>
          <w:rFonts w:ascii="Verdana" w:eastAsiaTheme="minorHAnsi" w:hAnsi="Verdana" w:cs="Verdana"/>
          <w:noProof/>
          <w:color w:val="000000"/>
          <w:sz w:val="20"/>
        </w:rPr>
      </w:pPr>
      <w:r>
        <w:rPr>
          <w:noProof/>
        </w:rPr>
        <w:t xml:space="preserve">A need to look </w:t>
      </w:r>
      <w:r>
        <w:rPr>
          <w:noProof/>
        </w:rPr>
        <w:t xml:space="preserve">at how to improve the ex-ante assessment of costs to manufacturers as the costs assumed prior to the introduction of the current Regulations were much higher than has been the case in reality. </w:t>
      </w:r>
      <w:r>
        <w:rPr>
          <w:rFonts w:ascii="Verdana" w:eastAsiaTheme="minorHAnsi" w:hAnsi="Verdana" w:cs="Verdana"/>
          <w:noProof/>
          <w:color w:val="000000"/>
          <w:sz w:val="20"/>
        </w:rPr>
        <w:t xml:space="preserve"> </w:t>
      </w:r>
    </w:p>
    <w:p w:rsidR="001A26B0" w:rsidRDefault="00E33A99">
      <w:pPr>
        <w:spacing w:after="120"/>
        <w:rPr>
          <w:b/>
          <w:smallCaps/>
          <w:noProof/>
          <w:lang w:val="en"/>
        </w:rPr>
      </w:pPr>
      <w:r>
        <w:rPr>
          <w:noProof/>
        </w:rPr>
        <w:t>These recommendations are addressed when presenting the polic</w:t>
      </w:r>
      <w:r>
        <w:rPr>
          <w:noProof/>
        </w:rPr>
        <w:t>y options in Section 5.</w:t>
      </w:r>
      <w:bookmarkStart w:id="24" w:name="_Toc480815622"/>
      <w:bookmarkStart w:id="25" w:name="_Toc480815623"/>
      <w:bookmarkEnd w:id="24"/>
      <w:r>
        <w:rPr>
          <w:noProof/>
        </w:rPr>
        <w:br w:type="page"/>
      </w:r>
    </w:p>
    <w:p w:rsidR="001A26B0" w:rsidRDefault="00E33A99">
      <w:pPr>
        <w:pStyle w:val="Heading1"/>
        <w:rPr>
          <w:noProof/>
        </w:rPr>
      </w:pPr>
      <w:bookmarkStart w:id="26" w:name="_Toc496635563"/>
      <w:r>
        <w:rPr>
          <w:noProof/>
        </w:rPr>
        <w:t>WHAT IS THE PROBLEM AND WHY IS IT A PROBLEM?</w:t>
      </w:r>
      <w:bookmarkStart w:id="27" w:name="_Toc487808892"/>
      <w:bookmarkEnd w:id="25"/>
      <w:bookmarkEnd w:id="26"/>
      <w:bookmarkEnd w:id="27"/>
    </w:p>
    <w:p w:rsidR="001A26B0" w:rsidRDefault="00E33A99">
      <w:pPr>
        <w:spacing w:after="120"/>
        <w:rPr>
          <w:noProof/>
        </w:rPr>
      </w:pPr>
      <w:r>
        <w:rPr>
          <w:noProof/>
        </w:rPr>
        <w:t>Figure 1 sets out the drivers, problems and objectives that are relevant for the revision of CO</w:t>
      </w:r>
      <w:r>
        <w:rPr>
          <w:noProof/>
          <w:vertAlign w:val="subscript"/>
        </w:rPr>
        <w:t>2</w:t>
      </w:r>
      <w:r>
        <w:rPr>
          <w:noProof/>
        </w:rPr>
        <w:t xml:space="preserve"> standards for cars and vans. </w:t>
      </w:r>
    </w:p>
    <w:p w:rsidR="001A26B0" w:rsidRDefault="00E33A99">
      <w:pPr>
        <w:spacing w:after="120"/>
        <w:rPr>
          <w:noProof/>
        </w:rPr>
      </w:pPr>
      <w:r>
        <w:rPr>
          <w:noProof/>
        </w:rPr>
        <w:t>While the revision will clearly contribute to all three pol</w:t>
      </w:r>
      <w:r>
        <w:rPr>
          <w:noProof/>
        </w:rPr>
        <w:t>icy objectives, it should also be clear that it does not aim to address all of the problems and drivers mentioned to the same extent. For this, complementary proposals and flanking measures will be taken, some of are scheduled to be part of the same packag</w:t>
      </w:r>
      <w:r>
        <w:rPr>
          <w:noProof/>
        </w:rPr>
        <w:t>e of mobility related initiatives. This concerns in particular the EU Action Plan on the Alternative Fuels Infrastructure Directive (limited infrastructure), the proposal for a revised Clean Vehicles Directive 2009/33/EC, as well as the proposal for a revi</w:t>
      </w:r>
      <w:r>
        <w:rPr>
          <w:noProof/>
        </w:rPr>
        <w:t xml:space="preserve">sed Directive on road charging ("Eurovignette"). </w:t>
      </w:r>
    </w:p>
    <w:p w:rsidR="001A26B0" w:rsidRDefault="00E33A99">
      <w:pPr>
        <w:spacing w:after="120"/>
        <w:rPr>
          <w:noProof/>
        </w:rPr>
      </w:pPr>
      <w:r>
        <w:rPr>
          <w:noProof/>
        </w:rPr>
        <w:t>The Commission is also preparing a proposal for setting CO</w:t>
      </w:r>
      <w:r>
        <w:rPr>
          <w:noProof/>
          <w:vertAlign w:val="subscript"/>
        </w:rPr>
        <w:t>2</w:t>
      </w:r>
      <w:r>
        <w:rPr>
          <w:noProof/>
        </w:rPr>
        <w:t xml:space="preserve"> standards for heavy-duty vehicles, which would further help to tackle CO</w:t>
      </w:r>
      <w:r>
        <w:rPr>
          <w:noProof/>
          <w:vertAlign w:val="subscript"/>
        </w:rPr>
        <w:t>2</w:t>
      </w:r>
      <w:r>
        <w:rPr>
          <w:noProof/>
        </w:rPr>
        <w:t xml:space="preserve"> emissions in the road transport sector.</w:t>
      </w:r>
    </w:p>
    <w:p w:rsidR="001A26B0" w:rsidRDefault="00E33A99">
      <w:pPr>
        <w:spacing w:after="120"/>
        <w:rPr>
          <w:noProof/>
        </w:rPr>
      </w:pPr>
      <w:r>
        <w:rPr>
          <w:noProof/>
        </w:rPr>
        <w:t xml:space="preserve">Beside this, there are a number </w:t>
      </w:r>
      <w:r>
        <w:rPr>
          <w:noProof/>
        </w:rPr>
        <w:t>of areas where complementary Member State or local action would help to tackle the drivers and problems, e.g. through tax measures (in order to help lowering upfront costs, especially for zero- and low-emission vehicles), and measures promoting modal shift</w:t>
      </w:r>
      <w:r>
        <w:rPr>
          <w:noProof/>
        </w:rPr>
        <w:t xml:space="preserve"> (i.e. lowering road transport activity.</w:t>
      </w:r>
    </w:p>
    <w:p w:rsidR="001A26B0" w:rsidRDefault="00E33A99">
      <w:pPr>
        <w:spacing w:after="120"/>
        <w:rPr>
          <w:noProof/>
        </w:rPr>
      </w:pPr>
      <w:r>
        <w:rPr>
          <w:noProof/>
        </w:rPr>
        <w:t>A key driver to be addressed by this impact assessment is the lack of stringency of the existing CO</w:t>
      </w:r>
      <w:r>
        <w:rPr>
          <w:noProof/>
          <w:vertAlign w:val="subscript"/>
        </w:rPr>
        <w:t>2</w:t>
      </w:r>
      <w:r>
        <w:rPr>
          <w:noProof/>
        </w:rPr>
        <w:t xml:space="preserve"> standards for the period beyond 2021 and the related uncertainty over future standards. Other drivers are addresse</w:t>
      </w:r>
      <w:r>
        <w:rPr>
          <w:noProof/>
        </w:rPr>
        <w:t>d to a different degree in the policy options set out in Section 5. Clarifying the policy framework beyond 2021 will help reducing manufacturers' uncertainty over costs and future investment decisions as well as tackling certain market failures. Creating a</w:t>
      </w:r>
      <w:r>
        <w:rPr>
          <w:noProof/>
        </w:rPr>
        <w:t xml:space="preserve"> market demand for more efficient vehicles will also help to reduce upfront costs. In addition, the 'emissions gap' will be addressed. </w:t>
      </w:r>
    </w:p>
    <w:p w:rsidR="001A26B0" w:rsidRDefault="00E33A99">
      <w:pPr>
        <w:spacing w:after="120"/>
        <w:rPr>
          <w:noProof/>
        </w:rPr>
      </w:pPr>
      <w:r>
        <w:rPr>
          <w:noProof/>
        </w:rPr>
        <w:t>By contrast, limited infrastructure and increasing transport activity are not directly tackled by the options considered</w:t>
      </w:r>
      <w:r>
        <w:rPr>
          <w:noProof/>
        </w:rPr>
        <w:t xml:space="preserve"> in this impact assessment.</w:t>
      </w:r>
    </w:p>
    <w:p w:rsidR="001A26B0" w:rsidRDefault="00E33A99">
      <w:pPr>
        <w:pStyle w:val="Heading2"/>
        <w:rPr>
          <w:noProof/>
        </w:rPr>
      </w:pPr>
      <w:bookmarkStart w:id="28" w:name="_Toc496635564"/>
      <w:r>
        <w:rPr>
          <w:noProof/>
        </w:rPr>
        <w:t>What is the nature of the problem? What is the size of the problem?</w:t>
      </w:r>
      <w:bookmarkEnd w:id="28"/>
    </w:p>
    <w:p w:rsidR="001A26B0" w:rsidRDefault="00E33A99">
      <w:pPr>
        <w:pStyle w:val="Text2"/>
        <w:ind w:left="0"/>
        <w:rPr>
          <w:noProof/>
        </w:rPr>
      </w:pPr>
      <w:r>
        <w:rPr>
          <w:noProof/>
        </w:rPr>
        <w:t xml:space="preserve">An overview of the problems and drivers is presented in </w:t>
      </w:r>
      <w:r>
        <w:rPr>
          <w:noProof/>
        </w:rPr>
        <w:fldChar w:fldCharType="begin"/>
      </w:r>
      <w:r>
        <w:rPr>
          <w:noProof/>
        </w:rPr>
        <w:instrText xml:space="preserve"> REF _Ref495684102 \h </w:instrText>
      </w:r>
      <w:r>
        <w:rPr>
          <w:noProof/>
        </w:rPr>
      </w:r>
      <w:r>
        <w:rPr>
          <w:noProof/>
        </w:rPr>
        <w:fldChar w:fldCharType="separate"/>
      </w:r>
      <w:r>
        <w:rPr>
          <w:noProof/>
        </w:rPr>
        <w:t>Figure 2</w:t>
      </w:r>
      <w:r>
        <w:rPr>
          <w:noProof/>
        </w:rPr>
        <w:fldChar w:fldCharType="end"/>
      </w:r>
      <w:r>
        <w:rPr>
          <w:noProof/>
        </w:rPr>
        <w:t>.</w:t>
      </w:r>
    </w:p>
    <w:p w:rsidR="001A26B0" w:rsidRDefault="00E33A99">
      <w:pPr>
        <w:spacing w:after="200" w:line="276" w:lineRule="auto"/>
        <w:jc w:val="left"/>
        <w:rPr>
          <w:b/>
          <w:noProof/>
          <w:szCs w:val="24"/>
        </w:rPr>
        <w:sectPr w:rsidR="001A26B0">
          <w:headerReference w:type="even" r:id="rId29"/>
          <w:headerReference w:type="default" r:id="rId30"/>
          <w:footerReference w:type="even" r:id="rId31"/>
          <w:footerReference w:type="default" r:id="rId32"/>
          <w:headerReference w:type="first" r:id="rId33"/>
          <w:footerReference w:type="first" r:id="rId34"/>
          <w:pgSz w:w="11906" w:h="16838"/>
          <w:pgMar w:top="1020" w:right="1706" w:bottom="1020" w:left="1587" w:header="601" w:footer="1077" w:gutter="0"/>
          <w:cols w:space="720"/>
          <w:docGrid w:linePitch="326"/>
        </w:sectPr>
      </w:pPr>
      <w:bookmarkStart w:id="29" w:name="_Toc493623327"/>
      <w:r>
        <w:rPr>
          <w:b/>
          <w:noProof/>
          <w:szCs w:val="24"/>
        </w:rPr>
        <w:br w:type="page"/>
      </w:r>
    </w:p>
    <w:p w:rsidR="001A26B0" w:rsidRDefault="00E33A99">
      <w:pPr>
        <w:pStyle w:val="Caption"/>
        <w:rPr>
          <w:noProof/>
        </w:rPr>
      </w:pPr>
      <w:bookmarkStart w:id="30" w:name="_Ref495684102"/>
      <w:bookmarkStart w:id="31" w:name="_Ref493841897"/>
      <w:bookmarkStart w:id="32" w:name="_Toc493623326"/>
      <w:bookmarkStart w:id="33" w:name="_Toc496688548"/>
      <w:r>
        <w:rPr>
          <w:noProof/>
        </w:rP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30"/>
      <w:bookmarkEnd w:id="31"/>
      <w:r>
        <w:rPr>
          <w:noProof/>
        </w:rPr>
        <w:t>: Drivers, problems and objectives</w:t>
      </w:r>
      <w:bookmarkEnd w:id="32"/>
      <w:bookmarkEnd w:id="33"/>
    </w:p>
    <w:p w:rsidR="001A26B0" w:rsidRDefault="00E33A99">
      <w:pPr>
        <w:jc w:val="center"/>
        <w:rPr>
          <w:b/>
          <w:noProof/>
          <w:szCs w:val="24"/>
        </w:rPr>
        <w:sectPr w:rsidR="001A26B0">
          <w:headerReference w:type="even" r:id="rId35"/>
          <w:headerReference w:type="default" r:id="rId36"/>
          <w:footerReference w:type="even" r:id="rId37"/>
          <w:footerReference w:type="default" r:id="rId38"/>
          <w:headerReference w:type="first" r:id="rId39"/>
          <w:footerReference w:type="first" r:id="rId40"/>
          <w:pgSz w:w="16838" w:h="11906" w:orient="landscape"/>
          <w:pgMar w:top="1587" w:right="1020" w:bottom="1706" w:left="1020" w:header="601" w:footer="1077" w:gutter="0"/>
          <w:cols w:space="720"/>
          <w:docGrid w:linePitch="326"/>
        </w:sectPr>
      </w:pPr>
      <w:r>
        <w:rPr>
          <w:b/>
          <w:noProof/>
          <w:szCs w:val="24"/>
          <w:lang w:eastAsia="en-GB"/>
        </w:rPr>
        <w:drawing>
          <wp:inline distT="0" distB="0" distL="0" distR="0">
            <wp:extent cx="7772400" cy="5201557"/>
            <wp:effectExtent l="0" t="0" r="0" b="0"/>
            <wp:docPr id="7170" name="Picture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772400" cy="5201557"/>
                    </a:xfrm>
                    <a:prstGeom prst="rect">
                      <a:avLst/>
                    </a:prstGeom>
                    <a:noFill/>
                  </pic:spPr>
                </pic:pic>
              </a:graphicData>
            </a:graphic>
          </wp:inline>
        </w:drawing>
      </w:r>
    </w:p>
    <w:p w:rsidR="001A26B0" w:rsidRDefault="00E33A99">
      <w:pPr>
        <w:pStyle w:val="Heading3"/>
        <w:rPr>
          <w:noProof/>
        </w:rPr>
      </w:pPr>
      <w:bookmarkStart w:id="34" w:name="_Toc496635565"/>
      <w:bookmarkEnd w:id="29"/>
      <w:r>
        <w:rPr>
          <w:noProof/>
        </w:rPr>
        <w:t>Problem 1: Insufficient uptake of the most efficient vehicles, inc</w:t>
      </w:r>
      <w:r>
        <w:rPr>
          <w:noProof/>
        </w:rPr>
        <w:t>luding low and zero emission vehicles, to meet Paris Agreement commitments and to improve air quality, notably in urban areas</w:t>
      </w:r>
      <w:bookmarkEnd w:id="34"/>
    </w:p>
    <w:p w:rsidR="001A26B0" w:rsidRDefault="00E33A99">
      <w:pPr>
        <w:spacing w:after="120"/>
        <w:rPr>
          <w:noProof/>
        </w:rPr>
      </w:pPr>
      <w:r>
        <w:rPr>
          <w:noProof/>
        </w:rPr>
        <w:t>The evaluation of the CO</w:t>
      </w:r>
      <w:r>
        <w:rPr>
          <w:noProof/>
          <w:vertAlign w:val="subscript"/>
        </w:rPr>
        <w:t>2</w:t>
      </w:r>
      <w:r>
        <w:rPr>
          <w:noProof/>
        </w:rPr>
        <w:t xml:space="preserve"> Regulations showed that the CO</w:t>
      </w:r>
      <w:r>
        <w:rPr>
          <w:noProof/>
          <w:vertAlign w:val="subscript"/>
        </w:rPr>
        <w:t>2</w:t>
      </w:r>
      <w:r>
        <w:rPr>
          <w:noProof/>
        </w:rPr>
        <w:t xml:space="preserve"> standards have stimulated the uptake of more efficient vehicle technolog</w:t>
      </w:r>
      <w:r>
        <w:rPr>
          <w:noProof/>
        </w:rPr>
        <w:t>ies, but it also highlighted that the CO</w:t>
      </w:r>
      <w:r>
        <w:rPr>
          <w:noProof/>
          <w:vertAlign w:val="subscript"/>
        </w:rPr>
        <w:t>2</w:t>
      </w:r>
      <w:r>
        <w:rPr>
          <w:noProof/>
        </w:rPr>
        <w:t xml:space="preserve"> performance of new vehicles needs to improve at a faster rate in order to achieve the Union's climate goals of at least 40% emissions reduction, as committed under the Paris Agreement, in a cost-effective way. As c</w:t>
      </w:r>
      <w:r>
        <w:rPr>
          <w:noProof/>
        </w:rPr>
        <w:t>onfirmed in the European Strategy for Low-Emission Mobility, greenhouse gas emissions from transport will need to be at least 60% lower than in 1990 and be firmly on the path towards zero.</w:t>
      </w:r>
      <w:r>
        <w:rPr>
          <w:noProof/>
          <w:szCs w:val="24"/>
          <w:vertAlign w:val="superscript"/>
        </w:rPr>
        <w:footnoteReference w:id="20"/>
      </w:r>
      <w:r>
        <w:rPr>
          <w:noProof/>
        </w:rPr>
        <w:t xml:space="preserve"> With current trends in new vehicles' CO</w:t>
      </w:r>
      <w:r>
        <w:rPr>
          <w:noProof/>
          <w:vertAlign w:val="subscript"/>
        </w:rPr>
        <w:t>2</w:t>
      </w:r>
      <w:r>
        <w:rPr>
          <w:noProof/>
        </w:rPr>
        <w:t xml:space="preserve"> emissions, this cannot be achieved. More specifically, the uptake of LEV and ZEV is still very slow. In 2016, battery electric vehicles (BEV) and plug-in hybrid electric vehicles (PHEV) represented only 1.1% of the new EU car fleet (for BEV the share was </w:t>
      </w:r>
      <w:r>
        <w:rPr>
          <w:noProof/>
        </w:rPr>
        <w:t>only 0.41%).</w:t>
      </w:r>
      <w:r>
        <w:rPr>
          <w:noProof/>
          <w:vertAlign w:val="superscript"/>
        </w:rPr>
        <w:footnoteReference w:id="21"/>
      </w:r>
    </w:p>
    <w:p w:rsidR="001A26B0" w:rsidRDefault="00E33A99">
      <w:pPr>
        <w:spacing w:after="120"/>
        <w:rPr>
          <w:noProof/>
          <w:szCs w:val="24"/>
        </w:rPr>
      </w:pPr>
      <w:r>
        <w:rPr>
          <w:noProof/>
          <w:szCs w:val="24"/>
        </w:rPr>
        <w:t>Road transport was responsible for 22%</w:t>
      </w:r>
      <w:r>
        <w:rPr>
          <w:rStyle w:val="FootnoteReference"/>
          <w:noProof/>
          <w:szCs w:val="24"/>
        </w:rPr>
        <w:footnoteReference w:id="22"/>
      </w:r>
      <w:r>
        <w:rPr>
          <w:noProof/>
          <w:szCs w:val="24"/>
        </w:rPr>
        <w:t xml:space="preserve"> of EU GHG emissions in 2015 with a steady increase since 1990 when the share was 13%. GHG emissions from cars and vans accounted for 73% of road transport emissions in 2015; this share has remained more</w:t>
      </w:r>
      <w:r>
        <w:rPr>
          <w:noProof/>
          <w:szCs w:val="24"/>
        </w:rPr>
        <w:t xml:space="preserve"> or less constant since 1990. </w:t>
      </w:r>
    </w:p>
    <w:p w:rsidR="001A26B0" w:rsidRDefault="00E33A99">
      <w:pPr>
        <w:spacing w:after="120"/>
        <w:rPr>
          <w:noProof/>
          <w:szCs w:val="24"/>
        </w:rPr>
      </w:pPr>
      <w:r>
        <w:rPr>
          <w:noProof/>
        </w:rPr>
        <w:fldChar w:fldCharType="begin"/>
      </w:r>
      <w:r>
        <w:rPr>
          <w:noProof/>
        </w:rPr>
        <w:instrText xml:space="preserve"> REF _Ref496606485 \h  \* MERGEFORMAT </w:instrText>
      </w:r>
      <w:r>
        <w:rPr>
          <w:noProof/>
        </w:rPr>
      </w:r>
      <w:r>
        <w:rPr>
          <w:noProof/>
        </w:rPr>
        <w:fldChar w:fldCharType="separate"/>
      </w:r>
      <w:r>
        <w:rPr>
          <w:noProof/>
          <w:szCs w:val="24"/>
        </w:rPr>
        <w:t>Figure 3</w:t>
      </w:r>
      <w:r>
        <w:rPr>
          <w:noProof/>
        </w:rPr>
        <w:fldChar w:fldCharType="end"/>
      </w:r>
      <w:r>
        <w:rPr>
          <w:noProof/>
        </w:rPr>
        <w:t xml:space="preserve"> shows that CO</w:t>
      </w:r>
      <w:r>
        <w:rPr>
          <w:noProof/>
          <w:vertAlign w:val="subscript"/>
        </w:rPr>
        <w:t>2</w:t>
      </w:r>
      <w:r>
        <w:rPr>
          <w:noProof/>
        </w:rPr>
        <w:t xml:space="preserve"> emissions from cars and light commercial vehicles in 2015 were still 19% higher than in 1990, de</w:t>
      </w:r>
      <w:r>
        <w:rPr>
          <w:noProof/>
        </w:rPr>
        <w:t>spite the decrease observed between 2007 and 2013. While the increase in the share of transport emissions of EU GHG emission may be due to the emissions reduction in other sectors, the evolution of GHG emissions from cars and vans shows a steady increase s</w:t>
      </w:r>
      <w:r>
        <w:rPr>
          <w:noProof/>
        </w:rPr>
        <w:t>ince 1990 with the exception of the period between 2007 and 2013 when emissions were reduced.</w:t>
      </w:r>
      <w:r>
        <w:rPr>
          <w:b/>
          <w:bCs/>
          <w:noProof/>
          <w:sz w:val="20"/>
        </w:rPr>
        <w:t xml:space="preserve"> </w:t>
      </w:r>
      <w:bookmarkStart w:id="35" w:name="_Ref496025468"/>
      <w:bookmarkStart w:id="36" w:name="_Ref496025496"/>
      <w:bookmarkStart w:id="37" w:name="_Ref496025461"/>
    </w:p>
    <w:p w:rsidR="001A26B0" w:rsidRDefault="00E33A99">
      <w:pPr>
        <w:keepNext/>
        <w:spacing w:after="120"/>
        <w:rPr>
          <w:b/>
          <w:noProof/>
          <w:szCs w:val="24"/>
        </w:rPr>
      </w:pPr>
      <w:bookmarkStart w:id="38" w:name="_Ref496606485"/>
      <w:bookmarkStart w:id="39" w:name="_Toc496688549"/>
      <w:r>
        <w:rPr>
          <w:b/>
          <w:noProof/>
          <w:szCs w:val="24"/>
        </w:rPr>
        <w:t>Figure</w:t>
      </w:r>
      <w:bookmarkEnd w:id="35"/>
      <w:r>
        <w:rPr>
          <w:b/>
          <w:noProof/>
          <w:szCs w:val="24"/>
        </w:rPr>
        <w:t xml:space="preserve"> </w:t>
      </w:r>
      <w:r>
        <w:rPr>
          <w:b/>
          <w:noProof/>
          <w:szCs w:val="24"/>
        </w:rPr>
        <w:fldChar w:fldCharType="begin"/>
      </w:r>
      <w:r>
        <w:rPr>
          <w:b/>
          <w:noProof/>
          <w:szCs w:val="24"/>
        </w:rPr>
        <w:instrText xml:space="preserve"> SEQ Figure \* ARABIC </w:instrText>
      </w:r>
      <w:r>
        <w:rPr>
          <w:b/>
          <w:noProof/>
          <w:szCs w:val="24"/>
        </w:rPr>
        <w:fldChar w:fldCharType="separate"/>
      </w:r>
      <w:r>
        <w:rPr>
          <w:b/>
          <w:noProof/>
          <w:szCs w:val="24"/>
        </w:rPr>
        <w:t>3</w:t>
      </w:r>
      <w:r>
        <w:rPr>
          <w:b/>
          <w:noProof/>
          <w:szCs w:val="24"/>
        </w:rPr>
        <w:fldChar w:fldCharType="end"/>
      </w:r>
      <w:bookmarkEnd w:id="36"/>
      <w:bookmarkEnd w:id="38"/>
      <w:r>
        <w:rPr>
          <w:b/>
          <w:noProof/>
          <w:szCs w:val="24"/>
        </w:rPr>
        <w:t xml:space="preserve">: </w:t>
      </w:r>
      <w:r>
        <w:rPr>
          <w:b/>
          <w:bCs/>
          <w:noProof/>
          <w:szCs w:val="24"/>
        </w:rPr>
        <w:t>GHG emissions from cars and vans (1990-2015)</w:t>
      </w:r>
      <w:r>
        <w:rPr>
          <w:rStyle w:val="FootnoteReference"/>
          <w:b/>
          <w:bCs/>
          <w:noProof/>
          <w:szCs w:val="24"/>
        </w:rPr>
        <w:footnoteReference w:id="23"/>
      </w:r>
      <w:bookmarkEnd w:id="37"/>
      <w:bookmarkEnd w:id="39"/>
    </w:p>
    <w:p w:rsidR="001A26B0" w:rsidRDefault="00E33A99">
      <w:pPr>
        <w:spacing w:after="100" w:afterAutospacing="1"/>
        <w:jc w:val="center"/>
        <w:rPr>
          <w:noProof/>
        </w:rPr>
      </w:pPr>
      <w:r>
        <w:rPr>
          <w:noProof/>
          <w:lang w:eastAsia="en-GB"/>
        </w:rPr>
        <w:drawing>
          <wp:inline distT="0" distB="0" distL="0" distR="0">
            <wp:extent cx="4495800" cy="2697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95800" cy="2697480"/>
                    </a:xfrm>
                    <a:prstGeom prst="rect">
                      <a:avLst/>
                    </a:prstGeom>
                    <a:noFill/>
                  </pic:spPr>
                </pic:pic>
              </a:graphicData>
            </a:graphic>
          </wp:inline>
        </w:drawing>
      </w:r>
    </w:p>
    <w:p w:rsidR="001A26B0" w:rsidRDefault="00E33A99">
      <w:pPr>
        <w:spacing w:after="120"/>
        <w:rPr>
          <w:bCs/>
          <w:noProof/>
          <w:szCs w:val="24"/>
        </w:rPr>
      </w:pPr>
      <w:r>
        <w:rPr>
          <w:bCs/>
          <w:noProof/>
          <w:szCs w:val="24"/>
        </w:rPr>
        <w:t xml:space="preserve">While the transport sector has considerably reduced its emissions of air </w:t>
      </w:r>
      <w:r>
        <w:rPr>
          <w:bCs/>
          <w:noProof/>
          <w:szCs w:val="24"/>
        </w:rPr>
        <w:t>pollutants in the EU over the last decades, it is the largest contributor to NO</w:t>
      </w:r>
      <w:r>
        <w:rPr>
          <w:bCs/>
          <w:noProof/>
          <w:szCs w:val="24"/>
          <w:vertAlign w:val="subscript"/>
        </w:rPr>
        <w:t>x</w:t>
      </w:r>
      <w:r>
        <w:rPr>
          <w:bCs/>
          <w:noProof/>
          <w:szCs w:val="24"/>
        </w:rPr>
        <w:t xml:space="preserve"> emissions (46% in total NO</w:t>
      </w:r>
      <w:r>
        <w:rPr>
          <w:bCs/>
          <w:noProof/>
          <w:szCs w:val="24"/>
          <w:vertAlign w:val="subscript"/>
        </w:rPr>
        <w:t>x</w:t>
      </w:r>
      <w:r>
        <w:rPr>
          <w:bCs/>
          <w:noProof/>
          <w:szCs w:val="24"/>
        </w:rPr>
        <w:t xml:space="preserve"> emissions in the EU in 2014). Of the total emitted NO</w:t>
      </w:r>
      <w:r>
        <w:rPr>
          <w:bCs/>
          <w:noProof/>
          <w:szCs w:val="24"/>
          <w:vertAlign w:val="subscript"/>
        </w:rPr>
        <w:t>x</w:t>
      </w:r>
      <w:r>
        <w:rPr>
          <w:bCs/>
          <w:noProof/>
          <w:szCs w:val="24"/>
        </w:rPr>
        <w:t xml:space="preserve"> from road transport, around 80% comes from diesel powered vehicles. In addition, the transpo</w:t>
      </w:r>
      <w:r>
        <w:rPr>
          <w:bCs/>
          <w:noProof/>
          <w:szCs w:val="24"/>
        </w:rPr>
        <w:t>rt sector makes an important contribution to the concentration of particulate matter in the atmosphere (13% for PM</w:t>
      </w:r>
      <w:r>
        <w:rPr>
          <w:bCs/>
          <w:noProof/>
          <w:szCs w:val="24"/>
          <w:vertAlign w:val="subscript"/>
        </w:rPr>
        <w:t>10</w:t>
      </w:r>
      <w:r>
        <w:rPr>
          <w:bCs/>
          <w:noProof/>
          <w:szCs w:val="24"/>
        </w:rPr>
        <w:t xml:space="preserve"> and 15% for PM</w:t>
      </w:r>
      <w:r>
        <w:rPr>
          <w:bCs/>
          <w:noProof/>
          <w:szCs w:val="24"/>
          <w:vertAlign w:val="subscript"/>
        </w:rPr>
        <w:t>2.5</w:t>
      </w:r>
      <w:r>
        <w:rPr>
          <w:bCs/>
          <w:noProof/>
          <w:szCs w:val="24"/>
        </w:rPr>
        <w:t>).</w:t>
      </w:r>
      <w:r>
        <w:rPr>
          <w:rStyle w:val="FootnoteReference"/>
          <w:bCs/>
          <w:noProof/>
          <w:szCs w:val="24"/>
        </w:rPr>
        <w:footnoteReference w:id="24"/>
      </w:r>
      <w:r>
        <w:rPr>
          <w:bCs/>
          <w:noProof/>
          <w:szCs w:val="24"/>
        </w:rPr>
        <w:t xml:space="preserve"> </w:t>
      </w:r>
    </w:p>
    <w:p w:rsidR="001A26B0" w:rsidRDefault="00E33A99">
      <w:pPr>
        <w:spacing w:after="120"/>
        <w:rPr>
          <w:bCs/>
          <w:noProof/>
        </w:rPr>
      </w:pPr>
      <w:r>
        <w:rPr>
          <w:bCs/>
          <w:noProof/>
        </w:rPr>
        <w:t>EU air quality legislation</w:t>
      </w:r>
      <w:r>
        <w:rPr>
          <w:rStyle w:val="FootnoteReference"/>
          <w:bCs/>
          <w:noProof/>
        </w:rPr>
        <w:footnoteReference w:id="25"/>
      </w:r>
      <w:r>
        <w:rPr>
          <w:bCs/>
          <w:noProof/>
        </w:rPr>
        <w:t xml:space="preserve"> sets limit and target values for the concentration of a range of harmful air pollutants in ambient air in order to limit the exposure of citizens. Today, the limit values for NO</w:t>
      </w:r>
      <w:r>
        <w:rPr>
          <w:bCs/>
          <w:noProof/>
          <w:vertAlign w:val="subscript"/>
        </w:rPr>
        <w:t>2</w:t>
      </w:r>
      <w:r>
        <w:rPr>
          <w:bCs/>
          <w:noProof/>
        </w:rPr>
        <w:t xml:space="preserve"> are being exceeded in over 130 cities across 23 Member States and the Commis</w:t>
      </w:r>
      <w:r>
        <w:rPr>
          <w:bCs/>
          <w:noProof/>
        </w:rPr>
        <w:t>sion has initiated</w:t>
      </w:r>
      <w:r>
        <w:rPr>
          <w:noProof/>
        </w:rPr>
        <w:t xml:space="preserve"> legal action against 12 Member States.</w:t>
      </w:r>
      <w:r>
        <w:rPr>
          <w:bCs/>
          <w:noProof/>
        </w:rPr>
        <w:t xml:space="preserve"> </w:t>
      </w:r>
    </w:p>
    <w:p w:rsidR="001A26B0" w:rsidRDefault="00E33A99">
      <w:pPr>
        <w:spacing w:after="120"/>
        <w:rPr>
          <w:noProof/>
        </w:rPr>
      </w:pPr>
      <w:r>
        <w:rPr>
          <w:noProof/>
        </w:rPr>
        <w:t xml:space="preserve">The public debate on the announcement of possible "diesel bans" in some major cities has significantly affected the share of diesel vehicles in new car registrations. For instance, in March 2017 a </w:t>
      </w:r>
      <w:r>
        <w:rPr>
          <w:noProof/>
        </w:rPr>
        <w:t>5-year low in new diesel car registrations was recorded in France, Germany, Spain, and the UK. These Member States represent together almost 60% of new car registrations in the EU.</w:t>
      </w:r>
      <w:r>
        <w:rPr>
          <w:noProof/>
          <w:vertAlign w:val="superscript"/>
        </w:rPr>
        <w:footnoteReference w:id="26"/>
      </w:r>
    </w:p>
    <w:p w:rsidR="001A26B0" w:rsidRDefault="00E33A99">
      <w:pPr>
        <w:spacing w:after="120"/>
        <w:rPr>
          <w:noProof/>
        </w:rPr>
      </w:pPr>
      <w:r>
        <w:rPr>
          <w:noProof/>
        </w:rPr>
        <w:t>In the EU as a whole the share of diesel in new car registrations decrease</w:t>
      </w:r>
      <w:r>
        <w:rPr>
          <w:noProof/>
        </w:rPr>
        <w:t xml:space="preserve">d from a peak of 53% in 2014 to 49% in 2016. At the same time the share of new petrol cars increased from 44% in 2014 to 47%. </w:t>
      </w:r>
      <w:r>
        <w:rPr>
          <w:rStyle w:val="FootnoteReference"/>
          <w:noProof/>
        </w:rPr>
        <w:footnoteReference w:id="27"/>
      </w:r>
      <w:r>
        <w:rPr>
          <w:noProof/>
        </w:rPr>
        <w:t xml:space="preserve"> </w:t>
      </w:r>
    </w:p>
    <w:p w:rsidR="001A26B0" w:rsidRDefault="00E33A99">
      <w:pPr>
        <w:spacing w:after="120"/>
        <w:rPr>
          <w:noProof/>
        </w:rPr>
      </w:pPr>
      <w:r>
        <w:rPr>
          <w:noProof/>
        </w:rPr>
        <w:t>While urban access restrictions contribute to a shift from diesel to petrol with benefits in terms of lower air pollutant emiss</w:t>
      </w:r>
      <w:r>
        <w:rPr>
          <w:noProof/>
        </w:rPr>
        <w:t>ions, so far they have not triggered a significant increase in low- and zero-emission vehicles. Although new registrations of battery electric and plug-in hybrid vehicles increased by 46% by July 2017 compared to the same period in 2016, their share in tot</w:t>
      </w:r>
      <w:r>
        <w:rPr>
          <w:noProof/>
        </w:rPr>
        <w:t>al car registrations in the EU remains low at 1.2% of which 46% were battery electric vehicles</w:t>
      </w:r>
      <w:r>
        <w:rPr>
          <w:rStyle w:val="FootnoteReference"/>
          <w:noProof/>
        </w:rPr>
        <w:footnoteReference w:id="28"/>
      </w:r>
      <w:r>
        <w:rPr>
          <w:noProof/>
        </w:rPr>
        <w:t xml:space="preserve">. </w:t>
      </w:r>
    </w:p>
    <w:p w:rsidR="001A26B0" w:rsidRDefault="00E33A99">
      <w:pPr>
        <w:spacing w:after="120"/>
        <w:rPr>
          <w:noProof/>
        </w:rPr>
      </w:pPr>
      <w:r>
        <w:rPr>
          <w:noProof/>
        </w:rPr>
        <w:t>A policy framework that further stimulates the accelerated uptake of zero- and low-emission vehicles would therefore complement the on-going efforts to addres</w:t>
      </w:r>
      <w:r>
        <w:rPr>
          <w:noProof/>
        </w:rPr>
        <w:t>s air quality problems and would be well aligned with on-going action at urban, regional, and national level. Zero-emission vehicles do not only deliver benefits in terms of air pollutant and noise emission free transport but also contribute to the reducti</w:t>
      </w:r>
      <w:r>
        <w:rPr>
          <w:noProof/>
        </w:rPr>
        <w:t>on of CO</w:t>
      </w:r>
      <w:r>
        <w:rPr>
          <w:noProof/>
          <w:vertAlign w:val="subscript"/>
        </w:rPr>
        <w:t>2</w:t>
      </w:r>
      <w:r>
        <w:rPr>
          <w:noProof/>
        </w:rPr>
        <w:t xml:space="preserve"> emissions from road transport.</w:t>
      </w:r>
    </w:p>
    <w:p w:rsidR="001A26B0" w:rsidRDefault="00E33A99">
      <w:pPr>
        <w:pStyle w:val="Heading3"/>
        <w:rPr>
          <w:noProof/>
        </w:rPr>
      </w:pPr>
      <w:bookmarkStart w:id="40" w:name="_Toc496635566"/>
      <w:r>
        <w:rPr>
          <w:noProof/>
        </w:rPr>
        <w:t>Problem 2: Consumers miss out on possible fuel savings</w:t>
      </w:r>
      <w:bookmarkEnd w:id="40"/>
    </w:p>
    <w:p w:rsidR="001A26B0" w:rsidRDefault="00E33A99">
      <w:pPr>
        <w:spacing w:after="120"/>
        <w:rPr>
          <w:noProof/>
        </w:rPr>
      </w:pPr>
      <w:r>
        <w:rPr>
          <w:noProof/>
        </w:rPr>
        <w:t>In understanding potential fuel savings for consumers, including initial and subsequent vehicle purchasers it is important to understand that the current averag</w:t>
      </w:r>
      <w:r>
        <w:rPr>
          <w:noProof/>
        </w:rPr>
        <w:t>e lifetime of a car is around 15 years</w:t>
      </w:r>
      <w:r>
        <w:rPr>
          <w:rStyle w:val="FootnoteReference"/>
          <w:noProof/>
        </w:rPr>
        <w:footnoteReference w:id="29"/>
      </w:r>
      <w:r>
        <w:rPr>
          <w:noProof/>
        </w:rPr>
        <w:t xml:space="preserve"> with several ownership changes. Consumers have benefitted from net savings over a vehicle's lifetime, although relatively few consumers consider fuel consumption when purchasing a new car</w:t>
      </w:r>
      <w:r>
        <w:rPr>
          <w:rStyle w:val="FootnoteReference"/>
          <w:noProof/>
        </w:rPr>
        <w:footnoteReference w:id="30"/>
      </w:r>
      <w:r>
        <w:rPr>
          <w:noProof/>
        </w:rPr>
        <w:t xml:space="preserve">. </w:t>
      </w:r>
    </w:p>
    <w:p w:rsidR="001A26B0" w:rsidRDefault="00E33A99">
      <w:pPr>
        <w:spacing w:after="120"/>
        <w:rPr>
          <w:noProof/>
        </w:rPr>
      </w:pPr>
      <w:r>
        <w:rPr>
          <w:noProof/>
        </w:rPr>
        <w:t>So far the increases in t</w:t>
      </w:r>
      <w:r>
        <w:rPr>
          <w:noProof/>
        </w:rPr>
        <w:t>he purchase prices of more efficient vehicles, as a result of the CO</w:t>
      </w:r>
      <w:r>
        <w:rPr>
          <w:noProof/>
          <w:vertAlign w:val="subscript"/>
        </w:rPr>
        <w:t>2</w:t>
      </w:r>
      <w:r>
        <w:rPr>
          <w:noProof/>
        </w:rPr>
        <w:t xml:space="preserve"> standards, have been significantly lower than the fuel savings over the vehicle's lifetime. </w:t>
      </w:r>
    </w:p>
    <w:p w:rsidR="001A26B0" w:rsidRDefault="00E33A99">
      <w:pPr>
        <w:spacing w:after="120"/>
        <w:rPr>
          <w:noProof/>
        </w:rPr>
      </w:pPr>
      <w:r>
        <w:rPr>
          <w:noProof/>
        </w:rPr>
        <w:t>According to the evaluation of the CO</w:t>
      </w:r>
      <w:r>
        <w:rPr>
          <w:noProof/>
          <w:vertAlign w:val="subscript"/>
        </w:rPr>
        <w:t>2</w:t>
      </w:r>
      <w:r>
        <w:rPr>
          <w:noProof/>
        </w:rPr>
        <w:t xml:space="preserve"> Regulations the additional purchase cost of a new car </w:t>
      </w:r>
      <w:r>
        <w:rPr>
          <w:noProof/>
        </w:rPr>
        <w:t>in 2013 was €183 higher compared with a 2006 vehicle due to measures to meet the CO</w:t>
      </w:r>
      <w:r>
        <w:rPr>
          <w:noProof/>
          <w:vertAlign w:val="subscript"/>
        </w:rPr>
        <w:t>2</w:t>
      </w:r>
      <w:r>
        <w:rPr>
          <w:noProof/>
        </w:rPr>
        <w:t xml:space="preserve"> standards. At the same time (discounted) fuel savings, as a result of the CO</w:t>
      </w:r>
      <w:r>
        <w:rPr>
          <w:noProof/>
          <w:vertAlign w:val="subscript"/>
        </w:rPr>
        <w:t>2</w:t>
      </w:r>
      <w:r>
        <w:rPr>
          <w:noProof/>
        </w:rPr>
        <w:t xml:space="preserve"> standards, were €1,336 for petrol cars and €981 for diesel cars over the vehicle's lifetime. </w:t>
      </w:r>
      <w:r>
        <w:rPr>
          <w:noProof/>
        </w:rPr>
        <w:t>Lifetime fuel expenditure savings have been lower than anticipated, primarily because of the increasing divergence between test cycle and real world emissions performance. However, even if this gap were to be reduced significantly by the introduction of th</w:t>
      </w:r>
      <w:r>
        <w:rPr>
          <w:noProof/>
        </w:rPr>
        <w:t>e WLTP test cycle and additional governance measures (see section 5.5), there remains an important unused cost savings potential. If this potential were to be exploited through more stringent CO</w:t>
      </w:r>
      <w:r>
        <w:rPr>
          <w:noProof/>
          <w:vertAlign w:val="subscript"/>
        </w:rPr>
        <w:t>2</w:t>
      </w:r>
      <w:r>
        <w:rPr>
          <w:noProof/>
        </w:rPr>
        <w:t xml:space="preserve"> standards, consumers could benefit from even higher fuel sav</w:t>
      </w:r>
      <w:r>
        <w:rPr>
          <w:noProof/>
        </w:rPr>
        <w:t>ings. The savings are however spread differently across the vehicle's lifetime.</w:t>
      </w:r>
    </w:p>
    <w:p w:rsidR="001A26B0" w:rsidRDefault="00E33A99">
      <w:pPr>
        <w:rPr>
          <w:noProof/>
        </w:rPr>
      </w:pPr>
      <w:r>
        <w:rPr>
          <w:noProof/>
        </w:rPr>
        <w:t>An analysis of second hand car and van markets and implications for the cost effectiveness and social equity of light-duty vehicles CO</w:t>
      </w:r>
      <w:r>
        <w:rPr>
          <w:noProof/>
          <w:vertAlign w:val="subscript"/>
        </w:rPr>
        <w:t>2</w:t>
      </w:r>
      <w:r>
        <w:rPr>
          <w:noProof/>
        </w:rPr>
        <w:t xml:space="preserve"> regulations</w:t>
      </w:r>
      <w:r>
        <w:rPr>
          <w:noProof/>
          <w:vertAlign w:val="superscript"/>
        </w:rPr>
        <w:footnoteReference w:id="31"/>
      </w:r>
      <w:r>
        <w:rPr>
          <w:noProof/>
        </w:rPr>
        <w:t xml:space="preserve"> shows that subsequent owner</w:t>
      </w:r>
      <w:r>
        <w:rPr>
          <w:noProof/>
        </w:rPr>
        <w:t>s of a vehicle, who on average belong to lower income groups, proportionally benefit more from fuels saving than first vehicle owners. The initial cost for the more efficient vehicle is borne by the first owner. This depends however strongly on the initial</w:t>
      </w:r>
      <w:r>
        <w:rPr>
          <w:noProof/>
        </w:rPr>
        <w:t xml:space="preserve"> price premium for the more efficient vehicle. </w:t>
      </w:r>
    </w:p>
    <w:p w:rsidR="001A26B0" w:rsidRDefault="00E33A99">
      <w:pPr>
        <w:pStyle w:val="Heading3"/>
        <w:rPr>
          <w:noProof/>
        </w:rPr>
      </w:pPr>
      <w:bookmarkStart w:id="41" w:name="_Toc496635567"/>
      <w:r>
        <w:rPr>
          <w:noProof/>
        </w:rPr>
        <w:t>Problem 3: Risk of losing the EU's competitive advantage due to insufficient innovation in low- emission automotive technologies over the long term</w:t>
      </w:r>
      <w:bookmarkEnd w:id="41"/>
    </w:p>
    <w:p w:rsidR="001A26B0" w:rsidRDefault="00E33A99">
      <w:pPr>
        <w:spacing w:after="120"/>
        <w:rPr>
          <w:noProof/>
        </w:rPr>
      </w:pPr>
      <w:r>
        <w:rPr>
          <w:noProof/>
        </w:rPr>
        <w:t>The EU automotive sector is crucial to the EU economy, inclu</w:t>
      </w:r>
      <w:r>
        <w:rPr>
          <w:noProof/>
        </w:rPr>
        <w:t>ding in terms of the number of direct and indirect jobs it provides. It faces global competition in terms of sales to other markets and, increasingly, from non-EU manufacturers within the EU market. The import of motor vehicles to the EU has increased from</w:t>
      </w:r>
      <w:r>
        <w:rPr>
          <w:noProof/>
        </w:rPr>
        <w:t xml:space="preserve"> 2.5 million vehicles in 2010 to 3.4 million motor vehicles in 2016, worth € 45.7 billion.</w:t>
      </w:r>
      <w:r>
        <w:rPr>
          <w:rStyle w:val="FootnoteReference"/>
          <w:noProof/>
        </w:rPr>
        <w:footnoteReference w:id="32"/>
      </w:r>
      <w:r>
        <w:rPr>
          <w:noProof/>
        </w:rPr>
        <w:t xml:space="preserve"> </w:t>
      </w:r>
    </w:p>
    <w:p w:rsidR="001A26B0" w:rsidRDefault="00E33A99">
      <w:pPr>
        <w:spacing w:after="120"/>
        <w:rPr>
          <w:noProof/>
        </w:rPr>
      </w:pPr>
      <w:r>
        <w:rPr>
          <w:noProof/>
        </w:rPr>
        <w:t>The competitiveness of industry is also related to its capacity to innovate. Looking at the relationship between the regulatory standards and industrial innovation</w:t>
      </w:r>
      <w:r>
        <w:rPr>
          <w:noProof/>
        </w:rPr>
        <w:t>, the Evaluation study found that EU fuel efficiency standards for new cars and vans have proven to be a strong driver for innovation and efficiency in automotive technology.</w:t>
      </w:r>
      <w:r>
        <w:rPr>
          <w:noProof/>
          <w:vertAlign w:val="superscript"/>
        </w:rPr>
        <w:footnoteReference w:id="33"/>
      </w:r>
      <w:r>
        <w:rPr>
          <w:noProof/>
        </w:rPr>
        <w:t xml:space="preserve"> These targets allowed the EU manufacturers to have a first mover competitive adv</w:t>
      </w:r>
      <w:r>
        <w:rPr>
          <w:noProof/>
        </w:rPr>
        <w:t>antage which has been especially important as the EU automotive industry exported more than 6 million vehicles in 2016, worth €135 billion.</w:t>
      </w:r>
      <w:r>
        <w:rPr>
          <w:noProof/>
          <w:vertAlign w:val="superscript"/>
        </w:rPr>
        <w:footnoteReference w:id="34"/>
      </w:r>
      <w:r>
        <w:rPr>
          <w:noProof/>
        </w:rPr>
        <w:t xml:space="preserve"> </w:t>
      </w:r>
    </w:p>
    <w:p w:rsidR="001A26B0" w:rsidRDefault="00E33A99">
      <w:pPr>
        <w:spacing w:after="120"/>
        <w:rPr>
          <w:noProof/>
        </w:rPr>
      </w:pPr>
      <w:r>
        <w:rPr>
          <w:noProof/>
        </w:rPr>
        <w:t xml:space="preserve">However, as shown in </w:t>
      </w:r>
      <w:r>
        <w:rPr>
          <w:noProof/>
        </w:rPr>
        <w:fldChar w:fldCharType="begin"/>
      </w:r>
      <w:r>
        <w:rPr>
          <w:noProof/>
        </w:rPr>
        <w:instrText xml:space="preserve"> REF _Ref496025532 \h  \* MERGEFORMAT </w:instrText>
      </w:r>
      <w:r>
        <w:rPr>
          <w:noProof/>
        </w:rPr>
      </w:r>
      <w:r>
        <w:rPr>
          <w:noProof/>
        </w:rPr>
        <w:fldChar w:fldCharType="separate"/>
      </w:r>
      <w:r>
        <w:rPr>
          <w:noProof/>
          <w:szCs w:val="24"/>
        </w:rPr>
        <w:t>Figure 4</w:t>
      </w:r>
      <w:r>
        <w:rPr>
          <w:noProof/>
        </w:rPr>
        <w:fldChar w:fldCharType="end"/>
      </w:r>
      <w:r>
        <w:rPr>
          <w:noProof/>
        </w:rPr>
        <w:t>, different fuel standards have progressively been implemented around the world, in countries including China, USA, South Korea, Mexico, Brazil and India. These international targets, moving o</w:t>
      </w:r>
      <w:r>
        <w:rPr>
          <w:noProof/>
        </w:rPr>
        <w:t xml:space="preserve">ver time towards the levels set in the EU, and coupled with the commitments made on climate change targets under the 2015 Paris Agreement, demonstrate the international demand for efficient vehicles. </w:t>
      </w:r>
    </w:p>
    <w:p w:rsidR="001A26B0" w:rsidRDefault="00E33A99">
      <w:pPr>
        <w:keepNext/>
        <w:spacing w:after="120"/>
        <w:rPr>
          <w:b/>
          <w:noProof/>
          <w:szCs w:val="24"/>
        </w:rPr>
      </w:pPr>
      <w:bookmarkStart w:id="42" w:name="_Ref496025532"/>
      <w:bookmarkStart w:id="43" w:name="_Toc496688550"/>
      <w:r>
        <w:rPr>
          <w:b/>
          <w:noProof/>
          <w:szCs w:val="24"/>
        </w:rPr>
        <w:t xml:space="preserve">Figure </w:t>
      </w:r>
      <w:r>
        <w:rPr>
          <w:b/>
          <w:noProof/>
          <w:szCs w:val="24"/>
        </w:rPr>
        <w:fldChar w:fldCharType="begin"/>
      </w:r>
      <w:r>
        <w:rPr>
          <w:b/>
          <w:noProof/>
          <w:szCs w:val="24"/>
        </w:rPr>
        <w:instrText xml:space="preserve"> SEQ Figure \* ARABIC </w:instrText>
      </w:r>
      <w:r>
        <w:rPr>
          <w:b/>
          <w:noProof/>
          <w:szCs w:val="24"/>
        </w:rPr>
        <w:fldChar w:fldCharType="separate"/>
      </w:r>
      <w:r>
        <w:rPr>
          <w:b/>
          <w:noProof/>
          <w:szCs w:val="24"/>
        </w:rPr>
        <w:t>4</w:t>
      </w:r>
      <w:r>
        <w:rPr>
          <w:b/>
          <w:noProof/>
          <w:szCs w:val="24"/>
        </w:rPr>
        <w:fldChar w:fldCharType="end"/>
      </w:r>
      <w:bookmarkEnd w:id="42"/>
      <w:r>
        <w:rPr>
          <w:b/>
          <w:noProof/>
          <w:szCs w:val="24"/>
        </w:rPr>
        <w:t>: Historical fleet CO</w:t>
      </w:r>
      <w:r>
        <w:rPr>
          <w:b/>
          <w:noProof/>
          <w:szCs w:val="24"/>
          <w:vertAlign w:val="subscript"/>
        </w:rPr>
        <w:t>2</w:t>
      </w:r>
      <w:r>
        <w:rPr>
          <w:b/>
          <w:noProof/>
          <w:szCs w:val="24"/>
        </w:rPr>
        <w:t xml:space="preserve"> emissions performance and current standards (gCO</w:t>
      </w:r>
      <w:r>
        <w:rPr>
          <w:b/>
          <w:noProof/>
          <w:szCs w:val="24"/>
          <w:vertAlign w:val="subscript"/>
        </w:rPr>
        <w:t>2</w:t>
      </w:r>
      <w:r>
        <w:rPr>
          <w:b/>
          <w:noProof/>
          <w:szCs w:val="24"/>
        </w:rPr>
        <w:t>/km normalized to NEDC) for passenger cars</w:t>
      </w:r>
      <w:r>
        <w:rPr>
          <w:rStyle w:val="FootnoteReference"/>
          <w:b/>
          <w:noProof/>
          <w:szCs w:val="24"/>
        </w:rPr>
        <w:footnoteReference w:id="35"/>
      </w:r>
      <w:r>
        <w:rPr>
          <w:b/>
          <w:noProof/>
          <w:szCs w:val="24"/>
        </w:rPr>
        <w:t xml:space="preserve"> (ICCT, 2017)</w:t>
      </w:r>
      <w:bookmarkEnd w:id="43"/>
    </w:p>
    <w:p w:rsidR="001A26B0" w:rsidRDefault="00E33A99">
      <w:pPr>
        <w:jc w:val="center"/>
        <w:rPr>
          <w:noProof/>
        </w:rPr>
      </w:pPr>
      <w:r>
        <w:rPr>
          <w:noProof/>
          <w:lang w:eastAsia="en-GB"/>
        </w:rPr>
        <w:drawing>
          <wp:inline distT="0" distB="0" distL="0" distR="0">
            <wp:extent cx="5004000" cy="2959519"/>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004000" cy="2959519"/>
                    </a:xfrm>
                    <a:prstGeom prst="rect">
                      <a:avLst/>
                    </a:prstGeom>
                  </pic:spPr>
                </pic:pic>
              </a:graphicData>
            </a:graphic>
          </wp:inline>
        </w:drawing>
      </w:r>
    </w:p>
    <w:p w:rsidR="001A26B0" w:rsidRDefault="00E33A99">
      <w:pPr>
        <w:spacing w:after="120"/>
        <w:rPr>
          <w:noProof/>
        </w:rPr>
      </w:pPr>
      <w:r>
        <w:rPr>
          <w:noProof/>
        </w:rPr>
        <w:t>Major non-EU car markets have considered or are about to introduce more ambitious policies including measures to reduce pollutant emissions. In par</w:t>
      </w:r>
      <w:r>
        <w:rPr>
          <w:noProof/>
        </w:rPr>
        <w:t>ticular, in view of increasing the deployment of zero- and low emission vehicles, ambitious policies have been developed or recently adopted in car markets that are of particular importance for the EU car industry. In the US, the Californian "ZEV" standard</w:t>
      </w:r>
      <w:r>
        <w:rPr>
          <w:noProof/>
        </w:rPr>
        <w:t>s to support the market deployment of battery electric, plug-in hybrid, and fuel cell vehicles have also been adopted by nine other States (29% of all new cars sold in the U.S. are sold in these 10 States) (see Box 2 for more details).</w:t>
      </w:r>
      <w:r>
        <w:rPr>
          <w:noProof/>
          <w:vertAlign w:val="superscript"/>
        </w:rPr>
        <w:footnoteReference w:id="36"/>
      </w:r>
      <w:r>
        <w:rPr>
          <w:noProof/>
        </w:rPr>
        <w:t xml:space="preserve"> Eight US States hav</w:t>
      </w:r>
      <w:r>
        <w:rPr>
          <w:noProof/>
        </w:rPr>
        <w:t>e signed a memorandum of understanding committing to coordinated action to ensure that by 2025 at least 3.3 million pure battery electric vehicles, plug-in hybrid electric vehicles and hydrogen fuel cell electric vehicles are on their roads.</w:t>
      </w:r>
      <w:r>
        <w:rPr>
          <w:rStyle w:val="FootnoteReference"/>
          <w:noProof/>
        </w:rPr>
        <w:footnoteReference w:id="37"/>
      </w:r>
      <w:r>
        <w:rPr>
          <w:noProof/>
        </w:rPr>
        <w:t xml:space="preserve"> </w:t>
      </w:r>
    </w:p>
    <w:p w:rsidR="001A26B0" w:rsidRDefault="00E33A99">
      <w:pPr>
        <w:spacing w:after="120"/>
        <w:rPr>
          <w:noProof/>
        </w:rPr>
      </w:pPr>
      <w:r>
        <w:rPr>
          <w:noProof/>
        </w:rPr>
        <w:t>In China, ne</w:t>
      </w:r>
      <w:r>
        <w:rPr>
          <w:noProof/>
        </w:rPr>
        <w:t>w mandatory "new energy vehicle" (NEV) requirements will apply to car manufacturers as from 2019 covering battery electric, plug-in hybrid, and fuel cell vehicles (see Box 3 for more details).</w:t>
      </w:r>
      <w:r>
        <w:rPr>
          <w:noProof/>
          <w:vertAlign w:val="superscript"/>
        </w:rPr>
        <w:footnoteReference w:id="38"/>
      </w:r>
      <w:r>
        <w:rPr>
          <w:noProof/>
        </w:rPr>
        <w:t xml:space="preserve"> The requirements are applicable to all manufacturers with an a</w:t>
      </w:r>
      <w:r>
        <w:rPr>
          <w:noProof/>
        </w:rPr>
        <w:t xml:space="preserve">nnual production or import volume of 30,000 or more conventional fuel passenger cars. </w:t>
      </w:r>
    </w:p>
    <w:p w:rsidR="001A26B0" w:rsidRDefault="00E33A99">
      <w:pPr>
        <w:spacing w:after="120"/>
        <w:rPr>
          <w:noProof/>
        </w:rPr>
      </w:pPr>
      <w:r>
        <w:rPr>
          <w:noProof/>
        </w:rPr>
        <w:t>Over the last decade China has become the key car market with 24 million new car registrations, meaning that every third new vehicle is now being sold in China. European</w:t>
      </w:r>
      <w:r>
        <w:rPr>
          <w:noProof/>
        </w:rPr>
        <w:t xml:space="preserve"> car manufacturers have been successful in reaching out to this new market. More than 20% of new passenger cars sold in China were from European car manufacturers/joint ventures operating in China. One third of global sales by German manufacturers, i.e. ar</w:t>
      </w:r>
      <w:r>
        <w:rPr>
          <w:noProof/>
        </w:rPr>
        <w:t>ound 15 million vehicles, took place in China: 39% for the VW Group and 22% for the BMW Group and Mercedes Benz Cars</w:t>
      </w:r>
      <w:r>
        <w:rPr>
          <w:rStyle w:val="FootnoteReference"/>
          <w:noProof/>
        </w:rPr>
        <w:footnoteReference w:id="39"/>
      </w:r>
      <w:r>
        <w:rPr>
          <w:noProof/>
        </w:rPr>
        <w:t>. Similarly, China is the most important car market for the PSA Group with more than 600,000 vehicles sold</w:t>
      </w:r>
      <w:r>
        <w:rPr>
          <w:rStyle w:val="FootnoteReference"/>
          <w:noProof/>
        </w:rPr>
        <w:footnoteReference w:id="40"/>
      </w:r>
      <w:r>
        <w:rPr>
          <w:noProof/>
        </w:rPr>
        <w:t xml:space="preserve">. </w:t>
      </w:r>
    </w:p>
    <w:p w:rsidR="001A26B0" w:rsidRDefault="00E33A99">
      <w:pPr>
        <w:spacing w:after="120"/>
        <w:rPr>
          <w:noProof/>
        </w:rPr>
      </w:pPr>
      <w:r>
        <w:rPr>
          <w:noProof/>
        </w:rPr>
        <w:t>A recent analysis of seven gl</w:t>
      </w:r>
      <w:r>
        <w:rPr>
          <w:noProof/>
        </w:rPr>
        <w:t>obal automotive lead markets concludes that China is now in the "pole position" and will dominate the increasing market for electrified powertrains for the foreseeable future due to the importance of the Chinese market and a favourable regulatory framework</w:t>
      </w:r>
      <w:r>
        <w:rPr>
          <w:noProof/>
        </w:rPr>
        <w:t>.</w:t>
      </w:r>
      <w:r>
        <w:rPr>
          <w:rStyle w:val="FootnoteReference"/>
          <w:noProof/>
        </w:rPr>
        <w:footnoteReference w:id="41"/>
      </w:r>
      <w:r>
        <w:rPr>
          <w:noProof/>
        </w:rPr>
        <w:t xml:space="preserve"> </w:t>
      </w:r>
    </w:p>
    <w:p w:rsidR="001A26B0" w:rsidRDefault="00E33A99">
      <w:pPr>
        <w:spacing w:after="120"/>
        <w:rPr>
          <w:noProof/>
        </w:rPr>
      </w:pPr>
      <w:r>
        <w:rPr>
          <w:noProof/>
        </w:rPr>
        <w:t>While Japan alone accounts for 40% of EV related patents, the EU automotive industry is the global leader in automotive patents in general.</w:t>
      </w:r>
      <w:r>
        <w:rPr>
          <w:rStyle w:val="FootnoteReference"/>
          <w:noProof/>
        </w:rPr>
        <w:footnoteReference w:id="42"/>
      </w:r>
      <w:r>
        <w:rPr>
          <w:noProof/>
        </w:rPr>
        <w:t xml:space="preserve"> At the same time patents data show that parts of the European car industry have a strong technological potentia</w:t>
      </w:r>
      <w:r>
        <w:rPr>
          <w:noProof/>
        </w:rPr>
        <w:t>l in LEV/ZEV which are however not sufficiently reflected in new products offered on the European market.</w:t>
      </w:r>
      <w:r>
        <w:rPr>
          <w:rStyle w:val="FootnoteReference"/>
          <w:noProof/>
        </w:rPr>
        <w:footnoteReference w:id="43"/>
      </w:r>
      <w:r>
        <w:rPr>
          <w:noProof/>
        </w:rPr>
        <w:t xml:space="preserve"> </w:t>
      </w:r>
    </w:p>
    <w:p w:rsidR="001A26B0" w:rsidRDefault="00E33A99">
      <w:pPr>
        <w:spacing w:after="120"/>
        <w:rPr>
          <w:noProof/>
        </w:rPr>
      </w:pPr>
      <w:r>
        <w:rPr>
          <w:noProof/>
        </w:rPr>
        <w:t xml:space="preserve">This indicates that the EU industry risks losing its technological leadership and lagging behind these global trends. </w:t>
      </w:r>
    </w:p>
    <w:p w:rsidR="001A26B0" w:rsidRDefault="00E33A99">
      <w:pPr>
        <w:pStyle w:val="Heading2"/>
        <w:rPr>
          <w:noProof/>
        </w:rPr>
      </w:pPr>
      <w:bookmarkStart w:id="44" w:name="_Toc496635568"/>
      <w:r>
        <w:rPr>
          <w:noProof/>
        </w:rPr>
        <w:t>What are the main drivers?</w:t>
      </w:r>
      <w:bookmarkEnd w:id="44"/>
    </w:p>
    <w:p w:rsidR="001A26B0" w:rsidRDefault="00E33A99">
      <w:pPr>
        <w:pStyle w:val="Heading3"/>
        <w:rPr>
          <w:noProof/>
        </w:rPr>
      </w:pPr>
      <w:bookmarkStart w:id="45" w:name="_Toc496635569"/>
      <w:r>
        <w:rPr>
          <w:noProof/>
        </w:rPr>
        <w:t>Driver 1: Consumers value upfront costs over lifetime costs</w:t>
      </w:r>
      <w:bookmarkEnd w:id="45"/>
    </w:p>
    <w:p w:rsidR="001A26B0" w:rsidRDefault="00E33A99">
      <w:pPr>
        <w:spacing w:after="120"/>
        <w:rPr>
          <w:noProof/>
        </w:rPr>
      </w:pPr>
      <w:r>
        <w:rPr>
          <w:noProof/>
        </w:rPr>
        <w:t>There are a number of market failures and barriers</w:t>
      </w:r>
      <w:r>
        <w:rPr>
          <w:noProof/>
          <w:vertAlign w:val="superscript"/>
        </w:rPr>
        <w:footnoteReference w:id="44"/>
      </w:r>
      <w:r>
        <w:rPr>
          <w:noProof/>
        </w:rPr>
        <w:t xml:space="preserve"> which cause end-users to not necessarily purchase the most efficient new vehicles available on the market, even where this would be their optima</w:t>
      </w:r>
      <w:r>
        <w:rPr>
          <w:noProof/>
        </w:rPr>
        <w:t>l choice from an economic perspective, i.e. when the fuel economy benefit outweighs the additional costs for a more efficient vehicle.</w:t>
      </w:r>
    </w:p>
    <w:p w:rsidR="001A26B0" w:rsidRDefault="00E33A99">
      <w:pPr>
        <w:spacing w:after="120"/>
        <w:rPr>
          <w:noProof/>
        </w:rPr>
      </w:pPr>
      <w:r>
        <w:rPr>
          <w:noProof/>
        </w:rPr>
        <w:t>When purchasing a new car, end-users tend to undervalue future fuel savings as a result of which it may not appear attrac</w:t>
      </w:r>
      <w:r>
        <w:rPr>
          <w:noProof/>
        </w:rPr>
        <w:t>tive to pay more for a more efficient vehicle. This is for instance empirically evidenced by the results of the evaluation of the CO</w:t>
      </w:r>
      <w:r>
        <w:rPr>
          <w:noProof/>
          <w:vertAlign w:val="subscript"/>
        </w:rPr>
        <w:t>2</w:t>
      </w:r>
      <w:r>
        <w:rPr>
          <w:noProof/>
        </w:rPr>
        <w:t xml:space="preserve"> Regulations, which show that fuel savings are significantly higher than the additional purchase cost of a new car (see Section 1.3). Despite existing fuel taxes, these clear financial benefits were apparently not reaped by the market, but required specifi</w:t>
      </w:r>
      <w:r>
        <w:rPr>
          <w:noProof/>
        </w:rPr>
        <w:t>c regulation to tap into such economic benefits.</w:t>
      </w:r>
    </w:p>
    <w:p w:rsidR="001A26B0" w:rsidRDefault="00E33A99">
      <w:pPr>
        <w:spacing w:after="120"/>
        <w:rPr>
          <w:noProof/>
        </w:rPr>
      </w:pPr>
      <w:r>
        <w:rPr>
          <w:noProof/>
        </w:rPr>
        <w:t>Furthermore, even if the new vehicle purchasers do take account of fuel savings, it would only be rational for them to consider fuel savings for the period in which they intend to own the vehicle. As vehicle</w:t>
      </w:r>
      <w:r>
        <w:rPr>
          <w:noProof/>
        </w:rPr>
        <w:t xml:space="preserve">s have an average lifetime of about 15 years with 4 owners, only a part of the reductions would be experienced by the initial purchaser. </w:t>
      </w:r>
    </w:p>
    <w:p w:rsidR="001A26B0" w:rsidRDefault="00E33A99">
      <w:pPr>
        <w:spacing w:after="120"/>
        <w:rPr>
          <w:noProof/>
        </w:rPr>
      </w:pPr>
      <w:r>
        <w:rPr>
          <w:noProof/>
        </w:rPr>
        <w:t xml:space="preserve">In addition, a wide range of factors and elements other than fuel economy may dominate the purchase decision of a new </w:t>
      </w:r>
      <w:r>
        <w:rPr>
          <w:noProof/>
        </w:rPr>
        <w:t>car. Purchasers of new cars have skewed preferences away from fuel economy and towards factors such as comfort and power.</w:t>
      </w:r>
      <w:r>
        <w:rPr>
          <w:noProof/>
          <w:vertAlign w:val="superscript"/>
        </w:rPr>
        <w:footnoteReference w:id="45"/>
      </w:r>
      <w:r>
        <w:rPr>
          <w:noProof/>
        </w:rPr>
        <w:t xml:space="preserve"> Another reason for the apparently economically suboptimal uptake of more efficient vehicles therefore lies on the production side. In</w:t>
      </w:r>
      <w:r>
        <w:rPr>
          <w:noProof/>
        </w:rPr>
        <w:t xml:space="preserve"> a highly competitive automotive market, manufacturers may be hesitant to invest heavily in more efficient powertrains, knowing that competitors may have different commercial strategies (focusing on other vehicle attributes such as higher engine capacity, </w:t>
      </w:r>
      <w:r>
        <w:rPr>
          <w:noProof/>
        </w:rPr>
        <w:t>more comfort, etc.) that could be commercially more successful. This is in particular the case if consumers pay little attention to total cost of ownership. A regulatory framework on CO</w:t>
      </w:r>
      <w:r>
        <w:rPr>
          <w:noProof/>
          <w:vertAlign w:val="subscript"/>
        </w:rPr>
        <w:t>2</w:t>
      </w:r>
      <w:r>
        <w:rPr>
          <w:noProof/>
        </w:rPr>
        <w:t xml:space="preserve"> emissions for all new vehicles takes away the competitive risk that a</w:t>
      </w:r>
      <w:r>
        <w:rPr>
          <w:noProof/>
        </w:rPr>
        <w:t xml:space="preserve"> manufacturer would be facing when focusing innovation efforts on fuel efficiency, while others do not. </w:t>
      </w:r>
    </w:p>
    <w:p w:rsidR="001A26B0" w:rsidRDefault="00E33A99">
      <w:pPr>
        <w:spacing w:after="120"/>
        <w:rPr>
          <w:noProof/>
        </w:rPr>
      </w:pPr>
      <w:r>
        <w:rPr>
          <w:noProof/>
        </w:rPr>
        <w:t>Different purchase dynamics may apply for leased vehicles which have a share of around 30% of new registrations in the EU, with most of them being comp</w:t>
      </w:r>
      <w:r>
        <w:rPr>
          <w:noProof/>
        </w:rPr>
        <w:t>any cars. Leasing could  in principle increase the attractiveness of lower CO</w:t>
      </w:r>
      <w:r>
        <w:rPr>
          <w:noProof/>
          <w:vertAlign w:val="subscript"/>
        </w:rPr>
        <w:t>2</w:t>
      </w:r>
      <w:r>
        <w:rPr>
          <w:noProof/>
        </w:rPr>
        <w:t xml:space="preserve"> vehicles, on the one hand by enabling instant payback on fuel saving ‘investments’, and on the other by helping operators optimise vehicle choice by enabling them to better take</w:t>
      </w:r>
      <w:r>
        <w:rPr>
          <w:noProof/>
        </w:rPr>
        <w:t xml:space="preserve"> into account the costs and benefits associated with lower CO</w:t>
      </w:r>
      <w:r>
        <w:rPr>
          <w:noProof/>
          <w:vertAlign w:val="subscript"/>
        </w:rPr>
        <w:t>2</w:t>
      </w:r>
      <w:r>
        <w:rPr>
          <w:noProof/>
        </w:rPr>
        <w:t xml:space="preserve"> vehicles in the context of CO</w:t>
      </w:r>
      <w:r>
        <w:rPr>
          <w:noProof/>
          <w:vertAlign w:val="subscript"/>
        </w:rPr>
        <w:t>2</w:t>
      </w:r>
      <w:r>
        <w:rPr>
          <w:noProof/>
        </w:rPr>
        <w:t>-based national vehicle taxation schemes. However, the extent to which these factors affect the uptake of lower CO</w:t>
      </w:r>
      <w:r>
        <w:rPr>
          <w:noProof/>
          <w:vertAlign w:val="subscript"/>
        </w:rPr>
        <w:t>2</w:t>
      </w:r>
      <w:r>
        <w:rPr>
          <w:noProof/>
        </w:rPr>
        <w:t xml:space="preserve"> vehicles in practice could not be quantified du</w:t>
      </w:r>
      <w:r>
        <w:rPr>
          <w:noProof/>
        </w:rPr>
        <w:t>e to a current lack of evidence.</w:t>
      </w:r>
      <w:r>
        <w:rPr>
          <w:rStyle w:val="FootnoteReference"/>
          <w:noProof/>
        </w:rPr>
        <w:footnoteReference w:id="46"/>
      </w:r>
      <w:r>
        <w:rPr>
          <w:noProof/>
        </w:rPr>
        <w:t xml:space="preserve"> </w:t>
      </w:r>
    </w:p>
    <w:p w:rsidR="001A26B0" w:rsidRDefault="00E33A99">
      <w:pPr>
        <w:pStyle w:val="Heading3"/>
        <w:rPr>
          <w:noProof/>
        </w:rPr>
      </w:pPr>
      <w:bookmarkStart w:id="46" w:name="_Ref492551249"/>
      <w:bookmarkStart w:id="47" w:name="_Toc496635570"/>
      <w:r>
        <w:rPr>
          <w:noProof/>
        </w:rPr>
        <w:t>Driver 2: Consumers' concerns regarding zero emission vehicles (ZEV)</w:t>
      </w:r>
      <w:bookmarkEnd w:id="46"/>
      <w:bookmarkEnd w:id="47"/>
    </w:p>
    <w:p w:rsidR="001A26B0" w:rsidRDefault="00E33A99">
      <w:pPr>
        <w:spacing w:after="120"/>
        <w:rPr>
          <w:noProof/>
        </w:rPr>
      </w:pPr>
      <w:r>
        <w:rPr>
          <w:noProof/>
        </w:rPr>
        <w:t>Beyond the issue of undervaluing future benefits from fuel savings, the limited market uptake of ZEV is strongly influenced by additional factors. ZEV (</w:t>
      </w:r>
      <w:r>
        <w:rPr>
          <w:noProof/>
        </w:rPr>
        <w:t>battery EV and fuel cell EV) are still faced with much higher upfront costs</w:t>
      </w:r>
      <w:r>
        <w:rPr>
          <w:rStyle w:val="FootnoteReference"/>
          <w:noProof/>
        </w:rPr>
        <w:footnoteReference w:id="47"/>
      </w:r>
      <w:r>
        <w:rPr>
          <w:noProof/>
        </w:rPr>
        <w:t xml:space="preserve"> as compared to conventional vehicles.</w:t>
      </w:r>
      <w:r>
        <w:rPr>
          <w:rStyle w:val="FootnoteReference"/>
          <w:noProof/>
        </w:rPr>
        <w:footnoteReference w:id="48"/>
      </w:r>
      <w:r>
        <w:rPr>
          <w:noProof/>
        </w:rPr>
        <w:t xml:space="preserve"> </w:t>
      </w:r>
    </w:p>
    <w:p w:rsidR="001A26B0" w:rsidRDefault="00E33A99">
      <w:pPr>
        <w:spacing w:after="120"/>
        <w:rPr>
          <w:noProof/>
        </w:rPr>
      </w:pPr>
      <w:r>
        <w:rPr>
          <w:noProof/>
        </w:rPr>
        <w:t>Consumers are also concerned about other issues regarding ZEV. As demonstrated in research</w:t>
      </w:r>
      <w:r>
        <w:rPr>
          <w:rStyle w:val="FootnoteReference"/>
          <w:noProof/>
        </w:rPr>
        <w:footnoteReference w:id="49"/>
      </w:r>
      <w:r>
        <w:rPr>
          <w:noProof/>
        </w:rPr>
        <w:t xml:space="preserve">, a major barrier is consumer resistance to new </w:t>
      </w:r>
      <w:r>
        <w:rPr>
          <w:noProof/>
        </w:rPr>
        <w:t>technologies that are considered alien or unproved. As other barriers perceived by the consumers, the study mentioned battery range, charging infrastructure, reliability, safety. Furthermore, the perceived limited comfort and style were seen as limiting th</w:t>
      </w:r>
      <w:r>
        <w:rPr>
          <w:noProof/>
        </w:rPr>
        <w:t>e attractiveness of available ZEV models.</w:t>
      </w:r>
    </w:p>
    <w:p w:rsidR="001A26B0" w:rsidRDefault="00E33A99">
      <w:pPr>
        <w:spacing w:after="120"/>
        <w:rPr>
          <w:noProof/>
        </w:rPr>
      </w:pPr>
      <w:r>
        <w:rPr>
          <w:noProof/>
        </w:rPr>
        <w:t>A key barrier is 'range anxiety', i.e. the perception that the battery capacity is limited and recharging infrastructure is insufficient to ensure recharging 'on time' and at the necessary recharging speed in parti</w:t>
      </w:r>
      <w:r>
        <w:rPr>
          <w:noProof/>
        </w:rPr>
        <w:t xml:space="preserve">cular for long-distance trips. This is underlined by the fact that the electric range for the most sold battery electric vehicles in the EU is currently between 150 and 250 km. </w:t>
      </w:r>
    </w:p>
    <w:p w:rsidR="001A26B0" w:rsidRDefault="00E33A99">
      <w:pPr>
        <w:spacing w:after="120"/>
        <w:rPr>
          <w:noProof/>
          <w:szCs w:val="24"/>
        </w:rPr>
      </w:pPr>
      <w:r>
        <w:rPr>
          <w:noProof/>
        </w:rPr>
        <w:t>Despite important progress and sufficient coverage in most Member States given</w:t>
      </w:r>
      <w:r>
        <w:rPr>
          <w:noProof/>
        </w:rPr>
        <w:t xml:space="preserve"> the low uptake of ZEV so far, the infrastructure for recharging ZEV is insufficient in many Member States in particular in view of the expected uptake of ZEVs by 2020 and beyond</w:t>
      </w:r>
      <w:r>
        <w:rPr>
          <w:rStyle w:val="FootnoteReference"/>
          <w:noProof/>
        </w:rPr>
        <w:footnoteReference w:id="50"/>
      </w:r>
      <w:r>
        <w:rPr>
          <w:noProof/>
        </w:rPr>
        <w:t xml:space="preserve">. The </w:t>
      </w:r>
      <w:r>
        <w:rPr>
          <w:bCs/>
          <w:noProof/>
          <w:lang w:val="en"/>
        </w:rPr>
        <w:t>Commission's Communication, 'Europe on the Move: An agenda for a social</w:t>
      </w:r>
      <w:r>
        <w:rPr>
          <w:bCs/>
          <w:noProof/>
          <w:lang w:val="en"/>
        </w:rPr>
        <w:t>ly fair transition towards clean, competitive and connected mobility for all' underlines that t</w:t>
      </w:r>
      <w:r>
        <w:rPr>
          <w:noProof/>
          <w:szCs w:val="24"/>
        </w:rPr>
        <w:t>he deployment of a network of recharging points covering evenly the whole EU road network, is a key enabling condition for zero-emission mobility. The Action Pla</w:t>
      </w:r>
      <w:r>
        <w:rPr>
          <w:noProof/>
          <w:szCs w:val="24"/>
        </w:rPr>
        <w:t>n on the Alternative Fuels Infrastructure Directive sets out concrete measures for achieving necessary deployment rates</w:t>
      </w:r>
      <w:r>
        <w:rPr>
          <w:rStyle w:val="FootnoteReference"/>
          <w:noProof/>
          <w:szCs w:val="24"/>
        </w:rPr>
        <w:footnoteReference w:id="51"/>
      </w:r>
      <w:r>
        <w:rPr>
          <w:noProof/>
          <w:szCs w:val="24"/>
        </w:rPr>
        <w:t>. Experience from other regions shows that with an increase in the number of electric vehicles sold investments in the necessary infrast</w:t>
      </w:r>
      <w:r>
        <w:rPr>
          <w:noProof/>
          <w:szCs w:val="24"/>
        </w:rPr>
        <w:t>ructure increases as well. Besides, reinforced support for research and development of batteries will be provided by Horizon 2020 in the context of the new working programme 2018-2020.</w:t>
      </w:r>
    </w:p>
    <w:p w:rsidR="001A26B0" w:rsidRDefault="00E33A99">
      <w:pPr>
        <w:spacing w:after="120"/>
        <w:rPr>
          <w:noProof/>
        </w:rPr>
      </w:pPr>
      <w:r>
        <w:rPr>
          <w:noProof/>
        </w:rPr>
        <w:t>Another concern among consumers is linked to the resale value of ZEV gi</w:t>
      </w:r>
      <w:r>
        <w:rPr>
          <w:noProof/>
        </w:rPr>
        <w:t>ven expected further technical improvements in particular on the battery's performance (range, lifetime, costs).</w:t>
      </w:r>
      <w:r>
        <w:rPr>
          <w:rStyle w:val="FootnoteReference"/>
          <w:noProof/>
        </w:rPr>
        <w:footnoteReference w:id="52"/>
      </w:r>
      <w:r>
        <w:rPr>
          <w:noProof/>
        </w:rPr>
        <w:t xml:space="preserve"> </w:t>
      </w:r>
    </w:p>
    <w:p w:rsidR="001A26B0" w:rsidRDefault="00E33A99">
      <w:pPr>
        <w:spacing w:after="120"/>
        <w:rPr>
          <w:noProof/>
        </w:rPr>
      </w:pPr>
      <w:r>
        <w:rPr>
          <w:noProof/>
        </w:rPr>
        <w:t>At the same, the market for ZEV is developing rapidly. New technologies and business models may help to overcome some of the barriers discuss</w:t>
      </w:r>
      <w:r>
        <w:rPr>
          <w:noProof/>
        </w:rPr>
        <w:t>ed above. For example, new ZEV in the compact car segment are offered in Europe with ranges of up to 380 km</w:t>
      </w:r>
      <w:r>
        <w:rPr>
          <w:rStyle w:val="FootnoteReference"/>
          <w:noProof/>
        </w:rPr>
        <w:footnoteReference w:id="53"/>
      </w:r>
      <w:r>
        <w:rPr>
          <w:noProof/>
        </w:rPr>
        <w:t>. Some ZEV are offered with a lease contract for the battery</w:t>
      </w:r>
      <w:r>
        <w:rPr>
          <w:rStyle w:val="FootnoteReference"/>
          <w:noProof/>
        </w:rPr>
        <w:footnoteReference w:id="54"/>
      </w:r>
      <w:r>
        <w:rPr>
          <w:noProof/>
        </w:rPr>
        <w:t xml:space="preserve"> which lowers upfront costs and can address possible consumer concerns related to the b</w:t>
      </w:r>
      <w:r>
        <w:rPr>
          <w:noProof/>
        </w:rPr>
        <w:t>attery technology.</w:t>
      </w:r>
    </w:p>
    <w:p w:rsidR="001A26B0" w:rsidRDefault="00E33A99">
      <w:pPr>
        <w:rPr>
          <w:noProof/>
        </w:rPr>
      </w:pPr>
      <w:r>
        <w:rPr>
          <w:noProof/>
        </w:rPr>
        <w:t xml:space="preserve">In this context, it should be noted that consumer research in the US and Germany showed that a large share of prospective new vehicle buyers (29% in the US, 44% in Germany) would consider purchasing a battery electric vehicle (BEV) or a </w:t>
      </w:r>
      <w:r>
        <w:rPr>
          <w:noProof/>
        </w:rPr>
        <w:t xml:space="preserve">plug-in hybrid electric vehicle (PHEV), which indicates a substantial latent demand for such vehicles. However, it was also found that half of all consumers are not yet familiar with electric vehicles. The researchers conclude that there is an opportunity </w:t>
      </w:r>
      <w:r>
        <w:rPr>
          <w:noProof/>
        </w:rPr>
        <w:t>for manufacturers to quickly increase the number of potential buyers by offering more tailored EVs and deploying new business models</w:t>
      </w:r>
      <w:r>
        <w:rPr>
          <w:noProof/>
          <w:vertAlign w:val="superscript"/>
        </w:rPr>
        <w:footnoteReference w:id="55"/>
      </w:r>
      <w:r>
        <w:rPr>
          <w:noProof/>
        </w:rPr>
        <w:t>. A JRC study covering six EU Member States</w:t>
      </w:r>
      <w:r>
        <w:rPr>
          <w:rStyle w:val="FootnoteReference"/>
          <w:noProof/>
        </w:rPr>
        <w:footnoteReference w:id="56"/>
      </w:r>
      <w:r>
        <w:rPr>
          <w:noProof/>
        </w:rPr>
        <w:t xml:space="preserve"> concluded in 2012 that on average around 40% of the car drivers surveyed would</w:t>
      </w:r>
      <w:r>
        <w:rPr>
          <w:noProof/>
        </w:rPr>
        <w:t xml:space="preserve"> consider buying an electric car when changing their current vehicle</w:t>
      </w:r>
      <w:r>
        <w:rPr>
          <w:rStyle w:val="FootnoteReference"/>
          <w:noProof/>
        </w:rPr>
        <w:footnoteReference w:id="57"/>
      </w:r>
      <w:r>
        <w:rPr>
          <w:noProof/>
        </w:rPr>
        <w:t>.</w:t>
      </w:r>
    </w:p>
    <w:p w:rsidR="001A26B0" w:rsidRDefault="00E33A99">
      <w:pPr>
        <w:pStyle w:val="Heading3"/>
        <w:rPr>
          <w:noProof/>
        </w:rPr>
      </w:pPr>
      <w:bookmarkStart w:id="48" w:name="_Toc496635571"/>
      <w:r>
        <w:rPr>
          <w:noProof/>
        </w:rPr>
        <w:t>Driver 3: EU standards do not provide enough incentive for further efficiency improvements and for the deployment of low and zero emission vehicles for the period beyond 2021, leading t</w:t>
      </w:r>
      <w:r>
        <w:rPr>
          <w:noProof/>
        </w:rPr>
        <w:t>o uncertainty over future policy</w:t>
      </w:r>
      <w:bookmarkEnd w:id="48"/>
    </w:p>
    <w:p w:rsidR="001A26B0" w:rsidRDefault="00E33A99">
      <w:pPr>
        <w:rPr>
          <w:noProof/>
        </w:rPr>
      </w:pPr>
      <w:r>
        <w:rPr>
          <w:noProof/>
        </w:rPr>
        <w:t>The current Regulations for cars and vans set targets of 95 g CO</w:t>
      </w:r>
      <w:r>
        <w:rPr>
          <w:noProof/>
          <w:vertAlign w:val="subscript"/>
        </w:rPr>
        <w:t>2</w:t>
      </w:r>
      <w:r>
        <w:rPr>
          <w:noProof/>
        </w:rPr>
        <w:t>/km for 2021 and 147 g CO</w:t>
      </w:r>
      <w:r>
        <w:rPr>
          <w:noProof/>
          <w:vertAlign w:val="subscript"/>
        </w:rPr>
        <w:t>2</w:t>
      </w:r>
      <w:r>
        <w:rPr>
          <w:noProof/>
        </w:rPr>
        <w:t>/km for 2020 respectively. In the absence of new legislation, these targets will remain at their present levels. As the current targ</w:t>
      </w:r>
      <w:r>
        <w:rPr>
          <w:noProof/>
        </w:rPr>
        <w:t xml:space="preserve">ets can be largely met by improving conventional vehicles, they do not provide sufficient incentive to invest in and in particular market alternative powertrains, in particular ZEV. </w:t>
      </w:r>
    </w:p>
    <w:p w:rsidR="001A26B0" w:rsidRDefault="00E33A99">
      <w:pPr>
        <w:rPr>
          <w:noProof/>
        </w:rPr>
      </w:pPr>
      <w:r>
        <w:rPr>
          <w:noProof/>
        </w:rPr>
        <w:t xml:space="preserve">As a consequence there is insufficient uptake of LEVs and ZEVs in the EU </w:t>
      </w:r>
      <w:r>
        <w:rPr>
          <w:noProof/>
        </w:rPr>
        <w:t>as a result of which the necessary GHG emission reductions in the road transport sector cannot be achieved. Given persisting market failures (see Driver 1) under these conditions manufacturers are not likely to develop, produce and offer more efficient veh</w:t>
      </w:r>
      <w:r>
        <w:rPr>
          <w:noProof/>
        </w:rPr>
        <w:t>icles for the EU market at sufficient scale. The EU automotive industry therefore risks losing leadership in low-emission technologies for road transport.</w:t>
      </w:r>
    </w:p>
    <w:p w:rsidR="001A26B0" w:rsidRDefault="00E33A99">
      <w:pPr>
        <w:rPr>
          <w:noProof/>
        </w:rPr>
      </w:pPr>
      <w:r>
        <w:rPr>
          <w:noProof/>
        </w:rPr>
        <w:t>As long as the automotive industry, including manufacturers and suppliers, does not know what will ha</w:t>
      </w:r>
      <w:r>
        <w:rPr>
          <w:noProof/>
        </w:rPr>
        <w:t>ppen to targets beyond 2020/2021 and whether any additional requirements will be put in place, they do not have the regulatory certainty required to invest with confidence for the EU market. Without clarity on the long-term regulatory framework companies c</w:t>
      </w:r>
      <w:r>
        <w:rPr>
          <w:noProof/>
        </w:rPr>
        <w:t>annot take long-term investment decisions in order to meet future market demands and optimise compliance costs.</w:t>
      </w:r>
    </w:p>
    <w:p w:rsidR="001A26B0" w:rsidRDefault="00E33A99">
      <w:pPr>
        <w:pStyle w:val="Heading3"/>
        <w:rPr>
          <w:noProof/>
        </w:rPr>
      </w:pPr>
      <w:bookmarkStart w:id="49" w:name="_Toc496635572"/>
      <w:r>
        <w:rPr>
          <w:noProof/>
        </w:rPr>
        <w:t>Driver 4: Effectiveness of standards is reduced by growing 'emissions gap'</w:t>
      </w:r>
      <w:bookmarkEnd w:id="49"/>
    </w:p>
    <w:p w:rsidR="001A26B0" w:rsidRDefault="00E33A99">
      <w:pPr>
        <w:spacing w:after="120"/>
        <w:rPr>
          <w:noProof/>
        </w:rPr>
      </w:pPr>
      <w:r>
        <w:rPr>
          <w:noProof/>
        </w:rPr>
        <w:t>There is evidence of an increasing divergence between average test an</w:t>
      </w:r>
      <w:r>
        <w:rPr>
          <w:noProof/>
        </w:rPr>
        <w:t>d real world CO</w:t>
      </w:r>
      <w:r>
        <w:rPr>
          <w:noProof/>
          <w:vertAlign w:val="subscript"/>
        </w:rPr>
        <w:t>2</w:t>
      </w:r>
      <w:r>
        <w:rPr>
          <w:noProof/>
        </w:rPr>
        <w:t xml:space="preserve"> emissions. Recent studies estimate the divergence is up to around 40%</w:t>
      </w:r>
      <w:r>
        <w:rPr>
          <w:noProof/>
          <w:vertAlign w:val="superscript"/>
        </w:rPr>
        <w:footnoteReference w:id="58"/>
      </w:r>
      <w:r>
        <w:rPr>
          <w:noProof/>
        </w:rPr>
        <w:t>. A number of factors have been identified to explain the divergence including the deployment of CO</w:t>
      </w:r>
      <w:r>
        <w:rPr>
          <w:noProof/>
          <w:vertAlign w:val="subscript"/>
        </w:rPr>
        <w:t>2</w:t>
      </w:r>
      <w:r>
        <w:rPr>
          <w:noProof/>
        </w:rPr>
        <w:t xml:space="preserve"> reducing technologies delivering more savings under test conditions than on the road, the optimisation of the test procedure as well as the increased deployment of energy using devices which are not taken into account when a vehicle is tested for its cert</w:t>
      </w:r>
      <w:r>
        <w:rPr>
          <w:noProof/>
        </w:rPr>
        <w:t>ified CO</w:t>
      </w:r>
      <w:r>
        <w:rPr>
          <w:noProof/>
          <w:vertAlign w:val="subscript"/>
        </w:rPr>
        <w:t>2</w:t>
      </w:r>
      <w:r>
        <w:rPr>
          <w:noProof/>
        </w:rPr>
        <w:t xml:space="preserve"> emissions.  For example, air conditioning systems are not included when a vehicle is tested for its certified CO</w:t>
      </w:r>
      <w:r>
        <w:rPr>
          <w:noProof/>
          <w:vertAlign w:val="subscript"/>
        </w:rPr>
        <w:t>2</w:t>
      </w:r>
      <w:r>
        <w:rPr>
          <w:noProof/>
        </w:rPr>
        <w:t xml:space="preserve"> emissions but are widely installed and used, thus leading to higher real world emissions.</w:t>
      </w:r>
    </w:p>
    <w:p w:rsidR="001A26B0" w:rsidRDefault="00E33A99">
      <w:pPr>
        <w:spacing w:after="120"/>
        <w:rPr>
          <w:noProof/>
        </w:rPr>
      </w:pPr>
      <w:r>
        <w:rPr>
          <w:noProof/>
        </w:rPr>
        <w:t xml:space="preserve">This increasing divergence means that the </w:t>
      </w:r>
      <w:r>
        <w:rPr>
          <w:noProof/>
        </w:rPr>
        <w:t>actual CO</w:t>
      </w:r>
      <w:r>
        <w:rPr>
          <w:noProof/>
          <w:vertAlign w:val="subscript"/>
        </w:rPr>
        <w:t>2</w:t>
      </w:r>
      <w:r>
        <w:rPr>
          <w:noProof/>
        </w:rPr>
        <w:t xml:space="preserve"> savings achieved are considerably less than those suggested by the test performance. Since manufacturers' compliance with their specific emissions target is assessed on the basis of the CO</w:t>
      </w:r>
      <w:r>
        <w:rPr>
          <w:noProof/>
          <w:vertAlign w:val="subscript"/>
        </w:rPr>
        <w:t>2</w:t>
      </w:r>
      <w:r>
        <w:rPr>
          <w:noProof/>
        </w:rPr>
        <w:t xml:space="preserve"> emissions as certified during the official test cycle, </w:t>
      </w:r>
      <w:r>
        <w:rPr>
          <w:noProof/>
        </w:rPr>
        <w:t>the 'emissions gap' undermines the effectiveness of the CO</w:t>
      </w:r>
      <w:r>
        <w:rPr>
          <w:noProof/>
          <w:vertAlign w:val="subscript"/>
        </w:rPr>
        <w:t>2</w:t>
      </w:r>
      <w:r>
        <w:rPr>
          <w:noProof/>
        </w:rPr>
        <w:t xml:space="preserve"> performance standards. In addition, the 'emissions gap' has undermined consumers' trust in the potential CO</w:t>
      </w:r>
      <w:r>
        <w:rPr>
          <w:noProof/>
          <w:vertAlign w:val="subscript"/>
        </w:rPr>
        <w:t>2</w:t>
      </w:r>
      <w:r>
        <w:rPr>
          <w:noProof/>
        </w:rPr>
        <w:t xml:space="preserve">/fuel savings of new vehicles which in turn may have affected consumers' willingness to </w:t>
      </w:r>
      <w:r>
        <w:rPr>
          <w:noProof/>
        </w:rPr>
        <w:t xml:space="preserve">buy the most efficient vehicles.   </w:t>
      </w:r>
    </w:p>
    <w:p w:rsidR="001A26B0" w:rsidRDefault="00E33A99">
      <w:pPr>
        <w:pStyle w:val="Heading3"/>
        <w:rPr>
          <w:noProof/>
        </w:rPr>
      </w:pPr>
      <w:bookmarkStart w:id="50" w:name="_Toc496635573"/>
      <w:r>
        <w:rPr>
          <w:noProof/>
        </w:rPr>
        <w:t>Driver 5: Road transport activity is increasing</w:t>
      </w:r>
      <w:bookmarkEnd w:id="50"/>
    </w:p>
    <w:p w:rsidR="001A26B0" w:rsidRDefault="00E33A99">
      <w:pPr>
        <w:spacing w:after="120"/>
        <w:rPr>
          <w:noProof/>
        </w:rPr>
      </w:pPr>
      <w:r>
        <w:rPr>
          <w:bCs/>
          <w:noProof/>
        </w:rPr>
        <w:t xml:space="preserve">EU transport activity is expected to continue growing </w:t>
      </w:r>
      <w:r>
        <w:rPr>
          <w:noProof/>
        </w:rPr>
        <w:t>under current trends and adopted policies, albeit at a slower pace than in the past</w:t>
      </w:r>
      <w:r>
        <w:rPr>
          <w:rStyle w:val="FootnoteReference"/>
          <w:noProof/>
        </w:rPr>
        <w:footnoteReference w:id="59"/>
      </w:r>
      <w:r>
        <w:rPr>
          <w:noProof/>
        </w:rPr>
        <w:t>. Despite profound shifts in mobil</w:t>
      </w:r>
      <w:r>
        <w:rPr>
          <w:noProof/>
        </w:rPr>
        <w:t>ity being underway, such as shared mobility services and easier shifts between modes,  passenger traffic growth is still projected to increase 23% by 2030 (1% per year) and 42% by 2050 (0.9% per year) relative to 2010. Road transport would maintain its dom</w:t>
      </w:r>
      <w:r>
        <w:rPr>
          <w:noProof/>
        </w:rPr>
        <w:t xml:space="preserve">inant role within the EU. Passenger cars and vans would still contribute 70% of passenger traffic by 2030 and about two thirds by 2050, despite growing at lower pace relative to other modes due to slowdown in car ownership increase. </w:t>
      </w:r>
    </w:p>
    <w:p w:rsidR="001A26B0" w:rsidRDefault="00E33A99">
      <w:pPr>
        <w:spacing w:after="120"/>
        <w:rPr>
          <w:noProof/>
        </w:rPr>
      </w:pPr>
      <w:r>
        <w:rPr>
          <w:noProof/>
        </w:rPr>
        <w:t>While this increased a</w:t>
      </w:r>
      <w:r>
        <w:rPr>
          <w:noProof/>
        </w:rPr>
        <w:t>ctivity is reflective of economic growth, it brings with it negative impacts in terms of GHG emissions and air quality impacts, if no additional measures are taken. It remains to be seen to what extent other developments such as autonomous driving may affe</w:t>
      </w:r>
      <w:r>
        <w:rPr>
          <w:noProof/>
        </w:rPr>
        <w:t>ct road transport activity.</w:t>
      </w:r>
    </w:p>
    <w:p w:rsidR="001A26B0" w:rsidRDefault="00E33A99">
      <w:pPr>
        <w:pStyle w:val="Heading2"/>
        <w:rPr>
          <w:noProof/>
        </w:rPr>
      </w:pPr>
      <w:bookmarkStart w:id="51" w:name="_Toc496635574"/>
      <w:r>
        <w:rPr>
          <w:noProof/>
        </w:rPr>
        <w:t>Who is affected and how?</w:t>
      </w:r>
      <w:bookmarkEnd w:id="51"/>
    </w:p>
    <w:p w:rsidR="001A26B0" w:rsidRDefault="00E33A99">
      <w:pPr>
        <w:spacing w:after="120"/>
        <w:rPr>
          <w:noProof/>
        </w:rPr>
      </w:pPr>
      <w:r>
        <w:rPr>
          <w:noProof/>
        </w:rPr>
        <w:t>The users of vehicles, both individuals and businesses, are affected because they face the cost of the energy required to propel the vehicles. Reducing the vehicle's CO</w:t>
      </w:r>
      <w:r>
        <w:rPr>
          <w:noProof/>
          <w:vertAlign w:val="subscript"/>
        </w:rPr>
        <w:t>2</w:t>
      </w:r>
      <w:r>
        <w:rPr>
          <w:noProof/>
        </w:rPr>
        <w:t xml:space="preserve"> emissions will reduce the energy </w:t>
      </w:r>
      <w:r>
        <w:rPr>
          <w:noProof/>
        </w:rPr>
        <w:t xml:space="preserve">required and result in a cost saving to the user. The use of technology to reduce in-use GHG emissions has a cost which is expected to be passed on to the vehicle purchaser.  </w:t>
      </w:r>
    </w:p>
    <w:p w:rsidR="001A26B0" w:rsidRDefault="00E33A99">
      <w:pPr>
        <w:spacing w:after="120"/>
        <w:rPr>
          <w:noProof/>
        </w:rPr>
      </w:pPr>
      <w:r>
        <w:rPr>
          <w:noProof/>
        </w:rPr>
        <w:t xml:space="preserve">Citizens, </w:t>
      </w:r>
      <w:r>
        <w:rPr>
          <w:noProof/>
          <w:szCs w:val="24"/>
        </w:rPr>
        <w:t>especially those living in urban areas with high concentrations of pol</w:t>
      </w:r>
      <w:r>
        <w:rPr>
          <w:noProof/>
          <w:szCs w:val="24"/>
        </w:rPr>
        <w:t xml:space="preserve">lutants, will benefit from better air quality and less associated health problems due to reduced </w:t>
      </w:r>
      <w:r>
        <w:rPr>
          <w:noProof/>
        </w:rPr>
        <w:t xml:space="preserve">air pollutant emissions, in particular when the uptake of zero-emission vehicles increases. </w:t>
      </w:r>
    </w:p>
    <w:p w:rsidR="001A26B0" w:rsidRDefault="00E33A99">
      <w:pPr>
        <w:spacing w:after="120"/>
        <w:rPr>
          <w:noProof/>
        </w:rPr>
      </w:pPr>
      <w:r>
        <w:rPr>
          <w:noProof/>
        </w:rPr>
        <w:t>CO</w:t>
      </w:r>
      <w:r>
        <w:rPr>
          <w:noProof/>
          <w:vertAlign w:val="subscript"/>
        </w:rPr>
        <w:t>2</w:t>
      </w:r>
      <w:r>
        <w:rPr>
          <w:noProof/>
        </w:rPr>
        <w:t xml:space="preserve"> standards require vehicle manufacturers to reduce CO</w:t>
      </w:r>
      <w:r>
        <w:rPr>
          <w:noProof/>
          <w:vertAlign w:val="subscript"/>
        </w:rPr>
        <w:t>2</w:t>
      </w:r>
      <w:r>
        <w:rPr>
          <w:noProof/>
        </w:rPr>
        <w:t xml:space="preserve"> emission</w:t>
      </w:r>
      <w:r>
        <w:rPr>
          <w:noProof/>
        </w:rPr>
        <w:t>s as a result of which they will have to introduce technical CO</w:t>
      </w:r>
      <w:r>
        <w:rPr>
          <w:noProof/>
          <w:vertAlign w:val="subscript"/>
        </w:rPr>
        <w:t>2</w:t>
      </w:r>
      <w:r>
        <w:rPr>
          <w:noProof/>
        </w:rPr>
        <w:t xml:space="preserve"> reduction measures. In the short-term, this is likely to result in increased production costs and could affect the structure of their product portfolios. However, demand for low- and zero-emi</w:t>
      </w:r>
      <w:r>
        <w:rPr>
          <w:noProof/>
        </w:rPr>
        <w:t>ssion CO</w:t>
      </w:r>
      <w:r>
        <w:rPr>
          <w:noProof/>
          <w:vertAlign w:val="subscript"/>
        </w:rPr>
        <w:t>2</w:t>
      </w:r>
      <w:r>
        <w:rPr>
          <w:noProof/>
        </w:rPr>
        <w:t xml:space="preserve"> vehicles is expected to increase throughout the world as climate change and air quality policies develop and other countries introduce similar or even more ambitious standards, manufacturers have an opportunity to gain first mover advantage and t</w:t>
      </w:r>
      <w:r>
        <w:rPr>
          <w:noProof/>
        </w:rPr>
        <w:t>he potential to sell advanced low CO</w:t>
      </w:r>
      <w:r>
        <w:rPr>
          <w:noProof/>
          <w:vertAlign w:val="subscript"/>
        </w:rPr>
        <w:t>2</w:t>
      </w:r>
      <w:r>
        <w:rPr>
          <w:noProof/>
        </w:rPr>
        <w:t xml:space="preserve"> vehicles in other markets. </w:t>
      </w:r>
    </w:p>
    <w:p w:rsidR="001A26B0" w:rsidRDefault="00E33A99">
      <w:pPr>
        <w:spacing w:after="120"/>
        <w:rPr>
          <w:noProof/>
        </w:rPr>
      </w:pPr>
      <w:r>
        <w:rPr>
          <w:noProof/>
        </w:rPr>
        <w:t xml:space="preserve">Suppliers of components and materials from which vehicles are constructed will be affected by changing demands on them. Component suppliers have a key role in researching and developing </w:t>
      </w:r>
      <w:r>
        <w:rPr>
          <w:noProof/>
        </w:rPr>
        <w:t>technologies and marketing them to vehicle manufacturers. Requirements leading to the uptake of additional technologies or materials (e.g. aluminium, plastics, advanced construction materials) may create extra business activity for them. While often overlo</w:t>
      </w:r>
      <w:r>
        <w:rPr>
          <w:noProof/>
        </w:rPr>
        <w:t>oked, EU employment in the component supply industry is as large as in the vehicle manufacturing industry.</w:t>
      </w:r>
    </w:p>
    <w:p w:rsidR="001A26B0" w:rsidRDefault="00E33A99">
      <w:pPr>
        <w:spacing w:after="120"/>
        <w:rPr>
          <w:noProof/>
        </w:rPr>
      </w:pPr>
      <w:r>
        <w:rPr>
          <w:noProof/>
        </w:rPr>
        <w:t>Suppliers of fuels are affected by reduced energy demand leading to less utilisation of existing infrastructure. If demand shifts to vehicles supplie</w:t>
      </w:r>
      <w:r>
        <w:rPr>
          <w:noProof/>
        </w:rPr>
        <w:t xml:space="preserve">d with alternative energy sources, this may potentially increase the need for other types of infrastructure and create new business opportunities and challenges for electricity supply companies and network operators. </w:t>
      </w:r>
    </w:p>
    <w:p w:rsidR="001A26B0" w:rsidRDefault="00E33A99">
      <w:pPr>
        <w:widowControl w:val="0"/>
        <w:spacing w:after="120"/>
        <w:rPr>
          <w:noProof/>
          <w:szCs w:val="24"/>
        </w:rPr>
      </w:pPr>
      <w:r>
        <w:rPr>
          <w:noProof/>
        </w:rPr>
        <w:t xml:space="preserve">There may also be impacts for example </w:t>
      </w:r>
      <w:r>
        <w:rPr>
          <w:noProof/>
        </w:rPr>
        <w:t xml:space="preserve">in the need for or type of vehicle servicing. There will also be lower maintenance requirements for battery electric vehicles. </w:t>
      </w:r>
    </w:p>
    <w:p w:rsidR="001A26B0" w:rsidRDefault="00E33A99">
      <w:pPr>
        <w:widowControl w:val="0"/>
        <w:spacing w:after="120"/>
        <w:rPr>
          <w:noProof/>
          <w:szCs w:val="24"/>
        </w:rPr>
      </w:pPr>
      <w:r>
        <w:rPr>
          <w:noProof/>
        </w:rPr>
        <w:t>The production and maintenance of vehicles with an electrified powertrain will pose important challenges to the workforce in the</w:t>
      </w:r>
      <w:r>
        <w:rPr>
          <w:noProof/>
        </w:rPr>
        <w:t xml:space="preserve"> automotive sector including manufacturers and component suppliers as well as repair and maintenance businesses. The workforce will need additional and/or different skills to deal with new components and manufacturing processes.</w:t>
      </w:r>
    </w:p>
    <w:p w:rsidR="001A26B0" w:rsidRDefault="00E33A99">
      <w:pPr>
        <w:spacing w:after="120"/>
        <w:rPr>
          <w:noProof/>
        </w:rPr>
      </w:pPr>
      <w:r>
        <w:rPr>
          <w:noProof/>
        </w:rPr>
        <w:t>Other users of fuel and oil</w:t>
      </w:r>
      <w:r>
        <w:rPr>
          <w:noProof/>
        </w:rPr>
        <w:t>-related products (e.g. chemical industry, heating) are expected to benefit from lower prices if demand from the transport sector decreases. Sectors other than transport that emit GHGs will avoid demands to further reduce emissions to compensate for increa</w:t>
      </w:r>
      <w:r>
        <w:rPr>
          <w:noProof/>
        </w:rPr>
        <w:t>sed transport emissions. In so far as these sectors are exposed to competition, this will be important for their competitiveness.</w:t>
      </w:r>
    </w:p>
    <w:p w:rsidR="001A26B0" w:rsidRDefault="00E33A99">
      <w:pPr>
        <w:pStyle w:val="Heading1"/>
        <w:rPr>
          <w:noProof/>
        </w:rPr>
      </w:pPr>
      <w:bookmarkStart w:id="52" w:name="_Toc467857498"/>
      <w:bookmarkStart w:id="53" w:name="_Ref492548701"/>
      <w:bookmarkStart w:id="54" w:name="_Toc496635575"/>
      <w:bookmarkStart w:id="55" w:name="_Toc480815627"/>
      <w:r>
        <w:rPr>
          <w:noProof/>
        </w:rPr>
        <w:t>WHY SHOULD THE EU ACT?</w:t>
      </w:r>
      <w:bookmarkEnd w:id="52"/>
      <w:bookmarkEnd w:id="53"/>
      <w:bookmarkEnd w:id="54"/>
      <w:r>
        <w:rPr>
          <w:noProof/>
        </w:rPr>
        <w:t xml:space="preserve"> </w:t>
      </w:r>
      <w:bookmarkEnd w:id="55"/>
    </w:p>
    <w:p w:rsidR="001A26B0" w:rsidRDefault="00E33A99">
      <w:pPr>
        <w:pStyle w:val="Heading2"/>
        <w:rPr>
          <w:bCs/>
          <w:smallCaps/>
          <w:noProof/>
        </w:rPr>
      </w:pPr>
      <w:bookmarkStart w:id="56" w:name="_Toc496635576"/>
      <w:bookmarkStart w:id="57" w:name="_Toc475688980"/>
      <w:bookmarkStart w:id="58" w:name="_Toc480815628"/>
      <w:r>
        <w:rPr>
          <w:noProof/>
        </w:rPr>
        <w:t>The EU's right to act</w:t>
      </w:r>
      <w:bookmarkEnd w:id="56"/>
      <w:r>
        <w:rPr>
          <w:noProof/>
        </w:rPr>
        <w:t xml:space="preserve"> </w:t>
      </w:r>
      <w:bookmarkEnd w:id="57"/>
      <w:bookmarkEnd w:id="58"/>
    </w:p>
    <w:p w:rsidR="001A26B0" w:rsidRDefault="00E33A99">
      <w:pPr>
        <w:spacing w:after="120"/>
        <w:rPr>
          <w:noProof/>
          <w:color w:val="000000"/>
          <w:szCs w:val="24"/>
        </w:rPr>
      </w:pPr>
      <w:r>
        <w:rPr>
          <w:noProof/>
          <w:color w:val="000000"/>
          <w:szCs w:val="24"/>
        </w:rPr>
        <w:t>The Environment chapter of the Treaty, in particular Article 191 and Article 19</w:t>
      </w:r>
      <w:r>
        <w:rPr>
          <w:noProof/>
          <w:color w:val="000000"/>
          <w:szCs w:val="24"/>
        </w:rPr>
        <w:t>2 of TFEU, give the EU the right to act in order to guarantee a high level of environmental protection. As mentioned in Section 1.1, based on Article 192 TFEU, the EU has already acted in the area of vehicle emissions, including adopting Regulations (EC) 4</w:t>
      </w:r>
      <w:r>
        <w:rPr>
          <w:noProof/>
          <w:color w:val="000000"/>
          <w:szCs w:val="24"/>
        </w:rPr>
        <w:t>43/2009 and (EU) 510/2011 which set limits for CO</w:t>
      </w:r>
      <w:r>
        <w:rPr>
          <w:noProof/>
          <w:color w:val="000000"/>
          <w:szCs w:val="24"/>
          <w:vertAlign w:val="subscript"/>
        </w:rPr>
        <w:t>2</w:t>
      </w:r>
      <w:r>
        <w:rPr>
          <w:noProof/>
          <w:color w:val="000000"/>
          <w:szCs w:val="24"/>
        </w:rPr>
        <w:t xml:space="preserve"> emissions from cars and vans, and with implementing legislation on monitoring and reporting of data (Commission Regulation (EU) No 1014/2010 (cars) and Commission Implementing Regulation 2012/293/EU (vans)). </w:t>
      </w:r>
    </w:p>
    <w:p w:rsidR="001A26B0" w:rsidRDefault="00E33A99">
      <w:pPr>
        <w:pStyle w:val="Heading2"/>
        <w:rPr>
          <w:noProof/>
        </w:rPr>
      </w:pPr>
      <w:bookmarkStart w:id="59" w:name="_Toc496635577"/>
      <w:r>
        <w:rPr>
          <w:noProof/>
        </w:rPr>
        <w:t>What would happen without EU action?</w:t>
      </w:r>
      <w:bookmarkEnd w:id="59"/>
    </w:p>
    <w:p w:rsidR="001A26B0" w:rsidRDefault="00E33A99">
      <w:pPr>
        <w:spacing w:after="120"/>
        <w:rPr>
          <w:noProof/>
        </w:rPr>
      </w:pPr>
      <w:r>
        <w:rPr>
          <w:noProof/>
        </w:rPr>
        <w:t>EU fuel e</w:t>
      </w:r>
      <w:r>
        <w:rPr>
          <w:noProof/>
        </w:rPr>
        <w:t>fficiency standards for new cars and vans have proven to be a strong driver for innovation and efficiency in automotive technology. These targets allowed EU manufacturers to have a first mover advantage and to increase exports globally. Without further act</w:t>
      </w:r>
      <w:r>
        <w:rPr>
          <w:noProof/>
        </w:rPr>
        <w:t>ion in this field, it will be difficult for the EU automotive sector to retain its leading role in global markets as developing innovation and cutting-edge technologies is the only way to maintain and strengthen European competitiveness.</w:t>
      </w:r>
    </w:p>
    <w:p w:rsidR="001A26B0" w:rsidRDefault="00E33A99">
      <w:pPr>
        <w:spacing w:after="120"/>
        <w:rPr>
          <w:noProof/>
        </w:rPr>
      </w:pPr>
      <w:r>
        <w:rPr>
          <w:noProof/>
        </w:rPr>
        <w:t>With all major mar</w:t>
      </w:r>
      <w:r>
        <w:rPr>
          <w:noProof/>
        </w:rPr>
        <w:t>kets with the exception of China and India projected to stall in the future, it will be important for the EU to maintain or increase the share of high-quality and high-technology vehicles on third markets, notably in those markets that are likely to grow f</w:t>
      </w:r>
      <w:r>
        <w:rPr>
          <w:noProof/>
        </w:rPr>
        <w:t>ast. (source GEAR 2030)</w:t>
      </w:r>
    </w:p>
    <w:p w:rsidR="001A26B0" w:rsidRDefault="00E33A99">
      <w:pPr>
        <w:spacing w:after="120"/>
        <w:rPr>
          <w:noProof/>
          <w:color w:val="000000"/>
          <w:szCs w:val="24"/>
        </w:rPr>
      </w:pPr>
      <w:r>
        <w:rPr>
          <w:noProof/>
          <w:color w:val="000000"/>
          <w:szCs w:val="24"/>
        </w:rPr>
        <w:t>Besides, without further EU action in this field it is likely there would be little additional substantial CO</w:t>
      </w:r>
      <w:r>
        <w:rPr>
          <w:noProof/>
          <w:color w:val="000000"/>
          <w:szCs w:val="24"/>
          <w:vertAlign w:val="subscript"/>
        </w:rPr>
        <w:t>2</w:t>
      </w:r>
      <w:r>
        <w:rPr>
          <w:noProof/>
          <w:color w:val="000000"/>
          <w:szCs w:val="24"/>
        </w:rPr>
        <w:t xml:space="preserve"> reduction from new light-duty vehicles. There may be certain expectations that in view of the current CO</w:t>
      </w:r>
      <w:r>
        <w:rPr>
          <w:noProof/>
          <w:color w:val="000000"/>
          <w:szCs w:val="24"/>
          <w:vertAlign w:val="subscript"/>
        </w:rPr>
        <w:t>2</w:t>
      </w:r>
      <w:r>
        <w:rPr>
          <w:noProof/>
          <w:color w:val="000000"/>
          <w:szCs w:val="24"/>
        </w:rPr>
        <w:t xml:space="preserve"> requirements an</w:t>
      </w:r>
      <w:r>
        <w:rPr>
          <w:noProof/>
          <w:color w:val="000000"/>
          <w:szCs w:val="24"/>
        </w:rPr>
        <w:t>d expected regulatory action in this field in third countries to which European vehicles are exported, the fuel efficiency improvement of vehicles may continue somewhat beyond this rate. However, as seen in the EU in the period between 1995 and 2006 for ca</w:t>
      </w:r>
      <w:r>
        <w:rPr>
          <w:noProof/>
          <w:color w:val="000000"/>
          <w:szCs w:val="24"/>
        </w:rPr>
        <w:t>rs, in the absence of the mandatory CO</w:t>
      </w:r>
      <w:r>
        <w:rPr>
          <w:noProof/>
          <w:color w:val="000000"/>
          <w:szCs w:val="24"/>
          <w:vertAlign w:val="subscript"/>
        </w:rPr>
        <w:t>2</w:t>
      </w:r>
      <w:r>
        <w:rPr>
          <w:noProof/>
          <w:color w:val="000000"/>
          <w:szCs w:val="24"/>
        </w:rPr>
        <w:t xml:space="preserve"> standard this progress is likely to be offset at least to some degree by the increase in power, size or comfort of new cars. </w:t>
      </w:r>
    </w:p>
    <w:p w:rsidR="001A26B0" w:rsidRDefault="00E33A99">
      <w:pPr>
        <w:spacing w:after="120"/>
        <w:rPr>
          <w:noProof/>
          <w:color w:val="000000"/>
          <w:szCs w:val="24"/>
        </w:rPr>
      </w:pPr>
      <w:r>
        <w:rPr>
          <w:noProof/>
          <w:color w:val="000000"/>
          <w:szCs w:val="24"/>
        </w:rPr>
        <w:t>Some reduction in emissions from the overall fleet of light-duty vehicles would still be e</w:t>
      </w:r>
      <w:r>
        <w:rPr>
          <w:noProof/>
          <w:color w:val="000000"/>
          <w:szCs w:val="24"/>
        </w:rPr>
        <w:t>xpected beyond 2021 due to the continuing renewal of the existing fleet with newer cars and vans meeting the 2020/21 CO</w:t>
      </w:r>
      <w:r>
        <w:rPr>
          <w:noProof/>
          <w:color w:val="000000"/>
          <w:szCs w:val="24"/>
          <w:vertAlign w:val="subscript"/>
        </w:rPr>
        <w:t>2</w:t>
      </w:r>
      <w:r>
        <w:rPr>
          <w:noProof/>
          <w:color w:val="000000"/>
          <w:szCs w:val="24"/>
        </w:rPr>
        <w:t xml:space="preserve"> standards. However, transport activity would continue to increase and the overall CO</w:t>
      </w:r>
      <w:r>
        <w:rPr>
          <w:noProof/>
          <w:color w:val="000000"/>
          <w:szCs w:val="24"/>
          <w:vertAlign w:val="subscript"/>
        </w:rPr>
        <w:t>2</w:t>
      </w:r>
      <w:r>
        <w:rPr>
          <w:noProof/>
          <w:color w:val="000000"/>
          <w:szCs w:val="24"/>
        </w:rPr>
        <w:t xml:space="preserve"> reductions would not be sufficient to reach the t</w:t>
      </w:r>
      <w:r>
        <w:rPr>
          <w:noProof/>
          <w:color w:val="000000"/>
          <w:szCs w:val="24"/>
        </w:rPr>
        <w:t xml:space="preserve">argets set by the European Council in the 2030 Climate and Energy Package or contribute sufficiently to the goals of the Paris Agreement. </w:t>
      </w:r>
    </w:p>
    <w:p w:rsidR="001A26B0" w:rsidRDefault="00E33A99">
      <w:pPr>
        <w:pStyle w:val="Heading2"/>
        <w:rPr>
          <w:bCs/>
          <w:smallCaps/>
          <w:noProof/>
        </w:rPr>
      </w:pPr>
      <w:bookmarkStart w:id="60" w:name="_Toc475688981"/>
      <w:bookmarkStart w:id="61" w:name="_Toc480815629"/>
      <w:bookmarkStart w:id="62" w:name="_Toc496635578"/>
      <w:r>
        <w:rPr>
          <w:noProof/>
        </w:rPr>
        <w:t>Analysis of subsidiarity and added value of EU action</w:t>
      </w:r>
      <w:bookmarkEnd w:id="60"/>
      <w:bookmarkEnd w:id="61"/>
      <w:bookmarkEnd w:id="62"/>
    </w:p>
    <w:p w:rsidR="001A26B0" w:rsidRDefault="00E33A99">
      <w:pPr>
        <w:spacing w:after="120"/>
        <w:rPr>
          <w:iCs/>
          <w:noProof/>
          <w:color w:val="000000"/>
          <w:szCs w:val="24"/>
        </w:rPr>
      </w:pPr>
      <w:r>
        <w:rPr>
          <w:iCs/>
          <w:noProof/>
          <w:color w:val="000000"/>
          <w:szCs w:val="24"/>
        </w:rPr>
        <w:t xml:space="preserve">EU action is justified in view of both the cross-border impact </w:t>
      </w:r>
      <w:r>
        <w:rPr>
          <w:iCs/>
          <w:noProof/>
          <w:color w:val="000000"/>
          <w:szCs w:val="24"/>
        </w:rPr>
        <w:t>of climate change and the need to safeguard single markets in vehicles.</w:t>
      </w:r>
    </w:p>
    <w:p w:rsidR="001A26B0" w:rsidRDefault="00E33A99">
      <w:pPr>
        <w:spacing w:after="120"/>
        <w:rPr>
          <w:iCs/>
          <w:noProof/>
          <w:color w:val="000000"/>
          <w:szCs w:val="24"/>
        </w:rPr>
      </w:pPr>
      <w:r>
        <w:rPr>
          <w:iCs/>
          <w:noProof/>
          <w:color w:val="000000"/>
          <w:szCs w:val="24"/>
        </w:rPr>
        <w:t xml:space="preserve">Without EU level action there would be a risk of a range of national schemes to reduce light duty vehicle </w:t>
      </w:r>
      <w:r>
        <w:rPr>
          <w:noProof/>
        </w:rPr>
        <w:t>CO</w:t>
      </w:r>
      <w:r>
        <w:rPr>
          <w:noProof/>
          <w:vertAlign w:val="subscript"/>
        </w:rPr>
        <w:t>2</w:t>
      </w:r>
      <w:r>
        <w:rPr>
          <w:iCs/>
          <w:noProof/>
          <w:color w:val="000000"/>
          <w:szCs w:val="24"/>
        </w:rPr>
        <w:t xml:space="preserve"> emissions. If this were to happen it would result in differing ambition le</w:t>
      </w:r>
      <w:r>
        <w:rPr>
          <w:iCs/>
          <w:noProof/>
          <w:color w:val="000000"/>
          <w:szCs w:val="24"/>
        </w:rPr>
        <w:t xml:space="preserve">vels and design parameters which would require a range of technology options and vehicle configurations, diminishing economies of scale. </w:t>
      </w:r>
    </w:p>
    <w:p w:rsidR="001A26B0" w:rsidRDefault="00E33A99">
      <w:pPr>
        <w:spacing w:after="120"/>
        <w:rPr>
          <w:iCs/>
          <w:noProof/>
          <w:color w:val="000000"/>
          <w:szCs w:val="24"/>
        </w:rPr>
      </w:pPr>
      <w:r>
        <w:rPr>
          <w:iCs/>
          <w:noProof/>
          <w:color w:val="000000"/>
          <w:szCs w:val="24"/>
        </w:rPr>
        <w:t>Since manufacturers hold differing shares of the vehicle market in different Member States they would therefore be dif</w:t>
      </w:r>
      <w:r>
        <w:rPr>
          <w:iCs/>
          <w:noProof/>
          <w:color w:val="000000"/>
          <w:szCs w:val="24"/>
        </w:rPr>
        <w:t xml:space="preserve">ferentially impacted by various national legislations potentially causing competitive distortions. There is even a risk that national legislation might be tailored to suit local industry. </w:t>
      </w:r>
    </w:p>
    <w:p w:rsidR="001A26B0" w:rsidRDefault="00E33A99">
      <w:pPr>
        <w:spacing w:after="120"/>
        <w:rPr>
          <w:iCs/>
          <w:noProof/>
          <w:color w:val="000000"/>
          <w:szCs w:val="24"/>
        </w:rPr>
      </w:pPr>
      <w:r>
        <w:rPr>
          <w:iCs/>
          <w:noProof/>
          <w:color w:val="000000"/>
          <w:szCs w:val="24"/>
        </w:rPr>
        <w:t>This poor coordination of requirements between countries, even if a</w:t>
      </w:r>
      <w:r>
        <w:rPr>
          <w:iCs/>
          <w:noProof/>
          <w:color w:val="000000"/>
          <w:szCs w:val="24"/>
        </w:rPr>
        <w:t xml:space="preserve">ll Member States were to establish regulatory requirements for new vehicle </w:t>
      </w:r>
      <w:r>
        <w:rPr>
          <w:noProof/>
        </w:rPr>
        <w:t>CO</w:t>
      </w:r>
      <w:r>
        <w:rPr>
          <w:noProof/>
          <w:vertAlign w:val="subscript"/>
        </w:rPr>
        <w:t>2</w:t>
      </w:r>
      <w:r>
        <w:rPr>
          <w:iCs/>
          <w:noProof/>
          <w:color w:val="000000"/>
          <w:szCs w:val="24"/>
        </w:rPr>
        <w:t xml:space="preserve"> emissions, would raise compliance costs for manufacturers as well as weaken the incentive to design fuel efficient cars and LCVs because of the fragmentation of the European mar</w:t>
      </w:r>
      <w:r>
        <w:rPr>
          <w:iCs/>
          <w:noProof/>
          <w:color w:val="000000"/>
          <w:szCs w:val="24"/>
        </w:rPr>
        <w:t>ket.  It is unlikely that Member States acting individually would set targets in an equally consistent manner as shown by the widely differing tax treatment of new cars across the EU. This means that greater benefits will be achieved for the same cost from</w:t>
      </w:r>
      <w:r>
        <w:rPr>
          <w:iCs/>
          <w:noProof/>
          <w:color w:val="000000"/>
          <w:szCs w:val="24"/>
        </w:rPr>
        <w:t xml:space="preserve"> coordinated EU action than would be achieved from differing levels of Member State action.</w:t>
      </w:r>
    </w:p>
    <w:p w:rsidR="001A26B0" w:rsidRDefault="00E33A99">
      <w:pPr>
        <w:spacing w:after="120"/>
        <w:rPr>
          <w:iCs/>
          <w:noProof/>
          <w:color w:val="000000"/>
          <w:szCs w:val="24"/>
        </w:rPr>
      </w:pPr>
      <w:r>
        <w:rPr>
          <w:iCs/>
          <w:noProof/>
          <w:color w:val="000000"/>
          <w:szCs w:val="24"/>
        </w:rPr>
        <w:t>With action only at Member State level we would not benefit from the lower costs which would arise as a result of the economies of scale that an EU wide policy deli</w:t>
      </w:r>
      <w:r>
        <w:rPr>
          <w:iCs/>
          <w:noProof/>
          <w:color w:val="000000"/>
          <w:szCs w:val="24"/>
        </w:rPr>
        <w:t>vers. The EU light vehicle market is currently around 16 million vehicles per year. The largest Member State market is around 3 million vehicles per year. On their own, individual Member States would represent too small a market to achieve the same level o</w:t>
      </w:r>
      <w:r>
        <w:rPr>
          <w:iCs/>
          <w:noProof/>
          <w:color w:val="000000"/>
          <w:szCs w:val="24"/>
        </w:rPr>
        <w:t>f results and therefore an EU wide approach is needed to drive industry level changes.</w:t>
      </w:r>
    </w:p>
    <w:p w:rsidR="001A26B0" w:rsidRDefault="00E33A99">
      <w:pPr>
        <w:spacing w:after="120"/>
        <w:rPr>
          <w:iCs/>
          <w:noProof/>
          <w:color w:val="000000"/>
          <w:szCs w:val="24"/>
        </w:rPr>
      </w:pPr>
      <w:r>
        <w:rPr>
          <w:iCs/>
          <w:noProof/>
          <w:color w:val="000000"/>
          <w:szCs w:val="24"/>
        </w:rPr>
        <w:t>The additional costs which would arise from the lack of common standards and common technical solutions or vehicle configurations would be incurred by both component sup</w:t>
      </w:r>
      <w:r>
        <w:rPr>
          <w:iCs/>
          <w:noProof/>
          <w:color w:val="000000"/>
          <w:szCs w:val="24"/>
        </w:rPr>
        <w:t>pliers and vehicle manufacturers. However, they ultimately would be passed on to consumers who would face higher vehicle costs for the same level of greenhouse gas reduction without coordinated EU action.</w:t>
      </w:r>
    </w:p>
    <w:p w:rsidR="001A26B0" w:rsidRDefault="00E33A99">
      <w:pPr>
        <w:spacing w:after="120"/>
        <w:rPr>
          <w:iCs/>
          <w:noProof/>
          <w:color w:val="000000"/>
          <w:szCs w:val="24"/>
        </w:rPr>
      </w:pPr>
      <w:r>
        <w:rPr>
          <w:iCs/>
          <w:noProof/>
          <w:color w:val="000000"/>
          <w:szCs w:val="24"/>
        </w:rPr>
        <w:t>The automotive industry requires as much regulatory</w:t>
      </w:r>
      <w:r>
        <w:rPr>
          <w:iCs/>
          <w:noProof/>
          <w:color w:val="000000"/>
          <w:szCs w:val="24"/>
        </w:rPr>
        <w:t xml:space="preserve"> certainty as possible if it is to make the large capital investments necessary to maximise the fuel economy of new vehicles, and even more so for shifting to new primary energy sources. Standards provide this certainty over a long planning horizon and the</w:t>
      </w:r>
      <w:r>
        <w:rPr>
          <w:iCs/>
          <w:noProof/>
          <w:color w:val="000000"/>
          <w:szCs w:val="24"/>
        </w:rPr>
        <w:t>y could not be implemented with the same effectiveness and certainty at Member State level.</w:t>
      </w:r>
    </w:p>
    <w:p w:rsidR="001A26B0" w:rsidRDefault="00E33A99">
      <w:pPr>
        <w:spacing w:after="200" w:line="276" w:lineRule="auto"/>
        <w:jc w:val="left"/>
        <w:rPr>
          <w:b/>
          <w:smallCaps/>
          <w:noProof/>
          <w:lang w:val="en"/>
        </w:rPr>
      </w:pPr>
      <w:bookmarkStart w:id="63" w:name="_Toc467857499"/>
      <w:bookmarkStart w:id="64" w:name="_Toc480815630"/>
      <w:bookmarkStart w:id="65" w:name="_Ref492548718"/>
      <w:r>
        <w:rPr>
          <w:noProof/>
        </w:rPr>
        <w:br w:type="page"/>
      </w:r>
    </w:p>
    <w:p w:rsidR="001A26B0" w:rsidRDefault="00E33A99">
      <w:pPr>
        <w:pStyle w:val="Heading1"/>
        <w:rPr>
          <w:noProof/>
        </w:rPr>
      </w:pPr>
      <w:bookmarkStart w:id="66" w:name="_Ref494098374"/>
      <w:bookmarkStart w:id="67" w:name="_Toc496635579"/>
      <w:r>
        <w:rPr>
          <w:noProof/>
        </w:rPr>
        <w:t>OBJECTIVES</w:t>
      </w:r>
      <w:bookmarkEnd w:id="63"/>
      <w:bookmarkEnd w:id="64"/>
      <w:bookmarkEnd w:id="65"/>
      <w:bookmarkEnd w:id="66"/>
      <w:bookmarkEnd w:id="67"/>
    </w:p>
    <w:p w:rsidR="001A26B0" w:rsidRDefault="00E33A99">
      <w:pPr>
        <w:spacing w:after="200"/>
        <w:jc w:val="left"/>
        <w:rPr>
          <w:rFonts w:eastAsiaTheme="minorHAnsi"/>
          <w:b/>
          <w:bCs/>
          <w:noProof/>
          <w:szCs w:val="24"/>
          <w:u w:val="single"/>
        </w:rPr>
      </w:pPr>
      <w:r>
        <w:rPr>
          <w:rFonts w:eastAsiaTheme="minorHAnsi"/>
          <w:b/>
          <w:bCs/>
          <w:noProof/>
          <w:szCs w:val="24"/>
          <w:u w:val="single"/>
        </w:rPr>
        <w:t>General policy objective</w:t>
      </w:r>
    </w:p>
    <w:p w:rsidR="001A26B0" w:rsidRDefault="00E33A99">
      <w:pPr>
        <w:spacing w:after="200"/>
        <w:rPr>
          <w:rFonts w:eastAsiaTheme="minorHAnsi"/>
          <w:noProof/>
          <w:szCs w:val="24"/>
        </w:rPr>
      </w:pPr>
      <w:r>
        <w:rPr>
          <w:rFonts w:eastAsiaTheme="minorHAnsi"/>
          <w:noProof/>
          <w:szCs w:val="24"/>
        </w:rPr>
        <w:t xml:space="preserve">The general policy objective is to contribute to the achievement of the EU's commitments under the Paris Agreement (based on </w:t>
      </w:r>
      <w:r>
        <w:rPr>
          <w:rFonts w:eastAsiaTheme="minorHAnsi"/>
          <w:noProof/>
          <w:szCs w:val="24"/>
        </w:rPr>
        <w:t>Article 192 TFEU) and to strengthen the competitiveness of EU automotive industry.</w:t>
      </w:r>
    </w:p>
    <w:p w:rsidR="001A26B0" w:rsidRDefault="00E33A99">
      <w:pPr>
        <w:spacing w:after="200"/>
        <w:rPr>
          <w:rFonts w:eastAsiaTheme="minorHAnsi"/>
          <w:b/>
          <w:bCs/>
          <w:noProof/>
          <w:szCs w:val="24"/>
          <w:u w:val="single"/>
        </w:rPr>
      </w:pPr>
      <w:r>
        <w:rPr>
          <w:rFonts w:eastAsiaTheme="minorHAnsi"/>
          <w:b/>
          <w:bCs/>
          <w:noProof/>
          <w:szCs w:val="24"/>
          <w:u w:val="single"/>
        </w:rPr>
        <w:t xml:space="preserve">Specific objectives </w:t>
      </w:r>
    </w:p>
    <w:p w:rsidR="001A26B0" w:rsidRDefault="00E33A99">
      <w:pPr>
        <w:pStyle w:val="ListParagraph"/>
        <w:numPr>
          <w:ilvl w:val="0"/>
          <w:numId w:val="102"/>
        </w:numPr>
        <w:spacing w:after="120"/>
        <w:contextualSpacing w:val="0"/>
        <w:rPr>
          <w:noProof/>
          <w:szCs w:val="24"/>
        </w:rPr>
      </w:pPr>
      <w:r>
        <w:rPr>
          <w:rFonts w:eastAsiaTheme="minorHAnsi"/>
          <w:noProof/>
          <w:szCs w:val="24"/>
        </w:rPr>
        <w:t xml:space="preserve">Contribute to the achievement of the EU's commitments under the </w:t>
      </w:r>
      <w:r>
        <w:rPr>
          <w:rFonts w:eastAsiaTheme="minorHAnsi"/>
          <w:b/>
          <w:noProof/>
          <w:szCs w:val="24"/>
        </w:rPr>
        <w:t>Paris Agreement</w:t>
      </w:r>
      <w:r>
        <w:rPr>
          <w:b/>
          <w:noProof/>
          <w:szCs w:val="24"/>
        </w:rPr>
        <w:t xml:space="preserve"> </w:t>
      </w:r>
      <w:r>
        <w:rPr>
          <w:noProof/>
          <w:szCs w:val="24"/>
        </w:rPr>
        <w:t>by reducing CO</w:t>
      </w:r>
      <w:r>
        <w:rPr>
          <w:noProof/>
          <w:szCs w:val="24"/>
          <w:vertAlign w:val="subscript"/>
        </w:rPr>
        <w:t>2</w:t>
      </w:r>
      <w:r>
        <w:rPr>
          <w:noProof/>
          <w:szCs w:val="24"/>
        </w:rPr>
        <w:t xml:space="preserve"> emissions from cars and vans cost-effectively;</w:t>
      </w:r>
    </w:p>
    <w:p w:rsidR="001A26B0" w:rsidRDefault="00E33A99">
      <w:pPr>
        <w:pStyle w:val="ListParagraph"/>
        <w:numPr>
          <w:ilvl w:val="0"/>
          <w:numId w:val="102"/>
        </w:numPr>
        <w:spacing w:after="120"/>
        <w:contextualSpacing w:val="0"/>
        <w:rPr>
          <w:noProof/>
          <w:szCs w:val="24"/>
        </w:rPr>
      </w:pPr>
      <w:r>
        <w:rPr>
          <w:noProof/>
          <w:szCs w:val="24"/>
        </w:rPr>
        <w:t xml:space="preserve">Reduce fuel consumption costs for </w:t>
      </w:r>
      <w:r>
        <w:rPr>
          <w:b/>
          <w:noProof/>
          <w:szCs w:val="24"/>
        </w:rPr>
        <w:t>consumers</w:t>
      </w:r>
      <w:r>
        <w:rPr>
          <w:noProof/>
          <w:szCs w:val="24"/>
        </w:rPr>
        <w:t>;</w:t>
      </w:r>
    </w:p>
    <w:p w:rsidR="001A26B0" w:rsidRDefault="00E33A99">
      <w:pPr>
        <w:pStyle w:val="ListParagraph"/>
        <w:numPr>
          <w:ilvl w:val="0"/>
          <w:numId w:val="102"/>
        </w:numPr>
        <w:spacing w:after="120"/>
        <w:contextualSpacing w:val="0"/>
        <w:rPr>
          <w:noProof/>
        </w:rPr>
      </w:pPr>
      <w:r>
        <w:rPr>
          <w:noProof/>
        </w:rPr>
        <w:t xml:space="preserve">Strengthen the </w:t>
      </w:r>
      <w:r>
        <w:rPr>
          <w:b/>
          <w:noProof/>
        </w:rPr>
        <w:t>competitiveness</w:t>
      </w:r>
      <w:r>
        <w:rPr>
          <w:noProof/>
        </w:rPr>
        <w:t xml:space="preserve"> </w:t>
      </w:r>
      <w:r>
        <w:rPr>
          <w:rFonts w:eastAsiaTheme="minorHAnsi"/>
          <w:noProof/>
          <w:szCs w:val="24"/>
        </w:rPr>
        <w:t>of EU automotive industry and stimulate employment.</w:t>
      </w:r>
    </w:p>
    <w:p w:rsidR="001A26B0" w:rsidRDefault="00E33A99">
      <w:pPr>
        <w:spacing w:after="120"/>
        <w:rPr>
          <w:noProof/>
          <w:szCs w:val="24"/>
          <w:lang w:val="en"/>
        </w:rPr>
      </w:pPr>
      <w:r>
        <w:rPr>
          <w:noProof/>
          <w:szCs w:val="24"/>
          <w:lang w:val="en"/>
        </w:rPr>
        <w:t>These three specific objectives are on equal footing.</w:t>
      </w:r>
    </w:p>
    <w:p w:rsidR="001A26B0" w:rsidRDefault="00E33A99">
      <w:pPr>
        <w:spacing w:after="120"/>
        <w:rPr>
          <w:noProof/>
        </w:rPr>
      </w:pPr>
      <w:r>
        <w:rPr>
          <w:noProof/>
          <w:szCs w:val="24"/>
          <w:lang w:val="en"/>
        </w:rPr>
        <w:t>The first one concerns t</w:t>
      </w:r>
      <w:r>
        <w:rPr>
          <w:noProof/>
        </w:rPr>
        <w:t xml:space="preserve">he climate objective of the </w:t>
      </w:r>
      <w:r>
        <w:rPr>
          <w:b/>
          <w:noProof/>
        </w:rPr>
        <w:t>Paris Agreement</w:t>
      </w:r>
      <w:r>
        <w:rPr>
          <w:noProof/>
        </w:rPr>
        <w:t>. Furth</w:t>
      </w:r>
      <w:r>
        <w:rPr>
          <w:noProof/>
        </w:rPr>
        <w:t>er efforts are necessary for all Member States to meet their 2030 targets under the Effort Sharing Regulation. With road transport causing one third of non-ETS emissions and emissions increasing in the last few years, reducing CO</w:t>
      </w:r>
      <w:r>
        <w:rPr>
          <w:noProof/>
          <w:vertAlign w:val="subscript"/>
        </w:rPr>
        <w:t>2</w:t>
      </w:r>
      <w:r>
        <w:rPr>
          <w:noProof/>
        </w:rPr>
        <w:t xml:space="preserve"> emissions from cars and v</w:t>
      </w:r>
      <w:r>
        <w:rPr>
          <w:noProof/>
        </w:rPr>
        <w:t xml:space="preserve">ans is of key importance. </w:t>
      </w:r>
    </w:p>
    <w:p w:rsidR="001A26B0" w:rsidRDefault="00E33A99">
      <w:pPr>
        <w:spacing w:after="120"/>
        <w:rPr>
          <w:noProof/>
        </w:rPr>
      </w:pPr>
      <w:r>
        <w:rPr>
          <w:noProof/>
        </w:rPr>
        <w:t>Implementing the Paris Agreement requires the decarbonisation of the economy including of road transport. The Low-Emission Mobility Strategy has confirmed the ambition of reducing GHG emissions from transport by at least 60% by 2</w:t>
      </w:r>
      <w:r>
        <w:rPr>
          <w:noProof/>
        </w:rPr>
        <w:t xml:space="preserve">050, as initially set out in the 2011 Low-Carbon Economy Roadmap and Transport White Paper. </w:t>
      </w:r>
    </w:p>
    <w:p w:rsidR="001A26B0" w:rsidRDefault="00E33A99">
      <w:pPr>
        <w:spacing w:after="120"/>
        <w:rPr>
          <w:noProof/>
        </w:rPr>
      </w:pPr>
      <w:r>
        <w:rPr>
          <w:noProof/>
        </w:rPr>
        <w:t>This cannot happen without a very high deployment of zero- and low-emission vehicles. Analysis has shown that by 2050, electrically chargeable vehicles need to rep</w:t>
      </w:r>
      <w:r>
        <w:rPr>
          <w:noProof/>
        </w:rPr>
        <w:t>resent about 68-72% of all light duty vehicles on the roads. This requires a significantly increasing uptake of zero- and low-emission vehicles already in 2030 as the new vehicles of 2030 will remain on the road until the mid-2040s.</w:t>
      </w:r>
    </w:p>
    <w:p w:rsidR="001A26B0" w:rsidRDefault="00E33A99">
      <w:pPr>
        <w:spacing w:after="120"/>
        <w:rPr>
          <w:noProof/>
          <w:szCs w:val="24"/>
          <w:lang w:val="en"/>
        </w:rPr>
      </w:pPr>
      <w:r>
        <w:rPr>
          <w:noProof/>
          <w:szCs w:val="24"/>
          <w:lang w:val="en"/>
        </w:rPr>
        <w:t>The second specific obj</w:t>
      </w:r>
      <w:r>
        <w:rPr>
          <w:noProof/>
          <w:szCs w:val="24"/>
          <w:lang w:val="en"/>
        </w:rPr>
        <w:t xml:space="preserve">ective is related to the </w:t>
      </w:r>
      <w:r>
        <w:rPr>
          <w:b/>
          <w:noProof/>
          <w:szCs w:val="24"/>
          <w:lang w:val="en"/>
        </w:rPr>
        <w:t>consumer</w:t>
      </w:r>
      <w:r>
        <w:rPr>
          <w:noProof/>
          <w:szCs w:val="24"/>
          <w:lang w:val="en"/>
        </w:rPr>
        <w:t xml:space="preserve"> angle of the CO</w:t>
      </w:r>
      <w:r>
        <w:rPr>
          <w:noProof/>
          <w:szCs w:val="24"/>
          <w:vertAlign w:val="subscript"/>
          <w:lang w:val="en"/>
        </w:rPr>
        <w:t>2</w:t>
      </w:r>
      <w:r>
        <w:rPr>
          <w:noProof/>
          <w:szCs w:val="24"/>
          <w:lang w:val="en"/>
        </w:rPr>
        <w:t xml:space="preserve"> standards, aiming to create benefits for car and van users through the sales of more efficient vehicles. </w:t>
      </w:r>
    </w:p>
    <w:p w:rsidR="001A26B0" w:rsidRDefault="00E33A99">
      <w:pPr>
        <w:spacing w:after="120"/>
        <w:rPr>
          <w:noProof/>
          <w:szCs w:val="24"/>
          <w:lang w:val="en"/>
        </w:rPr>
      </w:pPr>
      <w:r>
        <w:rPr>
          <w:noProof/>
          <w:szCs w:val="24"/>
          <w:lang w:val="en"/>
        </w:rPr>
        <w:t xml:space="preserve">The third specific objective relates to innovation, </w:t>
      </w:r>
      <w:r>
        <w:rPr>
          <w:b/>
          <w:noProof/>
          <w:szCs w:val="24"/>
          <w:lang w:val="en"/>
        </w:rPr>
        <w:t>competitiveness</w:t>
      </w:r>
      <w:r>
        <w:rPr>
          <w:noProof/>
          <w:szCs w:val="24"/>
          <w:lang w:val="en"/>
        </w:rPr>
        <w:t xml:space="preserve"> (including fair competition amo</w:t>
      </w:r>
      <w:r>
        <w:rPr>
          <w:noProof/>
          <w:szCs w:val="24"/>
          <w:lang w:val="en"/>
        </w:rPr>
        <w:t>ngst EU manufacturers) and employment. While the EU automotive sector has been very successful in advanced internal combustion engine vehicles world-wide, it will need to adapt to the ongoing global transitions in the area of mobility and transport in orde</w:t>
      </w:r>
      <w:r>
        <w:rPr>
          <w:noProof/>
          <w:szCs w:val="24"/>
          <w:lang w:val="en"/>
        </w:rPr>
        <w:t xml:space="preserve">r to maintain its technological leadership. </w:t>
      </w:r>
    </w:p>
    <w:p w:rsidR="001A26B0" w:rsidRDefault="00E33A99">
      <w:pPr>
        <w:spacing w:after="120"/>
        <w:rPr>
          <w:noProof/>
          <w:szCs w:val="24"/>
          <w:lang w:val="en"/>
        </w:rPr>
      </w:pPr>
      <w:r>
        <w:rPr>
          <w:noProof/>
          <w:szCs w:val="24"/>
          <w:lang w:val="en"/>
        </w:rPr>
        <w:t>By pr</w:t>
      </w:r>
      <w:r>
        <w:rPr>
          <w:noProof/>
          <w:szCs w:val="24"/>
        </w:rPr>
        <w:t>oviding a clear regulatory signal and predictability for industry to develop and invest in zero- and low-emission vehicles and fuel-efficient technologies, this initiative aims to foster innovation and stre</w:t>
      </w:r>
      <w:r>
        <w:rPr>
          <w:noProof/>
          <w:szCs w:val="24"/>
        </w:rPr>
        <w:t>ngthen EU industry's competitiveness in a fast changing global automotive landscape, without distorting the competition between EU manufacturers.</w:t>
      </w:r>
    </w:p>
    <w:p w:rsidR="001A26B0" w:rsidRDefault="00E33A99">
      <w:pPr>
        <w:spacing w:after="120"/>
        <w:rPr>
          <w:noProof/>
          <w:szCs w:val="24"/>
          <w:lang w:val="en"/>
        </w:rPr>
      </w:pPr>
      <w:r>
        <w:rPr>
          <w:noProof/>
          <w:szCs w:val="24"/>
          <w:lang w:val="en"/>
        </w:rPr>
        <w:t>In addition to the three abovementioned specific objectives, the revision of the CO</w:t>
      </w:r>
      <w:r>
        <w:rPr>
          <w:noProof/>
          <w:szCs w:val="24"/>
          <w:vertAlign w:val="subscript"/>
          <w:lang w:val="en"/>
        </w:rPr>
        <w:t>2</w:t>
      </w:r>
      <w:r>
        <w:rPr>
          <w:noProof/>
          <w:szCs w:val="24"/>
          <w:lang w:val="en"/>
        </w:rPr>
        <w:t xml:space="preserve"> standards for cars and vans are expected to lead to </w:t>
      </w:r>
      <w:r>
        <w:rPr>
          <w:b/>
          <w:noProof/>
          <w:szCs w:val="24"/>
          <w:lang w:val="en"/>
        </w:rPr>
        <w:t>two main co-benefits</w:t>
      </w:r>
      <w:r>
        <w:rPr>
          <w:noProof/>
          <w:szCs w:val="24"/>
          <w:lang w:val="en"/>
        </w:rPr>
        <w:t>: improvements in air quality and increased energy security.</w:t>
      </w:r>
    </w:p>
    <w:p w:rsidR="001A26B0" w:rsidRDefault="00E33A99">
      <w:pPr>
        <w:spacing w:after="200" w:line="276" w:lineRule="auto"/>
        <w:jc w:val="left"/>
        <w:rPr>
          <w:b/>
          <w:smallCaps/>
          <w:noProof/>
          <w:lang w:val="en"/>
        </w:rPr>
      </w:pPr>
      <w:r>
        <w:rPr>
          <w:noProof/>
        </w:rPr>
        <w:br w:type="page"/>
      </w:r>
    </w:p>
    <w:p w:rsidR="001A26B0" w:rsidRDefault="00E33A99">
      <w:pPr>
        <w:pStyle w:val="Heading1"/>
        <w:rPr>
          <w:noProof/>
        </w:rPr>
      </w:pPr>
      <w:bookmarkStart w:id="68" w:name="_Toc496635580"/>
      <w:r>
        <w:rPr>
          <w:noProof/>
        </w:rPr>
        <w:t>WHAT ARE THE VARIOUS OPTIONS TO ACHIEVE THE OBJECTIVES?</w:t>
      </w:r>
      <w:bookmarkEnd w:id="68"/>
      <w:r>
        <w:rPr>
          <w:noProof/>
        </w:rPr>
        <w:t xml:space="preserve"> </w:t>
      </w:r>
    </w:p>
    <w:p w:rsidR="001A26B0" w:rsidRDefault="00E33A99">
      <w:pPr>
        <w:pStyle w:val="Text1"/>
        <w:ind w:left="0"/>
        <w:rPr>
          <w:noProof/>
          <w:lang w:val="en"/>
        </w:rPr>
      </w:pPr>
      <w:r>
        <w:rPr>
          <w:noProof/>
          <w:lang w:val="en"/>
        </w:rPr>
        <w:t>This Section describes the options identified to address the pr</w:t>
      </w:r>
      <w:r>
        <w:rPr>
          <w:noProof/>
          <w:lang w:val="en"/>
        </w:rPr>
        <w:t xml:space="preserve">oblems listed in Section 3 and to achieve the objectives defined in Section 4. It sets out the rationale for their selection, as well as the reasons for discarding certain options upfront, taking into account the evaluation study, the public consultation, </w:t>
      </w:r>
      <w:r>
        <w:rPr>
          <w:noProof/>
          <w:lang w:val="en"/>
        </w:rPr>
        <w:t xml:space="preserve">additional stakeholder input; as well as several internal and external study reports. The options cover a number of elements, some of which are already part of the current Regulations. The options are grouped into five categories: </w:t>
      </w:r>
    </w:p>
    <w:p w:rsidR="001A26B0" w:rsidRDefault="00E33A99">
      <w:pPr>
        <w:pStyle w:val="Text1"/>
        <w:numPr>
          <w:ilvl w:val="0"/>
          <w:numId w:val="41"/>
        </w:numPr>
        <w:spacing w:after="120"/>
        <w:rPr>
          <w:noProof/>
          <w:lang w:val="en"/>
        </w:rPr>
      </w:pPr>
      <w:r>
        <w:rPr>
          <w:noProof/>
          <w:lang w:val="en"/>
        </w:rPr>
        <w:t>CO</w:t>
      </w:r>
      <w:r>
        <w:rPr>
          <w:noProof/>
          <w:vertAlign w:val="subscript"/>
          <w:lang w:val="en"/>
        </w:rPr>
        <w:t>2</w:t>
      </w:r>
      <w:r>
        <w:rPr>
          <w:noProof/>
          <w:lang w:val="en"/>
        </w:rPr>
        <w:t xml:space="preserve"> emission targets (le</w:t>
      </w:r>
      <w:r>
        <w:rPr>
          <w:noProof/>
          <w:lang w:val="en"/>
        </w:rPr>
        <w:t xml:space="preserve">vel, timing, metric); </w:t>
      </w:r>
    </w:p>
    <w:p w:rsidR="001A26B0" w:rsidRDefault="00E33A99">
      <w:pPr>
        <w:pStyle w:val="Text1"/>
        <w:numPr>
          <w:ilvl w:val="0"/>
          <w:numId w:val="41"/>
        </w:numPr>
        <w:spacing w:after="120"/>
        <w:rPr>
          <w:noProof/>
          <w:lang w:val="en"/>
        </w:rPr>
      </w:pPr>
      <w:r>
        <w:rPr>
          <w:noProof/>
          <w:lang w:val="en"/>
        </w:rPr>
        <w:t xml:space="preserve">the distribution of effort amongst manufacturers; </w:t>
      </w:r>
    </w:p>
    <w:p w:rsidR="001A26B0" w:rsidRDefault="00E33A99">
      <w:pPr>
        <w:pStyle w:val="Text1"/>
        <w:numPr>
          <w:ilvl w:val="0"/>
          <w:numId w:val="41"/>
        </w:numPr>
        <w:spacing w:after="120"/>
        <w:rPr>
          <w:noProof/>
          <w:lang w:val="en"/>
        </w:rPr>
      </w:pPr>
      <w:r>
        <w:rPr>
          <w:noProof/>
          <w:lang w:val="en"/>
        </w:rPr>
        <w:t xml:space="preserve">incentives for low- and zero-emission vehicles; </w:t>
      </w:r>
    </w:p>
    <w:p w:rsidR="001A26B0" w:rsidRDefault="00E33A99">
      <w:pPr>
        <w:pStyle w:val="Text1"/>
        <w:numPr>
          <w:ilvl w:val="0"/>
          <w:numId w:val="41"/>
        </w:numPr>
        <w:spacing w:after="120"/>
        <w:rPr>
          <w:noProof/>
          <w:lang w:val="en"/>
        </w:rPr>
      </w:pPr>
      <w:r>
        <w:rPr>
          <w:noProof/>
          <w:lang w:val="en"/>
        </w:rPr>
        <w:t xml:space="preserve">elements for cost-effective implementation; </w:t>
      </w:r>
    </w:p>
    <w:p w:rsidR="001A26B0" w:rsidRDefault="00E33A99">
      <w:pPr>
        <w:pStyle w:val="Text1"/>
        <w:numPr>
          <w:ilvl w:val="0"/>
          <w:numId w:val="41"/>
        </w:numPr>
        <w:spacing w:after="120"/>
        <w:rPr>
          <w:noProof/>
          <w:lang w:val="en"/>
        </w:rPr>
      </w:pPr>
      <w:r>
        <w:rPr>
          <w:noProof/>
          <w:lang w:val="en"/>
        </w:rPr>
        <w:t>governance related issues</w:t>
      </w:r>
    </w:p>
    <w:p w:rsidR="001A26B0" w:rsidRDefault="00E33A99">
      <w:pPr>
        <w:pStyle w:val="Text1"/>
        <w:ind w:left="0"/>
        <w:rPr>
          <w:noProof/>
        </w:rPr>
      </w:pPr>
      <w:r>
        <w:rPr>
          <w:noProof/>
          <w:lang w:val="en"/>
        </w:rPr>
        <w:t xml:space="preserve">The following tables show how </w:t>
      </w:r>
      <w:r>
        <w:rPr>
          <w:noProof/>
        </w:rPr>
        <w:t>the policy options, grouped into</w:t>
      </w:r>
      <w:r>
        <w:rPr>
          <w:noProof/>
        </w:rPr>
        <w:t xml:space="preserve"> the five key policy areas, relate to the problems and objectives</w:t>
      </w:r>
    </w:p>
    <w:p w:rsidR="001A26B0" w:rsidRDefault="00E33A99">
      <w:pPr>
        <w:pStyle w:val="Caption"/>
        <w:keepNext/>
        <w:rPr>
          <w:noProof/>
          <w:szCs w:val="24"/>
        </w:rPr>
      </w:pPr>
      <w:bookmarkStart w:id="69" w:name="_Ref493085689"/>
      <w:r>
        <w:rPr>
          <w:noProof/>
          <w:szCs w:val="24"/>
        </w:rPr>
        <w:t xml:space="preserve">Table </w:t>
      </w:r>
      <w:r>
        <w:rPr>
          <w:noProof/>
          <w:szCs w:val="24"/>
        </w:rPr>
        <w:fldChar w:fldCharType="begin"/>
      </w:r>
      <w:r>
        <w:rPr>
          <w:noProof/>
          <w:szCs w:val="24"/>
        </w:rPr>
        <w:instrText xml:space="preserve"> SEQ Table \* ARABIC </w:instrText>
      </w:r>
      <w:r>
        <w:rPr>
          <w:noProof/>
          <w:szCs w:val="24"/>
        </w:rPr>
        <w:fldChar w:fldCharType="separate"/>
      </w:r>
      <w:r>
        <w:rPr>
          <w:noProof/>
          <w:szCs w:val="24"/>
        </w:rPr>
        <w:t>2</w:t>
      </w:r>
      <w:r>
        <w:rPr>
          <w:noProof/>
          <w:szCs w:val="24"/>
        </w:rPr>
        <w:fldChar w:fldCharType="end"/>
      </w:r>
      <w:bookmarkEnd w:id="69"/>
      <w:r>
        <w:rPr>
          <w:noProof/>
          <w:szCs w:val="24"/>
        </w:rPr>
        <w:t xml:space="preserve">: Policy options and problems </w:t>
      </w:r>
    </w:p>
    <w:tbl>
      <w:tblPr>
        <w:tblStyle w:val="TableGrid"/>
        <w:tblW w:w="8414" w:type="dxa"/>
        <w:tblLook w:val="04A0" w:firstRow="1" w:lastRow="0" w:firstColumn="1" w:lastColumn="0" w:noHBand="0" w:noVBand="1"/>
      </w:tblPr>
      <w:tblGrid>
        <w:gridCol w:w="2030"/>
        <w:gridCol w:w="2128"/>
        <w:gridCol w:w="2128"/>
        <w:gridCol w:w="2128"/>
      </w:tblGrid>
      <w:tr w:rsidR="001A26B0">
        <w:trPr>
          <w:trHeight w:val="600"/>
        </w:trPr>
        <w:tc>
          <w:tcPr>
            <w:tcW w:w="0" w:type="auto"/>
          </w:tcPr>
          <w:p w:rsidR="001A26B0" w:rsidRDefault="00E33A99">
            <w:pPr>
              <w:spacing w:before="120" w:after="120"/>
              <w:jc w:val="left"/>
              <w:rPr>
                <w:noProof/>
                <w:sz w:val="20"/>
              </w:rPr>
            </w:pPr>
            <w:r>
              <w:rPr>
                <w:noProof/>
              </w:rPr>
              <w:t>Key policy areas</w:t>
            </w:r>
          </w:p>
        </w:tc>
        <w:tc>
          <w:tcPr>
            <w:tcW w:w="2128" w:type="dxa"/>
            <w:tcBorders>
              <w:bottom w:val="single" w:sz="4" w:space="0" w:color="auto"/>
            </w:tcBorders>
          </w:tcPr>
          <w:p w:rsidR="001A26B0" w:rsidRDefault="00E33A99">
            <w:pPr>
              <w:spacing w:before="120" w:after="120"/>
              <w:jc w:val="center"/>
              <w:rPr>
                <w:b/>
                <w:noProof/>
                <w:sz w:val="20"/>
              </w:rPr>
            </w:pPr>
            <w:r>
              <w:rPr>
                <w:b/>
                <w:noProof/>
                <w:sz w:val="20"/>
              </w:rPr>
              <w:t>Problem 1:</w:t>
            </w:r>
            <w:r>
              <w:rPr>
                <w:noProof/>
                <w:sz w:val="20"/>
              </w:rPr>
              <w:t xml:space="preserve"> Insufficient uptake of the most efficient vehicles, including low and zero emission vehicles, to meet Paris Agreement commitments and to improve air quality, notably in urban areas</w:t>
            </w:r>
          </w:p>
        </w:tc>
        <w:tc>
          <w:tcPr>
            <w:tcW w:w="2128" w:type="dxa"/>
            <w:tcBorders>
              <w:bottom w:val="single" w:sz="4" w:space="0" w:color="auto"/>
            </w:tcBorders>
          </w:tcPr>
          <w:p w:rsidR="001A26B0" w:rsidRDefault="00E33A99">
            <w:pPr>
              <w:spacing w:before="120" w:after="120"/>
              <w:jc w:val="center"/>
              <w:rPr>
                <w:noProof/>
                <w:sz w:val="20"/>
              </w:rPr>
            </w:pPr>
            <w:r>
              <w:rPr>
                <w:b/>
                <w:noProof/>
                <w:sz w:val="20"/>
              </w:rPr>
              <w:t>Problem 2:</w:t>
            </w:r>
            <w:r>
              <w:rPr>
                <w:noProof/>
                <w:sz w:val="20"/>
              </w:rPr>
              <w:t xml:space="preserve"> </w:t>
            </w:r>
            <w:r>
              <w:rPr>
                <w:noProof/>
                <w:sz w:val="20"/>
              </w:rPr>
              <w:br/>
              <w:t>Consumers miss out on possible fuel savings (market failures)</w:t>
            </w:r>
          </w:p>
        </w:tc>
        <w:tc>
          <w:tcPr>
            <w:tcW w:w="2128" w:type="dxa"/>
            <w:tcBorders>
              <w:bottom w:val="single" w:sz="4" w:space="0" w:color="auto"/>
            </w:tcBorders>
          </w:tcPr>
          <w:p w:rsidR="001A26B0" w:rsidRDefault="00E33A99">
            <w:pPr>
              <w:spacing w:before="120" w:after="120"/>
              <w:jc w:val="center"/>
              <w:rPr>
                <w:b/>
                <w:noProof/>
                <w:sz w:val="20"/>
              </w:rPr>
            </w:pPr>
            <w:r>
              <w:rPr>
                <w:b/>
                <w:noProof/>
                <w:sz w:val="20"/>
              </w:rPr>
              <w:t>Problem 3:</w:t>
            </w:r>
            <w:r>
              <w:rPr>
                <w:noProof/>
                <w:sz w:val="20"/>
              </w:rPr>
              <w:t xml:space="preserve"> </w:t>
            </w:r>
            <w:r>
              <w:rPr>
                <w:noProof/>
                <w:sz w:val="20"/>
              </w:rPr>
              <w:br/>
              <w:t>Risk of losing the EU's competitive advantage due to insufficient innovation in low- emission automotive technologies over the long term</w:t>
            </w:r>
          </w:p>
        </w:tc>
      </w:tr>
      <w:tr w:rsidR="001A26B0">
        <w:trPr>
          <w:trHeight w:val="386"/>
        </w:trPr>
        <w:tc>
          <w:tcPr>
            <w:tcW w:w="0" w:type="auto"/>
          </w:tcPr>
          <w:p w:rsidR="001A26B0" w:rsidRDefault="00E33A99">
            <w:pPr>
              <w:spacing w:before="120" w:after="120"/>
              <w:jc w:val="left"/>
              <w:rPr>
                <w:noProof/>
              </w:rPr>
            </w:pPr>
            <w:r>
              <w:rPr>
                <w:noProof/>
              </w:rPr>
              <w:t>Emission targets</w:t>
            </w:r>
          </w:p>
        </w:tc>
        <w:tc>
          <w:tcPr>
            <w:tcW w:w="2128" w:type="dxa"/>
          </w:tcPr>
          <w:p w:rsidR="001A26B0" w:rsidRDefault="00E33A99">
            <w:pPr>
              <w:spacing w:before="120" w:after="120"/>
              <w:jc w:val="center"/>
              <w:rPr>
                <w:noProof/>
              </w:rPr>
            </w:pPr>
            <w:r>
              <w:rPr>
                <w:noProof/>
              </w:rPr>
              <w:sym w:font="Wingdings" w:char="F0FC"/>
            </w:r>
          </w:p>
        </w:tc>
        <w:tc>
          <w:tcPr>
            <w:tcW w:w="2128" w:type="dxa"/>
          </w:tcPr>
          <w:p w:rsidR="001A26B0" w:rsidRDefault="00E33A99">
            <w:pPr>
              <w:spacing w:before="120" w:after="120"/>
              <w:jc w:val="center"/>
              <w:rPr>
                <w:noProof/>
              </w:rPr>
            </w:pPr>
            <w:r>
              <w:rPr>
                <w:noProof/>
              </w:rPr>
              <w:sym w:font="Wingdings" w:char="F0FC"/>
            </w:r>
          </w:p>
        </w:tc>
        <w:tc>
          <w:tcPr>
            <w:tcW w:w="2128" w:type="dxa"/>
          </w:tcPr>
          <w:p w:rsidR="001A26B0" w:rsidRDefault="00E33A99">
            <w:pPr>
              <w:spacing w:before="120" w:after="120"/>
              <w:jc w:val="center"/>
              <w:rPr>
                <w:noProof/>
              </w:rPr>
            </w:pPr>
            <w:r>
              <w:rPr>
                <w:noProof/>
              </w:rPr>
              <w:sym w:font="Wingdings" w:char="F0FC"/>
            </w:r>
          </w:p>
        </w:tc>
      </w:tr>
      <w:tr w:rsidR="001A26B0">
        <w:trPr>
          <w:trHeight w:val="600"/>
        </w:trPr>
        <w:tc>
          <w:tcPr>
            <w:tcW w:w="0" w:type="auto"/>
          </w:tcPr>
          <w:p w:rsidR="001A26B0" w:rsidRDefault="00E33A99">
            <w:pPr>
              <w:spacing w:before="120" w:after="120"/>
              <w:jc w:val="left"/>
              <w:rPr>
                <w:noProof/>
              </w:rPr>
            </w:pPr>
            <w:r>
              <w:rPr>
                <w:noProof/>
              </w:rPr>
              <w:t xml:space="preserve">Distribution of effort </w:t>
            </w:r>
          </w:p>
        </w:tc>
        <w:tc>
          <w:tcPr>
            <w:tcW w:w="2128" w:type="dxa"/>
          </w:tcPr>
          <w:p w:rsidR="001A26B0" w:rsidRDefault="001A26B0">
            <w:pPr>
              <w:spacing w:before="120" w:after="120"/>
              <w:jc w:val="center"/>
              <w:rPr>
                <w:noProof/>
              </w:rPr>
            </w:pPr>
          </w:p>
        </w:tc>
        <w:tc>
          <w:tcPr>
            <w:tcW w:w="2128" w:type="dxa"/>
          </w:tcPr>
          <w:p w:rsidR="001A26B0" w:rsidRDefault="001A26B0">
            <w:pPr>
              <w:spacing w:before="120" w:after="120"/>
              <w:jc w:val="center"/>
              <w:rPr>
                <w:noProof/>
              </w:rPr>
            </w:pPr>
          </w:p>
        </w:tc>
        <w:tc>
          <w:tcPr>
            <w:tcW w:w="2128" w:type="dxa"/>
          </w:tcPr>
          <w:p w:rsidR="001A26B0" w:rsidRDefault="00E33A99">
            <w:pPr>
              <w:spacing w:before="120" w:after="120"/>
              <w:jc w:val="center"/>
              <w:rPr>
                <w:noProof/>
              </w:rPr>
            </w:pPr>
            <w:r>
              <w:rPr>
                <w:noProof/>
              </w:rPr>
              <w:sym w:font="Wingdings" w:char="F0FC"/>
            </w:r>
          </w:p>
        </w:tc>
      </w:tr>
      <w:tr w:rsidR="001A26B0">
        <w:trPr>
          <w:trHeight w:val="482"/>
        </w:trPr>
        <w:tc>
          <w:tcPr>
            <w:tcW w:w="0" w:type="auto"/>
          </w:tcPr>
          <w:p w:rsidR="001A26B0" w:rsidRDefault="00E33A99">
            <w:pPr>
              <w:spacing w:before="120" w:after="120"/>
              <w:jc w:val="left"/>
              <w:rPr>
                <w:noProof/>
              </w:rPr>
            </w:pPr>
            <w:r>
              <w:rPr>
                <w:noProof/>
              </w:rPr>
              <w:t>ZEV/ LEV incentives</w:t>
            </w:r>
          </w:p>
        </w:tc>
        <w:tc>
          <w:tcPr>
            <w:tcW w:w="2128" w:type="dxa"/>
          </w:tcPr>
          <w:p w:rsidR="001A26B0" w:rsidRDefault="00E33A99">
            <w:pPr>
              <w:spacing w:before="120" w:after="120"/>
              <w:jc w:val="center"/>
              <w:rPr>
                <w:noProof/>
              </w:rPr>
            </w:pPr>
            <w:r>
              <w:rPr>
                <w:noProof/>
              </w:rPr>
              <w:sym w:font="Wingdings" w:char="F0FC"/>
            </w:r>
          </w:p>
        </w:tc>
        <w:tc>
          <w:tcPr>
            <w:tcW w:w="2128" w:type="dxa"/>
          </w:tcPr>
          <w:p w:rsidR="001A26B0" w:rsidRDefault="00E33A99">
            <w:pPr>
              <w:spacing w:before="120" w:after="120"/>
              <w:jc w:val="center"/>
              <w:rPr>
                <w:noProof/>
              </w:rPr>
            </w:pPr>
            <w:r>
              <w:rPr>
                <w:noProof/>
              </w:rPr>
              <w:sym w:font="Wingdings" w:char="F0FC"/>
            </w:r>
          </w:p>
        </w:tc>
        <w:tc>
          <w:tcPr>
            <w:tcW w:w="2128" w:type="dxa"/>
          </w:tcPr>
          <w:p w:rsidR="001A26B0" w:rsidRDefault="00E33A99">
            <w:pPr>
              <w:spacing w:before="120" w:after="120"/>
              <w:jc w:val="center"/>
              <w:rPr>
                <w:noProof/>
              </w:rPr>
            </w:pPr>
            <w:r>
              <w:rPr>
                <w:noProof/>
              </w:rPr>
              <w:sym w:font="Wingdings" w:char="F0FC"/>
            </w:r>
          </w:p>
        </w:tc>
      </w:tr>
      <w:tr w:rsidR="001A26B0">
        <w:trPr>
          <w:trHeight w:val="710"/>
        </w:trPr>
        <w:tc>
          <w:tcPr>
            <w:tcW w:w="0" w:type="auto"/>
          </w:tcPr>
          <w:p w:rsidR="001A26B0" w:rsidRDefault="00E33A99">
            <w:pPr>
              <w:spacing w:before="120" w:after="120"/>
              <w:jc w:val="left"/>
              <w:rPr>
                <w:noProof/>
              </w:rPr>
            </w:pPr>
            <w:r>
              <w:rPr>
                <w:noProof/>
              </w:rPr>
              <w:t xml:space="preserve">Elements for </w:t>
            </w:r>
            <w:r>
              <w:rPr>
                <w:noProof/>
              </w:rPr>
              <w:t>cost-effective implementation</w:t>
            </w:r>
          </w:p>
        </w:tc>
        <w:tc>
          <w:tcPr>
            <w:tcW w:w="2128" w:type="dxa"/>
          </w:tcPr>
          <w:p w:rsidR="001A26B0" w:rsidRDefault="001A26B0">
            <w:pPr>
              <w:spacing w:before="120" w:after="120"/>
              <w:jc w:val="center"/>
              <w:rPr>
                <w:noProof/>
              </w:rPr>
            </w:pPr>
          </w:p>
        </w:tc>
        <w:tc>
          <w:tcPr>
            <w:tcW w:w="2128" w:type="dxa"/>
          </w:tcPr>
          <w:p w:rsidR="001A26B0" w:rsidRDefault="001A26B0">
            <w:pPr>
              <w:spacing w:before="120" w:after="120"/>
              <w:jc w:val="center"/>
              <w:rPr>
                <w:noProof/>
              </w:rPr>
            </w:pPr>
          </w:p>
        </w:tc>
        <w:tc>
          <w:tcPr>
            <w:tcW w:w="2128" w:type="dxa"/>
          </w:tcPr>
          <w:p w:rsidR="001A26B0" w:rsidRDefault="00E33A99">
            <w:pPr>
              <w:spacing w:before="120" w:after="120"/>
              <w:jc w:val="center"/>
              <w:rPr>
                <w:noProof/>
              </w:rPr>
            </w:pPr>
            <w:r>
              <w:rPr>
                <w:noProof/>
              </w:rPr>
              <w:sym w:font="Wingdings" w:char="F0FC"/>
            </w:r>
          </w:p>
        </w:tc>
      </w:tr>
      <w:tr w:rsidR="001A26B0">
        <w:trPr>
          <w:trHeight w:hRule="exact" w:val="442"/>
        </w:trPr>
        <w:tc>
          <w:tcPr>
            <w:tcW w:w="0" w:type="auto"/>
          </w:tcPr>
          <w:p w:rsidR="001A26B0" w:rsidRDefault="00E33A99">
            <w:pPr>
              <w:spacing w:before="120" w:after="120"/>
              <w:rPr>
                <w:noProof/>
              </w:rPr>
            </w:pPr>
            <w:r>
              <w:rPr>
                <w:noProof/>
              </w:rPr>
              <w:t xml:space="preserve">Governance </w:t>
            </w:r>
          </w:p>
        </w:tc>
        <w:tc>
          <w:tcPr>
            <w:tcW w:w="2128" w:type="dxa"/>
          </w:tcPr>
          <w:p w:rsidR="001A26B0" w:rsidRDefault="00E33A99">
            <w:pPr>
              <w:spacing w:before="120" w:after="120"/>
              <w:jc w:val="center"/>
              <w:rPr>
                <w:noProof/>
              </w:rPr>
            </w:pPr>
            <w:r>
              <w:rPr>
                <w:noProof/>
              </w:rPr>
              <w:sym w:font="Wingdings" w:char="F0FC"/>
            </w:r>
          </w:p>
        </w:tc>
        <w:tc>
          <w:tcPr>
            <w:tcW w:w="2128" w:type="dxa"/>
          </w:tcPr>
          <w:p w:rsidR="001A26B0" w:rsidRDefault="00E33A99">
            <w:pPr>
              <w:spacing w:before="120" w:after="120"/>
              <w:jc w:val="center"/>
              <w:rPr>
                <w:noProof/>
              </w:rPr>
            </w:pPr>
            <w:r>
              <w:rPr>
                <w:noProof/>
              </w:rPr>
              <w:sym w:font="Wingdings" w:char="F0FC"/>
            </w:r>
          </w:p>
        </w:tc>
        <w:tc>
          <w:tcPr>
            <w:tcW w:w="2128" w:type="dxa"/>
          </w:tcPr>
          <w:p w:rsidR="001A26B0" w:rsidRDefault="001A26B0">
            <w:pPr>
              <w:spacing w:before="120" w:after="120"/>
              <w:jc w:val="center"/>
              <w:rPr>
                <w:noProof/>
              </w:rPr>
            </w:pPr>
          </w:p>
        </w:tc>
      </w:tr>
    </w:tbl>
    <w:p w:rsidR="001A26B0" w:rsidRDefault="001A26B0">
      <w:pPr>
        <w:rPr>
          <w:noProof/>
          <w:u w:val="single"/>
        </w:rPr>
      </w:pPr>
    </w:p>
    <w:p w:rsidR="001A26B0" w:rsidRDefault="00E33A99">
      <w:pPr>
        <w:spacing w:after="200" w:line="276" w:lineRule="auto"/>
        <w:jc w:val="left"/>
        <w:rPr>
          <w:b/>
          <w:noProof/>
          <w:sz w:val="20"/>
        </w:rPr>
      </w:pPr>
      <w:r>
        <w:rPr>
          <w:b/>
          <w:noProof/>
          <w:sz w:val="20"/>
        </w:rPr>
        <w:br w:type="page"/>
      </w:r>
    </w:p>
    <w:p w:rsidR="001A26B0" w:rsidRDefault="00E33A99">
      <w:pPr>
        <w:spacing w:after="120"/>
        <w:rPr>
          <w:b/>
          <w:noProof/>
          <w:szCs w:val="24"/>
        </w:rPr>
      </w:pPr>
      <w:bookmarkStart w:id="70" w:name="_Toc491871825"/>
      <w:bookmarkEnd w:id="70"/>
      <w:r>
        <w:rPr>
          <w:b/>
          <w:noProof/>
          <w:szCs w:val="24"/>
        </w:rPr>
        <w:t xml:space="preserve">Table </w:t>
      </w:r>
      <w:r>
        <w:rPr>
          <w:b/>
          <w:noProof/>
          <w:szCs w:val="24"/>
        </w:rPr>
        <w:fldChar w:fldCharType="begin"/>
      </w:r>
      <w:r>
        <w:rPr>
          <w:b/>
          <w:noProof/>
          <w:szCs w:val="24"/>
        </w:rPr>
        <w:instrText xml:space="preserve"> SEQ Table \* ARABIC </w:instrText>
      </w:r>
      <w:r>
        <w:rPr>
          <w:b/>
          <w:noProof/>
          <w:szCs w:val="24"/>
        </w:rPr>
        <w:fldChar w:fldCharType="separate"/>
      </w:r>
      <w:r>
        <w:rPr>
          <w:b/>
          <w:noProof/>
          <w:szCs w:val="24"/>
        </w:rPr>
        <w:t>3</w:t>
      </w:r>
      <w:r>
        <w:rPr>
          <w:b/>
          <w:noProof/>
          <w:szCs w:val="24"/>
        </w:rPr>
        <w:fldChar w:fldCharType="end"/>
      </w:r>
      <w:r>
        <w:rPr>
          <w:b/>
          <w:noProof/>
          <w:szCs w:val="24"/>
        </w:rPr>
        <w:t>: Policy options and objectives</w:t>
      </w:r>
    </w:p>
    <w:tbl>
      <w:tblPr>
        <w:tblStyle w:val="TableGrid"/>
        <w:tblW w:w="0" w:type="auto"/>
        <w:jc w:val="center"/>
        <w:tblLook w:val="04A0" w:firstRow="1" w:lastRow="0" w:firstColumn="1" w:lastColumn="0" w:noHBand="0" w:noVBand="1"/>
      </w:tblPr>
      <w:tblGrid>
        <w:gridCol w:w="1854"/>
        <w:gridCol w:w="2105"/>
        <w:gridCol w:w="2105"/>
        <w:gridCol w:w="2228"/>
      </w:tblGrid>
      <w:tr w:rsidR="001A26B0">
        <w:trPr>
          <w:trHeight w:val="2414"/>
          <w:jc w:val="center"/>
        </w:trPr>
        <w:tc>
          <w:tcPr>
            <w:tcW w:w="1854" w:type="dxa"/>
          </w:tcPr>
          <w:p w:rsidR="001A26B0" w:rsidRDefault="00E33A99">
            <w:pPr>
              <w:spacing w:before="120" w:after="120"/>
              <w:rPr>
                <w:noProof/>
                <w:sz w:val="20"/>
              </w:rPr>
            </w:pPr>
            <w:r>
              <w:rPr>
                <w:noProof/>
              </w:rPr>
              <w:t>Key policy areas</w:t>
            </w:r>
          </w:p>
        </w:tc>
        <w:tc>
          <w:tcPr>
            <w:tcW w:w="2105" w:type="dxa"/>
          </w:tcPr>
          <w:p w:rsidR="001A26B0" w:rsidRDefault="00E33A99">
            <w:pPr>
              <w:spacing w:before="120" w:after="120"/>
              <w:jc w:val="center"/>
              <w:rPr>
                <w:b/>
                <w:bCs/>
                <w:noProof/>
                <w:sz w:val="20"/>
              </w:rPr>
            </w:pPr>
            <w:r>
              <w:rPr>
                <w:b/>
                <w:bCs/>
                <w:noProof/>
                <w:sz w:val="20"/>
              </w:rPr>
              <w:t>PARIS AGREEMENT:</w:t>
            </w:r>
            <w:r>
              <w:rPr>
                <w:b/>
                <w:bCs/>
                <w:noProof/>
                <w:sz w:val="20"/>
              </w:rPr>
              <w:br/>
            </w:r>
            <w:r>
              <w:rPr>
                <w:noProof/>
                <w:sz w:val="20"/>
              </w:rPr>
              <w:t xml:space="preserve">Contribute to the achievement of the EU's commitments under the Paris Agreement Reduce by reducing CO2 </w:t>
            </w:r>
            <w:r>
              <w:rPr>
                <w:noProof/>
                <w:sz w:val="20"/>
              </w:rPr>
              <w:t>emissions from cars and vans cost-effectively</w:t>
            </w:r>
          </w:p>
        </w:tc>
        <w:tc>
          <w:tcPr>
            <w:tcW w:w="2105" w:type="dxa"/>
            <w:tcBorders>
              <w:bottom w:val="single" w:sz="4" w:space="0" w:color="auto"/>
            </w:tcBorders>
          </w:tcPr>
          <w:p w:rsidR="001A26B0" w:rsidRDefault="00E33A99">
            <w:pPr>
              <w:spacing w:before="120" w:after="120"/>
              <w:jc w:val="center"/>
              <w:rPr>
                <w:noProof/>
                <w:sz w:val="20"/>
              </w:rPr>
            </w:pPr>
            <w:r>
              <w:rPr>
                <w:b/>
                <w:bCs/>
                <w:noProof/>
                <w:sz w:val="20"/>
              </w:rPr>
              <w:t>CONSUMERS:</w:t>
            </w:r>
            <w:r>
              <w:rPr>
                <w:noProof/>
                <w:sz w:val="20"/>
              </w:rPr>
              <w:br/>
              <w:t>Reduce fuel consumption costs for consumers</w:t>
            </w:r>
          </w:p>
        </w:tc>
        <w:tc>
          <w:tcPr>
            <w:tcW w:w="2228" w:type="dxa"/>
            <w:tcBorders>
              <w:bottom w:val="single" w:sz="4" w:space="0" w:color="auto"/>
            </w:tcBorders>
          </w:tcPr>
          <w:p w:rsidR="001A26B0" w:rsidRDefault="00E33A99">
            <w:pPr>
              <w:spacing w:before="120" w:after="120"/>
              <w:jc w:val="center"/>
              <w:rPr>
                <w:b/>
                <w:bCs/>
                <w:noProof/>
                <w:sz w:val="20"/>
              </w:rPr>
            </w:pPr>
            <w:r>
              <w:rPr>
                <w:b/>
                <w:bCs/>
                <w:noProof/>
                <w:sz w:val="20"/>
              </w:rPr>
              <w:t>COMPETITIVENESS:</w:t>
            </w:r>
            <w:r>
              <w:rPr>
                <w:b/>
                <w:bCs/>
                <w:noProof/>
                <w:sz w:val="20"/>
              </w:rPr>
              <w:br/>
            </w:r>
            <w:r>
              <w:rPr>
                <w:noProof/>
                <w:sz w:val="20"/>
              </w:rPr>
              <w:t>Strengthen the competitiveness of EU automotive industry and stimulate employment</w:t>
            </w:r>
          </w:p>
        </w:tc>
      </w:tr>
      <w:tr w:rsidR="001A26B0">
        <w:trPr>
          <w:trHeight w:val="710"/>
          <w:jc w:val="center"/>
        </w:trPr>
        <w:tc>
          <w:tcPr>
            <w:tcW w:w="1854" w:type="dxa"/>
          </w:tcPr>
          <w:p w:rsidR="001A26B0" w:rsidRDefault="00E33A99">
            <w:pPr>
              <w:spacing w:before="120" w:after="120"/>
              <w:jc w:val="left"/>
              <w:rPr>
                <w:noProof/>
              </w:rPr>
            </w:pPr>
            <w:r>
              <w:rPr>
                <w:noProof/>
              </w:rPr>
              <w:t xml:space="preserve">Emission targets </w:t>
            </w:r>
          </w:p>
        </w:tc>
        <w:tc>
          <w:tcPr>
            <w:tcW w:w="2105" w:type="dxa"/>
          </w:tcPr>
          <w:p w:rsidR="001A26B0" w:rsidRDefault="00E33A99">
            <w:pPr>
              <w:spacing w:before="120" w:after="120"/>
              <w:jc w:val="center"/>
              <w:rPr>
                <w:noProof/>
              </w:rPr>
            </w:pPr>
            <w:r>
              <w:rPr>
                <w:noProof/>
              </w:rPr>
              <w:sym w:font="Wingdings" w:char="F0FC"/>
            </w:r>
          </w:p>
        </w:tc>
        <w:tc>
          <w:tcPr>
            <w:tcW w:w="2105" w:type="dxa"/>
            <w:shd w:val="clear" w:color="auto" w:fill="auto"/>
          </w:tcPr>
          <w:p w:rsidR="001A26B0" w:rsidRDefault="00E33A99">
            <w:pPr>
              <w:spacing w:before="120" w:after="120"/>
              <w:jc w:val="center"/>
              <w:rPr>
                <w:noProof/>
              </w:rPr>
            </w:pPr>
            <w:r>
              <w:rPr>
                <w:noProof/>
              </w:rPr>
              <w:sym w:font="Wingdings" w:char="F0FC"/>
            </w:r>
          </w:p>
        </w:tc>
        <w:tc>
          <w:tcPr>
            <w:tcW w:w="2228" w:type="dxa"/>
          </w:tcPr>
          <w:p w:rsidR="001A26B0" w:rsidRDefault="00E33A99">
            <w:pPr>
              <w:spacing w:before="120" w:after="120"/>
              <w:jc w:val="center"/>
              <w:rPr>
                <w:noProof/>
              </w:rPr>
            </w:pPr>
            <w:r>
              <w:rPr>
                <w:noProof/>
              </w:rPr>
              <w:sym w:font="Wingdings" w:char="F0FC"/>
            </w:r>
          </w:p>
        </w:tc>
      </w:tr>
      <w:tr w:rsidR="001A26B0">
        <w:trPr>
          <w:trHeight w:val="710"/>
          <w:jc w:val="center"/>
        </w:trPr>
        <w:tc>
          <w:tcPr>
            <w:tcW w:w="1854" w:type="dxa"/>
          </w:tcPr>
          <w:p w:rsidR="001A26B0" w:rsidRDefault="00E33A99">
            <w:pPr>
              <w:spacing w:before="120" w:after="120"/>
              <w:jc w:val="left"/>
              <w:rPr>
                <w:noProof/>
              </w:rPr>
            </w:pPr>
            <w:r>
              <w:rPr>
                <w:noProof/>
              </w:rPr>
              <w:t xml:space="preserve">Distribution of effort </w:t>
            </w:r>
          </w:p>
        </w:tc>
        <w:tc>
          <w:tcPr>
            <w:tcW w:w="2105" w:type="dxa"/>
          </w:tcPr>
          <w:p w:rsidR="001A26B0" w:rsidRDefault="001A26B0">
            <w:pPr>
              <w:spacing w:before="120" w:after="120"/>
              <w:jc w:val="center"/>
              <w:rPr>
                <w:noProof/>
              </w:rPr>
            </w:pPr>
          </w:p>
        </w:tc>
        <w:tc>
          <w:tcPr>
            <w:tcW w:w="2105" w:type="dxa"/>
            <w:shd w:val="clear" w:color="auto" w:fill="auto"/>
          </w:tcPr>
          <w:p w:rsidR="001A26B0" w:rsidRDefault="001A26B0">
            <w:pPr>
              <w:spacing w:before="120" w:after="120"/>
              <w:jc w:val="center"/>
              <w:rPr>
                <w:noProof/>
              </w:rPr>
            </w:pPr>
          </w:p>
        </w:tc>
        <w:tc>
          <w:tcPr>
            <w:tcW w:w="2228" w:type="dxa"/>
          </w:tcPr>
          <w:p w:rsidR="001A26B0" w:rsidRDefault="00E33A99">
            <w:pPr>
              <w:spacing w:before="120" w:after="120"/>
              <w:jc w:val="center"/>
              <w:rPr>
                <w:noProof/>
              </w:rPr>
            </w:pPr>
            <w:r>
              <w:rPr>
                <w:noProof/>
              </w:rPr>
              <w:sym w:font="Wingdings" w:char="F0FC"/>
            </w:r>
          </w:p>
        </w:tc>
      </w:tr>
      <w:tr w:rsidR="001A26B0">
        <w:trPr>
          <w:trHeight w:val="710"/>
          <w:jc w:val="center"/>
        </w:trPr>
        <w:tc>
          <w:tcPr>
            <w:tcW w:w="1854" w:type="dxa"/>
          </w:tcPr>
          <w:p w:rsidR="001A26B0" w:rsidRDefault="00E33A99">
            <w:pPr>
              <w:spacing w:before="120" w:after="120"/>
              <w:jc w:val="left"/>
              <w:rPr>
                <w:noProof/>
              </w:rPr>
            </w:pPr>
            <w:r>
              <w:rPr>
                <w:noProof/>
              </w:rPr>
              <w:t>ZEV/ LEV incentives</w:t>
            </w:r>
          </w:p>
        </w:tc>
        <w:tc>
          <w:tcPr>
            <w:tcW w:w="2105" w:type="dxa"/>
          </w:tcPr>
          <w:p w:rsidR="001A26B0" w:rsidRDefault="00E33A99">
            <w:pPr>
              <w:spacing w:before="120" w:after="120"/>
              <w:jc w:val="center"/>
              <w:rPr>
                <w:noProof/>
              </w:rPr>
            </w:pPr>
            <w:r>
              <w:rPr>
                <w:noProof/>
              </w:rPr>
              <w:sym w:font="Wingdings" w:char="F0FC"/>
            </w:r>
          </w:p>
        </w:tc>
        <w:tc>
          <w:tcPr>
            <w:tcW w:w="2105" w:type="dxa"/>
            <w:shd w:val="clear" w:color="auto" w:fill="auto"/>
          </w:tcPr>
          <w:p w:rsidR="001A26B0" w:rsidRDefault="00E33A99">
            <w:pPr>
              <w:spacing w:before="120" w:after="120"/>
              <w:jc w:val="center"/>
              <w:rPr>
                <w:noProof/>
              </w:rPr>
            </w:pPr>
            <w:r>
              <w:rPr>
                <w:noProof/>
              </w:rPr>
              <w:sym w:font="Wingdings" w:char="F0FC"/>
            </w:r>
          </w:p>
        </w:tc>
        <w:tc>
          <w:tcPr>
            <w:tcW w:w="2228" w:type="dxa"/>
          </w:tcPr>
          <w:p w:rsidR="001A26B0" w:rsidRDefault="00E33A99">
            <w:pPr>
              <w:spacing w:before="120" w:after="120"/>
              <w:jc w:val="center"/>
              <w:rPr>
                <w:noProof/>
              </w:rPr>
            </w:pPr>
            <w:r>
              <w:rPr>
                <w:noProof/>
              </w:rPr>
              <w:sym w:font="Wingdings" w:char="F0FC"/>
            </w:r>
          </w:p>
        </w:tc>
      </w:tr>
      <w:tr w:rsidR="001A26B0">
        <w:trPr>
          <w:trHeight w:val="950"/>
          <w:jc w:val="center"/>
        </w:trPr>
        <w:tc>
          <w:tcPr>
            <w:tcW w:w="1854" w:type="dxa"/>
          </w:tcPr>
          <w:p w:rsidR="001A26B0" w:rsidRDefault="00E33A99">
            <w:pPr>
              <w:spacing w:before="120" w:after="120"/>
              <w:jc w:val="left"/>
              <w:rPr>
                <w:noProof/>
              </w:rPr>
            </w:pPr>
            <w:r>
              <w:rPr>
                <w:noProof/>
              </w:rPr>
              <w:t>Elements for cost-effective implementation</w:t>
            </w:r>
          </w:p>
        </w:tc>
        <w:tc>
          <w:tcPr>
            <w:tcW w:w="2105" w:type="dxa"/>
          </w:tcPr>
          <w:p w:rsidR="001A26B0" w:rsidRDefault="00E33A99">
            <w:pPr>
              <w:spacing w:before="120" w:after="120"/>
              <w:jc w:val="center"/>
              <w:rPr>
                <w:noProof/>
              </w:rPr>
            </w:pPr>
            <w:r>
              <w:rPr>
                <w:noProof/>
              </w:rPr>
              <w:sym w:font="Wingdings" w:char="F0FC"/>
            </w:r>
          </w:p>
        </w:tc>
        <w:tc>
          <w:tcPr>
            <w:tcW w:w="2105" w:type="dxa"/>
            <w:shd w:val="clear" w:color="auto" w:fill="auto"/>
          </w:tcPr>
          <w:p w:rsidR="001A26B0" w:rsidRDefault="001A26B0">
            <w:pPr>
              <w:spacing w:before="120" w:after="120"/>
              <w:jc w:val="center"/>
              <w:rPr>
                <w:noProof/>
              </w:rPr>
            </w:pPr>
          </w:p>
        </w:tc>
        <w:tc>
          <w:tcPr>
            <w:tcW w:w="2228" w:type="dxa"/>
          </w:tcPr>
          <w:p w:rsidR="001A26B0" w:rsidRDefault="00E33A99">
            <w:pPr>
              <w:spacing w:before="120" w:after="120"/>
              <w:jc w:val="center"/>
              <w:rPr>
                <w:noProof/>
              </w:rPr>
            </w:pPr>
            <w:r>
              <w:rPr>
                <w:noProof/>
              </w:rPr>
              <w:sym w:font="Wingdings" w:char="F0FC"/>
            </w:r>
          </w:p>
        </w:tc>
      </w:tr>
      <w:tr w:rsidR="001A26B0">
        <w:trPr>
          <w:trHeight w:val="470"/>
          <w:jc w:val="center"/>
        </w:trPr>
        <w:tc>
          <w:tcPr>
            <w:tcW w:w="1854" w:type="dxa"/>
          </w:tcPr>
          <w:p w:rsidR="001A26B0" w:rsidRDefault="00E33A99">
            <w:pPr>
              <w:spacing w:before="120" w:after="120"/>
              <w:jc w:val="left"/>
              <w:rPr>
                <w:noProof/>
              </w:rPr>
            </w:pPr>
            <w:r>
              <w:rPr>
                <w:noProof/>
              </w:rPr>
              <w:t xml:space="preserve">Governance </w:t>
            </w:r>
          </w:p>
        </w:tc>
        <w:tc>
          <w:tcPr>
            <w:tcW w:w="2105" w:type="dxa"/>
          </w:tcPr>
          <w:p w:rsidR="001A26B0" w:rsidRDefault="00E33A99">
            <w:pPr>
              <w:spacing w:before="120" w:after="120"/>
              <w:jc w:val="center"/>
              <w:rPr>
                <w:noProof/>
              </w:rPr>
            </w:pPr>
            <w:r>
              <w:rPr>
                <w:noProof/>
              </w:rPr>
              <w:sym w:font="Wingdings" w:char="F0FC"/>
            </w:r>
          </w:p>
        </w:tc>
        <w:tc>
          <w:tcPr>
            <w:tcW w:w="2105" w:type="dxa"/>
            <w:shd w:val="clear" w:color="auto" w:fill="auto"/>
          </w:tcPr>
          <w:p w:rsidR="001A26B0" w:rsidRDefault="00E33A99">
            <w:pPr>
              <w:spacing w:before="120" w:after="120"/>
              <w:jc w:val="center"/>
              <w:rPr>
                <w:noProof/>
              </w:rPr>
            </w:pPr>
            <w:r>
              <w:rPr>
                <w:noProof/>
              </w:rPr>
              <w:sym w:font="Wingdings" w:char="F0FC"/>
            </w:r>
          </w:p>
        </w:tc>
        <w:tc>
          <w:tcPr>
            <w:tcW w:w="2228" w:type="dxa"/>
          </w:tcPr>
          <w:p w:rsidR="001A26B0" w:rsidRDefault="001A26B0">
            <w:pPr>
              <w:spacing w:before="120" w:after="120"/>
              <w:jc w:val="center"/>
              <w:rPr>
                <w:noProof/>
              </w:rPr>
            </w:pPr>
          </w:p>
        </w:tc>
      </w:tr>
    </w:tbl>
    <w:p w:rsidR="001A26B0" w:rsidRDefault="00E33A99">
      <w:pPr>
        <w:pStyle w:val="Heading2"/>
        <w:rPr>
          <w:noProof/>
        </w:rPr>
      </w:pPr>
      <w:bookmarkStart w:id="71" w:name="_Toc496635581"/>
      <w:r>
        <w:rPr>
          <w:noProof/>
        </w:rPr>
        <w:t>Emission targets (level, timing and metric)</w:t>
      </w:r>
      <w:bookmarkEnd w:id="71"/>
    </w:p>
    <w:p w:rsidR="001A26B0" w:rsidRDefault="00E33A99">
      <w:pPr>
        <w:spacing w:after="120"/>
        <w:rPr>
          <w:noProof/>
        </w:rPr>
      </w:pPr>
      <w:r>
        <w:rPr>
          <w:noProof/>
        </w:rPr>
        <w:t>The currently applicable Regulations (EC) No 443/2009 ("Cars Regulation") and (EU) No 510/2011 ("Vans Regulation") set</w:t>
      </w:r>
      <w:r>
        <w:rPr>
          <w:noProof/>
        </w:rPr>
        <w:t xml:space="preserve"> a fleet-wide target of 95 g CO</w:t>
      </w:r>
      <w:r>
        <w:rPr>
          <w:noProof/>
          <w:vertAlign w:val="subscript"/>
        </w:rPr>
        <w:t>2</w:t>
      </w:r>
      <w:r>
        <w:rPr>
          <w:noProof/>
        </w:rPr>
        <w:t>/km (from 2021, with a phase-in from 2020) and 147 g CO</w:t>
      </w:r>
      <w:r>
        <w:rPr>
          <w:noProof/>
          <w:vertAlign w:val="subscript"/>
        </w:rPr>
        <w:t>2</w:t>
      </w:r>
      <w:r>
        <w:rPr>
          <w:noProof/>
        </w:rPr>
        <w:t>/km (from 2020), respectively, for the emissions of newly registered vehicles. These targets are based on the NEDC test procedure. Compared to the targets set previousl</w:t>
      </w:r>
      <w:r>
        <w:rPr>
          <w:noProof/>
        </w:rPr>
        <w:t>y, they represent an average annual reduction of 5.1% for cars (from the 2015 target of 130 g CO</w:t>
      </w:r>
      <w:r>
        <w:rPr>
          <w:noProof/>
          <w:vertAlign w:val="subscript"/>
        </w:rPr>
        <w:t>2</w:t>
      </w:r>
      <w:r>
        <w:rPr>
          <w:noProof/>
        </w:rPr>
        <w:t>/km) and of 5.6% for vans (from the 2017 target of 175 g CO</w:t>
      </w:r>
      <w:r>
        <w:rPr>
          <w:noProof/>
          <w:vertAlign w:val="subscript"/>
        </w:rPr>
        <w:t>2</w:t>
      </w:r>
      <w:r>
        <w:rPr>
          <w:noProof/>
        </w:rPr>
        <w:t xml:space="preserve">/km). </w:t>
      </w:r>
    </w:p>
    <w:p w:rsidR="001A26B0" w:rsidRDefault="00E33A99">
      <w:pPr>
        <w:spacing w:after="120"/>
        <w:rPr>
          <w:noProof/>
        </w:rPr>
      </w:pPr>
      <w:r>
        <w:rPr>
          <w:noProof/>
        </w:rPr>
        <w:t>The introduction of the new test procedure WLTP, in September 2017</w:t>
      </w:r>
      <w:r>
        <w:rPr>
          <w:rStyle w:val="FootnoteReference"/>
          <w:noProof/>
        </w:rPr>
        <w:footnoteReference w:id="60"/>
      </w:r>
      <w:r>
        <w:rPr>
          <w:noProof/>
        </w:rPr>
        <w:t>, is expected to bring th</w:t>
      </w:r>
      <w:r>
        <w:rPr>
          <w:noProof/>
        </w:rPr>
        <w:t>e tailpipe CO</w:t>
      </w:r>
      <w:r>
        <w:rPr>
          <w:noProof/>
          <w:vertAlign w:val="subscript"/>
        </w:rPr>
        <w:t>2</w:t>
      </w:r>
      <w:r>
        <w:rPr>
          <w:noProof/>
        </w:rPr>
        <w:t xml:space="preserve"> emissions from cars and vans determined during type approval closer to the real world emissions. The WLTP will be fully applicable to all new cars and vans from September 2019 (see also Section 5.5). </w:t>
      </w:r>
    </w:p>
    <w:p w:rsidR="001A26B0" w:rsidRDefault="00E33A99">
      <w:pPr>
        <w:spacing w:after="120"/>
        <w:rPr>
          <w:noProof/>
        </w:rPr>
      </w:pPr>
      <w:r>
        <w:rPr>
          <w:noProof/>
        </w:rPr>
        <w:t xml:space="preserve">WLTP </w:t>
      </w:r>
      <w:r>
        <w:rPr>
          <w:noProof/>
          <w:szCs w:val="24"/>
        </w:rPr>
        <w:t>is likely to result in increased CO</w:t>
      </w:r>
      <w:r>
        <w:rPr>
          <w:noProof/>
          <w:szCs w:val="24"/>
          <w:vertAlign w:val="subscript"/>
        </w:rPr>
        <w:t>2</w:t>
      </w:r>
      <w:r>
        <w:rPr>
          <w:noProof/>
          <w:szCs w:val="24"/>
        </w:rPr>
        <w:t xml:space="preserve"> emissions for most vehicles but the increase will not be evenly distributed between different manufacturers. Due to this non-linear relationship between the CO</w:t>
      </w:r>
      <w:r>
        <w:rPr>
          <w:noProof/>
          <w:szCs w:val="24"/>
          <w:vertAlign w:val="subscript"/>
        </w:rPr>
        <w:t>2</w:t>
      </w:r>
      <w:r>
        <w:rPr>
          <w:noProof/>
          <w:szCs w:val="24"/>
        </w:rPr>
        <w:t xml:space="preserve"> emission test results from the NEDC and WLTP test-procedures, it is impossible to determine o</w:t>
      </w:r>
      <w:r>
        <w:rPr>
          <w:noProof/>
          <w:szCs w:val="24"/>
        </w:rPr>
        <w:t>ne single factor to correlate NEDC into WLTP CO</w:t>
      </w:r>
      <w:r>
        <w:rPr>
          <w:noProof/>
          <w:szCs w:val="24"/>
          <w:vertAlign w:val="subscript"/>
        </w:rPr>
        <w:t xml:space="preserve">2 </w:t>
      </w:r>
      <w:r>
        <w:rPr>
          <w:noProof/>
          <w:szCs w:val="24"/>
        </w:rPr>
        <w:t>emission values. A correlation procedure</w:t>
      </w:r>
      <w:r>
        <w:rPr>
          <w:rStyle w:val="FootnoteReference"/>
          <w:noProof/>
        </w:rPr>
        <w:footnoteReference w:id="61"/>
      </w:r>
      <w:r>
        <w:rPr>
          <w:noProof/>
          <w:szCs w:val="24"/>
        </w:rPr>
        <w:t xml:space="preserve"> will therefore be performed at the level of individual manufacturer. </w:t>
      </w:r>
      <w:r>
        <w:rPr>
          <w:noProof/>
        </w:rPr>
        <w:t>Based on the correlation procedures and the methodology adopted for translating the individual m</w:t>
      </w:r>
      <w:r>
        <w:rPr>
          <w:noProof/>
        </w:rPr>
        <w:t xml:space="preserve">anufacturer targets from NEDC to WLTP values, WLTP-based manufacturer targets will apply from 2021 onwards. </w:t>
      </w:r>
      <w:r>
        <w:rPr>
          <w:noProof/>
          <w:szCs w:val="24"/>
        </w:rPr>
        <w:t>Those targets will be confirmed by the Commission and published in October 2022.</w:t>
      </w:r>
      <w:r>
        <w:rPr>
          <w:rStyle w:val="FootnoteReference"/>
          <w:noProof/>
        </w:rPr>
        <w:footnoteReference w:id="62"/>
      </w:r>
      <w:r>
        <w:rPr>
          <w:noProof/>
          <w:szCs w:val="24"/>
        </w:rPr>
        <w:t xml:space="preserve"> </w:t>
      </w:r>
      <w:r>
        <w:rPr>
          <w:noProof/>
        </w:rPr>
        <w:t xml:space="preserve">   </w:t>
      </w:r>
    </w:p>
    <w:p w:rsidR="001A26B0" w:rsidRDefault="00E33A99">
      <w:pPr>
        <w:spacing w:after="120"/>
        <w:rPr>
          <w:noProof/>
        </w:rPr>
      </w:pPr>
      <w:r>
        <w:rPr>
          <w:noProof/>
        </w:rPr>
        <w:t xml:space="preserve">More information on the transition from NEDC to WLTP is given </w:t>
      </w:r>
      <w:r>
        <w:rPr>
          <w:noProof/>
        </w:rPr>
        <w:t>in Annex 5.</w:t>
      </w:r>
    </w:p>
    <w:p w:rsidR="001A26B0" w:rsidRDefault="00E33A99">
      <w:pPr>
        <w:pStyle w:val="Heading3"/>
        <w:rPr>
          <w:noProof/>
        </w:rPr>
      </w:pPr>
      <w:bookmarkStart w:id="72" w:name="_Ref485746356"/>
      <w:bookmarkStart w:id="73" w:name="_Ref485975801"/>
      <w:bookmarkStart w:id="74" w:name="_Toc496635582"/>
      <w:r>
        <w:rPr>
          <w:noProof/>
        </w:rPr>
        <w:t>CO</w:t>
      </w:r>
      <w:r>
        <w:rPr>
          <w:noProof/>
          <w:vertAlign w:val="subscript"/>
        </w:rPr>
        <w:t>2</w:t>
      </w:r>
      <w:r>
        <w:rPr>
          <w:noProof/>
        </w:rPr>
        <w:t xml:space="preserve"> emission target level (TL)</w:t>
      </w:r>
      <w:bookmarkEnd w:id="72"/>
      <w:bookmarkEnd w:id="73"/>
      <w:bookmarkEnd w:id="74"/>
    </w:p>
    <w:p w:rsidR="001A26B0" w:rsidRDefault="00E33A99">
      <w:pPr>
        <w:spacing w:after="120"/>
        <w:rPr>
          <w:noProof/>
        </w:rPr>
      </w:pPr>
      <w:r>
        <w:rPr>
          <w:noProof/>
        </w:rPr>
        <w:t>The likely increase in WLTP CO</w:t>
      </w:r>
      <w:r>
        <w:rPr>
          <w:noProof/>
          <w:vertAlign w:val="subscript"/>
        </w:rPr>
        <w:t>2</w:t>
      </w:r>
      <w:r>
        <w:rPr>
          <w:noProof/>
        </w:rPr>
        <w:t xml:space="preserve"> emission values (compared to NEDC) has been taken into account for the purposes of the analytical work underlying this impact assessment (see Annex 4.6). </w:t>
      </w:r>
    </w:p>
    <w:p w:rsidR="001A26B0" w:rsidRDefault="00E33A99">
      <w:pPr>
        <w:spacing w:after="120"/>
        <w:rPr>
          <w:noProof/>
        </w:rPr>
      </w:pPr>
      <w:r>
        <w:rPr>
          <w:noProof/>
        </w:rPr>
        <w:t xml:space="preserve">Since the exact specific </w:t>
      </w:r>
      <w:r>
        <w:rPr>
          <w:noProof/>
        </w:rPr>
        <w:t xml:space="preserve">WLTP emission target values for 2021 can only be determined in 2022 (as described above), the new emission targets should be defined not as absolute values but in relative terms. The starting point for this are the 2021 EU-wide fleet average WLTP emission </w:t>
      </w:r>
      <w:r>
        <w:rPr>
          <w:noProof/>
        </w:rPr>
        <w:t>targets (i.e. the weighted average of the manufacturers' specific emissions targets for 2021). The new targets can be expressed either as a percentage reduction of those 2021 EU-wide fleet targets or as an average annual reduction rate over a given period.</w:t>
      </w:r>
    </w:p>
    <w:p w:rsidR="001A26B0" w:rsidRDefault="00E33A99">
      <w:pPr>
        <w:spacing w:after="120"/>
        <w:rPr>
          <w:noProof/>
        </w:rPr>
      </w:pPr>
      <w:r>
        <w:rPr>
          <w:noProof/>
        </w:rPr>
        <w:t>The options in this section for the new EU-wide fleet average target levels ("TLC" for cars and "TLV" for vans) are defining the target trajectory over the period 2021-2030, without prejudging the target years. Options as regards the timing of the targets</w:t>
      </w:r>
      <w:r>
        <w:rPr>
          <w:noProof/>
        </w:rPr>
        <w:t xml:space="preserve"> are set out in Section 5.1.2.</w:t>
      </w:r>
    </w:p>
    <w:p w:rsidR="001A26B0" w:rsidRDefault="00E33A99">
      <w:pPr>
        <w:pStyle w:val="Heading4"/>
        <w:rPr>
          <w:noProof/>
        </w:rPr>
      </w:pPr>
      <w:bookmarkStart w:id="75" w:name="_Ref486585620"/>
      <w:bookmarkStart w:id="76" w:name="_Toc496635583"/>
      <w:r>
        <w:rPr>
          <w:noProof/>
        </w:rPr>
        <w:t>CO</w:t>
      </w:r>
      <w:r>
        <w:rPr>
          <w:noProof/>
          <w:vertAlign w:val="subscript"/>
        </w:rPr>
        <w:t>2</w:t>
      </w:r>
      <w:r>
        <w:rPr>
          <w:noProof/>
        </w:rPr>
        <w:t xml:space="preserve"> target level for passenger cars (TLC)</w:t>
      </w:r>
      <w:bookmarkEnd w:id="75"/>
      <w:bookmarkEnd w:id="76"/>
    </w:p>
    <w:p w:rsidR="001A26B0" w:rsidRDefault="00E33A99">
      <w:pPr>
        <w:pStyle w:val="ListParagraph"/>
        <w:numPr>
          <w:ilvl w:val="0"/>
          <w:numId w:val="19"/>
        </w:numPr>
        <w:spacing w:after="120"/>
        <w:ind w:left="714" w:hanging="357"/>
        <w:contextualSpacing w:val="0"/>
        <w:rPr>
          <w:noProof/>
        </w:rPr>
      </w:pPr>
      <w:r>
        <w:rPr>
          <w:noProof/>
        </w:rPr>
        <w:t>Option TLC0: Change nothing (baseline)</w:t>
      </w:r>
    </w:p>
    <w:p w:rsidR="001A26B0" w:rsidRDefault="00E33A99">
      <w:pPr>
        <w:pStyle w:val="ListParagraph"/>
        <w:spacing w:after="120"/>
        <w:ind w:left="714"/>
        <w:contextualSpacing w:val="0"/>
        <w:rPr>
          <w:noProof/>
        </w:rPr>
      </w:pPr>
      <w:r>
        <w:rPr>
          <w:noProof/>
        </w:rPr>
        <w:t>This option represents the status quo, meaning that the CO</w:t>
      </w:r>
      <w:r>
        <w:rPr>
          <w:noProof/>
          <w:vertAlign w:val="subscript"/>
        </w:rPr>
        <w:t>2</w:t>
      </w:r>
      <w:r>
        <w:rPr>
          <w:noProof/>
        </w:rPr>
        <w:t xml:space="preserve"> target level set in the current Regulation is maintained after 2021 (WLTP equivalent of 95 g CO</w:t>
      </w:r>
      <w:r>
        <w:rPr>
          <w:noProof/>
          <w:vertAlign w:val="subscript"/>
        </w:rPr>
        <w:t>2</w:t>
      </w:r>
      <w:r>
        <w:rPr>
          <w:noProof/>
        </w:rPr>
        <w:t>/km as EU-wide fleet average).</w:t>
      </w:r>
    </w:p>
    <w:p w:rsidR="001A26B0" w:rsidRDefault="00E33A99">
      <w:pPr>
        <w:pStyle w:val="ListParagraph"/>
        <w:numPr>
          <w:ilvl w:val="0"/>
          <w:numId w:val="19"/>
        </w:numPr>
        <w:spacing w:after="120"/>
        <w:ind w:left="714" w:hanging="357"/>
        <w:contextualSpacing w:val="0"/>
        <w:rPr>
          <w:noProof/>
        </w:rPr>
      </w:pPr>
      <w:r>
        <w:rPr>
          <w:noProof/>
        </w:rPr>
        <w:t>The other options for defining the EU-wide fleet CO</w:t>
      </w:r>
      <w:r>
        <w:rPr>
          <w:noProof/>
          <w:vertAlign w:val="subscript"/>
        </w:rPr>
        <w:t>2</w:t>
      </w:r>
      <w:r>
        <w:rPr>
          <w:noProof/>
        </w:rPr>
        <w:t xml:space="preserve"> target level for passenger cars are summarised in the below table.</w:t>
      </w:r>
    </w:p>
    <w:tbl>
      <w:tblPr>
        <w:tblStyle w:val="TableGrid"/>
        <w:tblW w:w="4754" w:type="pct"/>
        <w:tblInd w:w="468" w:type="dxa"/>
        <w:tblLook w:val="04A0" w:firstRow="1" w:lastRow="0" w:firstColumn="1" w:lastColumn="0" w:noHBand="0" w:noVBand="1"/>
      </w:tblPr>
      <w:tblGrid>
        <w:gridCol w:w="1440"/>
        <w:gridCol w:w="3120"/>
        <w:gridCol w:w="3835"/>
      </w:tblGrid>
      <w:tr w:rsidR="001A26B0">
        <w:tc>
          <w:tcPr>
            <w:tcW w:w="858" w:type="pct"/>
            <w:shd w:val="clear" w:color="auto" w:fill="EEECE1" w:themeFill="background2"/>
          </w:tcPr>
          <w:p w:rsidR="001A26B0" w:rsidRDefault="00E33A99">
            <w:pPr>
              <w:pStyle w:val="ListParagraph"/>
              <w:spacing w:after="0"/>
              <w:ind w:left="0"/>
              <w:contextualSpacing w:val="0"/>
              <w:rPr>
                <w:noProof/>
              </w:rPr>
            </w:pPr>
            <w:r>
              <w:rPr>
                <w:noProof/>
              </w:rPr>
              <w:t>Option</w:t>
            </w:r>
          </w:p>
        </w:tc>
        <w:tc>
          <w:tcPr>
            <w:tcW w:w="1858" w:type="pct"/>
            <w:shd w:val="clear" w:color="auto" w:fill="EEECE1" w:themeFill="background2"/>
          </w:tcPr>
          <w:p w:rsidR="001A26B0" w:rsidRDefault="00E33A99">
            <w:pPr>
              <w:pStyle w:val="ListParagraph"/>
              <w:spacing w:after="0"/>
              <w:ind w:left="0"/>
              <w:contextualSpacing w:val="0"/>
              <w:jc w:val="center"/>
              <w:rPr>
                <w:noProof/>
              </w:rPr>
            </w:pPr>
            <w:r>
              <w:rPr>
                <w:noProof/>
              </w:rPr>
              <w:t>D</w:t>
            </w:r>
            <w:r>
              <w:rPr>
                <w:noProof/>
              </w:rPr>
              <w:t>ecrease of WLTP CO</w:t>
            </w:r>
            <w:r>
              <w:rPr>
                <w:noProof/>
                <w:vertAlign w:val="subscript"/>
              </w:rPr>
              <w:t>2</w:t>
            </w:r>
            <w:r>
              <w:rPr>
                <w:noProof/>
              </w:rPr>
              <w:t xml:space="preserve"> target level (2021-2030)</w:t>
            </w:r>
          </w:p>
        </w:tc>
        <w:tc>
          <w:tcPr>
            <w:tcW w:w="2284" w:type="pct"/>
            <w:shd w:val="clear" w:color="auto" w:fill="EEECE1" w:themeFill="background2"/>
          </w:tcPr>
          <w:p w:rsidR="001A26B0" w:rsidRDefault="00E33A99">
            <w:pPr>
              <w:pStyle w:val="ListParagraph"/>
              <w:spacing w:after="0"/>
              <w:ind w:left="0"/>
              <w:contextualSpacing w:val="0"/>
              <w:jc w:val="center"/>
              <w:rPr>
                <w:noProof/>
              </w:rPr>
            </w:pPr>
            <w:r>
              <w:rPr>
                <w:noProof/>
              </w:rPr>
              <w:t>Average annual reduction rate of WLTP CO</w:t>
            </w:r>
            <w:r>
              <w:rPr>
                <w:noProof/>
                <w:vertAlign w:val="subscript"/>
              </w:rPr>
              <w:t>2</w:t>
            </w:r>
            <w:r>
              <w:rPr>
                <w:noProof/>
              </w:rPr>
              <w:t xml:space="preserve"> target level (2021-2030)</w:t>
            </w:r>
          </w:p>
        </w:tc>
      </w:tr>
      <w:tr w:rsidR="001A26B0">
        <w:tc>
          <w:tcPr>
            <w:tcW w:w="858" w:type="pct"/>
          </w:tcPr>
          <w:p w:rsidR="001A26B0" w:rsidRDefault="00E33A99">
            <w:pPr>
              <w:spacing w:after="0"/>
              <w:rPr>
                <w:noProof/>
              </w:rPr>
            </w:pPr>
            <w:r>
              <w:rPr>
                <w:noProof/>
              </w:rPr>
              <w:t>TLC10</w:t>
            </w:r>
          </w:p>
        </w:tc>
        <w:tc>
          <w:tcPr>
            <w:tcW w:w="1858" w:type="pct"/>
          </w:tcPr>
          <w:p w:rsidR="001A26B0" w:rsidRDefault="00E33A99">
            <w:pPr>
              <w:pStyle w:val="ListParagraph"/>
              <w:spacing w:after="0"/>
              <w:ind w:left="0"/>
              <w:contextualSpacing w:val="0"/>
              <w:jc w:val="center"/>
              <w:rPr>
                <w:noProof/>
              </w:rPr>
            </w:pPr>
            <w:r>
              <w:rPr>
                <w:noProof/>
              </w:rPr>
              <w:t>10%</w:t>
            </w:r>
          </w:p>
        </w:tc>
        <w:tc>
          <w:tcPr>
            <w:tcW w:w="2284" w:type="pct"/>
          </w:tcPr>
          <w:p w:rsidR="001A26B0" w:rsidRDefault="00E33A99">
            <w:pPr>
              <w:pStyle w:val="ListParagraph"/>
              <w:spacing w:after="0"/>
              <w:ind w:left="0"/>
              <w:contextualSpacing w:val="0"/>
              <w:jc w:val="center"/>
              <w:rPr>
                <w:noProof/>
              </w:rPr>
            </w:pPr>
            <w:r>
              <w:rPr>
                <w:noProof/>
              </w:rPr>
              <w:t>1.2%</w:t>
            </w:r>
          </w:p>
        </w:tc>
      </w:tr>
      <w:tr w:rsidR="001A26B0">
        <w:tc>
          <w:tcPr>
            <w:tcW w:w="858" w:type="pct"/>
          </w:tcPr>
          <w:p w:rsidR="001A26B0" w:rsidRDefault="00E33A99">
            <w:pPr>
              <w:spacing w:after="0"/>
              <w:rPr>
                <w:noProof/>
              </w:rPr>
            </w:pPr>
            <w:r>
              <w:rPr>
                <w:noProof/>
              </w:rPr>
              <w:t>TLC20</w:t>
            </w:r>
          </w:p>
        </w:tc>
        <w:tc>
          <w:tcPr>
            <w:tcW w:w="1858" w:type="pct"/>
          </w:tcPr>
          <w:p w:rsidR="001A26B0" w:rsidRDefault="00E33A99">
            <w:pPr>
              <w:pStyle w:val="ListParagraph"/>
              <w:spacing w:after="0"/>
              <w:ind w:left="0"/>
              <w:contextualSpacing w:val="0"/>
              <w:jc w:val="center"/>
              <w:rPr>
                <w:noProof/>
              </w:rPr>
            </w:pPr>
            <w:r>
              <w:rPr>
                <w:noProof/>
              </w:rPr>
              <w:t>20%</w:t>
            </w:r>
          </w:p>
        </w:tc>
        <w:tc>
          <w:tcPr>
            <w:tcW w:w="2284" w:type="pct"/>
          </w:tcPr>
          <w:p w:rsidR="001A26B0" w:rsidRDefault="00E33A99">
            <w:pPr>
              <w:pStyle w:val="ListParagraph"/>
              <w:spacing w:after="0"/>
              <w:ind w:left="0"/>
              <w:contextualSpacing w:val="0"/>
              <w:jc w:val="center"/>
              <w:rPr>
                <w:noProof/>
              </w:rPr>
            </w:pPr>
            <w:r>
              <w:rPr>
                <w:noProof/>
              </w:rPr>
              <w:t>2.4%</w:t>
            </w:r>
          </w:p>
        </w:tc>
      </w:tr>
      <w:tr w:rsidR="001A26B0">
        <w:tc>
          <w:tcPr>
            <w:tcW w:w="858" w:type="pct"/>
            <w:shd w:val="clear" w:color="auto" w:fill="auto"/>
          </w:tcPr>
          <w:p w:rsidR="001A26B0" w:rsidRDefault="00E33A99">
            <w:pPr>
              <w:spacing w:after="0"/>
              <w:rPr>
                <w:noProof/>
              </w:rPr>
            </w:pPr>
            <w:r>
              <w:rPr>
                <w:noProof/>
              </w:rPr>
              <w:t>TLC25</w:t>
            </w:r>
          </w:p>
        </w:tc>
        <w:tc>
          <w:tcPr>
            <w:tcW w:w="1858" w:type="pct"/>
            <w:shd w:val="clear" w:color="auto" w:fill="auto"/>
          </w:tcPr>
          <w:p w:rsidR="001A26B0" w:rsidRDefault="00E33A99">
            <w:pPr>
              <w:pStyle w:val="ListParagraph"/>
              <w:spacing w:after="0"/>
              <w:ind w:left="0"/>
              <w:contextualSpacing w:val="0"/>
              <w:jc w:val="center"/>
              <w:rPr>
                <w:noProof/>
              </w:rPr>
            </w:pPr>
            <w:r>
              <w:rPr>
                <w:noProof/>
              </w:rPr>
              <w:t>25%</w:t>
            </w:r>
          </w:p>
        </w:tc>
        <w:tc>
          <w:tcPr>
            <w:tcW w:w="2284" w:type="pct"/>
            <w:shd w:val="clear" w:color="auto" w:fill="auto"/>
          </w:tcPr>
          <w:p w:rsidR="001A26B0" w:rsidRDefault="00E33A99">
            <w:pPr>
              <w:pStyle w:val="ListParagraph"/>
              <w:spacing w:after="0"/>
              <w:ind w:left="0"/>
              <w:contextualSpacing w:val="0"/>
              <w:jc w:val="center"/>
              <w:rPr>
                <w:noProof/>
              </w:rPr>
            </w:pPr>
            <w:r>
              <w:rPr>
                <w:noProof/>
              </w:rPr>
              <w:t>3.2%</w:t>
            </w:r>
          </w:p>
        </w:tc>
      </w:tr>
      <w:tr w:rsidR="001A26B0">
        <w:tc>
          <w:tcPr>
            <w:tcW w:w="858" w:type="pct"/>
          </w:tcPr>
          <w:p w:rsidR="001A26B0" w:rsidRDefault="00E33A99">
            <w:pPr>
              <w:spacing w:after="0"/>
              <w:rPr>
                <w:noProof/>
              </w:rPr>
            </w:pPr>
            <w:r>
              <w:rPr>
                <w:noProof/>
              </w:rPr>
              <w:t>TLC30</w:t>
            </w:r>
          </w:p>
        </w:tc>
        <w:tc>
          <w:tcPr>
            <w:tcW w:w="1858" w:type="pct"/>
          </w:tcPr>
          <w:p w:rsidR="001A26B0" w:rsidRDefault="00E33A99">
            <w:pPr>
              <w:pStyle w:val="ListParagraph"/>
              <w:spacing w:after="0"/>
              <w:ind w:left="0"/>
              <w:contextualSpacing w:val="0"/>
              <w:jc w:val="center"/>
              <w:rPr>
                <w:noProof/>
              </w:rPr>
            </w:pPr>
            <w:r>
              <w:rPr>
                <w:noProof/>
              </w:rPr>
              <w:t>30%</w:t>
            </w:r>
          </w:p>
        </w:tc>
        <w:tc>
          <w:tcPr>
            <w:tcW w:w="2284" w:type="pct"/>
          </w:tcPr>
          <w:p w:rsidR="001A26B0" w:rsidRDefault="00E33A99">
            <w:pPr>
              <w:pStyle w:val="ListParagraph"/>
              <w:spacing w:after="0"/>
              <w:ind w:left="0"/>
              <w:contextualSpacing w:val="0"/>
              <w:jc w:val="center"/>
              <w:rPr>
                <w:noProof/>
              </w:rPr>
            </w:pPr>
            <w:r>
              <w:rPr>
                <w:noProof/>
              </w:rPr>
              <w:t>3.9%</w:t>
            </w:r>
          </w:p>
        </w:tc>
      </w:tr>
      <w:tr w:rsidR="001A26B0">
        <w:tc>
          <w:tcPr>
            <w:tcW w:w="858" w:type="pct"/>
          </w:tcPr>
          <w:p w:rsidR="001A26B0" w:rsidRDefault="00E33A99">
            <w:pPr>
              <w:spacing w:after="0"/>
              <w:rPr>
                <w:noProof/>
              </w:rPr>
            </w:pPr>
            <w:r>
              <w:rPr>
                <w:noProof/>
              </w:rPr>
              <w:t>TLC40</w:t>
            </w:r>
          </w:p>
        </w:tc>
        <w:tc>
          <w:tcPr>
            <w:tcW w:w="1858" w:type="pct"/>
          </w:tcPr>
          <w:p w:rsidR="001A26B0" w:rsidRDefault="00E33A99">
            <w:pPr>
              <w:pStyle w:val="ListParagraph"/>
              <w:spacing w:after="0"/>
              <w:ind w:left="0"/>
              <w:contextualSpacing w:val="0"/>
              <w:jc w:val="center"/>
              <w:rPr>
                <w:noProof/>
              </w:rPr>
            </w:pPr>
            <w:r>
              <w:rPr>
                <w:noProof/>
              </w:rPr>
              <w:t>40%</w:t>
            </w:r>
          </w:p>
        </w:tc>
        <w:tc>
          <w:tcPr>
            <w:tcW w:w="2284" w:type="pct"/>
          </w:tcPr>
          <w:p w:rsidR="001A26B0" w:rsidRDefault="00E33A99">
            <w:pPr>
              <w:pStyle w:val="ListParagraph"/>
              <w:spacing w:after="0"/>
              <w:ind w:left="0"/>
              <w:contextualSpacing w:val="0"/>
              <w:jc w:val="center"/>
              <w:rPr>
                <w:noProof/>
              </w:rPr>
            </w:pPr>
            <w:r>
              <w:rPr>
                <w:noProof/>
              </w:rPr>
              <w:t>5.5%</w:t>
            </w:r>
          </w:p>
        </w:tc>
      </w:tr>
      <w:tr w:rsidR="001A26B0">
        <w:tc>
          <w:tcPr>
            <w:tcW w:w="858" w:type="pct"/>
          </w:tcPr>
          <w:p w:rsidR="001A26B0" w:rsidRDefault="00E33A99">
            <w:pPr>
              <w:spacing w:after="0"/>
              <w:rPr>
                <w:noProof/>
              </w:rPr>
            </w:pPr>
            <w:r>
              <w:rPr>
                <w:noProof/>
              </w:rPr>
              <w:t>TLC_EP40</w:t>
            </w:r>
          </w:p>
        </w:tc>
        <w:tc>
          <w:tcPr>
            <w:tcW w:w="1858" w:type="pct"/>
          </w:tcPr>
          <w:p w:rsidR="001A26B0" w:rsidRDefault="00E33A99">
            <w:pPr>
              <w:pStyle w:val="ListParagraph"/>
              <w:spacing w:after="0"/>
              <w:ind w:left="0"/>
              <w:contextualSpacing w:val="0"/>
              <w:jc w:val="center"/>
              <w:rPr>
                <w:noProof/>
              </w:rPr>
            </w:pPr>
            <w:r>
              <w:rPr>
                <w:noProof/>
              </w:rPr>
              <w:t>40%</w:t>
            </w:r>
          </w:p>
        </w:tc>
        <w:tc>
          <w:tcPr>
            <w:tcW w:w="2284" w:type="pct"/>
          </w:tcPr>
          <w:p w:rsidR="001A26B0" w:rsidRDefault="00E33A99">
            <w:pPr>
              <w:pStyle w:val="ListParagraph"/>
              <w:spacing w:after="0"/>
              <w:ind w:left="0"/>
              <w:contextualSpacing w:val="0"/>
              <w:jc w:val="center"/>
              <w:rPr>
                <w:noProof/>
                <w:highlight w:val="yellow"/>
              </w:rPr>
            </w:pPr>
            <w:r>
              <w:rPr>
                <w:noProof/>
              </w:rPr>
              <w:t xml:space="preserve">5.5% </w:t>
            </w:r>
            <w:r>
              <w:rPr>
                <w:noProof/>
              </w:rPr>
              <w:br/>
              <w:t xml:space="preserve">(8.0% for 2021-2025 and </w:t>
            </w:r>
            <w:r>
              <w:rPr>
                <w:noProof/>
              </w:rPr>
              <w:br/>
              <w:t>3.5% for 2025-2030)</w:t>
            </w:r>
          </w:p>
        </w:tc>
      </w:tr>
      <w:tr w:rsidR="001A26B0">
        <w:tc>
          <w:tcPr>
            <w:tcW w:w="858" w:type="pct"/>
          </w:tcPr>
          <w:p w:rsidR="001A26B0" w:rsidRDefault="00E33A99">
            <w:pPr>
              <w:spacing w:after="0"/>
              <w:rPr>
                <w:noProof/>
              </w:rPr>
            </w:pPr>
            <w:r>
              <w:rPr>
                <w:noProof/>
              </w:rPr>
              <w:t>TLC_EP50</w:t>
            </w:r>
          </w:p>
        </w:tc>
        <w:tc>
          <w:tcPr>
            <w:tcW w:w="1858" w:type="pct"/>
          </w:tcPr>
          <w:p w:rsidR="001A26B0" w:rsidRDefault="00E33A99">
            <w:pPr>
              <w:pStyle w:val="ListParagraph"/>
              <w:spacing w:after="0"/>
              <w:ind w:left="0"/>
              <w:contextualSpacing w:val="0"/>
              <w:jc w:val="center"/>
              <w:rPr>
                <w:noProof/>
              </w:rPr>
            </w:pPr>
            <w:r>
              <w:rPr>
                <w:noProof/>
              </w:rPr>
              <w:t xml:space="preserve">50% </w:t>
            </w:r>
          </w:p>
        </w:tc>
        <w:tc>
          <w:tcPr>
            <w:tcW w:w="2284" w:type="pct"/>
          </w:tcPr>
          <w:p w:rsidR="001A26B0" w:rsidRDefault="00E33A99">
            <w:pPr>
              <w:pStyle w:val="ListParagraph"/>
              <w:spacing w:after="0"/>
              <w:ind w:left="0"/>
              <w:contextualSpacing w:val="0"/>
              <w:jc w:val="center"/>
              <w:rPr>
                <w:noProof/>
              </w:rPr>
            </w:pPr>
            <w:r>
              <w:rPr>
                <w:noProof/>
              </w:rPr>
              <w:t>7.4%</w:t>
            </w:r>
          </w:p>
        </w:tc>
      </w:tr>
    </w:tbl>
    <w:p w:rsidR="001A26B0" w:rsidRDefault="00E33A99">
      <w:pPr>
        <w:spacing w:before="120" w:after="120"/>
        <w:rPr>
          <w:noProof/>
        </w:rPr>
      </w:pPr>
      <w:r>
        <w:rPr>
          <w:noProof/>
        </w:rPr>
        <w:t xml:space="preserve">Option TLC_EP40 differs from option TLC40 by defining a non-linear target trajectory. This covers the strictest end of the 2025 target range referred to in the Statement by the Commission in 2014 in the context of the negotiations on </w:t>
      </w:r>
      <w:r>
        <w:rPr>
          <w:noProof/>
        </w:rPr>
        <w:t>the Cars Regulation</w:t>
      </w:r>
      <w:r>
        <w:rPr>
          <w:noProof/>
          <w:vertAlign w:val="superscript"/>
        </w:rPr>
        <w:footnoteReference w:id="63"/>
      </w:r>
      <w:r>
        <w:rPr>
          <w:noProof/>
        </w:rPr>
        <w:t xml:space="preserve">. This also holds true for option TLC_EP50, which defines a 2030 target that is 50% lower than the 2021 target. </w:t>
      </w:r>
    </w:p>
    <w:p w:rsidR="001A26B0" w:rsidRDefault="00E33A99">
      <w:pPr>
        <w:pStyle w:val="Caption"/>
        <w:keepNext/>
        <w:rPr>
          <w:noProof/>
        </w:rPr>
      </w:pPr>
      <w:bookmarkStart w:id="77" w:name="_Toc496688551"/>
      <w:r>
        <w:rPr>
          <w:noProof/>
          <w:szCs w:val="24"/>
        </w:rPr>
        <w:t xml:space="preserve">Figure </w:t>
      </w:r>
      <w:r>
        <w:rPr>
          <w:noProof/>
          <w:szCs w:val="24"/>
        </w:rPr>
        <w:fldChar w:fldCharType="begin"/>
      </w:r>
      <w:r>
        <w:rPr>
          <w:noProof/>
          <w:szCs w:val="24"/>
        </w:rPr>
        <w:instrText xml:space="preserve"> SEQ Figure \* ARABIC </w:instrText>
      </w:r>
      <w:r>
        <w:rPr>
          <w:noProof/>
          <w:szCs w:val="24"/>
        </w:rPr>
        <w:fldChar w:fldCharType="separate"/>
      </w:r>
      <w:r>
        <w:rPr>
          <w:noProof/>
          <w:szCs w:val="24"/>
        </w:rPr>
        <w:t>5</w:t>
      </w:r>
      <w:r>
        <w:rPr>
          <w:noProof/>
          <w:szCs w:val="24"/>
        </w:rPr>
        <w:fldChar w:fldCharType="end"/>
      </w:r>
      <w:r>
        <w:rPr>
          <w:noProof/>
          <w:szCs w:val="24"/>
        </w:rPr>
        <w:t xml:space="preserve">: </w:t>
      </w:r>
      <w:r>
        <w:rPr>
          <w:bCs/>
          <w:noProof/>
          <w:szCs w:val="24"/>
        </w:rPr>
        <w:t>EU-wide fleet target level trajectories for new cars under the different TLC options</w:t>
      </w:r>
      <w:r>
        <w:rPr>
          <w:rStyle w:val="FootnoteReference"/>
          <w:bCs/>
          <w:noProof/>
          <w:szCs w:val="24"/>
        </w:rPr>
        <w:footnoteReference w:id="64"/>
      </w:r>
      <w:bookmarkEnd w:id="77"/>
    </w:p>
    <w:p w:rsidR="001A26B0" w:rsidRDefault="00E33A99">
      <w:pPr>
        <w:spacing w:before="120" w:after="120"/>
        <w:jc w:val="center"/>
        <w:rPr>
          <w:noProof/>
        </w:rPr>
      </w:pPr>
      <w:r>
        <w:rPr>
          <w:noProof/>
          <w:lang w:eastAsia="en-GB"/>
        </w:rPr>
        <w:drawing>
          <wp:inline distT="0" distB="0" distL="0" distR="0">
            <wp:extent cx="5334000" cy="3481635"/>
            <wp:effectExtent l="0" t="0" r="0" b="5080"/>
            <wp:docPr id="7171" name="Pictur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34000" cy="3481635"/>
                    </a:xfrm>
                    <a:prstGeom prst="rect">
                      <a:avLst/>
                    </a:prstGeom>
                    <a:noFill/>
                  </pic:spPr>
                </pic:pic>
              </a:graphicData>
            </a:graphic>
          </wp:inline>
        </w:drawing>
      </w:r>
    </w:p>
    <w:p w:rsidR="001A26B0" w:rsidRDefault="00E33A99">
      <w:pPr>
        <w:pStyle w:val="Heading4"/>
        <w:rPr>
          <w:noProof/>
        </w:rPr>
      </w:pPr>
      <w:bookmarkStart w:id="78" w:name="_Toc496635584"/>
      <w:r>
        <w:rPr>
          <w:noProof/>
        </w:rPr>
        <w:t>CO</w:t>
      </w:r>
      <w:r>
        <w:rPr>
          <w:noProof/>
          <w:vertAlign w:val="subscript"/>
        </w:rPr>
        <w:t>2</w:t>
      </w:r>
      <w:r>
        <w:rPr>
          <w:noProof/>
        </w:rPr>
        <w:t xml:space="preserve"> target level for vans (TLV)</w:t>
      </w:r>
      <w:bookmarkEnd w:id="78"/>
    </w:p>
    <w:p w:rsidR="001A26B0" w:rsidRDefault="00E33A99">
      <w:pPr>
        <w:pStyle w:val="ListParagraph"/>
        <w:numPr>
          <w:ilvl w:val="0"/>
          <w:numId w:val="19"/>
        </w:numPr>
        <w:spacing w:after="120"/>
        <w:ind w:left="714" w:hanging="357"/>
        <w:contextualSpacing w:val="0"/>
        <w:rPr>
          <w:noProof/>
        </w:rPr>
      </w:pPr>
      <w:r>
        <w:rPr>
          <w:noProof/>
        </w:rPr>
        <w:t>Option TLV 0: Change nothing (baseline)</w:t>
      </w:r>
    </w:p>
    <w:p w:rsidR="001A26B0" w:rsidRDefault="00E33A99">
      <w:pPr>
        <w:pStyle w:val="ListParagraph"/>
        <w:spacing w:after="120"/>
        <w:ind w:left="714"/>
        <w:contextualSpacing w:val="0"/>
        <w:rPr>
          <w:noProof/>
        </w:rPr>
      </w:pPr>
      <w:r>
        <w:rPr>
          <w:noProof/>
        </w:rPr>
        <w:t>This option represents the status quo, meaning that the CO</w:t>
      </w:r>
      <w:r>
        <w:rPr>
          <w:noProof/>
          <w:vertAlign w:val="subscript"/>
        </w:rPr>
        <w:t>2</w:t>
      </w:r>
      <w:r>
        <w:rPr>
          <w:noProof/>
        </w:rPr>
        <w:t xml:space="preserve"> target level set in the current Regulation is maintained after 2021 (WLTP equivalent of 147 g CO</w:t>
      </w:r>
      <w:r>
        <w:rPr>
          <w:noProof/>
          <w:vertAlign w:val="subscript"/>
        </w:rPr>
        <w:t>2</w:t>
      </w:r>
      <w:r>
        <w:rPr>
          <w:noProof/>
        </w:rPr>
        <w:t xml:space="preserve">/km NEDC as EU-wide fleet </w:t>
      </w:r>
      <w:r>
        <w:rPr>
          <w:noProof/>
        </w:rPr>
        <w:t>average).</w:t>
      </w:r>
    </w:p>
    <w:p w:rsidR="001A26B0" w:rsidRDefault="00E33A99">
      <w:pPr>
        <w:pStyle w:val="ListParagraph"/>
        <w:numPr>
          <w:ilvl w:val="0"/>
          <w:numId w:val="19"/>
        </w:numPr>
        <w:spacing w:after="120"/>
        <w:ind w:left="714" w:hanging="357"/>
        <w:contextualSpacing w:val="0"/>
        <w:rPr>
          <w:noProof/>
        </w:rPr>
      </w:pPr>
      <w:r>
        <w:rPr>
          <w:noProof/>
        </w:rPr>
        <w:t>The other options for defining the EU-wide fleet CO</w:t>
      </w:r>
      <w:r>
        <w:rPr>
          <w:noProof/>
          <w:vertAlign w:val="subscript"/>
        </w:rPr>
        <w:t>2</w:t>
      </w:r>
      <w:r>
        <w:rPr>
          <w:noProof/>
        </w:rPr>
        <w:t xml:space="preserve"> target level for light commercial vehicles are summarised in the below table. </w:t>
      </w:r>
    </w:p>
    <w:tbl>
      <w:tblPr>
        <w:tblStyle w:val="TableGrid"/>
        <w:tblW w:w="5000" w:type="pct"/>
        <w:tblLook w:val="04A0" w:firstRow="1" w:lastRow="0" w:firstColumn="1" w:lastColumn="0" w:noHBand="0" w:noVBand="1"/>
      </w:tblPr>
      <w:tblGrid>
        <w:gridCol w:w="1548"/>
        <w:gridCol w:w="3479"/>
        <w:gridCol w:w="3802"/>
      </w:tblGrid>
      <w:tr w:rsidR="001A26B0">
        <w:tc>
          <w:tcPr>
            <w:tcW w:w="877" w:type="pct"/>
            <w:shd w:val="clear" w:color="auto" w:fill="EEECE1" w:themeFill="background2"/>
          </w:tcPr>
          <w:p w:rsidR="001A26B0" w:rsidRDefault="00E33A99">
            <w:pPr>
              <w:pStyle w:val="ListParagraph"/>
              <w:spacing w:after="0"/>
              <w:ind w:left="0"/>
              <w:contextualSpacing w:val="0"/>
              <w:rPr>
                <w:noProof/>
              </w:rPr>
            </w:pPr>
            <w:r>
              <w:rPr>
                <w:noProof/>
              </w:rPr>
              <w:t>Option</w:t>
            </w:r>
          </w:p>
        </w:tc>
        <w:tc>
          <w:tcPr>
            <w:tcW w:w="1970" w:type="pct"/>
            <w:shd w:val="clear" w:color="auto" w:fill="EEECE1" w:themeFill="background2"/>
          </w:tcPr>
          <w:p w:rsidR="001A26B0" w:rsidRDefault="00E33A99">
            <w:pPr>
              <w:pStyle w:val="ListParagraph"/>
              <w:spacing w:after="0"/>
              <w:ind w:left="0"/>
              <w:contextualSpacing w:val="0"/>
              <w:jc w:val="center"/>
              <w:rPr>
                <w:noProof/>
              </w:rPr>
            </w:pPr>
            <w:r>
              <w:rPr>
                <w:noProof/>
              </w:rPr>
              <w:t>Decrease of WLTP CO</w:t>
            </w:r>
            <w:r>
              <w:rPr>
                <w:noProof/>
                <w:vertAlign w:val="subscript"/>
              </w:rPr>
              <w:t>2</w:t>
            </w:r>
            <w:r>
              <w:rPr>
                <w:noProof/>
              </w:rPr>
              <w:t xml:space="preserve"> target level (2021-2030)</w:t>
            </w:r>
          </w:p>
        </w:tc>
        <w:tc>
          <w:tcPr>
            <w:tcW w:w="2153" w:type="pct"/>
            <w:shd w:val="clear" w:color="auto" w:fill="EEECE1" w:themeFill="background2"/>
          </w:tcPr>
          <w:p w:rsidR="001A26B0" w:rsidRDefault="00E33A99">
            <w:pPr>
              <w:pStyle w:val="ListParagraph"/>
              <w:spacing w:after="0"/>
              <w:ind w:left="0"/>
              <w:contextualSpacing w:val="0"/>
              <w:jc w:val="center"/>
              <w:rPr>
                <w:noProof/>
              </w:rPr>
            </w:pPr>
            <w:r>
              <w:rPr>
                <w:noProof/>
              </w:rPr>
              <w:t>Average annual reduction rate of WLTP CO</w:t>
            </w:r>
            <w:r>
              <w:rPr>
                <w:noProof/>
                <w:vertAlign w:val="subscript"/>
              </w:rPr>
              <w:t>2</w:t>
            </w:r>
            <w:r>
              <w:rPr>
                <w:noProof/>
              </w:rPr>
              <w:t xml:space="preserve"> target level (2021-</w:t>
            </w:r>
            <w:r>
              <w:rPr>
                <w:noProof/>
              </w:rPr>
              <w:t>2030)</w:t>
            </w:r>
          </w:p>
        </w:tc>
      </w:tr>
      <w:tr w:rsidR="001A26B0">
        <w:tc>
          <w:tcPr>
            <w:tcW w:w="877" w:type="pct"/>
          </w:tcPr>
          <w:p w:rsidR="001A26B0" w:rsidRDefault="00E33A99">
            <w:pPr>
              <w:spacing w:after="0"/>
              <w:rPr>
                <w:noProof/>
              </w:rPr>
            </w:pPr>
            <w:r>
              <w:rPr>
                <w:noProof/>
              </w:rPr>
              <w:t>TLV10</w:t>
            </w:r>
          </w:p>
        </w:tc>
        <w:tc>
          <w:tcPr>
            <w:tcW w:w="1970" w:type="pct"/>
          </w:tcPr>
          <w:p w:rsidR="001A26B0" w:rsidRDefault="00E33A99">
            <w:pPr>
              <w:pStyle w:val="ListParagraph"/>
              <w:spacing w:after="0"/>
              <w:ind w:left="0"/>
              <w:contextualSpacing w:val="0"/>
              <w:jc w:val="center"/>
              <w:rPr>
                <w:noProof/>
              </w:rPr>
            </w:pPr>
            <w:r>
              <w:rPr>
                <w:noProof/>
              </w:rPr>
              <w:t>10%</w:t>
            </w:r>
          </w:p>
        </w:tc>
        <w:tc>
          <w:tcPr>
            <w:tcW w:w="2153" w:type="pct"/>
          </w:tcPr>
          <w:p w:rsidR="001A26B0" w:rsidRDefault="00E33A99">
            <w:pPr>
              <w:pStyle w:val="ListParagraph"/>
              <w:spacing w:after="0"/>
              <w:ind w:left="0"/>
              <w:contextualSpacing w:val="0"/>
              <w:jc w:val="center"/>
              <w:rPr>
                <w:noProof/>
              </w:rPr>
            </w:pPr>
            <w:r>
              <w:rPr>
                <w:noProof/>
              </w:rPr>
              <w:t>1.2%</w:t>
            </w:r>
          </w:p>
        </w:tc>
      </w:tr>
      <w:tr w:rsidR="001A26B0">
        <w:tc>
          <w:tcPr>
            <w:tcW w:w="877" w:type="pct"/>
          </w:tcPr>
          <w:p w:rsidR="001A26B0" w:rsidRDefault="00E33A99">
            <w:pPr>
              <w:spacing w:after="0"/>
              <w:rPr>
                <w:noProof/>
              </w:rPr>
            </w:pPr>
            <w:r>
              <w:rPr>
                <w:noProof/>
              </w:rPr>
              <w:t>TLV20</w:t>
            </w:r>
          </w:p>
        </w:tc>
        <w:tc>
          <w:tcPr>
            <w:tcW w:w="1970" w:type="pct"/>
          </w:tcPr>
          <w:p w:rsidR="001A26B0" w:rsidRDefault="00E33A99">
            <w:pPr>
              <w:pStyle w:val="ListParagraph"/>
              <w:spacing w:after="0"/>
              <w:ind w:left="0"/>
              <w:contextualSpacing w:val="0"/>
              <w:jc w:val="center"/>
              <w:rPr>
                <w:noProof/>
              </w:rPr>
            </w:pPr>
            <w:r>
              <w:rPr>
                <w:noProof/>
              </w:rPr>
              <w:t>20%</w:t>
            </w:r>
          </w:p>
        </w:tc>
        <w:tc>
          <w:tcPr>
            <w:tcW w:w="2153" w:type="pct"/>
          </w:tcPr>
          <w:p w:rsidR="001A26B0" w:rsidRDefault="00E33A99">
            <w:pPr>
              <w:pStyle w:val="ListParagraph"/>
              <w:spacing w:after="0"/>
              <w:ind w:left="0"/>
              <w:contextualSpacing w:val="0"/>
              <w:jc w:val="center"/>
              <w:rPr>
                <w:noProof/>
              </w:rPr>
            </w:pPr>
            <w:r>
              <w:rPr>
                <w:noProof/>
              </w:rPr>
              <w:t>2.4%</w:t>
            </w:r>
          </w:p>
        </w:tc>
      </w:tr>
      <w:tr w:rsidR="001A26B0">
        <w:tc>
          <w:tcPr>
            <w:tcW w:w="877" w:type="pct"/>
          </w:tcPr>
          <w:p w:rsidR="001A26B0" w:rsidRDefault="00E33A99">
            <w:pPr>
              <w:spacing w:after="0"/>
              <w:rPr>
                <w:noProof/>
              </w:rPr>
            </w:pPr>
            <w:r>
              <w:rPr>
                <w:noProof/>
              </w:rPr>
              <w:t>TLV25</w:t>
            </w:r>
          </w:p>
        </w:tc>
        <w:tc>
          <w:tcPr>
            <w:tcW w:w="1970" w:type="pct"/>
          </w:tcPr>
          <w:p w:rsidR="001A26B0" w:rsidRDefault="00E33A99">
            <w:pPr>
              <w:pStyle w:val="ListParagraph"/>
              <w:spacing w:after="0"/>
              <w:ind w:left="0"/>
              <w:contextualSpacing w:val="0"/>
              <w:jc w:val="center"/>
              <w:rPr>
                <w:noProof/>
              </w:rPr>
            </w:pPr>
            <w:r>
              <w:rPr>
                <w:noProof/>
              </w:rPr>
              <w:t>25%</w:t>
            </w:r>
          </w:p>
        </w:tc>
        <w:tc>
          <w:tcPr>
            <w:tcW w:w="2153" w:type="pct"/>
          </w:tcPr>
          <w:p w:rsidR="001A26B0" w:rsidRDefault="00E33A99">
            <w:pPr>
              <w:pStyle w:val="ListParagraph"/>
              <w:spacing w:after="0"/>
              <w:ind w:left="0"/>
              <w:contextualSpacing w:val="0"/>
              <w:jc w:val="center"/>
              <w:rPr>
                <w:noProof/>
              </w:rPr>
            </w:pPr>
            <w:r>
              <w:rPr>
                <w:noProof/>
              </w:rPr>
              <w:t>3.1%</w:t>
            </w:r>
          </w:p>
        </w:tc>
      </w:tr>
      <w:tr w:rsidR="001A26B0">
        <w:tc>
          <w:tcPr>
            <w:tcW w:w="877" w:type="pct"/>
          </w:tcPr>
          <w:p w:rsidR="001A26B0" w:rsidRDefault="00E33A99">
            <w:pPr>
              <w:spacing w:after="0"/>
              <w:rPr>
                <w:noProof/>
              </w:rPr>
            </w:pPr>
            <w:r>
              <w:rPr>
                <w:noProof/>
              </w:rPr>
              <w:t>TLV30</w:t>
            </w:r>
          </w:p>
        </w:tc>
        <w:tc>
          <w:tcPr>
            <w:tcW w:w="1970" w:type="pct"/>
          </w:tcPr>
          <w:p w:rsidR="001A26B0" w:rsidRDefault="00E33A99">
            <w:pPr>
              <w:pStyle w:val="ListParagraph"/>
              <w:spacing w:after="0"/>
              <w:ind w:left="0"/>
              <w:contextualSpacing w:val="0"/>
              <w:jc w:val="center"/>
              <w:rPr>
                <w:noProof/>
              </w:rPr>
            </w:pPr>
            <w:r>
              <w:rPr>
                <w:noProof/>
              </w:rPr>
              <w:t>30%</w:t>
            </w:r>
          </w:p>
        </w:tc>
        <w:tc>
          <w:tcPr>
            <w:tcW w:w="2153" w:type="pct"/>
          </w:tcPr>
          <w:p w:rsidR="001A26B0" w:rsidRDefault="00E33A99">
            <w:pPr>
              <w:pStyle w:val="ListParagraph"/>
              <w:spacing w:after="0"/>
              <w:ind w:left="0"/>
              <w:contextualSpacing w:val="0"/>
              <w:jc w:val="center"/>
              <w:rPr>
                <w:noProof/>
              </w:rPr>
            </w:pPr>
            <w:r>
              <w:rPr>
                <w:noProof/>
              </w:rPr>
              <w:t>3.9%</w:t>
            </w:r>
          </w:p>
        </w:tc>
      </w:tr>
      <w:tr w:rsidR="001A26B0">
        <w:tc>
          <w:tcPr>
            <w:tcW w:w="877" w:type="pct"/>
          </w:tcPr>
          <w:p w:rsidR="001A26B0" w:rsidRDefault="00E33A99">
            <w:pPr>
              <w:spacing w:after="0"/>
              <w:rPr>
                <w:noProof/>
              </w:rPr>
            </w:pPr>
            <w:r>
              <w:rPr>
                <w:noProof/>
              </w:rPr>
              <w:t>TLV40</w:t>
            </w:r>
          </w:p>
        </w:tc>
        <w:tc>
          <w:tcPr>
            <w:tcW w:w="1970" w:type="pct"/>
          </w:tcPr>
          <w:p w:rsidR="001A26B0" w:rsidRDefault="00E33A99">
            <w:pPr>
              <w:pStyle w:val="ListParagraph"/>
              <w:spacing w:after="0"/>
              <w:ind w:left="0"/>
              <w:contextualSpacing w:val="0"/>
              <w:jc w:val="center"/>
              <w:rPr>
                <w:noProof/>
              </w:rPr>
            </w:pPr>
            <w:r>
              <w:rPr>
                <w:noProof/>
              </w:rPr>
              <w:t>40%</w:t>
            </w:r>
          </w:p>
        </w:tc>
        <w:tc>
          <w:tcPr>
            <w:tcW w:w="2153" w:type="pct"/>
          </w:tcPr>
          <w:p w:rsidR="001A26B0" w:rsidRDefault="00E33A99">
            <w:pPr>
              <w:pStyle w:val="ListParagraph"/>
              <w:spacing w:after="0"/>
              <w:ind w:left="0"/>
              <w:contextualSpacing w:val="0"/>
              <w:jc w:val="center"/>
              <w:rPr>
                <w:noProof/>
              </w:rPr>
            </w:pPr>
            <w:r>
              <w:rPr>
                <w:noProof/>
              </w:rPr>
              <w:t>5.5%</w:t>
            </w:r>
          </w:p>
        </w:tc>
      </w:tr>
      <w:tr w:rsidR="001A26B0">
        <w:tc>
          <w:tcPr>
            <w:tcW w:w="877" w:type="pct"/>
          </w:tcPr>
          <w:p w:rsidR="001A26B0" w:rsidRDefault="00E33A99">
            <w:pPr>
              <w:spacing w:after="0"/>
              <w:rPr>
                <w:noProof/>
              </w:rPr>
            </w:pPr>
            <w:r>
              <w:rPr>
                <w:noProof/>
              </w:rPr>
              <w:t>TLV_EP40</w:t>
            </w:r>
          </w:p>
        </w:tc>
        <w:tc>
          <w:tcPr>
            <w:tcW w:w="1970" w:type="pct"/>
          </w:tcPr>
          <w:p w:rsidR="001A26B0" w:rsidRDefault="00E33A99">
            <w:pPr>
              <w:pStyle w:val="ListParagraph"/>
              <w:spacing w:after="0"/>
              <w:ind w:left="0"/>
              <w:contextualSpacing w:val="0"/>
              <w:jc w:val="center"/>
              <w:rPr>
                <w:noProof/>
              </w:rPr>
            </w:pPr>
            <w:r>
              <w:rPr>
                <w:noProof/>
              </w:rPr>
              <w:t>36%</w:t>
            </w:r>
          </w:p>
        </w:tc>
        <w:tc>
          <w:tcPr>
            <w:tcW w:w="2153" w:type="pct"/>
          </w:tcPr>
          <w:p w:rsidR="001A26B0" w:rsidRDefault="00E33A99">
            <w:pPr>
              <w:pStyle w:val="ListParagraph"/>
              <w:spacing w:after="0"/>
              <w:ind w:left="0"/>
              <w:contextualSpacing w:val="0"/>
              <w:jc w:val="center"/>
              <w:rPr>
                <w:noProof/>
              </w:rPr>
            </w:pPr>
            <w:r>
              <w:rPr>
                <w:noProof/>
              </w:rPr>
              <w:t xml:space="preserve">4.4% </w:t>
            </w:r>
            <w:r>
              <w:rPr>
                <w:noProof/>
              </w:rPr>
              <w:br/>
              <w:t xml:space="preserve">(8.1% for 2021-2025 and </w:t>
            </w:r>
            <w:r>
              <w:rPr>
                <w:noProof/>
              </w:rPr>
              <w:br/>
              <w:t>2.2% for 2025-2030)</w:t>
            </w:r>
          </w:p>
        </w:tc>
      </w:tr>
      <w:tr w:rsidR="001A26B0">
        <w:tc>
          <w:tcPr>
            <w:tcW w:w="877" w:type="pct"/>
          </w:tcPr>
          <w:p w:rsidR="001A26B0" w:rsidRDefault="00E33A99">
            <w:pPr>
              <w:spacing w:after="0"/>
              <w:rPr>
                <w:noProof/>
              </w:rPr>
            </w:pPr>
            <w:r>
              <w:rPr>
                <w:noProof/>
              </w:rPr>
              <w:t>TLV_EP50</w:t>
            </w:r>
          </w:p>
        </w:tc>
        <w:tc>
          <w:tcPr>
            <w:tcW w:w="1970" w:type="pct"/>
          </w:tcPr>
          <w:p w:rsidR="001A26B0" w:rsidRDefault="00E33A99">
            <w:pPr>
              <w:pStyle w:val="ListParagraph"/>
              <w:spacing w:after="0"/>
              <w:ind w:left="0"/>
              <w:contextualSpacing w:val="0"/>
              <w:jc w:val="center"/>
              <w:rPr>
                <w:noProof/>
              </w:rPr>
            </w:pPr>
            <w:r>
              <w:rPr>
                <w:noProof/>
              </w:rPr>
              <w:t xml:space="preserve">50% </w:t>
            </w:r>
          </w:p>
        </w:tc>
        <w:tc>
          <w:tcPr>
            <w:tcW w:w="2153" w:type="pct"/>
          </w:tcPr>
          <w:p w:rsidR="001A26B0" w:rsidRDefault="00E33A99">
            <w:pPr>
              <w:pStyle w:val="ListParagraph"/>
              <w:spacing w:after="0"/>
              <w:ind w:left="0"/>
              <w:contextualSpacing w:val="0"/>
              <w:jc w:val="center"/>
              <w:rPr>
                <w:noProof/>
              </w:rPr>
            </w:pPr>
            <w:r>
              <w:rPr>
                <w:noProof/>
              </w:rPr>
              <w:t>7.4%</w:t>
            </w:r>
            <w:r>
              <w:rPr>
                <w:noProof/>
              </w:rPr>
              <w:br/>
              <w:t xml:space="preserve">(8.1% for 2021-2025 and </w:t>
            </w:r>
            <w:r>
              <w:rPr>
                <w:noProof/>
              </w:rPr>
              <w:br/>
              <w:t>6.9% for 2025-2030)</w:t>
            </w:r>
          </w:p>
        </w:tc>
      </w:tr>
    </w:tbl>
    <w:p w:rsidR="001A26B0" w:rsidRDefault="00E33A99">
      <w:pPr>
        <w:pStyle w:val="ListParagraph"/>
        <w:spacing w:before="120" w:after="120"/>
        <w:ind w:left="0"/>
        <w:contextualSpacing w:val="0"/>
        <w:rPr>
          <w:noProof/>
        </w:rPr>
      </w:pPr>
      <w:r>
        <w:rPr>
          <w:noProof/>
        </w:rPr>
        <w:t xml:space="preserve">Options TLV_EP40 and TLV_EP50 are </w:t>
      </w:r>
      <w:r>
        <w:rPr>
          <w:noProof/>
        </w:rPr>
        <w:t>defining a non-linear target trajectory, covering the strictest end of the 2025 target range referred to in the Statement by the Commission in 2014 in the context of the negotiations on the Vans Regulation</w:t>
      </w:r>
      <w:r>
        <w:rPr>
          <w:rStyle w:val="FootnoteReference"/>
          <w:noProof/>
        </w:rPr>
        <w:footnoteReference w:id="65"/>
      </w:r>
      <w:r>
        <w:rPr>
          <w:noProof/>
        </w:rPr>
        <w:t>. For 2025, both options cover a WLTP target equiv</w:t>
      </w:r>
      <w:r>
        <w:rPr>
          <w:noProof/>
        </w:rPr>
        <w:t>alent to 105 g CO</w:t>
      </w:r>
      <w:r>
        <w:rPr>
          <w:noProof/>
          <w:vertAlign w:val="subscript"/>
        </w:rPr>
        <w:t>2</w:t>
      </w:r>
      <w:r>
        <w:rPr>
          <w:noProof/>
        </w:rPr>
        <w:t xml:space="preserve">/km NEDC, while in 2030 the targets are 36%, respectively 50%, lower than the 2021 targets. </w:t>
      </w:r>
    </w:p>
    <w:p w:rsidR="001A26B0" w:rsidRDefault="00E33A99">
      <w:pPr>
        <w:pStyle w:val="Caption"/>
        <w:keepNext/>
        <w:rPr>
          <w:noProof/>
        </w:rPr>
      </w:pPr>
      <w:bookmarkStart w:id="79" w:name="_Toc496688552"/>
      <w:r>
        <w:rPr>
          <w:noProof/>
          <w:szCs w:val="24"/>
        </w:rPr>
        <w:t xml:space="preserve">Figure </w:t>
      </w:r>
      <w:r>
        <w:rPr>
          <w:noProof/>
          <w:szCs w:val="24"/>
        </w:rPr>
        <w:fldChar w:fldCharType="begin"/>
      </w:r>
      <w:r>
        <w:rPr>
          <w:noProof/>
          <w:szCs w:val="24"/>
        </w:rPr>
        <w:instrText xml:space="preserve"> SEQ Figure \* ARABIC </w:instrText>
      </w:r>
      <w:r>
        <w:rPr>
          <w:noProof/>
          <w:szCs w:val="24"/>
        </w:rPr>
        <w:fldChar w:fldCharType="separate"/>
      </w:r>
      <w:r>
        <w:rPr>
          <w:noProof/>
          <w:szCs w:val="24"/>
        </w:rPr>
        <w:t>6</w:t>
      </w:r>
      <w:r>
        <w:rPr>
          <w:noProof/>
          <w:szCs w:val="24"/>
        </w:rPr>
        <w:fldChar w:fldCharType="end"/>
      </w:r>
      <w:r>
        <w:rPr>
          <w:noProof/>
          <w:szCs w:val="24"/>
        </w:rPr>
        <w:t xml:space="preserve">: </w:t>
      </w:r>
      <w:r>
        <w:rPr>
          <w:bCs/>
          <w:noProof/>
          <w:szCs w:val="24"/>
        </w:rPr>
        <w:t>EU-wide fleet target level trajectories for new vans under the different TLV options</w:t>
      </w:r>
      <w:r>
        <w:rPr>
          <w:rStyle w:val="FootnoteReference"/>
          <w:bCs/>
          <w:noProof/>
          <w:szCs w:val="24"/>
        </w:rPr>
        <w:footnoteReference w:id="66"/>
      </w:r>
      <w:bookmarkEnd w:id="79"/>
    </w:p>
    <w:p w:rsidR="001A26B0" w:rsidRDefault="00E33A99">
      <w:pPr>
        <w:pStyle w:val="ListParagraph"/>
        <w:spacing w:before="120" w:after="120"/>
        <w:ind w:left="0"/>
        <w:contextualSpacing w:val="0"/>
        <w:rPr>
          <w:noProof/>
        </w:rPr>
      </w:pPr>
      <w:r>
        <w:rPr>
          <w:noProof/>
          <w:lang w:eastAsia="en-GB"/>
        </w:rPr>
        <w:drawing>
          <wp:inline distT="0" distB="0" distL="0" distR="0">
            <wp:extent cx="5334000" cy="3484009"/>
            <wp:effectExtent l="0" t="0" r="0" b="2540"/>
            <wp:docPr id="7172" name="Picture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34000" cy="3484009"/>
                    </a:xfrm>
                    <a:prstGeom prst="rect">
                      <a:avLst/>
                    </a:prstGeom>
                    <a:noFill/>
                  </pic:spPr>
                </pic:pic>
              </a:graphicData>
            </a:graphic>
          </wp:inline>
        </w:drawing>
      </w:r>
    </w:p>
    <w:p w:rsidR="001A26B0" w:rsidRDefault="00E33A99">
      <w:pPr>
        <w:pStyle w:val="Heading3"/>
        <w:rPr>
          <w:noProof/>
        </w:rPr>
      </w:pPr>
      <w:bookmarkStart w:id="80" w:name="_Ref486234530"/>
      <w:bookmarkStart w:id="81" w:name="_Ref486237275"/>
      <w:bookmarkStart w:id="82" w:name="_Toc496635585"/>
      <w:r>
        <w:rPr>
          <w:noProof/>
        </w:rPr>
        <w:t>Timing of the CO</w:t>
      </w:r>
      <w:r>
        <w:rPr>
          <w:noProof/>
          <w:vertAlign w:val="subscript"/>
        </w:rPr>
        <w:t>2</w:t>
      </w:r>
      <w:r>
        <w:rPr>
          <w:noProof/>
        </w:rPr>
        <w:t xml:space="preserve"> targ</w:t>
      </w:r>
      <w:r>
        <w:rPr>
          <w:noProof/>
        </w:rPr>
        <w:t>ets (TT)</w:t>
      </w:r>
      <w:bookmarkEnd w:id="80"/>
      <w:bookmarkEnd w:id="81"/>
      <w:bookmarkEnd w:id="82"/>
    </w:p>
    <w:p w:rsidR="001A26B0" w:rsidRDefault="00E33A99">
      <w:pPr>
        <w:spacing w:after="120"/>
        <w:rPr>
          <w:noProof/>
        </w:rPr>
      </w:pPr>
      <w:r>
        <w:rPr>
          <w:noProof/>
        </w:rPr>
        <w:t>The following options will be considered for defining the year(s) for which new targets are set. These options apply both for passenger cars (in relation to options TLC) and for light commercial vehicles (in relation to options TLV).</w:t>
      </w:r>
    </w:p>
    <w:p w:rsidR="001A26B0" w:rsidRDefault="00E33A99">
      <w:pPr>
        <w:pStyle w:val="ListParagraph"/>
        <w:numPr>
          <w:ilvl w:val="0"/>
          <w:numId w:val="19"/>
        </w:numPr>
        <w:spacing w:after="120"/>
        <w:ind w:left="714" w:hanging="357"/>
        <w:contextualSpacing w:val="0"/>
        <w:rPr>
          <w:noProof/>
        </w:rPr>
      </w:pPr>
      <w:r>
        <w:rPr>
          <w:noProof/>
        </w:rPr>
        <w:t xml:space="preserve">Option TT 1: </w:t>
      </w:r>
      <w:r>
        <w:rPr>
          <w:noProof/>
        </w:rPr>
        <w:t>The new EU-wide fleet CO</w:t>
      </w:r>
      <w:r>
        <w:rPr>
          <w:noProof/>
          <w:vertAlign w:val="subscript"/>
        </w:rPr>
        <w:t>2</w:t>
      </w:r>
      <w:r>
        <w:rPr>
          <w:noProof/>
        </w:rPr>
        <w:t xml:space="preserve"> targets start to apply in 2030. </w:t>
      </w:r>
    </w:p>
    <w:p w:rsidR="001A26B0" w:rsidRDefault="00E33A99">
      <w:pPr>
        <w:pStyle w:val="ListParagraph"/>
        <w:spacing w:after="120"/>
        <w:ind w:left="714"/>
        <w:contextualSpacing w:val="0"/>
        <w:rPr>
          <w:noProof/>
        </w:rPr>
      </w:pPr>
      <w:r>
        <w:rPr>
          <w:noProof/>
        </w:rPr>
        <w:t>This means that the (WLTP equivalent of the) CO</w:t>
      </w:r>
      <w:r>
        <w:rPr>
          <w:noProof/>
          <w:vertAlign w:val="subscript"/>
        </w:rPr>
        <w:t>2</w:t>
      </w:r>
      <w:r>
        <w:rPr>
          <w:noProof/>
        </w:rPr>
        <w:t xml:space="preserve"> target levels set in the Cars and Vans Regulations would continue to apply until the year 2029.</w:t>
      </w:r>
    </w:p>
    <w:p w:rsidR="001A26B0" w:rsidRDefault="00E33A99">
      <w:pPr>
        <w:pStyle w:val="ListParagraph"/>
        <w:numPr>
          <w:ilvl w:val="0"/>
          <w:numId w:val="19"/>
        </w:numPr>
        <w:spacing w:after="120"/>
        <w:ind w:left="714" w:hanging="357"/>
        <w:contextualSpacing w:val="0"/>
        <w:rPr>
          <w:noProof/>
        </w:rPr>
      </w:pPr>
      <w:r>
        <w:rPr>
          <w:noProof/>
        </w:rPr>
        <w:t>Option TT 2: New EU-wide fleet CO</w:t>
      </w:r>
      <w:r>
        <w:rPr>
          <w:noProof/>
          <w:vertAlign w:val="subscript"/>
        </w:rPr>
        <w:t>2</w:t>
      </w:r>
      <w:r>
        <w:rPr>
          <w:noProof/>
        </w:rPr>
        <w:t xml:space="preserve"> targets start to </w:t>
      </w:r>
      <w:r>
        <w:rPr>
          <w:noProof/>
        </w:rPr>
        <w:t>apply in 2025 and will continue to apply until 2029, and stricter EU-wide fleet CO</w:t>
      </w:r>
      <w:r>
        <w:rPr>
          <w:noProof/>
          <w:vertAlign w:val="subscript"/>
        </w:rPr>
        <w:t>2</w:t>
      </w:r>
      <w:r>
        <w:rPr>
          <w:noProof/>
        </w:rPr>
        <w:t xml:space="preserve"> targets start to apply from 2030 on. </w:t>
      </w:r>
    </w:p>
    <w:p w:rsidR="001A26B0" w:rsidRDefault="00E33A99">
      <w:pPr>
        <w:pStyle w:val="ListParagraph"/>
        <w:spacing w:after="120"/>
        <w:ind w:left="714"/>
        <w:contextualSpacing w:val="0"/>
        <w:rPr>
          <w:noProof/>
        </w:rPr>
      </w:pPr>
      <w:r>
        <w:rPr>
          <w:noProof/>
        </w:rPr>
        <w:t xml:space="preserve">Under this option, the new EU-wide fleet targets for 2025 and 2030 are calculated according to the annual average reduction rates set </w:t>
      </w:r>
      <w:r>
        <w:rPr>
          <w:noProof/>
        </w:rPr>
        <w:t>out in Section 5.1.1.</w:t>
      </w:r>
    </w:p>
    <w:p w:rsidR="001A26B0" w:rsidRDefault="00E33A99">
      <w:pPr>
        <w:pStyle w:val="ListParagraph"/>
        <w:numPr>
          <w:ilvl w:val="0"/>
          <w:numId w:val="19"/>
        </w:numPr>
        <w:spacing w:after="120"/>
        <w:ind w:left="714" w:hanging="357"/>
        <w:contextualSpacing w:val="0"/>
        <w:rPr>
          <w:noProof/>
        </w:rPr>
      </w:pPr>
      <w:r>
        <w:rPr>
          <w:noProof/>
        </w:rPr>
        <w:t>Option TT 3: New EU-wide fleet CO</w:t>
      </w:r>
      <w:r>
        <w:rPr>
          <w:noProof/>
          <w:vertAlign w:val="subscript"/>
        </w:rPr>
        <w:t>2</w:t>
      </w:r>
      <w:r>
        <w:rPr>
          <w:noProof/>
        </w:rPr>
        <w:t xml:space="preserve"> targets are defined for each of the years 2022-2030. </w:t>
      </w:r>
    </w:p>
    <w:p w:rsidR="001A26B0" w:rsidRDefault="00E33A99">
      <w:pPr>
        <w:pStyle w:val="ListParagraph"/>
        <w:spacing w:after="120"/>
        <w:ind w:left="714"/>
        <w:contextualSpacing w:val="0"/>
        <w:rPr>
          <w:noProof/>
        </w:rPr>
      </w:pPr>
      <w:r>
        <w:rPr>
          <w:noProof/>
        </w:rPr>
        <w:t>Under this option, new annual EU-wide fleet CO</w:t>
      </w:r>
      <w:r>
        <w:rPr>
          <w:noProof/>
          <w:vertAlign w:val="subscript"/>
        </w:rPr>
        <w:t>2</w:t>
      </w:r>
      <w:r>
        <w:rPr>
          <w:noProof/>
        </w:rPr>
        <w:t xml:space="preserve"> targets are calculated according to the annual average reduction rates set out in Section 5.1.1</w:t>
      </w:r>
    </w:p>
    <w:p w:rsidR="001A26B0" w:rsidRDefault="00E33A99">
      <w:pPr>
        <w:spacing w:after="120"/>
        <w:rPr>
          <w:noProof/>
        </w:rPr>
      </w:pPr>
      <w:r>
        <w:rPr>
          <w:noProof/>
        </w:rPr>
        <w:t>These options include a mid-term review to assess the effectiveness of the policy.</w:t>
      </w:r>
    </w:p>
    <w:p w:rsidR="001A26B0" w:rsidRDefault="00E33A99">
      <w:pPr>
        <w:pStyle w:val="Heading3"/>
        <w:rPr>
          <w:noProof/>
        </w:rPr>
      </w:pPr>
      <w:bookmarkStart w:id="83" w:name="_Toc485997718"/>
      <w:bookmarkStart w:id="84" w:name="_Toc486237932"/>
      <w:bookmarkStart w:id="85" w:name="_Toc496635586"/>
      <w:bookmarkEnd w:id="83"/>
      <w:bookmarkEnd w:id="84"/>
      <w:r>
        <w:rPr>
          <w:noProof/>
        </w:rPr>
        <w:t>Metric for expressing the targets</w:t>
      </w:r>
      <w:bookmarkEnd w:id="85"/>
    </w:p>
    <w:p w:rsidR="001A26B0" w:rsidRDefault="00E33A99">
      <w:pPr>
        <w:pStyle w:val="Text1"/>
        <w:spacing w:after="120"/>
        <w:ind w:left="0"/>
        <w:rPr>
          <w:noProof/>
        </w:rPr>
      </w:pPr>
      <w:r>
        <w:rPr>
          <w:noProof/>
        </w:rPr>
        <w:t>The CO</w:t>
      </w:r>
      <w:r>
        <w:rPr>
          <w:noProof/>
          <w:vertAlign w:val="subscript"/>
        </w:rPr>
        <w:t>2</w:t>
      </w:r>
      <w:r>
        <w:rPr>
          <w:noProof/>
        </w:rPr>
        <w:t xml:space="preserve"> targets set in the Cars and Vans Regulations relate to the tailpipe emissions of newly registered vehicles, applying the so-called </w:t>
      </w:r>
      <w:r>
        <w:rPr>
          <w:noProof/>
        </w:rPr>
        <w:t>Tank-to-Wheel approach (TTW). The targets are expressed in g CO</w:t>
      </w:r>
      <w:r>
        <w:rPr>
          <w:noProof/>
          <w:vertAlign w:val="subscript"/>
        </w:rPr>
        <w:t>2</w:t>
      </w:r>
      <w:r>
        <w:rPr>
          <w:noProof/>
        </w:rPr>
        <w:t xml:space="preserve"> /km and apply for the sales-weighted average emissions of the EU-wide fleet. For calculating the average, each newly registered vehicle is counted equally. </w:t>
      </w:r>
    </w:p>
    <w:p w:rsidR="001A26B0" w:rsidRDefault="00E33A99">
      <w:pPr>
        <w:spacing w:after="120"/>
        <w:rPr>
          <w:noProof/>
        </w:rPr>
      </w:pPr>
      <w:r>
        <w:rPr>
          <w:noProof/>
        </w:rPr>
        <w:t>Using a TTW metric allows focusing</w:t>
      </w:r>
      <w:r>
        <w:rPr>
          <w:noProof/>
        </w:rPr>
        <w:t xml:space="preserve"> on vehicle efficiency, which has proven to be an effective way of triggering the uptake of vehicle technology and starting a shift towards alternative powertrains. However, the overall GHG emission impact of using (new) vehicles is also affected by the ty</w:t>
      </w:r>
      <w:r>
        <w:rPr>
          <w:noProof/>
        </w:rPr>
        <w:t>pe of fuel/energy used to propel the vehicle, as different energy types differ in the amount of CO</w:t>
      </w:r>
      <w:r>
        <w:rPr>
          <w:noProof/>
          <w:vertAlign w:val="subscript"/>
        </w:rPr>
        <w:t>2</w:t>
      </w:r>
      <w:r>
        <w:rPr>
          <w:noProof/>
        </w:rPr>
        <w:t xml:space="preserve"> emissions generated during their production, the so-called Well-To-Tank (WTT) emissions. The sum of the TTW emissions and the WTT emissions is referred to a</w:t>
      </w:r>
      <w:r>
        <w:rPr>
          <w:noProof/>
        </w:rPr>
        <w:t xml:space="preserve">s the Well-To-Wheels (WTW) emissions. </w:t>
      </w:r>
    </w:p>
    <w:p w:rsidR="001A26B0" w:rsidRDefault="00E33A99">
      <w:pPr>
        <w:spacing w:after="120"/>
        <w:rPr>
          <w:noProof/>
        </w:rPr>
      </w:pPr>
      <w:r>
        <w:rPr>
          <w:noProof/>
        </w:rPr>
        <w:t>Furthermore, there are also CO</w:t>
      </w:r>
      <w:r>
        <w:rPr>
          <w:noProof/>
          <w:vertAlign w:val="subscript"/>
        </w:rPr>
        <w:t>2</w:t>
      </w:r>
      <w:r>
        <w:rPr>
          <w:noProof/>
        </w:rPr>
        <w:t xml:space="preserve"> emissions associated with vehicle manufacturing (including the mining, processing and manufacturing of materials and components), maintenance and disposal. These are referred to as "emb</w:t>
      </w:r>
      <w:r>
        <w:rPr>
          <w:noProof/>
        </w:rPr>
        <w:t>edded" CO</w:t>
      </w:r>
      <w:r>
        <w:rPr>
          <w:noProof/>
          <w:vertAlign w:val="subscript"/>
        </w:rPr>
        <w:t>2</w:t>
      </w:r>
      <w:r>
        <w:rPr>
          <w:noProof/>
        </w:rPr>
        <w:t xml:space="preserve"> emissions. For determining those emissions, information is needed concerning the different phases of a vehicle's life cycle and tools such as life-cycle assessment (LCA) are often used for this purpose.   </w:t>
      </w:r>
    </w:p>
    <w:p w:rsidR="001A26B0" w:rsidRDefault="00E33A99">
      <w:pPr>
        <w:pStyle w:val="Text1"/>
        <w:spacing w:after="120"/>
        <w:ind w:left="0"/>
        <w:rPr>
          <w:noProof/>
        </w:rPr>
      </w:pPr>
      <w:r>
        <w:rPr>
          <w:noProof/>
        </w:rPr>
        <w:t>The g CO</w:t>
      </w:r>
      <w:r>
        <w:rPr>
          <w:noProof/>
          <w:vertAlign w:val="subscript"/>
        </w:rPr>
        <w:t>2</w:t>
      </w:r>
      <w:r>
        <w:rPr>
          <w:noProof/>
        </w:rPr>
        <w:t xml:space="preserve">/km metric allows comparing </w:t>
      </w:r>
      <w:r>
        <w:rPr>
          <w:noProof/>
        </w:rPr>
        <w:t>the emission performance of vehicles on a unit distance basis, but this does not reflect the total emissions of a vehicle over its lifetime. Vehicles with a higher lifetime mileage may contribute more to total CO</w:t>
      </w:r>
      <w:r>
        <w:rPr>
          <w:noProof/>
          <w:vertAlign w:val="subscript"/>
        </w:rPr>
        <w:t>2</w:t>
      </w:r>
      <w:r>
        <w:rPr>
          <w:noProof/>
        </w:rPr>
        <w:t xml:space="preserve"> emissions compared to vehicles that are us</w:t>
      </w:r>
      <w:r>
        <w:rPr>
          <w:noProof/>
        </w:rPr>
        <w:t>ed less intensively, even where the latter perform worse against the g CO</w:t>
      </w:r>
      <w:r>
        <w:rPr>
          <w:noProof/>
          <w:vertAlign w:val="subscript"/>
        </w:rPr>
        <w:t>2</w:t>
      </w:r>
      <w:r>
        <w:rPr>
          <w:noProof/>
        </w:rPr>
        <w:t xml:space="preserve">/km targets. </w:t>
      </w:r>
    </w:p>
    <w:p w:rsidR="001A26B0" w:rsidRDefault="00E33A99">
      <w:pPr>
        <w:spacing w:after="120"/>
        <w:rPr>
          <w:noProof/>
        </w:rPr>
      </w:pPr>
      <w:r>
        <w:rPr>
          <w:noProof/>
        </w:rPr>
        <w:t xml:space="preserve">The evaluation study noted that the effectiveness of the Cars and Vans Regulations might have been reduced because some of the emission reductions achieved in terms of </w:t>
      </w:r>
      <w:r>
        <w:rPr>
          <w:noProof/>
        </w:rPr>
        <w:t>tailpipe CO</w:t>
      </w:r>
      <w:r>
        <w:rPr>
          <w:noProof/>
          <w:vertAlign w:val="subscript"/>
        </w:rPr>
        <w:t>2</w:t>
      </w:r>
      <w:r>
        <w:rPr>
          <w:noProof/>
        </w:rPr>
        <w:t xml:space="preserve"> emissions may have been accompanied by increased emissions elsewhere. </w:t>
      </w:r>
    </w:p>
    <w:p w:rsidR="001A26B0" w:rsidRDefault="00E33A99">
      <w:pPr>
        <w:spacing w:after="120"/>
        <w:rPr>
          <w:noProof/>
        </w:rPr>
      </w:pPr>
      <w:r>
        <w:rPr>
          <w:noProof/>
        </w:rPr>
        <w:t>During the public consultation, some stakeholders also suggested to switch to other metric types to express the targets, in particular by using one of the approaches mentio</w:t>
      </w:r>
      <w:r>
        <w:rPr>
          <w:noProof/>
        </w:rPr>
        <w:t xml:space="preserve">ned hereafter. </w:t>
      </w:r>
    </w:p>
    <w:p w:rsidR="001A26B0" w:rsidRDefault="00E33A99">
      <w:pPr>
        <w:spacing w:after="120"/>
        <w:rPr>
          <w:i/>
          <w:noProof/>
          <w:u w:val="single"/>
        </w:rPr>
      </w:pPr>
      <w:r>
        <w:rPr>
          <w:i/>
          <w:noProof/>
          <w:u w:val="single"/>
        </w:rPr>
        <w:t>Well-to-Wheel (WTW) based metric</w:t>
      </w:r>
    </w:p>
    <w:p w:rsidR="001A26B0" w:rsidRDefault="00E33A99">
      <w:pPr>
        <w:spacing w:after="120"/>
        <w:rPr>
          <w:noProof/>
        </w:rPr>
      </w:pPr>
      <w:r>
        <w:rPr>
          <w:noProof/>
        </w:rPr>
        <w:t>In the public consultation, stakeholders representing the fuels industry as well as some component suppliers suggested a change from the TTW metric to a WTW based metric, which takes into consideration the s</w:t>
      </w:r>
      <w:r>
        <w:rPr>
          <w:noProof/>
        </w:rPr>
        <w:t>um of the TTW and WTT emissions in the CO</w:t>
      </w:r>
      <w:r>
        <w:rPr>
          <w:noProof/>
          <w:vertAlign w:val="subscript"/>
        </w:rPr>
        <w:t>2</w:t>
      </w:r>
      <w:r>
        <w:rPr>
          <w:noProof/>
        </w:rPr>
        <w:t xml:space="preserve"> target levels. By contrast, consumer organisations, car manufacturers and stakeholders from the power sector did not support such a change. Public authorities had mixed views. </w:t>
      </w:r>
    </w:p>
    <w:p w:rsidR="001A26B0" w:rsidRDefault="00E33A99">
      <w:pPr>
        <w:spacing w:after="120"/>
        <w:rPr>
          <w:i/>
          <w:noProof/>
          <w:u w:val="single"/>
        </w:rPr>
      </w:pPr>
      <w:r>
        <w:rPr>
          <w:i/>
          <w:noProof/>
          <w:u w:val="single"/>
        </w:rPr>
        <w:t xml:space="preserve">Metric taking into account embedded </w:t>
      </w:r>
      <w:r>
        <w:rPr>
          <w:i/>
          <w:noProof/>
          <w:u w:val="single"/>
        </w:rPr>
        <w:t>emissions</w:t>
      </w:r>
    </w:p>
    <w:p w:rsidR="001A26B0" w:rsidRDefault="00E33A99">
      <w:pPr>
        <w:spacing w:after="120"/>
        <w:rPr>
          <w:noProof/>
        </w:rPr>
      </w:pPr>
      <w:r>
        <w:rPr>
          <w:noProof/>
        </w:rPr>
        <w:t>In the public consultation, most car manufacturers were against changing to this approach, whereas other stakeholder groups had diverging views.</w:t>
      </w:r>
    </w:p>
    <w:p w:rsidR="001A26B0" w:rsidRDefault="00E33A99">
      <w:pPr>
        <w:spacing w:after="120"/>
        <w:rPr>
          <w:i/>
          <w:noProof/>
          <w:u w:val="single"/>
        </w:rPr>
      </w:pPr>
      <w:r>
        <w:rPr>
          <w:i/>
          <w:noProof/>
          <w:u w:val="single"/>
        </w:rPr>
        <w:t>Metric based on mileage weighting</w:t>
      </w:r>
    </w:p>
    <w:p w:rsidR="001A26B0" w:rsidRDefault="00E33A99">
      <w:pPr>
        <w:spacing w:after="120"/>
        <w:rPr>
          <w:noProof/>
        </w:rPr>
      </w:pPr>
      <w:r>
        <w:rPr>
          <w:noProof/>
        </w:rPr>
        <w:t>During the public consultation, the question whether average mileag</w:t>
      </w:r>
      <w:r>
        <w:rPr>
          <w:noProof/>
        </w:rPr>
        <w:t>e by fuel and vehicle segment should be taken into account when establishing targets received very mixed replies from stakeholders. A number of environmental and transport NGOs, some research institutions, and all respondents from the petroleum sector were</w:t>
      </w:r>
      <w:r>
        <w:rPr>
          <w:noProof/>
        </w:rPr>
        <w:t xml:space="preserve"> in favour of doing so. By contrast, one NGO and the majority of car manufacturers were against this option. Most consumer organisations were neutral on the issue, whereas public authorities expressed split views.</w:t>
      </w:r>
    </w:p>
    <w:p w:rsidR="001A26B0" w:rsidRDefault="00E33A99">
      <w:pPr>
        <w:spacing w:after="120"/>
        <w:rPr>
          <w:noProof/>
        </w:rPr>
      </w:pPr>
      <w:r>
        <w:rPr>
          <w:noProof/>
        </w:rPr>
        <w:t>In the light of the above and the views ex</w:t>
      </w:r>
      <w:r>
        <w:rPr>
          <w:noProof/>
        </w:rPr>
        <w:t>pressed during the public consultation, the following options will be considered for defining the metric of the EU-wide fleet CO</w:t>
      </w:r>
      <w:r>
        <w:rPr>
          <w:noProof/>
          <w:vertAlign w:val="subscript"/>
        </w:rPr>
        <w:t>2</w:t>
      </w:r>
      <w:r>
        <w:rPr>
          <w:noProof/>
        </w:rPr>
        <w:t xml:space="preserve"> targets. These options apply both for passenger cars and for light commercial vehicles. </w:t>
      </w:r>
    </w:p>
    <w:p w:rsidR="001A26B0" w:rsidRDefault="00E33A99">
      <w:pPr>
        <w:pStyle w:val="ListParagraph"/>
        <w:numPr>
          <w:ilvl w:val="0"/>
          <w:numId w:val="19"/>
        </w:numPr>
        <w:spacing w:after="120"/>
        <w:contextualSpacing w:val="0"/>
        <w:rPr>
          <w:noProof/>
        </w:rPr>
      </w:pPr>
      <w:r>
        <w:rPr>
          <w:noProof/>
        </w:rPr>
        <w:t>Option TM_TTW: change nothing, TTW ap</w:t>
      </w:r>
      <w:r>
        <w:rPr>
          <w:noProof/>
        </w:rPr>
        <w:t>proach</w:t>
      </w:r>
    </w:p>
    <w:p w:rsidR="001A26B0" w:rsidRDefault="00E33A99">
      <w:pPr>
        <w:pStyle w:val="ListParagraph"/>
        <w:spacing w:after="120"/>
        <w:ind w:left="1070"/>
        <w:contextualSpacing w:val="0"/>
        <w:rPr>
          <w:noProof/>
        </w:rPr>
      </w:pPr>
      <w:r>
        <w:rPr>
          <w:noProof/>
        </w:rPr>
        <w:t>This option maintains the current metric for setting the targets, i.e. targets expressed in g CO</w:t>
      </w:r>
      <w:r>
        <w:rPr>
          <w:noProof/>
          <w:vertAlign w:val="subscript"/>
        </w:rPr>
        <w:t>2</w:t>
      </w:r>
      <w:r>
        <w:rPr>
          <w:noProof/>
        </w:rPr>
        <w:t>/km based on a TTW approach and applying for the sales-weighted average EU-wide fleet emissions.</w:t>
      </w:r>
    </w:p>
    <w:p w:rsidR="001A26B0" w:rsidRDefault="00E33A99">
      <w:pPr>
        <w:pStyle w:val="ListParagraph"/>
        <w:numPr>
          <w:ilvl w:val="0"/>
          <w:numId w:val="19"/>
        </w:numPr>
        <w:spacing w:after="120"/>
        <w:contextualSpacing w:val="0"/>
        <w:rPr>
          <w:noProof/>
        </w:rPr>
      </w:pPr>
      <w:r>
        <w:rPr>
          <w:noProof/>
        </w:rPr>
        <w:t>Option TM_WTW: WTW approach</w:t>
      </w:r>
    </w:p>
    <w:p w:rsidR="001A26B0" w:rsidRDefault="00E33A99">
      <w:pPr>
        <w:pStyle w:val="ListParagraph"/>
        <w:spacing w:after="120"/>
        <w:ind w:left="1070"/>
        <w:contextualSpacing w:val="0"/>
        <w:rPr>
          <w:noProof/>
        </w:rPr>
      </w:pPr>
      <w:r>
        <w:rPr>
          <w:noProof/>
        </w:rPr>
        <w:t>Under this option, the targ</w:t>
      </w:r>
      <w:r>
        <w:rPr>
          <w:noProof/>
        </w:rPr>
        <w:t>et would be expressed in g CO</w:t>
      </w:r>
      <w:r>
        <w:rPr>
          <w:noProof/>
          <w:vertAlign w:val="subscript"/>
        </w:rPr>
        <w:t>2</w:t>
      </w:r>
      <w:r>
        <w:rPr>
          <w:noProof/>
        </w:rPr>
        <w:t>/km based on a WTW approach and would apply for the sales-weighted average EU-wide fleet emissions.</w:t>
      </w:r>
    </w:p>
    <w:p w:rsidR="001A26B0" w:rsidRDefault="00E33A99">
      <w:pPr>
        <w:pStyle w:val="ListParagraph"/>
        <w:numPr>
          <w:ilvl w:val="0"/>
          <w:numId w:val="19"/>
        </w:numPr>
        <w:spacing w:after="120"/>
        <w:contextualSpacing w:val="0"/>
        <w:rPr>
          <w:noProof/>
        </w:rPr>
      </w:pPr>
      <w:r>
        <w:rPr>
          <w:noProof/>
        </w:rPr>
        <w:t>Option TM_EMB: metric covering embedded emissions</w:t>
      </w:r>
    </w:p>
    <w:p w:rsidR="001A26B0" w:rsidRDefault="00E33A99">
      <w:pPr>
        <w:pStyle w:val="ListParagraph"/>
        <w:spacing w:after="120"/>
        <w:ind w:left="1070"/>
        <w:contextualSpacing w:val="0"/>
        <w:rPr>
          <w:noProof/>
        </w:rPr>
      </w:pPr>
      <w:r>
        <w:rPr>
          <w:noProof/>
        </w:rPr>
        <w:t>Under this option, the target would be expressed in g CO</w:t>
      </w:r>
      <w:r>
        <w:rPr>
          <w:noProof/>
          <w:vertAlign w:val="subscript"/>
        </w:rPr>
        <w:t>2</w:t>
      </w:r>
      <w:r>
        <w:rPr>
          <w:noProof/>
        </w:rPr>
        <w:t xml:space="preserve">/km covering both </w:t>
      </w:r>
      <w:r>
        <w:rPr>
          <w:noProof/>
        </w:rPr>
        <w:t>WTW and embedded emissions and it would apply for the sales-weighted average EU-wide fleet emissions.</w:t>
      </w:r>
    </w:p>
    <w:p w:rsidR="001A26B0" w:rsidRDefault="00E33A99">
      <w:pPr>
        <w:pStyle w:val="ListParagraph"/>
        <w:numPr>
          <w:ilvl w:val="0"/>
          <w:numId w:val="19"/>
        </w:numPr>
        <w:spacing w:after="120"/>
        <w:contextualSpacing w:val="0"/>
        <w:rPr>
          <w:noProof/>
        </w:rPr>
      </w:pPr>
      <w:r>
        <w:rPr>
          <w:noProof/>
        </w:rPr>
        <w:t>Option TM_MIL: metric based on mileage weighting</w:t>
      </w:r>
    </w:p>
    <w:p w:rsidR="001A26B0" w:rsidRDefault="00E33A99">
      <w:pPr>
        <w:pStyle w:val="ListParagraph"/>
        <w:spacing w:after="120"/>
        <w:ind w:left="1070"/>
        <w:contextualSpacing w:val="0"/>
        <w:rPr>
          <w:noProof/>
        </w:rPr>
      </w:pPr>
      <w:bookmarkStart w:id="86" w:name="_Toc491871832"/>
      <w:bookmarkStart w:id="87" w:name="_Toc491871833"/>
      <w:bookmarkStart w:id="88" w:name="_Toc491871834"/>
      <w:bookmarkStart w:id="89" w:name="_Toc491871836"/>
      <w:bookmarkStart w:id="90" w:name="_Toc491871837"/>
      <w:bookmarkStart w:id="91" w:name="_Toc491871838"/>
      <w:bookmarkStart w:id="92" w:name="_Toc491871839"/>
      <w:bookmarkStart w:id="93" w:name="_Toc491871840"/>
      <w:bookmarkStart w:id="94" w:name="_Toc491871841"/>
      <w:bookmarkStart w:id="95" w:name="_Toc491871842"/>
      <w:bookmarkStart w:id="96" w:name="_Toc491871843"/>
      <w:bookmarkStart w:id="97" w:name="_Toc491871844"/>
      <w:bookmarkStart w:id="98" w:name="_Toc491871845"/>
      <w:bookmarkStart w:id="99" w:name="_Toc491871846"/>
      <w:bookmarkStart w:id="100" w:name="_Toc491871849"/>
      <w:bookmarkStart w:id="101" w:name="_Toc491871850"/>
      <w:bookmarkStart w:id="102" w:name="_Toc491871852"/>
      <w:bookmarkStart w:id="103" w:name="_Toc491871853"/>
      <w:bookmarkStart w:id="104" w:name="_Toc491871854"/>
      <w:bookmarkStart w:id="105" w:name="_Toc49187185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Pr>
          <w:noProof/>
        </w:rPr>
        <w:t>Under this option, the target would be set in relation to the mileage-weighted average EU-wide fleet emis</w:t>
      </w:r>
      <w:r>
        <w:rPr>
          <w:noProof/>
        </w:rPr>
        <w:t>sions. It could either be expressed in g CO</w:t>
      </w:r>
      <w:r>
        <w:rPr>
          <w:noProof/>
          <w:vertAlign w:val="subscript"/>
        </w:rPr>
        <w:t>2</w:t>
      </w:r>
      <w:r>
        <w:rPr>
          <w:noProof/>
        </w:rPr>
        <w:t>/km or in different units reflecting the difference in lifetime mileage between vehicle groups.</w:t>
      </w:r>
    </w:p>
    <w:p w:rsidR="001A26B0" w:rsidRDefault="00E33A99">
      <w:pPr>
        <w:pStyle w:val="Heading2"/>
        <w:rPr>
          <w:noProof/>
        </w:rPr>
      </w:pPr>
      <w:bookmarkStart w:id="106" w:name="_Ref492629971"/>
      <w:bookmarkStart w:id="107" w:name="_Toc496635587"/>
      <w:r>
        <w:rPr>
          <w:noProof/>
        </w:rPr>
        <w:t>Distribution of effort (DOE)</w:t>
      </w:r>
      <w:bookmarkEnd w:id="106"/>
      <w:bookmarkEnd w:id="107"/>
    </w:p>
    <w:p w:rsidR="001A26B0" w:rsidRDefault="00E33A99">
      <w:pPr>
        <w:spacing w:after="120"/>
        <w:rPr>
          <w:noProof/>
        </w:rPr>
      </w:pPr>
      <w:r>
        <w:rPr>
          <w:noProof/>
        </w:rPr>
        <w:t>The Cars and Vans Regulations use a limit value line to define the specific emission ta</w:t>
      </w:r>
      <w:r>
        <w:rPr>
          <w:noProof/>
        </w:rPr>
        <w:t>rgets for individual manufacturers, starting from the EU-wide fleet targets. This linear curve defines the relation between the CO</w:t>
      </w:r>
      <w:r>
        <w:rPr>
          <w:noProof/>
          <w:vertAlign w:val="subscript"/>
        </w:rPr>
        <w:t>2</w:t>
      </w:r>
      <w:r>
        <w:rPr>
          <w:noProof/>
        </w:rPr>
        <w:t xml:space="preserve"> emissions and a "utility parameter" (currently: vehicle mass in running order</w:t>
      </w:r>
      <w:r>
        <w:rPr>
          <w:rStyle w:val="FootnoteReference"/>
          <w:noProof/>
        </w:rPr>
        <w:footnoteReference w:id="67"/>
      </w:r>
      <w:r>
        <w:rPr>
          <w:noProof/>
        </w:rPr>
        <w:t>).</w:t>
      </w:r>
    </w:p>
    <w:p w:rsidR="001A26B0" w:rsidRDefault="00E33A99">
      <w:pPr>
        <w:spacing w:after="120"/>
        <w:rPr>
          <w:noProof/>
        </w:rPr>
      </w:pPr>
      <w:r>
        <w:rPr>
          <w:noProof/>
        </w:rPr>
        <w:t>On this line, the EU-wide fleet target valu</w:t>
      </w:r>
      <w:r>
        <w:rPr>
          <w:noProof/>
        </w:rPr>
        <w:t xml:space="preserve">e corresponds with the average mass of the new vehicles in the fleet (M0). The slope of the line is the key factor in distributing the EU-wide fleet target as it determines to what extent vehicles (manufacturers) with a higher/lower (average) mass will be </w:t>
      </w:r>
      <w:r>
        <w:rPr>
          <w:noProof/>
        </w:rPr>
        <w:t>allowed/required to have higher/lower CO</w:t>
      </w:r>
      <w:r>
        <w:rPr>
          <w:noProof/>
          <w:vertAlign w:val="subscript"/>
        </w:rPr>
        <w:t>2</w:t>
      </w:r>
      <w:r>
        <w:rPr>
          <w:noProof/>
        </w:rPr>
        <w:t xml:space="preserve"> emissions than the EU-wide fleet average. The steeper the slope, the larger the difference in specific emission targets between manufacturers with "heavy" and "light" vehicles. </w:t>
      </w:r>
    </w:p>
    <w:p w:rsidR="001A26B0" w:rsidRDefault="00E33A99">
      <w:pPr>
        <w:spacing w:after="120"/>
        <w:rPr>
          <w:noProof/>
        </w:rPr>
      </w:pPr>
      <w:r>
        <w:rPr>
          <w:noProof/>
        </w:rPr>
        <w:t>In order to avoid that the EU-wide f</w:t>
      </w:r>
      <w:r>
        <w:rPr>
          <w:noProof/>
        </w:rPr>
        <w:t>leet targets would be altered due to an autonomous change in the average mass of the fleet, the M0 values are readjusted every three years to align them with the average mass of the new fleet of the previous years.</w:t>
      </w:r>
    </w:p>
    <w:p w:rsidR="001A26B0" w:rsidRDefault="00E33A99">
      <w:pPr>
        <w:spacing w:after="120"/>
        <w:rPr>
          <w:noProof/>
        </w:rPr>
      </w:pPr>
      <w:r>
        <w:rPr>
          <w:noProof/>
        </w:rPr>
        <w:t>The choice of slope of the limit value li</w:t>
      </w:r>
      <w:r>
        <w:rPr>
          <w:noProof/>
        </w:rPr>
        <w:t xml:space="preserve">ne is merely a decision on how to share efforts amongst manufacturers and does not affect the overall emission target for the EU fleet of new vehicles. </w:t>
      </w:r>
    </w:p>
    <w:p w:rsidR="001A26B0" w:rsidRDefault="00E33A99">
      <w:pPr>
        <w:spacing w:after="120"/>
        <w:rPr>
          <w:noProof/>
          <w:color w:val="000000"/>
          <w:szCs w:val="24"/>
        </w:rPr>
      </w:pPr>
      <w:r>
        <w:rPr>
          <w:noProof/>
        </w:rPr>
        <w:t>Other approaches (e.g. using another or no utility parameter, changing the slope of the line, using a n</w:t>
      </w:r>
      <w:r>
        <w:rPr>
          <w:noProof/>
        </w:rPr>
        <w:t>on-linear curve) are possible for distributing the effort required fr</w:t>
      </w:r>
      <w:r>
        <w:rPr>
          <w:noProof/>
          <w:szCs w:val="24"/>
        </w:rPr>
        <w:t xml:space="preserve">om each manufacturer in meeting the </w:t>
      </w:r>
      <w:r>
        <w:rPr>
          <w:noProof/>
        </w:rPr>
        <w:t xml:space="preserve">EU-wide </w:t>
      </w:r>
      <w:r>
        <w:rPr>
          <w:noProof/>
          <w:szCs w:val="24"/>
        </w:rPr>
        <w:t>fleet target. The Cars and Vans Regulations explicitly request the Commission to review this modality</w:t>
      </w:r>
      <w:r>
        <w:rPr>
          <w:rStyle w:val="FootnoteReference"/>
          <w:noProof/>
          <w:szCs w:val="24"/>
        </w:rPr>
        <w:footnoteReference w:id="68"/>
      </w:r>
      <w:r>
        <w:rPr>
          <w:noProof/>
          <w:szCs w:val="24"/>
        </w:rPr>
        <w:t xml:space="preserve">. </w:t>
      </w:r>
    </w:p>
    <w:p w:rsidR="001A26B0" w:rsidRDefault="00E33A99">
      <w:pPr>
        <w:spacing w:after="120"/>
        <w:rPr>
          <w:noProof/>
        </w:rPr>
      </w:pPr>
      <w:r>
        <w:rPr>
          <w:noProof/>
        </w:rPr>
        <w:t xml:space="preserve">Most car manufacturers and consumer </w:t>
      </w:r>
      <w:r>
        <w:rPr>
          <w:noProof/>
        </w:rPr>
        <w:t>organisations responding to the online consultation were in favour of using a utility parameter to distribute the effort between different manufacturers. A relatively large number of stakeholders across different stakeholder groups were neutral on this que</w:t>
      </w:r>
      <w:r>
        <w:rPr>
          <w:noProof/>
        </w:rPr>
        <w:t xml:space="preserve">stion, and only a small number of stakeholders (from different groups) were against the use of a utility parameter. Views diverged on which utility parameter to use. All consumer organisations, some environmental and transport NGOs as well as stakeholders </w:t>
      </w:r>
      <w:r>
        <w:rPr>
          <w:noProof/>
        </w:rPr>
        <w:t>from the petroleum sector supported footprint</w:t>
      </w:r>
      <w:r>
        <w:rPr>
          <w:rStyle w:val="FootnoteReference"/>
          <w:noProof/>
        </w:rPr>
        <w:footnoteReference w:id="69"/>
      </w:r>
      <w:r>
        <w:rPr>
          <w:noProof/>
        </w:rPr>
        <w:t>, while most car manufacturers supported mass as utility parameter. Only two stakeholders referred explicitly to another parameter (loading capacity, in the case of light commercial vehicles).</w:t>
      </w:r>
    </w:p>
    <w:p w:rsidR="001A26B0" w:rsidRDefault="00E33A99">
      <w:pPr>
        <w:spacing w:after="120"/>
        <w:rPr>
          <w:noProof/>
        </w:rPr>
      </w:pPr>
      <w:r>
        <w:rPr>
          <w:noProof/>
        </w:rPr>
        <w:t>The Association o</w:t>
      </w:r>
      <w:r>
        <w:rPr>
          <w:noProof/>
        </w:rPr>
        <w:t>f European automobile manufacturers suggested a slightly different approach for cars and vans. While maintaining a single linear curve for cars with a mass-based utility parameter (</w:t>
      </w:r>
      <w:r>
        <w:rPr>
          <w:i/>
          <w:noProof/>
        </w:rPr>
        <w:t>i.c.</w:t>
      </w:r>
      <w:r>
        <w:rPr>
          <w:noProof/>
        </w:rPr>
        <w:t xml:space="preserve"> WLTP test mass</w:t>
      </w:r>
      <w:r>
        <w:rPr>
          <w:rStyle w:val="FootnoteReference"/>
          <w:noProof/>
          <w:szCs w:val="24"/>
        </w:rPr>
        <w:footnoteReference w:id="70"/>
      </w:r>
      <w:r>
        <w:rPr>
          <w:noProof/>
        </w:rPr>
        <w:t>), for vans they proposed to switch to a curve consisti</w:t>
      </w:r>
      <w:r>
        <w:rPr>
          <w:noProof/>
        </w:rPr>
        <w:t xml:space="preserve">ng of two linear parts with different slopes, arguing that this would better take account of the large variety in design of light commercial vehicles. </w:t>
      </w:r>
    </w:p>
    <w:p w:rsidR="001A26B0" w:rsidRDefault="00E33A99">
      <w:pPr>
        <w:spacing w:after="120"/>
        <w:rPr>
          <w:noProof/>
          <w:szCs w:val="24"/>
        </w:rPr>
      </w:pPr>
      <w:r>
        <w:rPr>
          <w:noProof/>
          <w:szCs w:val="24"/>
        </w:rPr>
        <w:t>In view of this, the following options are being considered:</w:t>
      </w:r>
    </w:p>
    <w:p w:rsidR="001A26B0" w:rsidRDefault="00E33A99">
      <w:pPr>
        <w:pStyle w:val="ListParagraph"/>
        <w:numPr>
          <w:ilvl w:val="0"/>
          <w:numId w:val="19"/>
        </w:numPr>
        <w:spacing w:after="120"/>
        <w:ind w:left="714" w:hanging="357"/>
        <w:contextualSpacing w:val="0"/>
        <w:rPr>
          <w:noProof/>
        </w:rPr>
      </w:pPr>
      <w:r>
        <w:rPr>
          <w:noProof/>
        </w:rPr>
        <w:t>Option DOE 0: Change nothing</w:t>
      </w:r>
    </w:p>
    <w:p w:rsidR="001A26B0" w:rsidRDefault="00E33A99">
      <w:pPr>
        <w:pStyle w:val="ListParagraph"/>
        <w:spacing w:after="120"/>
        <w:ind w:left="360"/>
        <w:contextualSpacing w:val="0"/>
        <w:rPr>
          <w:noProof/>
        </w:rPr>
      </w:pPr>
      <w:r>
        <w:rPr>
          <w:noProof/>
        </w:rPr>
        <w:t>Under this opt</w:t>
      </w:r>
      <w:r>
        <w:rPr>
          <w:noProof/>
        </w:rPr>
        <w:t>ion the linear limit value curves as defined in the current Regulations are maintained. The utility parameter applied is the mass in running order and the slope of the curves is 0.0333 (cars) and 0.096 (vans). The adjustment of the M0 value takes place eve</w:t>
      </w:r>
      <w:r>
        <w:rPr>
          <w:noProof/>
        </w:rPr>
        <w:t>ry three years.</w:t>
      </w:r>
    </w:p>
    <w:p w:rsidR="001A26B0" w:rsidRDefault="00E33A99">
      <w:pPr>
        <w:pStyle w:val="ListParagraph"/>
        <w:numPr>
          <w:ilvl w:val="0"/>
          <w:numId w:val="19"/>
        </w:numPr>
        <w:spacing w:after="120"/>
        <w:ind w:left="714" w:hanging="357"/>
        <w:contextualSpacing w:val="0"/>
        <w:rPr>
          <w:noProof/>
        </w:rPr>
      </w:pPr>
      <w:r>
        <w:rPr>
          <w:noProof/>
        </w:rPr>
        <w:t xml:space="preserve">Option DOE 1: mass based limit value curve with a slope representing an equal reduction effort for all manufacturers </w:t>
      </w:r>
    </w:p>
    <w:p w:rsidR="001A26B0" w:rsidRDefault="00E33A99">
      <w:pPr>
        <w:spacing w:after="120"/>
        <w:ind w:left="360"/>
        <w:rPr>
          <w:noProof/>
        </w:rPr>
      </w:pPr>
      <w:r>
        <w:rPr>
          <w:noProof/>
        </w:rPr>
        <w:t xml:space="preserve">Under this option, the manufacturer specific emission targets would be derived from the EU-wide fleet target according to </w:t>
      </w:r>
      <w:r>
        <w:rPr>
          <w:noProof/>
        </w:rPr>
        <w:t xml:space="preserve">a limit value line with the mass of the vehicles as the utility parameter. </w:t>
      </w:r>
    </w:p>
    <w:p w:rsidR="001A26B0" w:rsidRDefault="00E33A99">
      <w:pPr>
        <w:spacing w:after="120"/>
        <w:ind w:left="360"/>
        <w:rPr>
          <w:noProof/>
        </w:rPr>
      </w:pPr>
      <w:r>
        <w:rPr>
          <w:noProof/>
        </w:rPr>
        <w:t>The slope of the limit value line would be determined so that it results in an equal reduction effort for all manufacturers – starting from 2021 - according to the given utility va</w:t>
      </w:r>
      <w:r>
        <w:rPr>
          <w:noProof/>
        </w:rPr>
        <w:t>lue</w:t>
      </w:r>
      <w:r>
        <w:rPr>
          <w:rStyle w:val="FootnoteReference"/>
          <w:noProof/>
        </w:rPr>
        <w:footnoteReference w:id="71"/>
      </w:r>
      <w:r>
        <w:rPr>
          <w:noProof/>
        </w:rPr>
        <w:t>. Two variants will also be considered as part of the assessment, one using the WLTP test mass as utility parameter (instead of mass in running order) and one using a combination of two different slopes for vans (taking account of the vehicle character</w:t>
      </w:r>
      <w:r>
        <w:rPr>
          <w:noProof/>
        </w:rPr>
        <w:t>istics within the lighter and heavier segments).</w:t>
      </w:r>
    </w:p>
    <w:p w:rsidR="001A26B0" w:rsidRDefault="00E33A99">
      <w:pPr>
        <w:pStyle w:val="ListParagraph"/>
        <w:numPr>
          <w:ilvl w:val="0"/>
          <w:numId w:val="19"/>
        </w:numPr>
        <w:spacing w:after="120"/>
        <w:ind w:left="714" w:hanging="357"/>
        <w:contextualSpacing w:val="0"/>
        <w:rPr>
          <w:noProof/>
        </w:rPr>
      </w:pPr>
      <w:r>
        <w:rPr>
          <w:noProof/>
        </w:rPr>
        <w:t>Option DOE 2: footprint based limit value curve with a slope representing an equal reduction effort for all manufacturers</w:t>
      </w:r>
    </w:p>
    <w:p w:rsidR="001A26B0" w:rsidRDefault="00E33A99">
      <w:pPr>
        <w:spacing w:after="120"/>
        <w:ind w:left="360"/>
        <w:rPr>
          <w:noProof/>
        </w:rPr>
      </w:pPr>
      <w:r>
        <w:rPr>
          <w:noProof/>
        </w:rPr>
        <w:t>Under this option, the specific emission targets would be derived from the EU-wide fl</w:t>
      </w:r>
      <w:r>
        <w:rPr>
          <w:noProof/>
        </w:rPr>
        <w:t>eet target according to a limit value line using the vehicle footprint (i.e. wheelbase multiplied by track width) as the utility parameter. The approach for defining the slope would be the same as under option DOE 1, but using footprint data instead of mas</w:t>
      </w:r>
      <w:r>
        <w:rPr>
          <w:noProof/>
        </w:rPr>
        <w:t>s data.</w:t>
      </w:r>
      <w:r>
        <w:rPr>
          <w:rStyle w:val="FootnoteReference"/>
          <w:noProof/>
        </w:rPr>
        <w:t xml:space="preserve"> </w:t>
      </w:r>
    </w:p>
    <w:p w:rsidR="001A26B0" w:rsidRDefault="00E33A99">
      <w:pPr>
        <w:spacing w:after="120"/>
        <w:ind w:left="360"/>
        <w:rPr>
          <w:noProof/>
        </w:rPr>
      </w:pPr>
      <w:r>
        <w:rPr>
          <w:noProof/>
        </w:rPr>
        <w:t>For options DOE 1 and DOE 2, other sub-options (with different slopes) had initially been considered, but were not withheld as they would either lead to unwanted effects (in case of higher slopes) or are very close to the other options explored (e</w:t>
      </w:r>
      <w:r>
        <w:rPr>
          <w:noProof/>
        </w:rPr>
        <w:t xml:space="preserve">sp. DOE 4 in case of lower slope). </w:t>
      </w:r>
    </w:p>
    <w:p w:rsidR="001A26B0" w:rsidRDefault="00E33A99">
      <w:pPr>
        <w:pStyle w:val="ListParagraph"/>
        <w:numPr>
          <w:ilvl w:val="0"/>
          <w:numId w:val="19"/>
        </w:numPr>
        <w:spacing w:after="120"/>
        <w:ind w:left="714" w:hanging="357"/>
        <w:contextualSpacing w:val="0"/>
        <w:rPr>
          <w:noProof/>
        </w:rPr>
      </w:pPr>
      <w:r>
        <w:rPr>
          <w:noProof/>
        </w:rPr>
        <w:t>Option DOE 3: same target for all manufacturers ("uniform target")</w:t>
      </w:r>
    </w:p>
    <w:p w:rsidR="001A26B0" w:rsidRDefault="00E33A99">
      <w:pPr>
        <w:spacing w:after="120"/>
        <w:ind w:left="360"/>
        <w:rPr>
          <w:noProof/>
        </w:rPr>
      </w:pPr>
      <w:r>
        <w:rPr>
          <w:noProof/>
        </w:rPr>
        <w:t>Under this option, the EU-wide fleet target would apply for each individual manufacturer and no utility parameter would be applied</w:t>
      </w:r>
      <w:r>
        <w:rPr>
          <w:rStyle w:val="FootnoteReference"/>
          <w:noProof/>
        </w:rPr>
        <w:footnoteReference w:id="72"/>
      </w:r>
      <w:r>
        <w:rPr>
          <w:noProof/>
        </w:rPr>
        <w:t>. As the specific emis</w:t>
      </w:r>
      <w:r>
        <w:rPr>
          <w:noProof/>
        </w:rPr>
        <w:t>sion targets under the current Regulations vary according to the average mass of the new vehicles registered by a manufacturer, the (percentage) emission reductions required to meet the future targets would be larger for manufacturers having a higher avera</w:t>
      </w:r>
      <w:r>
        <w:rPr>
          <w:noProof/>
        </w:rPr>
        <w:t xml:space="preserve">ge vehicle mass than for those having lighter vehicles. </w:t>
      </w:r>
    </w:p>
    <w:p w:rsidR="001A26B0" w:rsidRDefault="00E33A99">
      <w:pPr>
        <w:pStyle w:val="ListParagraph"/>
        <w:numPr>
          <w:ilvl w:val="0"/>
          <w:numId w:val="19"/>
        </w:numPr>
        <w:spacing w:after="120"/>
        <w:ind w:left="714" w:hanging="357"/>
        <w:contextualSpacing w:val="0"/>
        <w:rPr>
          <w:noProof/>
        </w:rPr>
      </w:pPr>
      <w:r>
        <w:rPr>
          <w:noProof/>
        </w:rPr>
        <w:t>Option DOE 4: equal reduction percentage for all manufacturers</w:t>
      </w:r>
    </w:p>
    <w:p w:rsidR="001A26B0" w:rsidRDefault="00E33A99">
      <w:pPr>
        <w:spacing w:after="120"/>
        <w:ind w:left="360"/>
        <w:rPr>
          <w:noProof/>
        </w:rPr>
      </w:pPr>
      <w:r>
        <w:rPr>
          <w:noProof/>
        </w:rPr>
        <w:t xml:space="preserve">As in option DOE 3, no utility parameter would apply in this case. The same emission reduction percentage would be required for each </w:t>
      </w:r>
      <w:r>
        <w:rPr>
          <w:noProof/>
        </w:rPr>
        <w:t>manufacturer, taking its specific emissions target in 2021 as the starting point. Therefore, the future specific emission targets (in g/km) would differ amongst manufacturers, depending on their 2021 WLTP target</w:t>
      </w:r>
      <w:r>
        <w:rPr>
          <w:rStyle w:val="FootnoteReference"/>
          <w:noProof/>
        </w:rPr>
        <w:footnoteReference w:id="73"/>
      </w:r>
      <w:r>
        <w:rPr>
          <w:noProof/>
        </w:rPr>
        <w:t xml:space="preserve">. </w:t>
      </w:r>
    </w:p>
    <w:p w:rsidR="001A26B0" w:rsidRDefault="00E33A99">
      <w:pPr>
        <w:rPr>
          <w:noProof/>
        </w:rPr>
      </w:pPr>
      <w:r>
        <w:rPr>
          <w:noProof/>
        </w:rPr>
        <w:t>Under options DOE 3 and DOE 4, the future</w:t>
      </w:r>
      <w:r>
        <w:rPr>
          <w:noProof/>
        </w:rPr>
        <w:t xml:space="preserve"> manufacturer specific emissions targets would not be affected by future changes in the average value of the utility parameter for that manufacturer's new vehicles (mass or footprint).</w:t>
      </w:r>
    </w:p>
    <w:p w:rsidR="001A26B0" w:rsidRDefault="00E33A99">
      <w:pPr>
        <w:pStyle w:val="Heading2"/>
        <w:rPr>
          <w:noProof/>
        </w:rPr>
      </w:pPr>
      <w:bookmarkStart w:id="108" w:name="_Toc496635588"/>
      <w:r>
        <w:rPr>
          <w:noProof/>
        </w:rPr>
        <w:t>ZEV/ LEV incentives</w:t>
      </w:r>
      <w:bookmarkEnd w:id="108"/>
    </w:p>
    <w:p w:rsidR="001A26B0" w:rsidRDefault="00E33A99">
      <w:pPr>
        <w:pStyle w:val="Heading3"/>
        <w:rPr>
          <w:noProof/>
        </w:rPr>
      </w:pPr>
      <w:bookmarkStart w:id="109" w:name="_Ref491880130"/>
      <w:bookmarkStart w:id="110" w:name="_Toc496635589"/>
      <w:r>
        <w:rPr>
          <w:noProof/>
        </w:rPr>
        <w:t>Context</w:t>
      </w:r>
      <w:bookmarkEnd w:id="109"/>
      <w:bookmarkEnd w:id="110"/>
    </w:p>
    <w:p w:rsidR="001A26B0" w:rsidRDefault="00E33A99">
      <w:pPr>
        <w:spacing w:after="120"/>
        <w:rPr>
          <w:noProof/>
        </w:rPr>
      </w:pPr>
      <w:r>
        <w:rPr>
          <w:noProof/>
        </w:rPr>
        <w:t xml:space="preserve">The transition </w:t>
      </w:r>
      <w:r>
        <w:rPr>
          <w:noProof/>
          <w:szCs w:val="24"/>
        </w:rPr>
        <w:t>to low- and zero-emission mo</w:t>
      </w:r>
      <w:r>
        <w:rPr>
          <w:noProof/>
          <w:szCs w:val="24"/>
        </w:rPr>
        <w:t>bility is subject to a number of policy discussions. At the informal meeting of the Environment and Transport Ministers in Amsterdam in April 2016, Member States supported this transition and underlined the opportunities it creates</w:t>
      </w:r>
      <w:r>
        <w:rPr>
          <w:rStyle w:val="FootnoteReference"/>
          <w:noProof/>
          <w:szCs w:val="24"/>
        </w:rPr>
        <w:footnoteReference w:id="74"/>
      </w:r>
      <w:r>
        <w:rPr>
          <w:noProof/>
          <w:szCs w:val="24"/>
        </w:rPr>
        <w:t xml:space="preserve">. </w:t>
      </w:r>
    </w:p>
    <w:p w:rsidR="001A26B0" w:rsidRDefault="00E33A99">
      <w:pPr>
        <w:pStyle w:val="ListBullet"/>
        <w:numPr>
          <w:ilvl w:val="0"/>
          <w:numId w:val="0"/>
        </w:numPr>
        <w:spacing w:after="120"/>
        <w:rPr>
          <w:bCs/>
          <w:noProof/>
          <w:lang w:val="en"/>
        </w:rPr>
      </w:pPr>
      <w:r>
        <w:rPr>
          <w:bCs/>
          <w:noProof/>
          <w:lang w:val="en"/>
        </w:rPr>
        <w:t>The May 2017 Communic</w:t>
      </w:r>
      <w:r>
        <w:rPr>
          <w:bCs/>
          <w:noProof/>
          <w:lang w:val="en"/>
        </w:rPr>
        <w:t>ation, 'Europe on the Move: An agenda for a socially fair transition towards clean, competitive and connected mobility for all'</w:t>
      </w:r>
      <w:r>
        <w:rPr>
          <w:rStyle w:val="FootnoteReference"/>
          <w:bCs/>
          <w:noProof/>
          <w:lang w:val="en"/>
        </w:rPr>
        <w:footnoteReference w:id="75"/>
      </w:r>
      <w:r>
        <w:rPr>
          <w:bCs/>
          <w:noProof/>
          <w:lang w:val="en"/>
        </w:rPr>
        <w:t xml:space="preserve"> confirms that EU-wide carbon dioxide emissions standards are a strong driver for innovation and efficiency and will contribute </w:t>
      </w:r>
      <w:r>
        <w:rPr>
          <w:bCs/>
          <w:noProof/>
          <w:lang w:val="en"/>
        </w:rPr>
        <w:t xml:space="preserve">to strengthening competitiveness and pave the way for zero and low-emission vehicles in a technology-neutral way. It also stated that options under review include specific targets for low and/or zero-emission vehicles. </w:t>
      </w:r>
    </w:p>
    <w:p w:rsidR="001A26B0" w:rsidRDefault="00E33A99">
      <w:pPr>
        <w:pStyle w:val="ListBullet"/>
        <w:numPr>
          <w:ilvl w:val="0"/>
          <w:numId w:val="0"/>
        </w:numPr>
        <w:spacing w:after="120"/>
        <w:rPr>
          <w:noProof/>
          <w:szCs w:val="24"/>
        </w:rPr>
      </w:pPr>
      <w:r>
        <w:rPr>
          <w:noProof/>
          <w:szCs w:val="24"/>
        </w:rPr>
        <w:t>T</w:t>
      </w:r>
      <w:r>
        <w:rPr>
          <w:noProof/>
        </w:rPr>
        <w:t>he Communication builds on the earl</w:t>
      </w:r>
      <w:r>
        <w:rPr>
          <w:noProof/>
        </w:rPr>
        <w:t>ier Commission's European Strategy for Low-Emission mobility</w:t>
      </w:r>
      <w:r>
        <w:rPr>
          <w:rStyle w:val="FootnoteReference"/>
          <w:noProof/>
        </w:rPr>
        <w:footnoteReference w:id="76"/>
      </w:r>
      <w:r>
        <w:rPr>
          <w:noProof/>
        </w:rPr>
        <w:t>, published in July 2016, in which the Commission highlighted the important role of zero- and low-emission vehicles in delivering CO</w:t>
      </w:r>
      <w:r>
        <w:rPr>
          <w:noProof/>
          <w:vertAlign w:val="subscript"/>
        </w:rPr>
        <w:t>2</w:t>
      </w:r>
      <w:r>
        <w:rPr>
          <w:noProof/>
        </w:rPr>
        <w:t xml:space="preserve"> reductions, particularly in view of the longer-term decarboni</w:t>
      </w:r>
      <w:r>
        <w:rPr>
          <w:noProof/>
        </w:rPr>
        <w:t xml:space="preserve">sation objectives. Furthermore, the Commission stressed that accelerating the ongoing </w:t>
      </w:r>
      <w:r>
        <w:rPr>
          <w:noProof/>
          <w:szCs w:val="24"/>
        </w:rPr>
        <w:t xml:space="preserve">shift to low-emission mobility will offer major opportunities for the European automotive and other sectors to drive global standards and export their products. </w:t>
      </w:r>
      <w:r>
        <w:rPr>
          <w:noProof/>
        </w:rPr>
        <w:t>Fostering</w:t>
      </w:r>
      <w:r>
        <w:rPr>
          <w:noProof/>
        </w:rPr>
        <w:t xml:space="preserve"> a domestic lead market for such vehicles is relevant from a competitive perspective, in order to create (1) economies of scale to drive down costs and (2) a competitive edge for European manufacturers and component suppliers.</w:t>
      </w:r>
    </w:p>
    <w:p w:rsidR="001A26B0" w:rsidRDefault="00E33A99">
      <w:pPr>
        <w:spacing w:after="120"/>
        <w:rPr>
          <w:noProof/>
        </w:rPr>
      </w:pPr>
      <w:r>
        <w:rPr>
          <w:noProof/>
        </w:rPr>
        <w:t xml:space="preserve">The battery is a major cost </w:t>
      </w:r>
      <w:r>
        <w:rPr>
          <w:noProof/>
        </w:rPr>
        <w:t>component of a BEV with battery costs making up to 55% in the price of a mass manufactured BEV in 2016</w:t>
      </w:r>
      <w:r>
        <w:rPr>
          <w:rStyle w:val="FootnoteReference"/>
          <w:noProof/>
        </w:rPr>
        <w:footnoteReference w:id="77"/>
      </w:r>
      <w:r>
        <w:rPr>
          <w:noProof/>
        </w:rPr>
        <w:t>. According to external studies, a broad range of EV support policies applied worldwide</w:t>
      </w:r>
      <w:r>
        <w:rPr>
          <w:rStyle w:val="FootnoteReference"/>
          <w:noProof/>
        </w:rPr>
        <w:footnoteReference w:id="78"/>
      </w:r>
      <w:r>
        <w:rPr>
          <w:noProof/>
        </w:rPr>
        <w:t xml:space="preserve"> is expected to contribute to a drastic reduction in cost of elec</w:t>
      </w:r>
      <w:r>
        <w:rPr>
          <w:noProof/>
        </w:rPr>
        <w:t>tric vehicles over the next decade as battery manufacturing gets cheaper</w:t>
      </w:r>
      <w:r>
        <w:rPr>
          <w:rStyle w:val="FootnoteReference"/>
          <w:noProof/>
        </w:rPr>
        <w:footnoteReference w:id="79"/>
      </w:r>
      <w:r>
        <w:rPr>
          <w:noProof/>
        </w:rPr>
        <w:t>. Those cost reductions are however highly reliant on mass manufacturing. Analysts argue that policy is therefore critical in this respect and fuel economy regulations will play an im</w:t>
      </w:r>
      <w:r>
        <w:rPr>
          <w:noProof/>
        </w:rPr>
        <w:t>portant role in driving the scale-up in EV manufacturing over the next 5-7 years</w:t>
      </w:r>
      <w:r>
        <w:rPr>
          <w:rStyle w:val="FootnoteReference"/>
          <w:noProof/>
        </w:rPr>
        <w:footnoteReference w:id="80"/>
      </w:r>
      <w:r>
        <w:rPr>
          <w:noProof/>
        </w:rPr>
        <w:t>.</w:t>
      </w:r>
    </w:p>
    <w:p w:rsidR="001A26B0" w:rsidRDefault="00E33A99">
      <w:pPr>
        <w:pStyle w:val="Text1"/>
        <w:spacing w:after="120"/>
        <w:ind w:left="0"/>
        <w:rPr>
          <w:noProof/>
          <w:szCs w:val="24"/>
        </w:rPr>
      </w:pPr>
      <w:r>
        <w:rPr>
          <w:noProof/>
          <w:szCs w:val="24"/>
        </w:rPr>
        <w:fldChar w:fldCharType="begin"/>
      </w:r>
      <w:r>
        <w:rPr>
          <w:noProof/>
          <w:szCs w:val="24"/>
        </w:rPr>
        <w:instrText xml:space="preserve"> REF _Ref492035260 \h  \* MERGEFORMAT </w:instrText>
      </w:r>
      <w:r>
        <w:rPr>
          <w:noProof/>
          <w:szCs w:val="24"/>
        </w:rPr>
      </w:r>
      <w:r>
        <w:rPr>
          <w:noProof/>
          <w:szCs w:val="24"/>
        </w:rPr>
        <w:fldChar w:fldCharType="separate"/>
      </w:r>
      <w:r>
        <w:rPr>
          <w:noProof/>
          <w:szCs w:val="24"/>
        </w:rPr>
        <w:t>Figure</w:t>
      </w:r>
      <w:r>
        <w:rPr>
          <w:noProof/>
        </w:rPr>
        <w:t xml:space="preserve"> 7</w:t>
      </w:r>
      <w:r>
        <w:rPr>
          <w:noProof/>
          <w:szCs w:val="24"/>
        </w:rPr>
        <w:fldChar w:fldCharType="end"/>
      </w:r>
      <w:r>
        <w:rPr>
          <w:noProof/>
          <w:szCs w:val="24"/>
        </w:rPr>
        <w:t xml:space="preserve"> summarises information available up to 2016 on the costs an</w:t>
      </w:r>
      <w:r>
        <w:rPr>
          <w:noProof/>
          <w:szCs w:val="24"/>
        </w:rPr>
        <w:t>d volumetric energy densities of batteries currently being researched, as well as the ranges of cost reductions that can be expected from the three main families of battery technologies: conventional lithium ion; advanced lithium ion, using an intermetalli</w:t>
      </w:r>
      <w:r>
        <w:rPr>
          <w:noProof/>
          <w:szCs w:val="24"/>
        </w:rPr>
        <w:t>c anode (i.e. silicon alloy-composite); and technologies going beyond lithium ion (lithium metal, including lithium sulphur and lithium air)</w:t>
      </w:r>
      <w:r>
        <w:rPr>
          <w:rStyle w:val="FootnoteReference"/>
          <w:noProof/>
          <w:szCs w:val="24"/>
        </w:rPr>
        <w:footnoteReference w:id="81"/>
      </w:r>
      <w:r>
        <w:rPr>
          <w:noProof/>
          <w:szCs w:val="24"/>
        </w:rPr>
        <w:t xml:space="preserve">. </w:t>
      </w:r>
      <w:r>
        <w:rPr>
          <w:noProof/>
          <w:szCs w:val="24"/>
        </w:rPr>
        <w:fldChar w:fldCharType="begin"/>
      </w:r>
      <w:r>
        <w:rPr>
          <w:noProof/>
          <w:szCs w:val="24"/>
        </w:rPr>
        <w:instrText xml:space="preserve"> REF _Ref492035407 \h  \* MERGEFORMAT </w:instrText>
      </w:r>
      <w:r>
        <w:rPr>
          <w:noProof/>
          <w:szCs w:val="24"/>
        </w:rPr>
      </w:r>
      <w:r>
        <w:rPr>
          <w:noProof/>
          <w:szCs w:val="24"/>
        </w:rPr>
        <w:fldChar w:fldCharType="separate"/>
      </w:r>
      <w:r>
        <w:rPr>
          <w:noProof/>
          <w:szCs w:val="24"/>
        </w:rPr>
        <w:t>Figure</w:t>
      </w:r>
      <w:r>
        <w:rPr>
          <w:noProof/>
        </w:rPr>
        <w:t xml:space="preserve"> 8</w:t>
      </w:r>
      <w:r>
        <w:rPr>
          <w:noProof/>
          <w:szCs w:val="24"/>
        </w:rPr>
        <w:fldChar w:fldCharType="end"/>
      </w:r>
      <w:r>
        <w:rPr>
          <w:noProof/>
          <w:szCs w:val="24"/>
        </w:rPr>
        <w:t xml:space="preserve"> illustrates the evolution of Li-ion battery costs (in USD/kWh) in the past decade (showing a decrease of around 70% since 2010) and a forecast of their further evolution towards 2030, based on expected demand</w:t>
      </w:r>
      <w:r>
        <w:rPr>
          <w:rStyle w:val="FootnoteReference"/>
          <w:noProof/>
          <w:szCs w:val="24"/>
        </w:rPr>
        <w:footnoteReference w:id="82"/>
      </w:r>
      <w:r>
        <w:rPr>
          <w:noProof/>
          <w:szCs w:val="24"/>
          <w:vertAlign w:val="superscript"/>
        </w:rPr>
        <w:t xml:space="preserve">, </w:t>
      </w:r>
      <w:r>
        <w:rPr>
          <w:rStyle w:val="FootnoteReference"/>
          <w:noProof/>
          <w:szCs w:val="24"/>
        </w:rPr>
        <w:footnoteReference w:id="83"/>
      </w:r>
      <w:r>
        <w:rPr>
          <w:noProof/>
          <w:szCs w:val="24"/>
        </w:rPr>
        <w:t>.</w:t>
      </w:r>
    </w:p>
    <w:p w:rsidR="001A26B0" w:rsidRDefault="00E33A99">
      <w:pPr>
        <w:pStyle w:val="Caption"/>
        <w:keepNext/>
        <w:rPr>
          <w:noProof/>
        </w:rPr>
      </w:pPr>
      <w:bookmarkStart w:id="111" w:name="_Ref492035260"/>
      <w:bookmarkStart w:id="112" w:name="_Toc496688553"/>
      <w:r>
        <w:rPr>
          <w:noProof/>
        </w:rP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111"/>
      <w:r>
        <w:rPr>
          <w:noProof/>
        </w:rPr>
        <w:t>: Batter</w:t>
      </w:r>
      <w:r>
        <w:rPr>
          <w:noProof/>
        </w:rPr>
        <w:t>y costs (USD/kWh) and battery energy density (Wh/L)</w:t>
      </w:r>
      <w:bookmarkEnd w:id="112"/>
    </w:p>
    <w:p w:rsidR="001A26B0" w:rsidRDefault="00E33A99">
      <w:pPr>
        <w:jc w:val="center"/>
        <w:rPr>
          <w:noProof/>
        </w:rPr>
      </w:pPr>
      <w:r>
        <w:rPr>
          <w:noProof/>
          <w:lang w:eastAsia="en-GB"/>
        </w:rPr>
        <w:drawing>
          <wp:inline distT="0" distB="0" distL="0" distR="0">
            <wp:extent cx="5257800" cy="2183950"/>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57800" cy="2183950"/>
                    </a:xfrm>
                    <a:prstGeom prst="rect">
                      <a:avLst/>
                    </a:prstGeom>
                  </pic:spPr>
                </pic:pic>
              </a:graphicData>
            </a:graphic>
          </wp:inline>
        </w:drawing>
      </w:r>
    </w:p>
    <w:p w:rsidR="001A26B0" w:rsidRDefault="00E33A99">
      <w:pPr>
        <w:jc w:val="left"/>
        <w:rPr>
          <w:noProof/>
          <w:sz w:val="20"/>
        </w:rPr>
      </w:pPr>
      <w:r>
        <w:rPr>
          <w:noProof/>
          <w:sz w:val="20"/>
        </w:rPr>
        <w:t>Source: OECD/IEA (2017) Global EV Outlook 2017</w:t>
      </w:r>
    </w:p>
    <w:p w:rsidR="001A26B0" w:rsidRDefault="00E33A99">
      <w:pPr>
        <w:keepNext/>
        <w:spacing w:after="200" w:line="276" w:lineRule="auto"/>
        <w:jc w:val="left"/>
        <w:rPr>
          <w:b/>
          <w:noProof/>
        </w:rPr>
      </w:pPr>
      <w:bookmarkStart w:id="113" w:name="_Ref492035407"/>
      <w:bookmarkStart w:id="114" w:name="_Toc496688554"/>
      <w:r>
        <w:rPr>
          <w:b/>
          <w:noProof/>
        </w:rPr>
        <w:t xml:space="preserve">Figure </w:t>
      </w:r>
      <w:r>
        <w:rPr>
          <w:b/>
          <w:noProof/>
        </w:rPr>
        <w:fldChar w:fldCharType="begin"/>
      </w:r>
      <w:r>
        <w:rPr>
          <w:b/>
          <w:noProof/>
        </w:rPr>
        <w:instrText xml:space="preserve"> SEQ Figure \* ARABIC </w:instrText>
      </w:r>
      <w:r>
        <w:rPr>
          <w:b/>
          <w:noProof/>
        </w:rPr>
        <w:fldChar w:fldCharType="separate"/>
      </w:r>
      <w:r>
        <w:rPr>
          <w:b/>
          <w:noProof/>
        </w:rPr>
        <w:t>8</w:t>
      </w:r>
      <w:r>
        <w:rPr>
          <w:b/>
          <w:noProof/>
        </w:rPr>
        <w:fldChar w:fldCharType="end"/>
      </w:r>
      <w:bookmarkEnd w:id="113"/>
      <w:r>
        <w:rPr>
          <w:b/>
          <w:noProof/>
        </w:rPr>
        <w:t>: Evolution of Li-ion battery costs (USD/kWh)</w:t>
      </w:r>
      <w:bookmarkEnd w:id="114"/>
    </w:p>
    <w:p w:rsidR="001A26B0" w:rsidRDefault="00E33A99">
      <w:pPr>
        <w:pStyle w:val="Text1"/>
        <w:ind w:left="0"/>
        <w:jc w:val="center"/>
        <w:rPr>
          <w:noProof/>
        </w:rPr>
      </w:pPr>
      <w:r>
        <w:rPr>
          <w:noProof/>
          <w:lang w:eastAsia="en-GB"/>
        </w:rPr>
        <w:drawing>
          <wp:inline distT="0" distB="0" distL="0" distR="0">
            <wp:extent cx="4953000" cy="26523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953000" cy="2652357"/>
                    </a:xfrm>
                    <a:prstGeom prst="rect">
                      <a:avLst/>
                    </a:prstGeom>
                  </pic:spPr>
                </pic:pic>
              </a:graphicData>
            </a:graphic>
          </wp:inline>
        </w:drawing>
      </w:r>
    </w:p>
    <w:p w:rsidR="001A26B0" w:rsidRDefault="00E33A99">
      <w:pPr>
        <w:jc w:val="left"/>
        <w:rPr>
          <w:noProof/>
          <w:sz w:val="20"/>
        </w:rPr>
      </w:pPr>
      <w:r>
        <w:rPr>
          <w:noProof/>
          <w:sz w:val="20"/>
        </w:rPr>
        <w:t>Source: Bloomberg New Energy Finance (2017)</w:t>
      </w:r>
    </w:p>
    <w:p w:rsidR="001A26B0" w:rsidRDefault="00E33A99">
      <w:pPr>
        <w:pStyle w:val="Text1"/>
        <w:spacing w:after="120"/>
        <w:ind w:left="0"/>
        <w:rPr>
          <w:noProof/>
        </w:rPr>
      </w:pPr>
      <w:r>
        <w:rPr>
          <w:noProof/>
        </w:rPr>
        <w:t xml:space="preserve">In addition, the narrowing </w:t>
      </w:r>
      <w:r>
        <w:rPr>
          <w:noProof/>
        </w:rPr>
        <w:t>cost gap between electric cars and ICEV may put pressure on governments to gradually revise their support measures, phasing out incentives in cases where BEVs and PHEVs actually rival ICEV costs. According to a report by OECD/IEA, other regulatory instrume</w:t>
      </w:r>
      <w:r>
        <w:rPr>
          <w:noProof/>
        </w:rPr>
        <w:t>nts (such as including fuel economy regulations and local measures, such as differentiated access to urban areas) will remain important in supporting the electric car uptake needed to meet the targets characterising a low-emission future</w:t>
      </w:r>
      <w:r>
        <w:rPr>
          <w:rStyle w:val="FootnoteReference"/>
          <w:noProof/>
        </w:rPr>
        <w:footnoteReference w:id="84"/>
      </w:r>
      <w:r>
        <w:rPr>
          <w:noProof/>
        </w:rPr>
        <w:t>.</w:t>
      </w:r>
    </w:p>
    <w:p w:rsidR="001A26B0" w:rsidRDefault="00E33A99">
      <w:pPr>
        <w:spacing w:after="120"/>
        <w:rPr>
          <w:noProof/>
        </w:rPr>
      </w:pPr>
      <w:r>
        <w:rPr>
          <w:noProof/>
        </w:rPr>
        <w:t>Regulatory incen</w:t>
      </w:r>
      <w:r>
        <w:rPr>
          <w:noProof/>
        </w:rPr>
        <w:t xml:space="preserve">tives might thus be needed to help overcome the barriers to the market uptake of ZEVs and LEVs. </w:t>
      </w:r>
    </w:p>
    <w:p w:rsidR="001A26B0" w:rsidRDefault="00E33A99">
      <w:pPr>
        <w:spacing w:after="120"/>
        <w:rPr>
          <w:noProof/>
        </w:rPr>
      </w:pPr>
      <w:r>
        <w:rPr>
          <w:noProof/>
        </w:rPr>
        <w:t>The vehicles incentivised should have a significant potential contribution to reducing the CO</w:t>
      </w:r>
      <w:r>
        <w:rPr>
          <w:noProof/>
          <w:vertAlign w:val="subscript"/>
        </w:rPr>
        <w:t>2</w:t>
      </w:r>
      <w:r>
        <w:rPr>
          <w:noProof/>
        </w:rPr>
        <w:t xml:space="preserve"> emissions of the new car and van fleet. The types of vehicle mos</w:t>
      </w:r>
      <w:r>
        <w:rPr>
          <w:noProof/>
        </w:rPr>
        <w:t>t relevant in this respect are the following:</w:t>
      </w:r>
    </w:p>
    <w:p w:rsidR="001A26B0" w:rsidRDefault="00E33A99">
      <w:pPr>
        <w:pStyle w:val="ListParagraph"/>
        <w:numPr>
          <w:ilvl w:val="0"/>
          <w:numId w:val="20"/>
        </w:numPr>
        <w:spacing w:after="120"/>
        <w:contextualSpacing w:val="0"/>
        <w:rPr>
          <w:noProof/>
        </w:rPr>
      </w:pPr>
      <w:r>
        <w:rPr>
          <w:noProof/>
        </w:rPr>
        <w:t>Battery electric vehicles (BEV) and fuel cell electric vehicles (FCEV), both having zero tailpipe CO</w:t>
      </w:r>
      <w:r>
        <w:rPr>
          <w:noProof/>
          <w:vertAlign w:val="subscript"/>
        </w:rPr>
        <w:t>2</w:t>
      </w:r>
      <w:r>
        <w:rPr>
          <w:noProof/>
        </w:rPr>
        <w:t xml:space="preserve"> emissions and a limited market uptake so far. </w:t>
      </w:r>
    </w:p>
    <w:p w:rsidR="001A26B0" w:rsidRDefault="00E33A99">
      <w:pPr>
        <w:pStyle w:val="ListParagraph"/>
        <w:numPr>
          <w:ilvl w:val="0"/>
          <w:numId w:val="20"/>
        </w:numPr>
        <w:spacing w:after="120"/>
        <w:contextualSpacing w:val="0"/>
        <w:rPr>
          <w:noProof/>
        </w:rPr>
      </w:pPr>
      <w:r>
        <w:rPr>
          <w:noProof/>
        </w:rPr>
        <w:t>Plug-in hybrid electric vehicles (PHEV) with sufficiently low</w:t>
      </w:r>
      <w:r>
        <w:rPr>
          <w:noProof/>
        </w:rPr>
        <w:t xml:space="preserve"> tailpipe CO</w:t>
      </w:r>
      <w:r>
        <w:rPr>
          <w:noProof/>
          <w:vertAlign w:val="subscript"/>
        </w:rPr>
        <w:t>2</w:t>
      </w:r>
      <w:r>
        <w:rPr>
          <w:noProof/>
        </w:rPr>
        <w:t xml:space="preserve"> emissions. </w:t>
      </w:r>
    </w:p>
    <w:p w:rsidR="001A26B0" w:rsidRDefault="00E33A99">
      <w:pPr>
        <w:spacing w:after="120"/>
        <w:rPr>
          <w:noProof/>
        </w:rPr>
      </w:pPr>
      <w:r>
        <w:rPr>
          <w:noProof/>
        </w:rPr>
        <w:t>In their replies to the public consultation, a majority of stakeholders across all stakeholder groups was in favour of some mechanism to encourage the deployment of LEV/ZEV, except for consumer organisations which were mostly neut</w:t>
      </w:r>
      <w:r>
        <w:rPr>
          <w:noProof/>
        </w:rPr>
        <w:t>ral on whether and how LEVs/ZEVs should be incentivised. Environmental and transport NGOs were mostly in favour of a flexible mandate, differentiating between LEV and ZEV and allowing trading among manufacturers. European car manufacturers argued for consi</w:t>
      </w:r>
      <w:r>
        <w:rPr>
          <w:noProof/>
        </w:rPr>
        <w:t xml:space="preserve">dering broader policy issues such as grid management, infrastructure and taxation policy. </w:t>
      </w:r>
    </w:p>
    <w:p w:rsidR="001A26B0" w:rsidRDefault="00E33A99">
      <w:pPr>
        <w:spacing w:after="120"/>
        <w:rPr>
          <w:noProof/>
        </w:rPr>
      </w:pPr>
      <w:r>
        <w:rPr>
          <w:noProof/>
        </w:rPr>
        <w:t>The European Automobile Manufacturers Association (ACEA) is opposed to sales mandates for LEV/ZEV as it considers the market uptake to be mainly driven by public inc</w:t>
      </w:r>
      <w:r>
        <w:rPr>
          <w:noProof/>
        </w:rPr>
        <w:t>entives, in particular fiscal measures, which would give car manufacturers limited control to meet such mandates.</w:t>
      </w:r>
      <w:r>
        <w:rPr>
          <w:rStyle w:val="FootnoteReference"/>
          <w:noProof/>
        </w:rPr>
        <w:footnoteReference w:id="85"/>
      </w:r>
      <w:r>
        <w:rPr>
          <w:noProof/>
        </w:rPr>
        <w:t xml:space="preserve"> They also refer to experience in markets with existing mandates where customers are not willing to buy LEV/ZEV. Car manufacturers also point </w:t>
      </w:r>
      <w:r>
        <w:rPr>
          <w:noProof/>
        </w:rPr>
        <w:t xml:space="preserve">to the need to increase the number of publically available charging points which does not fall under their responsibility. </w:t>
      </w:r>
    </w:p>
    <w:p w:rsidR="001A26B0" w:rsidRDefault="00E33A99">
      <w:pPr>
        <w:pStyle w:val="Text1"/>
        <w:spacing w:after="120"/>
        <w:ind w:left="0"/>
        <w:rPr>
          <w:noProof/>
        </w:rPr>
      </w:pPr>
      <w:r>
        <w:rPr>
          <w:noProof/>
        </w:rPr>
        <w:t>At the same time, over the past few years, several major car manufacturers have been announcing their global ambitions for the sales</w:t>
      </w:r>
      <w:r>
        <w:rPr>
          <w:noProof/>
        </w:rPr>
        <w:t xml:space="preserve"> of electric cars, which would result in a strongly increasing deployment of those vehicles in the following years. </w:t>
      </w:r>
      <w:r>
        <w:rPr>
          <w:noProof/>
        </w:rPr>
        <w:fldChar w:fldCharType="begin"/>
      </w:r>
      <w:r>
        <w:rPr>
          <w:noProof/>
        </w:rPr>
        <w:instrText xml:space="preserve"> REF _Ref492484382 \h  \* MERGEFORMAT </w:instrText>
      </w:r>
      <w:r>
        <w:rPr>
          <w:noProof/>
        </w:rPr>
      </w:r>
      <w:r>
        <w:rPr>
          <w:noProof/>
        </w:rPr>
        <w:fldChar w:fldCharType="separate"/>
      </w:r>
      <w:r>
        <w:rPr>
          <w:noProof/>
        </w:rPr>
        <w:t>Table 4</w:t>
      </w:r>
      <w:r>
        <w:rPr>
          <w:noProof/>
        </w:rPr>
        <w:fldChar w:fldCharType="end"/>
      </w:r>
      <w:r>
        <w:rPr>
          <w:noProof/>
        </w:rPr>
        <w:t xml:space="preserve"> summarises a number of thos</w:t>
      </w:r>
      <w:r>
        <w:rPr>
          <w:noProof/>
        </w:rPr>
        <w:t xml:space="preserve">e announcements. </w:t>
      </w:r>
    </w:p>
    <w:p w:rsidR="001A26B0" w:rsidRDefault="00E33A99">
      <w:pPr>
        <w:pStyle w:val="Caption"/>
        <w:keepNext/>
        <w:rPr>
          <w:noProof/>
          <w:szCs w:val="24"/>
        </w:rPr>
      </w:pPr>
      <w:bookmarkStart w:id="115" w:name="_Ref492484382"/>
      <w:r>
        <w:rPr>
          <w:noProof/>
        </w:rPr>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bookmarkEnd w:id="115"/>
      <w:r>
        <w:rPr>
          <w:noProof/>
        </w:rPr>
        <w:t xml:space="preserve">: </w:t>
      </w:r>
      <w:r>
        <w:rPr>
          <w:noProof/>
          <w:szCs w:val="24"/>
        </w:rPr>
        <w:t xml:space="preserve">List of manufacturer's announcements on electric car ambition (adapted from </w:t>
      </w:r>
      <w:r>
        <w:rPr>
          <w:noProof/>
        </w:rPr>
        <w:t>'Global EV outlook 2017' (OECD/IEA, 2017)</w:t>
      </w:r>
      <w:r>
        <w:rPr>
          <w:rStyle w:val="FootnoteReference"/>
          <w:noProof/>
        </w:rPr>
        <w:footnoteReference w:id="86"/>
      </w:r>
      <w:r>
        <w:rPr>
          <w:noProof/>
          <w:szCs w:val="24"/>
        </w:rPr>
        <w:t>)</w:t>
      </w:r>
    </w:p>
    <w:tbl>
      <w:tblPr>
        <w:tblStyle w:val="TableGrid"/>
        <w:tblW w:w="5000" w:type="pct"/>
        <w:tblLook w:val="04A0" w:firstRow="1" w:lastRow="0" w:firstColumn="1" w:lastColumn="0" w:noHBand="0" w:noVBand="1"/>
      </w:tblPr>
      <w:tblGrid>
        <w:gridCol w:w="1909"/>
        <w:gridCol w:w="6920"/>
      </w:tblGrid>
      <w:tr w:rsidR="001A26B0">
        <w:tc>
          <w:tcPr>
            <w:tcW w:w="1081" w:type="pct"/>
          </w:tcPr>
          <w:p w:rsidR="001A26B0" w:rsidRDefault="00E33A99">
            <w:pPr>
              <w:spacing w:after="120"/>
              <w:rPr>
                <w:b/>
                <w:noProof/>
                <w:szCs w:val="22"/>
              </w:rPr>
            </w:pPr>
            <w:r>
              <w:rPr>
                <w:b/>
                <w:noProof/>
                <w:szCs w:val="22"/>
              </w:rPr>
              <w:t>Manfacturer</w:t>
            </w:r>
          </w:p>
        </w:tc>
        <w:tc>
          <w:tcPr>
            <w:tcW w:w="3919" w:type="pct"/>
          </w:tcPr>
          <w:p w:rsidR="001A26B0" w:rsidRDefault="00E33A99">
            <w:pPr>
              <w:spacing w:after="120"/>
              <w:jc w:val="center"/>
              <w:rPr>
                <w:b/>
                <w:noProof/>
                <w:szCs w:val="22"/>
              </w:rPr>
            </w:pPr>
            <w:r>
              <w:rPr>
                <w:b/>
                <w:noProof/>
                <w:szCs w:val="22"/>
              </w:rPr>
              <w:t>Announcement</w:t>
            </w:r>
          </w:p>
        </w:tc>
      </w:tr>
      <w:tr w:rsidR="001A26B0">
        <w:tc>
          <w:tcPr>
            <w:tcW w:w="1081" w:type="pct"/>
          </w:tcPr>
          <w:p w:rsidR="001A26B0" w:rsidRDefault="00E33A99">
            <w:pPr>
              <w:spacing w:after="60"/>
              <w:rPr>
                <w:noProof/>
                <w:szCs w:val="22"/>
              </w:rPr>
            </w:pPr>
            <w:r>
              <w:rPr>
                <w:noProof/>
                <w:szCs w:val="22"/>
              </w:rPr>
              <w:t>BMW</w:t>
            </w:r>
          </w:p>
        </w:tc>
        <w:tc>
          <w:tcPr>
            <w:tcW w:w="3919" w:type="pct"/>
          </w:tcPr>
          <w:p w:rsidR="001A26B0" w:rsidRDefault="00E33A99">
            <w:pPr>
              <w:tabs>
                <w:tab w:val="left" w:pos="510"/>
              </w:tabs>
              <w:spacing w:after="60"/>
              <w:jc w:val="left"/>
              <w:rPr>
                <w:noProof/>
                <w:szCs w:val="22"/>
              </w:rPr>
            </w:pPr>
            <w:r>
              <w:rPr>
                <w:noProof/>
                <w:szCs w:val="22"/>
              </w:rPr>
              <w:t>0.1 million electric car sales in 2017 and 15-25% of th</w:t>
            </w:r>
            <w:r>
              <w:rPr>
                <w:noProof/>
                <w:szCs w:val="22"/>
              </w:rPr>
              <w:t>e BMW group’s sales by 2025</w:t>
            </w:r>
            <w:r>
              <w:rPr>
                <w:rStyle w:val="FootnoteReference"/>
                <w:noProof/>
                <w:szCs w:val="22"/>
              </w:rPr>
              <w:footnoteReference w:id="87"/>
            </w:r>
          </w:p>
        </w:tc>
      </w:tr>
      <w:tr w:rsidR="001A26B0">
        <w:tc>
          <w:tcPr>
            <w:tcW w:w="1081" w:type="pct"/>
          </w:tcPr>
          <w:p w:rsidR="001A26B0" w:rsidRDefault="00E33A99">
            <w:pPr>
              <w:spacing w:after="60"/>
              <w:rPr>
                <w:noProof/>
                <w:szCs w:val="22"/>
              </w:rPr>
            </w:pPr>
            <w:r>
              <w:rPr>
                <w:noProof/>
                <w:szCs w:val="22"/>
              </w:rPr>
              <w:t>Chevrolet (GM)</w:t>
            </w:r>
          </w:p>
        </w:tc>
        <w:tc>
          <w:tcPr>
            <w:tcW w:w="3919" w:type="pct"/>
          </w:tcPr>
          <w:p w:rsidR="001A26B0" w:rsidRDefault="00E33A99">
            <w:pPr>
              <w:tabs>
                <w:tab w:val="left" w:pos="510"/>
              </w:tabs>
              <w:spacing w:after="60"/>
              <w:jc w:val="left"/>
              <w:rPr>
                <w:noProof/>
                <w:szCs w:val="22"/>
              </w:rPr>
            </w:pPr>
            <w:r>
              <w:rPr>
                <w:noProof/>
                <w:szCs w:val="22"/>
              </w:rPr>
              <w:t>30 thousand annual electric car sales by 2017</w:t>
            </w:r>
          </w:p>
        </w:tc>
      </w:tr>
      <w:tr w:rsidR="001A26B0">
        <w:tc>
          <w:tcPr>
            <w:tcW w:w="1081" w:type="pct"/>
          </w:tcPr>
          <w:p w:rsidR="001A26B0" w:rsidRDefault="00E33A99">
            <w:pPr>
              <w:spacing w:after="60"/>
              <w:rPr>
                <w:noProof/>
                <w:szCs w:val="22"/>
              </w:rPr>
            </w:pPr>
            <w:r>
              <w:rPr>
                <w:noProof/>
                <w:szCs w:val="22"/>
              </w:rPr>
              <w:t>Chinese manufacturers*</w:t>
            </w:r>
          </w:p>
        </w:tc>
        <w:tc>
          <w:tcPr>
            <w:tcW w:w="3919" w:type="pct"/>
          </w:tcPr>
          <w:p w:rsidR="001A26B0" w:rsidRDefault="00E33A99">
            <w:pPr>
              <w:tabs>
                <w:tab w:val="left" w:pos="510"/>
              </w:tabs>
              <w:spacing w:after="60"/>
              <w:jc w:val="left"/>
              <w:rPr>
                <w:noProof/>
                <w:szCs w:val="22"/>
              </w:rPr>
            </w:pPr>
            <w:r>
              <w:rPr>
                <w:noProof/>
                <w:szCs w:val="22"/>
              </w:rPr>
              <w:t xml:space="preserve">4.52 million annual electric car sales by 2020 equivalent to around 20% of total expected production and sales in China. </w:t>
            </w:r>
          </w:p>
        </w:tc>
      </w:tr>
      <w:tr w:rsidR="001A26B0">
        <w:tc>
          <w:tcPr>
            <w:tcW w:w="1081" w:type="pct"/>
          </w:tcPr>
          <w:p w:rsidR="001A26B0" w:rsidRDefault="00E33A99">
            <w:pPr>
              <w:spacing w:after="60"/>
              <w:rPr>
                <w:noProof/>
                <w:szCs w:val="22"/>
              </w:rPr>
            </w:pPr>
            <w:r>
              <w:rPr>
                <w:noProof/>
                <w:szCs w:val="22"/>
              </w:rPr>
              <w:t>Daimler</w:t>
            </w:r>
          </w:p>
        </w:tc>
        <w:tc>
          <w:tcPr>
            <w:tcW w:w="3919" w:type="pct"/>
          </w:tcPr>
          <w:p w:rsidR="001A26B0" w:rsidRDefault="00E33A99">
            <w:pPr>
              <w:tabs>
                <w:tab w:val="left" w:pos="510"/>
              </w:tabs>
              <w:spacing w:after="60"/>
              <w:jc w:val="left"/>
              <w:rPr>
                <w:noProof/>
                <w:szCs w:val="22"/>
              </w:rPr>
            </w:pPr>
            <w:r>
              <w:rPr>
                <w:noProof/>
                <w:szCs w:val="22"/>
              </w:rPr>
              <w:t xml:space="preserve">0.1 </w:t>
            </w:r>
            <w:r>
              <w:rPr>
                <w:noProof/>
                <w:szCs w:val="22"/>
              </w:rPr>
              <w:t>million annual electric car sales by 2020; 15-25% of total sales (Mercedes and Smart) with electric powertrain by 2025</w:t>
            </w:r>
            <w:r>
              <w:rPr>
                <w:rStyle w:val="FootnoteReference"/>
                <w:noProof/>
                <w:szCs w:val="22"/>
              </w:rPr>
              <w:footnoteReference w:id="88"/>
            </w:r>
          </w:p>
        </w:tc>
      </w:tr>
      <w:tr w:rsidR="001A26B0">
        <w:tc>
          <w:tcPr>
            <w:tcW w:w="1081" w:type="pct"/>
          </w:tcPr>
          <w:p w:rsidR="001A26B0" w:rsidRDefault="00E33A99">
            <w:pPr>
              <w:spacing w:after="60"/>
              <w:rPr>
                <w:noProof/>
                <w:szCs w:val="22"/>
              </w:rPr>
            </w:pPr>
            <w:r>
              <w:rPr>
                <w:noProof/>
                <w:szCs w:val="22"/>
              </w:rPr>
              <w:t>Ford</w:t>
            </w:r>
          </w:p>
        </w:tc>
        <w:tc>
          <w:tcPr>
            <w:tcW w:w="3919" w:type="pct"/>
          </w:tcPr>
          <w:p w:rsidR="001A26B0" w:rsidRDefault="00E33A99">
            <w:pPr>
              <w:tabs>
                <w:tab w:val="left" w:pos="510"/>
              </w:tabs>
              <w:spacing w:after="60"/>
              <w:jc w:val="left"/>
              <w:rPr>
                <w:noProof/>
                <w:szCs w:val="22"/>
              </w:rPr>
            </w:pPr>
            <w:r>
              <w:rPr>
                <w:noProof/>
                <w:szCs w:val="22"/>
              </w:rPr>
              <w:t>13 new EV models by 2020</w:t>
            </w:r>
          </w:p>
        </w:tc>
      </w:tr>
      <w:tr w:rsidR="001A26B0">
        <w:tc>
          <w:tcPr>
            <w:tcW w:w="1081" w:type="pct"/>
          </w:tcPr>
          <w:p w:rsidR="001A26B0" w:rsidRDefault="00E33A99">
            <w:pPr>
              <w:spacing w:after="60"/>
              <w:rPr>
                <w:noProof/>
                <w:szCs w:val="22"/>
              </w:rPr>
            </w:pPr>
            <w:r>
              <w:rPr>
                <w:noProof/>
                <w:szCs w:val="22"/>
              </w:rPr>
              <w:t>Honda</w:t>
            </w:r>
          </w:p>
        </w:tc>
        <w:tc>
          <w:tcPr>
            <w:tcW w:w="3919" w:type="pct"/>
          </w:tcPr>
          <w:p w:rsidR="001A26B0" w:rsidRDefault="00E33A99">
            <w:pPr>
              <w:tabs>
                <w:tab w:val="left" w:pos="510"/>
              </w:tabs>
              <w:spacing w:after="60"/>
              <w:jc w:val="left"/>
              <w:rPr>
                <w:noProof/>
                <w:szCs w:val="22"/>
              </w:rPr>
            </w:pPr>
            <w:r>
              <w:rPr>
                <w:noProof/>
                <w:szCs w:val="22"/>
              </w:rPr>
              <w:t>66% of the 2030 sales to be electrified vehicles (including hybrids, PHEVs, BEVs and FCEVs)</w:t>
            </w:r>
          </w:p>
        </w:tc>
      </w:tr>
      <w:tr w:rsidR="001A26B0">
        <w:tc>
          <w:tcPr>
            <w:tcW w:w="1081" w:type="pct"/>
          </w:tcPr>
          <w:p w:rsidR="001A26B0" w:rsidRDefault="00E33A99">
            <w:pPr>
              <w:spacing w:after="60"/>
              <w:rPr>
                <w:noProof/>
                <w:szCs w:val="22"/>
              </w:rPr>
            </w:pPr>
            <w:r>
              <w:rPr>
                <w:noProof/>
                <w:szCs w:val="22"/>
              </w:rPr>
              <w:t>Renau</w:t>
            </w:r>
            <w:r>
              <w:rPr>
                <w:noProof/>
                <w:szCs w:val="22"/>
              </w:rPr>
              <w:t xml:space="preserve">lt-Nissan </w:t>
            </w:r>
          </w:p>
        </w:tc>
        <w:tc>
          <w:tcPr>
            <w:tcW w:w="3919" w:type="pct"/>
          </w:tcPr>
          <w:p w:rsidR="001A26B0" w:rsidRDefault="00E33A99">
            <w:pPr>
              <w:tabs>
                <w:tab w:val="left" w:pos="510"/>
              </w:tabs>
              <w:spacing w:after="60"/>
              <w:jc w:val="left"/>
              <w:rPr>
                <w:noProof/>
                <w:szCs w:val="22"/>
              </w:rPr>
            </w:pPr>
            <w:r>
              <w:rPr>
                <w:noProof/>
                <w:szCs w:val="22"/>
              </w:rPr>
              <w:t>1.5 million cumulative sales of electric cars by 2020; aspirational target of more than 20% of total sales to be equpped with electric powertrain by 2022</w:t>
            </w:r>
            <w:r>
              <w:rPr>
                <w:rStyle w:val="FootnoteReference"/>
                <w:noProof/>
                <w:szCs w:val="22"/>
              </w:rPr>
              <w:footnoteReference w:id="89"/>
            </w:r>
          </w:p>
        </w:tc>
      </w:tr>
      <w:tr w:rsidR="001A26B0">
        <w:tc>
          <w:tcPr>
            <w:tcW w:w="1081" w:type="pct"/>
          </w:tcPr>
          <w:p w:rsidR="001A26B0" w:rsidRDefault="00E33A99">
            <w:pPr>
              <w:spacing w:after="60"/>
              <w:rPr>
                <w:noProof/>
                <w:szCs w:val="22"/>
              </w:rPr>
            </w:pPr>
            <w:r>
              <w:rPr>
                <w:noProof/>
                <w:szCs w:val="22"/>
              </w:rPr>
              <w:t>Tesla</w:t>
            </w:r>
          </w:p>
        </w:tc>
        <w:tc>
          <w:tcPr>
            <w:tcW w:w="3919" w:type="pct"/>
          </w:tcPr>
          <w:p w:rsidR="001A26B0" w:rsidRDefault="00E33A99">
            <w:pPr>
              <w:tabs>
                <w:tab w:val="left" w:pos="510"/>
              </w:tabs>
              <w:spacing w:after="60"/>
              <w:jc w:val="left"/>
              <w:rPr>
                <w:noProof/>
                <w:szCs w:val="22"/>
              </w:rPr>
            </w:pPr>
            <w:r>
              <w:rPr>
                <w:noProof/>
                <w:szCs w:val="22"/>
              </w:rPr>
              <w:t>0.5 million annual electric car sales by 2018</w:t>
            </w:r>
          </w:p>
          <w:p w:rsidR="001A26B0" w:rsidRDefault="00E33A99">
            <w:pPr>
              <w:tabs>
                <w:tab w:val="left" w:pos="510"/>
              </w:tabs>
              <w:spacing w:after="60"/>
              <w:jc w:val="left"/>
              <w:rPr>
                <w:noProof/>
                <w:szCs w:val="22"/>
              </w:rPr>
            </w:pPr>
            <w:r>
              <w:rPr>
                <w:noProof/>
                <w:szCs w:val="22"/>
              </w:rPr>
              <w:t>1 million annual electric car sales b</w:t>
            </w:r>
            <w:r>
              <w:rPr>
                <w:noProof/>
                <w:szCs w:val="22"/>
              </w:rPr>
              <w:t>y 2020</w:t>
            </w:r>
          </w:p>
        </w:tc>
      </w:tr>
      <w:tr w:rsidR="001A26B0">
        <w:tc>
          <w:tcPr>
            <w:tcW w:w="1081" w:type="pct"/>
          </w:tcPr>
          <w:p w:rsidR="001A26B0" w:rsidRDefault="00E33A99">
            <w:pPr>
              <w:spacing w:after="60"/>
              <w:rPr>
                <w:noProof/>
                <w:szCs w:val="22"/>
              </w:rPr>
            </w:pPr>
            <w:r>
              <w:rPr>
                <w:noProof/>
                <w:szCs w:val="22"/>
              </w:rPr>
              <w:t>Volkswagen</w:t>
            </w:r>
          </w:p>
        </w:tc>
        <w:tc>
          <w:tcPr>
            <w:tcW w:w="3919" w:type="pct"/>
          </w:tcPr>
          <w:p w:rsidR="001A26B0" w:rsidRDefault="00E33A99">
            <w:pPr>
              <w:tabs>
                <w:tab w:val="left" w:pos="510"/>
              </w:tabs>
              <w:spacing w:after="60"/>
              <w:jc w:val="left"/>
              <w:rPr>
                <w:noProof/>
                <w:szCs w:val="22"/>
              </w:rPr>
            </w:pPr>
            <w:r>
              <w:rPr>
                <w:noProof/>
                <w:szCs w:val="22"/>
              </w:rPr>
              <w:t>2-3 million annual electric car sales by 2025; 20-25% of VW Group's global sales to be "battery electric vehicles" by 2025</w:t>
            </w:r>
            <w:r>
              <w:rPr>
                <w:rStyle w:val="FootnoteReference"/>
                <w:noProof/>
                <w:szCs w:val="22"/>
              </w:rPr>
              <w:footnoteReference w:id="90"/>
            </w:r>
          </w:p>
        </w:tc>
      </w:tr>
      <w:tr w:rsidR="001A26B0">
        <w:tc>
          <w:tcPr>
            <w:tcW w:w="1081" w:type="pct"/>
          </w:tcPr>
          <w:p w:rsidR="001A26B0" w:rsidRDefault="00E33A99">
            <w:pPr>
              <w:spacing w:after="60"/>
              <w:rPr>
                <w:noProof/>
                <w:szCs w:val="22"/>
              </w:rPr>
            </w:pPr>
            <w:r>
              <w:rPr>
                <w:noProof/>
                <w:szCs w:val="22"/>
              </w:rPr>
              <w:t>Volvo</w:t>
            </w:r>
          </w:p>
        </w:tc>
        <w:tc>
          <w:tcPr>
            <w:tcW w:w="3919" w:type="pct"/>
          </w:tcPr>
          <w:p w:rsidR="001A26B0" w:rsidRDefault="00E33A99">
            <w:pPr>
              <w:tabs>
                <w:tab w:val="left" w:pos="510"/>
              </w:tabs>
              <w:spacing w:after="60"/>
              <w:jc w:val="left"/>
              <w:rPr>
                <w:noProof/>
                <w:szCs w:val="22"/>
              </w:rPr>
            </w:pPr>
            <w:r>
              <w:rPr>
                <w:noProof/>
                <w:szCs w:val="22"/>
              </w:rPr>
              <w:t>1 million cumulative electric car sales by 2025</w:t>
            </w:r>
          </w:p>
          <w:p w:rsidR="001A26B0" w:rsidRDefault="00E33A99">
            <w:pPr>
              <w:tabs>
                <w:tab w:val="left" w:pos="510"/>
              </w:tabs>
              <w:spacing w:after="60"/>
              <w:jc w:val="left"/>
              <w:rPr>
                <w:noProof/>
                <w:szCs w:val="22"/>
              </w:rPr>
            </w:pPr>
            <w:r>
              <w:rPr>
                <w:noProof/>
                <w:szCs w:val="22"/>
              </w:rPr>
              <w:t xml:space="preserve">all new models will have an electric motor, including </w:t>
            </w:r>
            <w:r>
              <w:rPr>
                <w:noProof/>
                <w:szCs w:val="22"/>
              </w:rPr>
              <w:t>fully electric cars, plug-in hybrids and mild hybrids from 2019</w:t>
            </w:r>
            <w:r>
              <w:rPr>
                <w:rStyle w:val="FootnoteReference"/>
                <w:noProof/>
                <w:szCs w:val="22"/>
              </w:rPr>
              <w:footnoteReference w:id="91"/>
            </w:r>
            <w:r>
              <w:rPr>
                <w:noProof/>
                <w:szCs w:val="22"/>
              </w:rPr>
              <w:t xml:space="preserve"> </w:t>
            </w:r>
          </w:p>
        </w:tc>
      </w:tr>
    </w:tbl>
    <w:p w:rsidR="001A26B0" w:rsidRDefault="00E33A99">
      <w:pPr>
        <w:autoSpaceDE w:val="0"/>
        <w:autoSpaceDN w:val="0"/>
        <w:adjustRightInd w:val="0"/>
        <w:rPr>
          <w:rFonts w:eastAsiaTheme="minorHAnsi"/>
          <w:noProof/>
          <w:sz w:val="18"/>
          <w:szCs w:val="16"/>
        </w:rPr>
      </w:pPr>
      <w:r>
        <w:rPr>
          <w:rFonts w:eastAsiaTheme="minorHAnsi"/>
          <w:noProof/>
          <w:sz w:val="18"/>
          <w:szCs w:val="16"/>
        </w:rPr>
        <w:t>*Note: Chinese manufacturers include BYD, BJEV-BAIC Changzhou factory, BJEV-BAIC Qingdao factory, JAC Motors, SAIC Motor, Great Wall Motor, GEELY Auto Yiwu factory, GEELY Auto Hangzhou fact</w:t>
      </w:r>
      <w:r>
        <w:rPr>
          <w:rFonts w:eastAsiaTheme="minorHAnsi"/>
          <w:noProof/>
          <w:sz w:val="18"/>
          <w:szCs w:val="16"/>
        </w:rPr>
        <w:t>ory, GEELY Auto Nanchong factory, Chery New Energy, Changan Automobile, GAC Group, Jiangling Motors, Lifan Auto, MIN AN Auto, Wanxiang Group, YUDO Auto, Chongqing Sokon Industrial Group, ZTE, National Electric Vehicle, LeSEE, NextEV, Chehejia, SINGULATO Mo</w:t>
      </w:r>
      <w:r>
        <w:rPr>
          <w:rFonts w:eastAsiaTheme="minorHAnsi"/>
          <w:noProof/>
          <w:sz w:val="18"/>
          <w:szCs w:val="16"/>
        </w:rPr>
        <w:t>tors, Ai Chi Yi Wei and WM Motor.</w:t>
      </w:r>
    </w:p>
    <w:p w:rsidR="001A26B0" w:rsidRDefault="00E33A99">
      <w:pPr>
        <w:pStyle w:val="Text1"/>
        <w:spacing w:after="120"/>
        <w:ind w:left="0"/>
        <w:rPr>
          <w:noProof/>
        </w:rPr>
      </w:pPr>
      <w:r>
        <w:rPr>
          <w:noProof/>
        </w:rPr>
        <w:t>Despite this willingness by manufacturers to strongly expand their offer of EVs, the IEA</w:t>
      </w:r>
      <w:r>
        <w:rPr>
          <w:rStyle w:val="FootnoteReference"/>
          <w:noProof/>
        </w:rPr>
        <w:footnoteReference w:id="92"/>
      </w:r>
      <w:r>
        <w:rPr>
          <w:noProof/>
        </w:rPr>
        <w:t xml:space="preserve"> argues that at this stage of the electric car market deployment, policy support remains "indispensable for lowering barriers to adop</w:t>
      </w:r>
      <w:r>
        <w:rPr>
          <w:noProof/>
        </w:rPr>
        <w:t xml:space="preserve">tion". In this context the IEA notes that mandates in combination with targets provide a clear signal to manufacturers and customers. </w:t>
      </w:r>
    </w:p>
    <w:p w:rsidR="001A26B0" w:rsidRDefault="00E33A99">
      <w:pPr>
        <w:spacing w:after="120"/>
        <w:rPr>
          <w:noProof/>
          <w:szCs w:val="24"/>
        </w:rPr>
      </w:pPr>
      <w:r>
        <w:rPr>
          <w:noProof/>
          <w:szCs w:val="24"/>
        </w:rPr>
        <w:t>As a follow-up to the EMIS Inquiry Committee, the European Parliament</w:t>
      </w:r>
      <w:r>
        <w:rPr>
          <w:rStyle w:val="FootnoteReference"/>
          <w:noProof/>
          <w:szCs w:val="24"/>
        </w:rPr>
        <w:footnoteReference w:id="93"/>
      </w:r>
      <w:r>
        <w:rPr>
          <w:noProof/>
          <w:szCs w:val="24"/>
        </w:rPr>
        <w:t xml:space="preserve"> in April 2017 called on the Commission to fully en</w:t>
      </w:r>
      <w:r>
        <w:rPr>
          <w:noProof/>
          <w:szCs w:val="24"/>
        </w:rPr>
        <w:t>gage in and implement a low-emission mobility strategy and "to come forward with a draft regulation on CO</w:t>
      </w:r>
      <w:r>
        <w:rPr>
          <w:noProof/>
          <w:szCs w:val="24"/>
          <w:vertAlign w:val="subscript"/>
        </w:rPr>
        <w:t>2</w:t>
      </w:r>
      <w:r>
        <w:rPr>
          <w:noProof/>
          <w:szCs w:val="24"/>
        </w:rPr>
        <w:t xml:space="preserve"> standards for the car fleets coming onto the market from 2025 onwards, with the inclusion of Zero-Emission Vehicles (ZEV) and Ultra-Low Emission Vehicles (ULEV) mandates that impose a stepwise increasing share of zero- and ultra-low-emission vehicles in t</w:t>
      </w:r>
      <w:r>
        <w:rPr>
          <w:noProof/>
          <w:szCs w:val="24"/>
        </w:rPr>
        <w:t>he total fleet with the aim of phasing out new CO</w:t>
      </w:r>
      <w:r>
        <w:rPr>
          <w:noProof/>
          <w:szCs w:val="24"/>
          <w:vertAlign w:val="subscript"/>
        </w:rPr>
        <w:t>2</w:t>
      </w:r>
      <w:r>
        <w:rPr>
          <w:noProof/>
          <w:szCs w:val="24"/>
        </w:rPr>
        <w:t>-emitting cars by 2035".</w:t>
      </w:r>
    </w:p>
    <w:p w:rsidR="001A26B0" w:rsidRDefault="00E33A99">
      <w:pPr>
        <w:pStyle w:val="Text3"/>
        <w:ind w:left="0"/>
        <w:rPr>
          <w:noProof/>
        </w:rPr>
      </w:pPr>
      <w:r>
        <w:rPr>
          <w:noProof/>
          <w:szCs w:val="24"/>
        </w:rPr>
        <w:t>A regulatory instrument to enhance the uptake of LEV has been established since the early 1990s in California with the "ZEV Regulation", which requires manufacturers to market a cer</w:t>
      </w:r>
      <w:r>
        <w:rPr>
          <w:noProof/>
          <w:szCs w:val="24"/>
        </w:rPr>
        <w:t>tain percent of vehicles with (near-)zero tailpipe emissions (see Box 2)</w:t>
      </w:r>
      <w:r>
        <w:rPr>
          <w:noProof/>
          <w:szCs w:val="24"/>
          <w:vertAlign w:val="superscript"/>
        </w:rPr>
        <w:footnoteReference w:id="94"/>
      </w:r>
      <w:r>
        <w:rPr>
          <w:noProof/>
          <w:szCs w:val="24"/>
        </w:rPr>
        <w:t>. Similar mandates also apply in nine other States of the US</w:t>
      </w:r>
      <w:r>
        <w:rPr>
          <w:noProof/>
          <w:szCs w:val="24"/>
          <w:vertAlign w:val="superscript"/>
        </w:rPr>
        <w:footnoteReference w:id="95"/>
      </w:r>
      <w:r>
        <w:rPr>
          <w:noProof/>
          <w:szCs w:val="24"/>
        </w:rPr>
        <w:t>. In September 2017, China adopted new energy vehicle (NEV) mandates (see Box 3) for the sales of electric cars, which, co</w:t>
      </w:r>
      <w:r>
        <w:rPr>
          <w:noProof/>
          <w:szCs w:val="24"/>
        </w:rPr>
        <w:t>mbined with government and local incentives for customers, manufacturers and the development of infrastructure, have seen a very strong growth in the past few years. Most recently, Quebec has adopted a ZEV mandate</w:t>
      </w:r>
      <w:r>
        <w:rPr>
          <w:rStyle w:val="FootnoteReference"/>
          <w:noProof/>
          <w:szCs w:val="24"/>
        </w:rPr>
        <w:footnoteReference w:id="96"/>
      </w:r>
      <w:r>
        <w:rPr>
          <w:noProof/>
          <w:szCs w:val="24"/>
        </w:rPr>
        <w:t xml:space="preserve">. </w:t>
      </w:r>
      <w:r>
        <w:rPr>
          <w:noProof/>
        </w:rPr>
        <w:t>In the light of this policy context, the</w:t>
      </w:r>
      <w:r>
        <w:rPr>
          <w:noProof/>
        </w:rPr>
        <w:t xml:space="preserve"> Impact Assessment is considering several options described below. </w:t>
      </w:r>
    </w:p>
    <w:p w:rsidR="001A26B0" w:rsidRDefault="00E33A99">
      <w:pPr>
        <w:keepNext/>
        <w:pBdr>
          <w:top w:val="single" w:sz="4" w:space="1" w:color="auto"/>
          <w:left w:val="single" w:sz="4" w:space="4" w:color="auto"/>
          <w:bottom w:val="single" w:sz="4" w:space="1" w:color="auto"/>
          <w:right w:val="single" w:sz="4" w:space="4" w:color="auto"/>
        </w:pBdr>
        <w:rPr>
          <w:b/>
          <w:noProof/>
          <w:sz w:val="22"/>
        </w:rPr>
      </w:pPr>
      <w:r>
        <w:rPr>
          <w:b/>
          <w:noProof/>
          <w:sz w:val="22"/>
        </w:rPr>
        <w:t>Box 2: California's ZEV programme</w:t>
      </w:r>
      <w:r>
        <w:rPr>
          <w:rStyle w:val="FootnoteReference"/>
          <w:b/>
          <w:noProof/>
          <w:sz w:val="22"/>
        </w:rPr>
        <w:footnoteReference w:id="97"/>
      </w:r>
      <w:r>
        <w:rPr>
          <w:b/>
          <w:noProof/>
          <w:sz w:val="22"/>
        </w:rPr>
        <w:t xml:space="preserve"> </w:t>
      </w:r>
    </w:p>
    <w:p w:rsidR="001A26B0" w:rsidRDefault="00E33A99">
      <w:pPr>
        <w:pBdr>
          <w:top w:val="single" w:sz="4" w:space="1" w:color="auto"/>
          <w:left w:val="single" w:sz="4" w:space="4" w:color="auto"/>
          <w:bottom w:val="single" w:sz="4" w:space="1" w:color="auto"/>
          <w:right w:val="single" w:sz="4" w:space="4" w:color="auto"/>
        </w:pBdr>
        <w:spacing w:after="120"/>
        <w:rPr>
          <w:noProof/>
          <w:sz w:val="22"/>
        </w:rPr>
      </w:pPr>
      <w:r>
        <w:rPr>
          <w:noProof/>
          <w:sz w:val="22"/>
        </w:rPr>
        <w:t xml:space="preserve">California introduced a ZEV mandate already in 1990. It required manufacturers to progressively increase the sales volume of BEVs to 2% of new vehicle </w:t>
      </w:r>
      <w:r>
        <w:rPr>
          <w:noProof/>
          <w:sz w:val="22"/>
        </w:rPr>
        <w:t>sales by 1998 and 10% by 2003. Given the early stage of development of electric vehicles at the time, the initial ZEV mandate turned out to be too ambitious and was subject to a number of modifications since then.</w:t>
      </w:r>
      <w:r>
        <w:rPr>
          <w:rStyle w:val="FootnoteReference"/>
          <w:noProof/>
          <w:sz w:val="22"/>
        </w:rPr>
        <w:footnoteReference w:id="98"/>
      </w:r>
      <w:r>
        <w:rPr>
          <w:noProof/>
          <w:sz w:val="22"/>
        </w:rPr>
        <w:t xml:space="preserve"> The current ZEV Regulation requires vehic</w:t>
      </w:r>
      <w:r>
        <w:rPr>
          <w:noProof/>
          <w:sz w:val="22"/>
        </w:rPr>
        <w:t>le manufacturers with an annual production of more than 4,500 vehicles to bring to and operate in California a certain percent of "ZEVs" (i.e. BEV, FCEV and  PHEV; up to 2017, ZEV credits may also be obtained for "partial" ZEV (PZEV), such as clean hybrids</w:t>
      </w:r>
      <w:r>
        <w:rPr>
          <w:noProof/>
          <w:sz w:val="22"/>
        </w:rPr>
        <w:t xml:space="preserve"> and clean gasoline vehicles) . The ZEV Regulation has become incrementally more stringent and will continue to do so until 2025. From 2018 they include a minimum ZEV floor requirement for large manufacturers (i.e. annual production of more than 60,000 veh</w:t>
      </w:r>
      <w:r>
        <w:rPr>
          <w:noProof/>
          <w:sz w:val="22"/>
        </w:rPr>
        <w:t xml:space="preserve">icles) above which manufacturers may use credits to meet their total ZEV requirement. </w:t>
      </w:r>
    </w:p>
    <w:p w:rsidR="001A26B0" w:rsidRDefault="00E33A99">
      <w:pPr>
        <w:pBdr>
          <w:top w:val="single" w:sz="4" w:space="1" w:color="auto"/>
          <w:left w:val="single" w:sz="4" w:space="4" w:color="auto"/>
          <w:bottom w:val="single" w:sz="4" w:space="1" w:color="auto"/>
          <w:right w:val="single" w:sz="4" w:space="4" w:color="auto"/>
        </w:pBdr>
        <w:spacing w:after="120"/>
        <w:rPr>
          <w:noProof/>
          <w:sz w:val="22"/>
        </w:rPr>
      </w:pPr>
      <w:r>
        <w:rPr>
          <w:noProof/>
          <w:sz w:val="22"/>
        </w:rPr>
        <w:t>The Californian "ZEV" standards have in the meantime been adopted by nine other States in the U.S. (29% of all new cars sold in the U.S. are sold in these 10 States).</w:t>
      </w:r>
      <w:r>
        <w:rPr>
          <w:rStyle w:val="FootnoteReference"/>
          <w:noProof/>
          <w:sz w:val="22"/>
        </w:rPr>
        <w:footnoteReference w:id="99"/>
      </w:r>
      <w:r>
        <w:rPr>
          <w:noProof/>
          <w:sz w:val="22"/>
        </w:rPr>
        <w:t xml:space="preserve"> H</w:t>
      </w:r>
      <w:r>
        <w:rPr>
          <w:noProof/>
          <w:sz w:val="22"/>
        </w:rPr>
        <w:t>owever, in 2016 the actual share of BEV, PHEV and FCEV in new car sales was only around 3% in California and less than 1% in the U.S. as a whole.</w:t>
      </w:r>
      <w:r>
        <w:rPr>
          <w:rStyle w:val="FootnoteReference"/>
          <w:noProof/>
          <w:sz w:val="22"/>
        </w:rPr>
        <w:footnoteReference w:id="100"/>
      </w:r>
      <w:r>
        <w:rPr>
          <w:noProof/>
          <w:sz w:val="22"/>
        </w:rPr>
        <w:t xml:space="preserve"> In its recent Midterm Review CARB notes that costs for batteries (as well as other component costs) have fall</w:t>
      </w:r>
      <w:r>
        <w:rPr>
          <w:noProof/>
          <w:sz w:val="22"/>
        </w:rPr>
        <w:t>en "dramatically" (largely due to reduced material costs, manufacturing improvements, and higher manufacturing volumes). Moreover, the number of PHEV and BEV models offered on the market is expected to increase from 25 today to more than 70 models over the</w:t>
      </w:r>
      <w:r>
        <w:rPr>
          <w:noProof/>
          <w:sz w:val="22"/>
        </w:rPr>
        <w:t xml:space="preserve"> next 5 model years. Since 2012 car manufacturers had been over-complying with the ZEV standards and accumulated ZEV credits in view of meeting future ZEV requirements.</w:t>
      </w:r>
    </w:p>
    <w:p w:rsidR="001A26B0" w:rsidRDefault="001A26B0">
      <w:pPr>
        <w:spacing w:after="0"/>
        <w:rPr>
          <w:noProof/>
        </w:rPr>
      </w:pPr>
    </w:p>
    <w:p w:rsidR="001A26B0" w:rsidRDefault="00E33A99">
      <w:pPr>
        <w:pBdr>
          <w:top w:val="single" w:sz="4" w:space="1" w:color="auto"/>
          <w:left w:val="single" w:sz="4" w:space="4" w:color="auto"/>
          <w:bottom w:val="single" w:sz="4" w:space="1" w:color="auto"/>
          <w:right w:val="single" w:sz="4" w:space="4" w:color="auto"/>
        </w:pBdr>
        <w:rPr>
          <w:b/>
          <w:noProof/>
          <w:sz w:val="22"/>
        </w:rPr>
      </w:pPr>
      <w:r>
        <w:rPr>
          <w:b/>
          <w:noProof/>
          <w:sz w:val="22"/>
        </w:rPr>
        <w:t>Box 3: China's NEV mandate</w:t>
      </w:r>
    </w:p>
    <w:p w:rsidR="001A26B0" w:rsidRDefault="00E33A99">
      <w:pPr>
        <w:pBdr>
          <w:top w:val="single" w:sz="4" w:space="1" w:color="auto"/>
          <w:left w:val="single" w:sz="4" w:space="4" w:color="auto"/>
          <w:bottom w:val="single" w:sz="4" w:space="1" w:color="auto"/>
          <w:right w:val="single" w:sz="4" w:space="4" w:color="auto"/>
        </w:pBdr>
        <w:rPr>
          <w:noProof/>
          <w:sz w:val="22"/>
        </w:rPr>
      </w:pPr>
      <w:r>
        <w:rPr>
          <w:noProof/>
          <w:sz w:val="22"/>
        </w:rPr>
        <w:t>In 2010 China introduced its new energy vehicle (NEV) progr</w:t>
      </w:r>
      <w:r>
        <w:rPr>
          <w:noProof/>
          <w:sz w:val="22"/>
        </w:rPr>
        <w:t>amme setting a target of 1 million electric vehicles (including both light- and heavy-duty vehicles) by 2015. With the support of public incentives, sales of electric vehicles grew significantly in China in recent years with cumulative sales reaching nearl</w:t>
      </w:r>
      <w:r>
        <w:rPr>
          <w:noProof/>
          <w:sz w:val="22"/>
        </w:rPr>
        <w:t>y 1 million in 2016</w:t>
      </w:r>
      <w:r>
        <w:rPr>
          <w:rStyle w:val="FootnoteReference"/>
          <w:noProof/>
          <w:sz w:val="22"/>
        </w:rPr>
        <w:footnoteReference w:id="101"/>
      </w:r>
      <w:r>
        <w:rPr>
          <w:noProof/>
          <w:sz w:val="22"/>
        </w:rPr>
        <w:t>.  On 28 September 2017, the Chinese Ministry of Industry and Information Technology (MIIT) published the final rule on passenger car fuel economy standards with an integrated mandate for NEVs which covers battery electric (BEV), plug-i</w:t>
      </w:r>
      <w:r>
        <w:rPr>
          <w:noProof/>
          <w:sz w:val="22"/>
        </w:rPr>
        <w:t>n hybrid (PHEV) and fuel cell vehicles (FCEV).</w:t>
      </w:r>
      <w:r>
        <w:rPr>
          <w:noProof/>
          <w:sz w:val="22"/>
          <w:vertAlign w:val="superscript"/>
        </w:rPr>
        <w:footnoteReference w:id="102"/>
      </w:r>
      <w:r>
        <w:rPr>
          <w:noProof/>
          <w:sz w:val="22"/>
        </w:rPr>
        <w:t xml:space="preserve"> </w:t>
      </w:r>
    </w:p>
    <w:p w:rsidR="001A26B0" w:rsidRDefault="00E33A99">
      <w:pPr>
        <w:pBdr>
          <w:top w:val="single" w:sz="4" w:space="1" w:color="auto"/>
          <w:left w:val="single" w:sz="4" w:space="4" w:color="auto"/>
          <w:bottom w:val="single" w:sz="4" w:space="1" w:color="auto"/>
          <w:right w:val="single" w:sz="4" w:space="4" w:color="auto"/>
        </w:pBdr>
        <w:rPr>
          <w:noProof/>
          <w:sz w:val="22"/>
        </w:rPr>
      </w:pPr>
      <w:r>
        <w:rPr>
          <w:noProof/>
          <w:sz w:val="22"/>
        </w:rPr>
        <w:t>The legislation sets mandatory NEV requirements as from 2019: 10% in 2019 and 12% in 2020; requirements for 2021 and beyond are yet to be determined by MIIT. The requirements are applicable to all manufactur</w:t>
      </w:r>
      <w:r>
        <w:rPr>
          <w:noProof/>
          <w:sz w:val="22"/>
        </w:rPr>
        <w:t>ers with annual production or import volume of 30,000 or more conventional-fuelled passenger cars. In order to meet the requirements, manufacturers can generate new energy vehicle scores by producing or importing NEVs.  A company’s actual NEV score is calc</w:t>
      </w:r>
      <w:r>
        <w:rPr>
          <w:noProof/>
          <w:sz w:val="22"/>
        </w:rPr>
        <w:t>ulated by summing up the products of annual manufacturing or import volume of each NEV and the per-vehicle NEV score. The per-vehicle score depends mainly on the electric range for BEV, whereas for PHEV and FCEV other factors are taken into account such as</w:t>
      </w:r>
      <w:r>
        <w:rPr>
          <w:noProof/>
          <w:sz w:val="22"/>
        </w:rPr>
        <w:t xml:space="preserve"> electric consumption. The highest score of 5 can be reached by BEV, whereas PHEV can reach a maximum score of 2. NEV requirements are therefore not equivalent to the market share of NEVs in China in 2019 and 2020. For instance, e.g. for meeting 10% NEV re</w:t>
      </w:r>
      <w:r>
        <w:rPr>
          <w:noProof/>
          <w:sz w:val="22"/>
        </w:rPr>
        <w:t>quirement in 2019 with BEVs only, a manufacturer would need a BEV share of 2% only. A company generates NEV credits if its actual NEV score is higher than its NEV requirement. It will face a NEV score deficit if its actual NEV score is below the target. If</w:t>
      </w:r>
      <w:r>
        <w:rPr>
          <w:noProof/>
          <w:sz w:val="22"/>
        </w:rPr>
        <w:t xml:space="preserve"> a manufacturer cannot reach its NEV target in 2019, it can still meet its NEV requirement in 2020. A positive NEV quota can be traded between manufacturers but cannot be carried over to following year(s) after 2019, except from 2019 to 2020. Manufacturers</w:t>
      </w:r>
      <w:r>
        <w:rPr>
          <w:noProof/>
          <w:sz w:val="22"/>
        </w:rPr>
        <w:t xml:space="preserve"> are allowed to use NEV credits towards compliance with existing fuel economy standards.</w:t>
      </w:r>
    </w:p>
    <w:p w:rsidR="001A26B0" w:rsidRDefault="00E33A99">
      <w:pPr>
        <w:pStyle w:val="Heading3"/>
        <w:rPr>
          <w:noProof/>
        </w:rPr>
      </w:pPr>
      <w:bookmarkStart w:id="116" w:name="_Toc485978581"/>
      <w:bookmarkStart w:id="117" w:name="_Toc485997722"/>
      <w:bookmarkStart w:id="118" w:name="_Toc486237936"/>
      <w:bookmarkStart w:id="119" w:name="_Toc485978582"/>
      <w:bookmarkStart w:id="120" w:name="_Toc485997723"/>
      <w:bookmarkStart w:id="121" w:name="_Toc486237937"/>
      <w:bookmarkStart w:id="122" w:name="_Toc486237938"/>
      <w:bookmarkStart w:id="123" w:name="_Ref486585640"/>
      <w:bookmarkStart w:id="124" w:name="_Toc496635590"/>
      <w:bookmarkEnd w:id="116"/>
      <w:bookmarkEnd w:id="117"/>
      <w:bookmarkEnd w:id="118"/>
      <w:bookmarkEnd w:id="119"/>
      <w:bookmarkEnd w:id="120"/>
      <w:bookmarkEnd w:id="121"/>
      <w:bookmarkEnd w:id="122"/>
      <w:r>
        <w:rPr>
          <w:noProof/>
        </w:rPr>
        <w:t>Policy options</w:t>
      </w:r>
      <w:bookmarkEnd w:id="123"/>
      <w:bookmarkEnd w:id="124"/>
      <w:r>
        <w:rPr>
          <w:noProof/>
        </w:rPr>
        <w:t xml:space="preserve"> </w:t>
      </w:r>
    </w:p>
    <w:p w:rsidR="001A26B0" w:rsidRDefault="00E33A99">
      <w:pPr>
        <w:pStyle w:val="ListParagraph"/>
        <w:numPr>
          <w:ilvl w:val="0"/>
          <w:numId w:val="19"/>
        </w:numPr>
        <w:spacing w:after="120"/>
        <w:ind w:left="714" w:hanging="357"/>
        <w:contextualSpacing w:val="0"/>
        <w:rPr>
          <w:noProof/>
        </w:rPr>
      </w:pPr>
      <w:r>
        <w:rPr>
          <w:noProof/>
        </w:rPr>
        <w:t>Option LEV 0: Change nothing</w:t>
      </w:r>
    </w:p>
    <w:p w:rsidR="001A26B0" w:rsidRDefault="00E33A99">
      <w:pPr>
        <w:spacing w:after="120"/>
        <w:ind w:left="426"/>
        <w:rPr>
          <w:noProof/>
        </w:rPr>
      </w:pPr>
      <w:r>
        <w:rPr>
          <w:noProof/>
        </w:rPr>
        <w:t>This option assumes that, apart from the fleet-wide CO</w:t>
      </w:r>
      <w:r>
        <w:rPr>
          <w:noProof/>
          <w:vertAlign w:val="subscript"/>
        </w:rPr>
        <w:t>2</w:t>
      </w:r>
      <w:r>
        <w:rPr>
          <w:noProof/>
        </w:rPr>
        <w:t xml:space="preserve"> emission targets, the legislation will not include provisions, whi</w:t>
      </w:r>
      <w:r>
        <w:rPr>
          <w:noProof/>
        </w:rPr>
        <w:t xml:space="preserve">ch would specifically aim to increase the number of ZEV or LEV registered. The assessment of this option will therefore be based on the assessment of the TLC and TLV options </w:t>
      </w:r>
    </w:p>
    <w:p w:rsidR="001A26B0" w:rsidRDefault="00E33A99">
      <w:pPr>
        <w:spacing w:after="120"/>
        <w:rPr>
          <w:noProof/>
        </w:rPr>
      </w:pPr>
      <w:r>
        <w:rPr>
          <w:noProof/>
        </w:rPr>
        <w:t>For the other policy options for incentivising ZEV/LEV, three key elements are co</w:t>
      </w:r>
      <w:r>
        <w:rPr>
          <w:noProof/>
        </w:rPr>
        <w:t>nsidered: (i) the definition of a low-emission vehicle, as this determines the scope of the incentive, and (ii) the type of incentive and (iii) the level of the LEV incentive.</w:t>
      </w:r>
    </w:p>
    <w:p w:rsidR="001A26B0" w:rsidRDefault="00E33A99">
      <w:pPr>
        <w:spacing w:after="120"/>
        <w:rPr>
          <w:noProof/>
        </w:rPr>
      </w:pPr>
      <w:r>
        <w:rPr>
          <w:noProof/>
        </w:rPr>
        <w:t xml:space="preserve">In addition, elements related to the implementation of the incentive need to be </w:t>
      </w:r>
      <w:r>
        <w:rPr>
          <w:noProof/>
        </w:rPr>
        <w:t>considered, such as compliance assessment (incl. the link with the CO</w:t>
      </w:r>
      <w:r>
        <w:rPr>
          <w:noProof/>
          <w:vertAlign w:val="subscript"/>
        </w:rPr>
        <w:t>2</w:t>
      </w:r>
      <w:r>
        <w:rPr>
          <w:noProof/>
        </w:rPr>
        <w:t xml:space="preserve"> target), differentiation between OEMs and between different types of LEV.</w:t>
      </w:r>
    </w:p>
    <w:p w:rsidR="001A26B0" w:rsidRDefault="00E33A99">
      <w:pPr>
        <w:pStyle w:val="Heading4"/>
        <w:rPr>
          <w:noProof/>
        </w:rPr>
      </w:pPr>
      <w:bookmarkStart w:id="125" w:name="_Toc494098631"/>
      <w:bookmarkStart w:id="126" w:name="_Ref485891726"/>
      <w:bookmarkStart w:id="127" w:name="_Toc496635591"/>
      <w:bookmarkEnd w:id="125"/>
      <w:r>
        <w:rPr>
          <w:noProof/>
        </w:rPr>
        <w:t>LEV definition (LEVD)</w:t>
      </w:r>
      <w:bookmarkEnd w:id="126"/>
      <w:bookmarkEnd w:id="127"/>
    </w:p>
    <w:p w:rsidR="001A26B0" w:rsidRDefault="00E33A99">
      <w:pPr>
        <w:spacing w:after="120"/>
        <w:rPr>
          <w:noProof/>
        </w:rPr>
      </w:pPr>
      <w:r>
        <w:rPr>
          <w:noProof/>
        </w:rPr>
        <w:t xml:space="preserve">In order to identify which vehicles would qualify for the LEV incentive, it is necessary </w:t>
      </w:r>
      <w:r>
        <w:rPr>
          <w:noProof/>
        </w:rPr>
        <w:t xml:space="preserve">to define what constitutes a LEV. This requires consideration of the metric and threshold to be used. </w:t>
      </w:r>
    </w:p>
    <w:p w:rsidR="001A26B0" w:rsidRDefault="00E33A99">
      <w:pPr>
        <w:spacing w:after="120"/>
        <w:rPr>
          <w:noProof/>
        </w:rPr>
      </w:pPr>
      <w:r>
        <w:rPr>
          <w:noProof/>
        </w:rPr>
        <w:t>An option initially considered was to use the zero emission range of a vehicle (in km) for defining a LEV. However, this approach was not considered furt</w:t>
      </w:r>
      <w:r>
        <w:rPr>
          <w:noProof/>
        </w:rPr>
        <w:t>her, as the link of this metric with CO</w:t>
      </w:r>
      <w:r>
        <w:rPr>
          <w:noProof/>
          <w:vertAlign w:val="subscript"/>
        </w:rPr>
        <w:t>2</w:t>
      </w:r>
      <w:r>
        <w:rPr>
          <w:noProof/>
        </w:rPr>
        <w:t xml:space="preserve"> emissions is less outspoken, and only limited data is available to decide on an appropriate WLTP value. This view is also supported by the majority of stakeholders from different stakeholder groups which clearly pre</w:t>
      </w:r>
      <w:r>
        <w:rPr>
          <w:noProof/>
        </w:rPr>
        <w:t>ferred the use of CO</w:t>
      </w:r>
      <w:r>
        <w:rPr>
          <w:noProof/>
          <w:vertAlign w:val="subscript"/>
        </w:rPr>
        <w:t>2</w:t>
      </w:r>
      <w:r>
        <w:rPr>
          <w:noProof/>
        </w:rPr>
        <w:t xml:space="preserve"> emission performance as the criterion for defining LEV, with proposed thresholds ranging from 15g CO</w:t>
      </w:r>
      <w:r>
        <w:rPr>
          <w:noProof/>
          <w:vertAlign w:val="subscript"/>
        </w:rPr>
        <w:t>2</w:t>
      </w:r>
      <w:r>
        <w:rPr>
          <w:noProof/>
        </w:rPr>
        <w:t>/km to 50g CO</w:t>
      </w:r>
      <w:r>
        <w:rPr>
          <w:noProof/>
          <w:vertAlign w:val="subscript"/>
        </w:rPr>
        <w:t>2</w:t>
      </w:r>
      <w:r>
        <w:rPr>
          <w:noProof/>
        </w:rPr>
        <w:t>/km.</w:t>
      </w:r>
    </w:p>
    <w:p w:rsidR="001A26B0" w:rsidRDefault="00E33A99">
      <w:pPr>
        <w:rPr>
          <w:noProof/>
        </w:rPr>
      </w:pPr>
      <w:r>
        <w:rPr>
          <w:noProof/>
        </w:rPr>
        <w:t>Therefore, as regards the CO</w:t>
      </w:r>
      <w:r>
        <w:rPr>
          <w:noProof/>
          <w:vertAlign w:val="subscript"/>
        </w:rPr>
        <w:t>2</w:t>
      </w:r>
      <w:r>
        <w:rPr>
          <w:noProof/>
        </w:rPr>
        <w:t xml:space="preserve"> emission threshold, only the options for defining a LEV according to its tailpipe CO</w:t>
      </w:r>
      <w:r>
        <w:rPr>
          <w:noProof/>
          <w:vertAlign w:val="subscript"/>
        </w:rPr>
        <w:t>2</w:t>
      </w:r>
      <w:r>
        <w:rPr>
          <w:noProof/>
        </w:rPr>
        <w:t xml:space="preserve"> emissions will be further considered, as summarised in </w:t>
      </w:r>
      <w:r>
        <w:rPr>
          <w:noProof/>
        </w:rPr>
        <w:fldChar w:fldCharType="begin"/>
      </w:r>
      <w:r>
        <w:rPr>
          <w:noProof/>
        </w:rPr>
        <w:instrText xml:space="preserve"> REF _Ref493085692 \h  \* MERGEFORMAT </w:instrText>
      </w:r>
      <w:r>
        <w:rPr>
          <w:noProof/>
        </w:rPr>
      </w:r>
      <w:r>
        <w:rPr>
          <w:noProof/>
        </w:rPr>
        <w:fldChar w:fldCharType="separate"/>
      </w:r>
      <w:r>
        <w:rPr>
          <w:noProof/>
        </w:rPr>
        <w:t>Table 5</w:t>
      </w:r>
      <w:r>
        <w:rPr>
          <w:noProof/>
        </w:rPr>
        <w:fldChar w:fldCharType="end"/>
      </w:r>
      <w:r>
        <w:rPr>
          <w:noProof/>
        </w:rPr>
        <w:t>.</w:t>
      </w:r>
    </w:p>
    <w:p w:rsidR="001A26B0" w:rsidRDefault="00E33A99">
      <w:pPr>
        <w:pStyle w:val="ListParagraph"/>
        <w:spacing w:after="120"/>
        <w:ind w:left="0"/>
        <w:contextualSpacing w:val="0"/>
        <w:rPr>
          <w:noProof/>
        </w:rPr>
      </w:pPr>
      <w:bookmarkStart w:id="128" w:name="_Ref493085692"/>
      <w:bookmarkStart w:id="129" w:name="_Ref493085665"/>
      <w:r>
        <w:rPr>
          <w:b/>
          <w:noProof/>
        </w:rPr>
        <w:t xml:space="preserve">Table </w:t>
      </w:r>
      <w:r>
        <w:rPr>
          <w:b/>
          <w:noProof/>
        </w:rPr>
        <w:fldChar w:fldCharType="begin"/>
      </w:r>
      <w:r>
        <w:rPr>
          <w:b/>
          <w:noProof/>
        </w:rPr>
        <w:instrText xml:space="preserve"> SEQ Table \* ARABIC </w:instrText>
      </w:r>
      <w:r>
        <w:rPr>
          <w:b/>
          <w:noProof/>
        </w:rPr>
        <w:fldChar w:fldCharType="separate"/>
      </w:r>
      <w:r>
        <w:rPr>
          <w:b/>
          <w:noProof/>
        </w:rPr>
        <w:t>5</w:t>
      </w:r>
      <w:r>
        <w:rPr>
          <w:b/>
          <w:noProof/>
        </w:rPr>
        <w:fldChar w:fldCharType="end"/>
      </w:r>
      <w:bookmarkEnd w:id="128"/>
      <w:r>
        <w:rPr>
          <w:b/>
          <w:noProof/>
        </w:rPr>
        <w:t xml:space="preserve">: </w:t>
      </w:r>
      <w:r>
        <w:rPr>
          <w:b/>
          <w:noProof/>
          <w:szCs w:val="24"/>
        </w:rPr>
        <w:t>Options considered for the LEV definition (LEVD)</w:t>
      </w:r>
      <w:bookmarkEnd w:id="129"/>
    </w:p>
    <w:tbl>
      <w:tblPr>
        <w:tblStyle w:val="TableGrid"/>
        <w:tblW w:w="8499" w:type="dxa"/>
        <w:tblInd w:w="108" w:type="dxa"/>
        <w:tblLook w:val="04A0" w:firstRow="1" w:lastRow="0" w:firstColumn="1" w:lastColumn="0" w:noHBand="0" w:noVBand="1"/>
      </w:tblPr>
      <w:tblGrid>
        <w:gridCol w:w="2400"/>
        <w:gridCol w:w="6099"/>
      </w:tblGrid>
      <w:tr w:rsidR="001A26B0">
        <w:tc>
          <w:tcPr>
            <w:tcW w:w="2400" w:type="dxa"/>
            <w:shd w:val="clear" w:color="auto" w:fill="D9D9D9" w:themeFill="background1" w:themeFillShade="D9"/>
          </w:tcPr>
          <w:p w:rsidR="001A26B0" w:rsidRDefault="00E33A99">
            <w:pPr>
              <w:pStyle w:val="ListParagraph"/>
              <w:spacing w:after="0"/>
              <w:ind w:left="0"/>
              <w:contextualSpacing w:val="0"/>
              <w:rPr>
                <w:noProof/>
                <w:color w:val="000000" w:themeColor="text1"/>
              </w:rPr>
            </w:pPr>
            <w:r>
              <w:rPr>
                <w:noProof/>
                <w:color w:val="000000" w:themeColor="text1"/>
              </w:rPr>
              <w:t>Option</w:t>
            </w:r>
          </w:p>
        </w:tc>
        <w:tc>
          <w:tcPr>
            <w:tcW w:w="6099" w:type="dxa"/>
            <w:shd w:val="clear" w:color="auto" w:fill="D9D9D9" w:themeFill="background1" w:themeFillShade="D9"/>
          </w:tcPr>
          <w:p w:rsidR="001A26B0" w:rsidRDefault="00E33A99">
            <w:pPr>
              <w:pStyle w:val="ListParagraph"/>
              <w:spacing w:after="0"/>
              <w:ind w:left="0"/>
              <w:contextualSpacing w:val="0"/>
              <w:jc w:val="center"/>
              <w:rPr>
                <w:noProof/>
                <w:color w:val="000000" w:themeColor="text1"/>
              </w:rPr>
            </w:pPr>
            <w:r>
              <w:rPr>
                <w:noProof/>
                <w:color w:val="000000" w:themeColor="text1"/>
              </w:rPr>
              <w:t xml:space="preserve">LEV definition </w:t>
            </w:r>
          </w:p>
        </w:tc>
      </w:tr>
      <w:tr w:rsidR="001A26B0">
        <w:tc>
          <w:tcPr>
            <w:tcW w:w="2400" w:type="dxa"/>
          </w:tcPr>
          <w:p w:rsidR="001A26B0" w:rsidRDefault="00E33A99">
            <w:pPr>
              <w:spacing w:after="120"/>
              <w:ind w:left="-43"/>
              <w:rPr>
                <w:noProof/>
                <w:color w:val="000000" w:themeColor="text1"/>
              </w:rPr>
            </w:pPr>
            <w:r>
              <w:rPr>
                <w:noProof/>
                <w:color w:val="000000" w:themeColor="text1"/>
              </w:rPr>
              <w:t>LEVD_ZEV</w:t>
            </w:r>
          </w:p>
        </w:tc>
        <w:tc>
          <w:tcPr>
            <w:tcW w:w="6099" w:type="dxa"/>
          </w:tcPr>
          <w:p w:rsidR="001A26B0" w:rsidRDefault="00E33A99">
            <w:pPr>
              <w:pStyle w:val="ListParagraph"/>
              <w:spacing w:after="120"/>
              <w:ind w:left="0"/>
              <w:contextualSpacing w:val="0"/>
              <w:rPr>
                <w:noProof/>
                <w:color w:val="000000" w:themeColor="text1"/>
              </w:rPr>
            </w:pPr>
            <w:r>
              <w:rPr>
                <w:noProof/>
              </w:rPr>
              <w:t>only vehicles with CO</w:t>
            </w:r>
            <w:r>
              <w:rPr>
                <w:noProof/>
                <w:vertAlign w:val="subscript"/>
              </w:rPr>
              <w:t>2</w:t>
            </w:r>
            <w:r>
              <w:rPr>
                <w:noProof/>
              </w:rPr>
              <w:t xml:space="preserve"> emissions of zero qualify as a LEV (LEV = ZEV)</w:t>
            </w:r>
          </w:p>
        </w:tc>
      </w:tr>
      <w:tr w:rsidR="001A26B0">
        <w:tc>
          <w:tcPr>
            <w:tcW w:w="2400" w:type="dxa"/>
          </w:tcPr>
          <w:p w:rsidR="001A26B0" w:rsidRDefault="00E33A99">
            <w:pPr>
              <w:spacing w:after="120"/>
              <w:ind w:left="-43"/>
              <w:rPr>
                <w:noProof/>
                <w:color w:val="000000" w:themeColor="text1"/>
              </w:rPr>
            </w:pPr>
            <w:r>
              <w:rPr>
                <w:noProof/>
                <w:color w:val="000000" w:themeColor="text1"/>
              </w:rPr>
              <w:t>LEVD_25 (for cars)</w:t>
            </w:r>
          </w:p>
          <w:p w:rsidR="001A26B0" w:rsidRDefault="00E33A99">
            <w:pPr>
              <w:spacing w:after="120"/>
              <w:ind w:left="-43"/>
              <w:rPr>
                <w:noProof/>
                <w:color w:val="000000" w:themeColor="text1"/>
              </w:rPr>
            </w:pPr>
            <w:r>
              <w:rPr>
                <w:noProof/>
                <w:color w:val="000000" w:themeColor="text1"/>
              </w:rPr>
              <w:t>LEVD_40 (for vans)</w:t>
            </w:r>
          </w:p>
        </w:tc>
        <w:tc>
          <w:tcPr>
            <w:tcW w:w="6099" w:type="dxa"/>
          </w:tcPr>
          <w:p w:rsidR="001A26B0" w:rsidRDefault="00E33A99">
            <w:pPr>
              <w:pStyle w:val="ListParagraph"/>
              <w:spacing w:after="120"/>
              <w:ind w:left="0"/>
              <w:contextualSpacing w:val="0"/>
              <w:rPr>
                <w:noProof/>
                <w:color w:val="000000" w:themeColor="text1"/>
              </w:rPr>
            </w:pPr>
            <w:r>
              <w:rPr>
                <w:noProof/>
              </w:rPr>
              <w:t>LEV are all vehicles with CO</w:t>
            </w:r>
            <w:r>
              <w:rPr>
                <w:noProof/>
                <w:vertAlign w:val="subscript"/>
              </w:rPr>
              <w:t>2</w:t>
            </w:r>
            <w:r>
              <w:rPr>
                <w:noProof/>
              </w:rPr>
              <w:t xml:space="preserve"> emissions of less than or equal to 25 g CO</w:t>
            </w:r>
            <w:r>
              <w:rPr>
                <w:noProof/>
                <w:vertAlign w:val="subscript"/>
              </w:rPr>
              <w:t>2</w:t>
            </w:r>
            <w:r>
              <w:rPr>
                <w:noProof/>
              </w:rPr>
              <w:t>/km (for cars) or 40 g CO</w:t>
            </w:r>
            <w:r>
              <w:rPr>
                <w:noProof/>
                <w:vertAlign w:val="subscript"/>
              </w:rPr>
              <w:t>2</w:t>
            </w:r>
            <w:r>
              <w:rPr>
                <w:noProof/>
              </w:rPr>
              <w:t>/km (for vans)</w:t>
            </w:r>
          </w:p>
        </w:tc>
      </w:tr>
      <w:tr w:rsidR="001A26B0">
        <w:tc>
          <w:tcPr>
            <w:tcW w:w="2400" w:type="dxa"/>
          </w:tcPr>
          <w:p w:rsidR="001A26B0" w:rsidRDefault="00E33A99">
            <w:pPr>
              <w:spacing w:after="120"/>
              <w:ind w:left="-43"/>
              <w:rPr>
                <w:noProof/>
                <w:color w:val="000000" w:themeColor="text1"/>
              </w:rPr>
            </w:pPr>
            <w:r>
              <w:rPr>
                <w:noProof/>
                <w:color w:val="000000" w:themeColor="text1"/>
              </w:rPr>
              <w:t>LEVD_50</w:t>
            </w:r>
          </w:p>
        </w:tc>
        <w:tc>
          <w:tcPr>
            <w:tcW w:w="6099" w:type="dxa"/>
          </w:tcPr>
          <w:p w:rsidR="001A26B0" w:rsidRDefault="00E33A99">
            <w:pPr>
              <w:pStyle w:val="ListParagraph"/>
              <w:spacing w:after="120"/>
              <w:ind w:left="0"/>
              <w:contextualSpacing w:val="0"/>
              <w:rPr>
                <w:noProof/>
                <w:color w:val="000000" w:themeColor="text1"/>
              </w:rPr>
            </w:pPr>
            <w:r>
              <w:rPr>
                <w:noProof/>
              </w:rPr>
              <w:t>LEV are all vehicles with CO</w:t>
            </w:r>
            <w:r>
              <w:rPr>
                <w:noProof/>
                <w:vertAlign w:val="subscript"/>
              </w:rPr>
              <w:t>2</w:t>
            </w:r>
            <w:r>
              <w:rPr>
                <w:noProof/>
              </w:rPr>
              <w:t xml:space="preserve"> emissions of less than 50 g CO</w:t>
            </w:r>
            <w:r>
              <w:rPr>
                <w:noProof/>
                <w:vertAlign w:val="subscript"/>
              </w:rPr>
              <w:t>2</w:t>
            </w:r>
            <w:r>
              <w:rPr>
                <w:noProof/>
              </w:rPr>
              <w:t>/km (with counting of LEV on the basis of their CO</w:t>
            </w:r>
            <w:r>
              <w:rPr>
                <w:noProof/>
                <w:vertAlign w:val="subscript"/>
              </w:rPr>
              <w:t>2</w:t>
            </w:r>
            <w:r>
              <w:rPr>
                <w:noProof/>
              </w:rPr>
              <w:t xml:space="preserve"> emissions)</w:t>
            </w:r>
          </w:p>
        </w:tc>
      </w:tr>
    </w:tbl>
    <w:p w:rsidR="001A26B0" w:rsidRDefault="00E33A99">
      <w:pPr>
        <w:pStyle w:val="ListParagraph"/>
        <w:spacing w:before="120" w:after="120"/>
        <w:ind w:left="0"/>
        <w:contextualSpacing w:val="0"/>
        <w:rPr>
          <w:noProof/>
        </w:rPr>
      </w:pPr>
      <w:r>
        <w:rPr>
          <w:noProof/>
        </w:rPr>
        <w:t>The higher threshold for vans under option LEVD_40 compared to cars (LEVD_25), is explained by their larger average mass c</w:t>
      </w:r>
      <w:r>
        <w:rPr>
          <w:noProof/>
        </w:rPr>
        <w:t>ompared to cars and by the uncertainty over the feasibility of bringing a sufficient number of PHEV vans with emissions below 25 g CO</w:t>
      </w:r>
      <w:r>
        <w:rPr>
          <w:noProof/>
          <w:vertAlign w:val="subscript"/>
        </w:rPr>
        <w:t>2</w:t>
      </w:r>
      <w:r>
        <w:rPr>
          <w:noProof/>
        </w:rPr>
        <w:t>/km to the market.</w:t>
      </w:r>
    </w:p>
    <w:p w:rsidR="001A26B0" w:rsidRDefault="00E33A99">
      <w:pPr>
        <w:pStyle w:val="ListParagraph"/>
        <w:spacing w:after="120"/>
        <w:ind w:left="0"/>
        <w:contextualSpacing w:val="0"/>
        <w:rPr>
          <w:noProof/>
        </w:rPr>
      </w:pPr>
      <w:r>
        <w:rPr>
          <w:noProof/>
        </w:rPr>
        <w:t>For option LEVD_50, the 50 g CO</w:t>
      </w:r>
      <w:r>
        <w:rPr>
          <w:noProof/>
          <w:vertAlign w:val="subscript"/>
        </w:rPr>
        <w:t>2</w:t>
      </w:r>
      <w:r>
        <w:rPr>
          <w:noProof/>
        </w:rPr>
        <w:t xml:space="preserve">/km threshold is the same one as set in Article 5 of the Cars and Vans </w:t>
      </w:r>
      <w:r>
        <w:rPr>
          <w:noProof/>
        </w:rPr>
        <w:t>Regulations for vehicles to be eligible for generating super-credits. With the change from NEDC to WLTP, type approval emissions from PHEV with emissions around 50 g CO</w:t>
      </w:r>
      <w:r>
        <w:rPr>
          <w:noProof/>
          <w:vertAlign w:val="subscript"/>
        </w:rPr>
        <w:t>2</w:t>
      </w:r>
      <w:r>
        <w:rPr>
          <w:noProof/>
        </w:rPr>
        <w:t xml:space="preserve">/km are not expected to change significantly (see Annex 4.6). </w:t>
      </w:r>
    </w:p>
    <w:p w:rsidR="001A26B0" w:rsidRDefault="00E33A99">
      <w:pPr>
        <w:pStyle w:val="ListParagraph"/>
        <w:spacing w:after="120"/>
        <w:ind w:left="0"/>
        <w:contextualSpacing w:val="0"/>
        <w:rPr>
          <w:noProof/>
        </w:rPr>
      </w:pPr>
      <w:r>
        <w:rPr>
          <w:noProof/>
        </w:rPr>
        <w:t>However, covering such a</w:t>
      </w:r>
      <w:r>
        <w:rPr>
          <w:noProof/>
        </w:rPr>
        <w:t xml:space="preserve"> broad range of vehicles without any further distinction would not take account of the expected improvement in battery efficiency and the corresponding decrease of CO</w:t>
      </w:r>
      <w:r>
        <w:rPr>
          <w:noProof/>
          <w:vertAlign w:val="subscript"/>
        </w:rPr>
        <w:t>2</w:t>
      </w:r>
      <w:r>
        <w:rPr>
          <w:noProof/>
        </w:rPr>
        <w:t xml:space="preserve"> emissions from PHEV. Furthermore, the actual performance of PHEV on the road is strongly influenced by the type and duration of trips undertaken, external conditions (temperature) and consumer behaviour (charging, use of electric equipment).</w:t>
      </w:r>
    </w:p>
    <w:p w:rsidR="001A26B0" w:rsidRDefault="00E33A99">
      <w:pPr>
        <w:pStyle w:val="ListParagraph"/>
        <w:spacing w:after="120"/>
        <w:ind w:left="0"/>
        <w:contextualSpacing w:val="0"/>
        <w:rPr>
          <w:noProof/>
        </w:rPr>
      </w:pPr>
      <w:r>
        <w:rPr>
          <w:noProof/>
        </w:rPr>
        <w:t xml:space="preserve">Therefore, a </w:t>
      </w:r>
      <w:r>
        <w:rPr>
          <w:noProof/>
        </w:rPr>
        <w:t>distinction is proposed under this option between ZEV and other LEV, by counting each LEV in relation to its CO</w:t>
      </w:r>
      <w:r>
        <w:rPr>
          <w:noProof/>
          <w:vertAlign w:val="subscript"/>
        </w:rPr>
        <w:t>2</w:t>
      </w:r>
      <w:r>
        <w:rPr>
          <w:noProof/>
        </w:rPr>
        <w:t xml:space="preserve"> emissions. While each ZEV would thus count as one vehicle, all other LEV would count as less than one vehicle, according to the following formu</w:t>
      </w:r>
      <w:r>
        <w:rPr>
          <w:noProof/>
        </w:rPr>
        <w:t xml:space="preserve">la: </w:t>
      </w:r>
      <m:oMath>
        <m:r>
          <m:rPr>
            <m:sty m:val="p"/>
          </m:rPr>
          <w:rPr>
            <w:rFonts w:ascii="Cambria Math" w:hAnsi="Cambria Math"/>
            <w:noProof/>
          </w:rPr>
          <m:t>1-</m:t>
        </m:r>
        <m:f>
          <m:fPr>
            <m:ctrlPr>
              <w:rPr>
                <w:rFonts w:ascii="Cambria Math" w:hAnsi="Cambria Math"/>
                <w:noProof/>
              </w:rPr>
            </m:ctrlPr>
          </m:fPr>
          <m:num>
            <m:r>
              <m:rPr>
                <m:sty m:val="p"/>
              </m:rPr>
              <w:rPr>
                <w:rFonts w:ascii="Cambria Math" w:hAnsi="Cambria Math"/>
                <w:noProof/>
              </w:rPr>
              <m:t>CO2 emissions of the LEV</m:t>
            </m:r>
          </m:num>
          <m:den>
            <m:r>
              <m:rPr>
                <m:sty m:val="p"/>
              </m:rPr>
              <w:rPr>
                <w:rFonts w:ascii="Cambria Math" w:hAnsi="Cambria Math"/>
                <w:noProof/>
              </w:rPr>
              <m:t>50</m:t>
            </m:r>
          </m:den>
        </m:f>
      </m:oMath>
      <w:r>
        <w:rPr>
          <w:noProof/>
        </w:rPr>
        <w:t>.</w:t>
      </w:r>
    </w:p>
    <w:p w:rsidR="001A26B0" w:rsidRDefault="00E33A99">
      <w:pPr>
        <w:pStyle w:val="ListParagraph"/>
        <w:spacing w:after="120"/>
        <w:ind w:left="0"/>
        <w:contextualSpacing w:val="0"/>
        <w:rPr>
          <w:noProof/>
        </w:rPr>
      </w:pPr>
      <w:r>
        <w:rPr>
          <w:noProof/>
        </w:rPr>
        <w:t>In this way, the incentive is targeted towards vehicles having near-zero emissions, which avoids over-incentivising PHEVs with a short electric range.</w:t>
      </w:r>
    </w:p>
    <w:p w:rsidR="001A26B0" w:rsidRDefault="00E33A99">
      <w:pPr>
        <w:pStyle w:val="Heading4"/>
        <w:rPr>
          <w:noProof/>
        </w:rPr>
      </w:pPr>
      <w:r>
        <w:rPr>
          <w:noProof/>
        </w:rPr>
        <w:t xml:space="preserve"> </w:t>
      </w:r>
      <w:bookmarkStart w:id="130" w:name="_Ref491952631"/>
      <w:bookmarkStart w:id="131" w:name="_Toc496635592"/>
      <w:r>
        <w:rPr>
          <w:noProof/>
        </w:rPr>
        <w:t>Type and level of incentive (LEVT)</w:t>
      </w:r>
      <w:bookmarkEnd w:id="130"/>
      <w:bookmarkEnd w:id="131"/>
    </w:p>
    <w:p w:rsidR="001A26B0" w:rsidRDefault="00E33A99">
      <w:pPr>
        <w:pStyle w:val="ListParagraph"/>
        <w:spacing w:after="120"/>
        <w:ind w:left="0"/>
        <w:contextualSpacing w:val="0"/>
        <w:rPr>
          <w:noProof/>
        </w:rPr>
      </w:pPr>
      <w:r>
        <w:rPr>
          <w:noProof/>
        </w:rPr>
        <w:t>Additional regulatory tools for inc</w:t>
      </w:r>
      <w:r>
        <w:rPr>
          <w:noProof/>
        </w:rPr>
        <w:t>entivising the uptake of ZEV/LEV currently used are mostly based on a ZEV/LEV sales mandate (e.g. California) and/or a crediting system, through increasing the weighting of a ZEV/LEV in the calculation of average emissions or providing emission credits bas</w:t>
      </w:r>
      <w:r>
        <w:rPr>
          <w:noProof/>
        </w:rPr>
        <w:t>ed on the sales share of qualified vehicles.</w:t>
      </w:r>
    </w:p>
    <w:p w:rsidR="001A26B0" w:rsidRDefault="00E33A99">
      <w:pPr>
        <w:pStyle w:val="ListParagraph"/>
        <w:spacing w:after="120"/>
        <w:ind w:left="0"/>
        <w:contextualSpacing w:val="0"/>
        <w:rPr>
          <w:noProof/>
        </w:rPr>
      </w:pPr>
      <w:r>
        <w:rPr>
          <w:noProof/>
        </w:rPr>
        <w:t>Under the current Cars and Vans Regulations, a "super-credit" modality has been established to incentivise manufacturers to produce vehicles emitting less than 50 g CO</w:t>
      </w:r>
      <w:r>
        <w:rPr>
          <w:noProof/>
          <w:vertAlign w:val="subscript"/>
        </w:rPr>
        <w:t>2</w:t>
      </w:r>
      <w:r>
        <w:rPr>
          <w:noProof/>
        </w:rPr>
        <w:t>/km. During a limited number of years, such</w:t>
      </w:r>
      <w:r>
        <w:rPr>
          <w:noProof/>
        </w:rPr>
        <w:t xml:space="preserve"> vehicles may be counted as more than one vehicle for the purpose of calculating the average specific emissions of a manufacturer.</w:t>
      </w:r>
    </w:p>
    <w:p w:rsidR="001A26B0" w:rsidRDefault="00E33A99">
      <w:pPr>
        <w:pStyle w:val="ListParagraph"/>
        <w:spacing w:after="120"/>
        <w:ind w:left="0"/>
        <w:contextualSpacing w:val="0"/>
        <w:rPr>
          <w:noProof/>
        </w:rPr>
      </w:pPr>
      <w:r>
        <w:rPr>
          <w:noProof/>
        </w:rPr>
        <w:t>For cars, super-credits applied between 2012 and 2015 in relation to the 130 g CO</w:t>
      </w:r>
      <w:r>
        <w:rPr>
          <w:noProof/>
          <w:vertAlign w:val="subscript"/>
        </w:rPr>
        <w:t>2</w:t>
      </w:r>
      <w:r>
        <w:rPr>
          <w:noProof/>
        </w:rPr>
        <w:t>/km target and will again apply (with lower</w:t>
      </w:r>
      <w:r>
        <w:rPr>
          <w:noProof/>
        </w:rPr>
        <w:t xml:space="preserve"> multipliers) between 2020 and 2022 in relation to the 95 g CO</w:t>
      </w:r>
      <w:r>
        <w:rPr>
          <w:noProof/>
          <w:vertAlign w:val="subscript"/>
        </w:rPr>
        <w:t>2</w:t>
      </w:r>
      <w:r>
        <w:rPr>
          <w:noProof/>
        </w:rPr>
        <w:t>/km target (with a cap of 7.5 g CO</w:t>
      </w:r>
      <w:r>
        <w:rPr>
          <w:noProof/>
          <w:vertAlign w:val="subscript"/>
        </w:rPr>
        <w:t>2</w:t>
      </w:r>
      <w:r>
        <w:rPr>
          <w:noProof/>
        </w:rPr>
        <w:t>/km per manufacturer over the three years). For vans, super-credits only apply between 2014 and 2017 in relation to the 175 g/km target (for a maximum of 25,0</w:t>
      </w:r>
      <w:r>
        <w:rPr>
          <w:noProof/>
        </w:rPr>
        <w:t>00 vans over that period).</w:t>
      </w:r>
    </w:p>
    <w:p w:rsidR="001A26B0" w:rsidRDefault="00E33A99">
      <w:pPr>
        <w:pStyle w:val="Text1"/>
        <w:spacing w:after="120"/>
        <w:ind w:left="0"/>
        <w:rPr>
          <w:noProof/>
        </w:rPr>
      </w:pPr>
      <w:r>
        <w:rPr>
          <w:noProof/>
        </w:rPr>
        <w:t>However, as already highlighted in the impact assessment underlying the 2012 proposals for amending the Cars and Vans Regulations</w:t>
      </w:r>
      <w:r>
        <w:rPr>
          <w:rStyle w:val="FootnoteReference"/>
          <w:noProof/>
        </w:rPr>
        <w:footnoteReference w:id="103"/>
      </w:r>
      <w:r>
        <w:rPr>
          <w:noProof/>
        </w:rPr>
        <w:t>, a super-credit system has significant drawbacks as it reduces the stringency of the CO</w:t>
      </w:r>
      <w:r>
        <w:rPr>
          <w:noProof/>
          <w:vertAlign w:val="subscript"/>
        </w:rPr>
        <w:t>2</w:t>
      </w:r>
      <w:r>
        <w:rPr>
          <w:noProof/>
        </w:rPr>
        <w:t xml:space="preserve"> target an</w:t>
      </w:r>
      <w:r>
        <w:rPr>
          <w:noProof/>
        </w:rPr>
        <w:t>d thus the effectiveness of the Regulations in reducing CO</w:t>
      </w:r>
      <w:r>
        <w:rPr>
          <w:noProof/>
          <w:vertAlign w:val="subscript"/>
        </w:rPr>
        <w:t>2</w:t>
      </w:r>
      <w:r>
        <w:rPr>
          <w:noProof/>
        </w:rPr>
        <w:t xml:space="preserve"> emissions. </w:t>
      </w:r>
      <w:r>
        <w:rPr>
          <w:noProof/>
          <w:szCs w:val="24"/>
        </w:rPr>
        <w:t>The increase of CO</w:t>
      </w:r>
      <w:r>
        <w:rPr>
          <w:noProof/>
          <w:szCs w:val="24"/>
          <w:vertAlign w:val="subscript"/>
        </w:rPr>
        <w:t>2</w:t>
      </w:r>
      <w:r>
        <w:rPr>
          <w:noProof/>
          <w:szCs w:val="24"/>
        </w:rPr>
        <w:t xml:space="preserve"> emissions depends </w:t>
      </w:r>
      <w:r>
        <w:rPr>
          <w:i/>
          <w:noProof/>
          <w:szCs w:val="24"/>
        </w:rPr>
        <w:t>inter alia</w:t>
      </w:r>
      <w:r>
        <w:rPr>
          <w:noProof/>
          <w:szCs w:val="24"/>
        </w:rPr>
        <w:t xml:space="preserve"> on the multiplier used and the number of eligible vehicles. For example, with a multiplier of 3.5 (which was applicable in the Cars Regu</w:t>
      </w:r>
      <w:r>
        <w:rPr>
          <w:noProof/>
          <w:szCs w:val="24"/>
        </w:rPr>
        <w:t>lation in 2012-2013 and in the Vans Regulation in 2014-2015), CO</w:t>
      </w:r>
      <w:r>
        <w:rPr>
          <w:noProof/>
          <w:szCs w:val="24"/>
          <w:vertAlign w:val="subscript"/>
        </w:rPr>
        <w:t>2</w:t>
      </w:r>
      <w:r>
        <w:rPr>
          <w:noProof/>
          <w:szCs w:val="24"/>
        </w:rPr>
        <w:t xml:space="preserve"> emissions could increase by 3% to 15% depending on the proportion of vehicles qualifying for super-credits.</w:t>
      </w:r>
    </w:p>
    <w:p w:rsidR="001A26B0" w:rsidRDefault="00E33A99">
      <w:pPr>
        <w:pStyle w:val="Text1"/>
        <w:spacing w:after="120"/>
        <w:ind w:left="0"/>
        <w:rPr>
          <w:noProof/>
        </w:rPr>
      </w:pPr>
      <w:r>
        <w:rPr>
          <w:noProof/>
        </w:rPr>
        <w:t>The evaluation study confirmed that super-credits could potentially weaken the tar</w:t>
      </w:r>
      <w:r>
        <w:rPr>
          <w:noProof/>
        </w:rPr>
        <w:t>gets, but noted that this had not yet materialised (in 2015) in view of the very low uptake of vehicles emitting less than 50 g CO</w:t>
      </w:r>
      <w:r>
        <w:rPr>
          <w:noProof/>
          <w:vertAlign w:val="subscript"/>
        </w:rPr>
        <w:t>2</w:t>
      </w:r>
      <w:r>
        <w:rPr>
          <w:noProof/>
        </w:rPr>
        <w:t xml:space="preserve">/km and as all major manufacturers were meeting their targets at that time even without taking super-credits into account. </w:t>
      </w:r>
    </w:p>
    <w:p w:rsidR="001A26B0" w:rsidRDefault="00E33A99">
      <w:pPr>
        <w:pStyle w:val="Text1"/>
        <w:spacing w:after="120"/>
        <w:ind w:left="0"/>
        <w:rPr>
          <w:noProof/>
        </w:rPr>
      </w:pPr>
      <w:r>
        <w:rPr>
          <w:noProof/>
        </w:rPr>
        <w:t>However, as the share of vehicles with low emissions is expected to increase over time, maintaining the super-credit modality, as included in the Cars and Vans Regulations, would bear a high risk of weakening the CO</w:t>
      </w:r>
      <w:r>
        <w:rPr>
          <w:noProof/>
          <w:vertAlign w:val="subscript"/>
        </w:rPr>
        <w:t>2</w:t>
      </w:r>
      <w:r>
        <w:rPr>
          <w:noProof/>
        </w:rPr>
        <w:t xml:space="preserve"> target. </w:t>
      </w:r>
    </w:p>
    <w:p w:rsidR="001A26B0" w:rsidRDefault="00E33A99">
      <w:pPr>
        <w:spacing w:after="120"/>
        <w:rPr>
          <w:noProof/>
        </w:rPr>
      </w:pPr>
      <w:r>
        <w:rPr>
          <w:rFonts w:eastAsiaTheme="minorHAnsi"/>
          <w:noProof/>
          <w:szCs w:val="24"/>
        </w:rPr>
        <w:t xml:space="preserve">This analysis is confirmed in </w:t>
      </w:r>
      <w:r>
        <w:rPr>
          <w:rFonts w:eastAsiaTheme="minorHAnsi"/>
          <w:noProof/>
          <w:szCs w:val="24"/>
        </w:rPr>
        <w:t>recent studies</w:t>
      </w:r>
      <w:r>
        <w:rPr>
          <w:rStyle w:val="FootnoteReference"/>
          <w:noProof/>
        </w:rPr>
        <w:footnoteReference w:id="104"/>
      </w:r>
      <w:r>
        <w:rPr>
          <w:rFonts w:eastAsiaTheme="minorHAnsi"/>
          <w:noProof/>
          <w:szCs w:val="24"/>
          <w:vertAlign w:val="superscript"/>
        </w:rPr>
        <w:t>,</w:t>
      </w:r>
      <w:r>
        <w:rPr>
          <w:rStyle w:val="FootnoteReference"/>
          <w:rFonts w:eastAsiaTheme="minorHAnsi"/>
          <w:noProof/>
          <w:szCs w:val="24"/>
        </w:rPr>
        <w:footnoteReference w:id="105"/>
      </w:r>
      <w:r>
        <w:rPr>
          <w:rFonts w:eastAsiaTheme="minorHAnsi"/>
          <w:noProof/>
          <w:szCs w:val="24"/>
        </w:rPr>
        <w:t xml:space="preserve"> which highlight the substantial environmental cost of electric vehicle multipliers or super-credits, in particular as the share of low-emission vehicles in the fleet starts to increase. Super-credits are seen as a counterproductive long-t</w:t>
      </w:r>
      <w:r>
        <w:rPr>
          <w:rFonts w:eastAsiaTheme="minorHAnsi"/>
          <w:noProof/>
          <w:szCs w:val="24"/>
        </w:rPr>
        <w:t>erm vehicle policy. As an example, it is calculated that with an electric vehicle penetration at 28% of new vehicle sales in Europe, the regulation would lose 41% of its intended CO</w:t>
      </w:r>
      <w:r>
        <w:rPr>
          <w:rFonts w:eastAsiaTheme="minorHAnsi"/>
          <w:noProof/>
          <w:szCs w:val="24"/>
          <w:vertAlign w:val="subscript"/>
        </w:rPr>
        <w:t>2</w:t>
      </w:r>
      <w:r>
        <w:rPr>
          <w:rFonts w:eastAsiaTheme="minorHAnsi"/>
          <w:noProof/>
          <w:szCs w:val="24"/>
        </w:rPr>
        <w:t xml:space="preserve"> benefits when allowing super credits. </w:t>
      </w:r>
      <w:r>
        <w:rPr>
          <w:noProof/>
        </w:rPr>
        <w:t>Furthermore, as CO</w:t>
      </w:r>
      <w:r>
        <w:rPr>
          <w:noProof/>
          <w:vertAlign w:val="subscript"/>
        </w:rPr>
        <w:t>2</w:t>
      </w:r>
      <w:r>
        <w:rPr>
          <w:noProof/>
        </w:rPr>
        <w:t xml:space="preserve"> targets get str</w:t>
      </w:r>
      <w:r>
        <w:rPr>
          <w:noProof/>
        </w:rPr>
        <w:t>icter, super-credits could even discourage the further deployment of LEVs after 2020 due to the multiple counting. Maintaining even a small multiplier of 1.33 (the lowest value used in the current Cars Regulation) could cause the market uptake of LEV to be</w:t>
      </w:r>
      <w:r>
        <w:rPr>
          <w:noProof/>
        </w:rPr>
        <w:t xml:space="preserve"> reduced by 6-7% by 2030.</w:t>
      </w:r>
    </w:p>
    <w:p w:rsidR="001A26B0" w:rsidRDefault="00E33A99">
      <w:pPr>
        <w:pStyle w:val="Text1"/>
        <w:spacing w:after="120"/>
        <w:ind w:left="0"/>
        <w:rPr>
          <w:noProof/>
        </w:rPr>
      </w:pPr>
      <w:r>
        <w:rPr>
          <w:noProof/>
        </w:rPr>
        <w:t>Finally, by applying a multiplier from the first LEV registered on, the current super-credits system fails to send a clear signal to manufacturers and authorities about the expected share of LEV in the fleet.</w:t>
      </w:r>
    </w:p>
    <w:p w:rsidR="001A26B0" w:rsidRDefault="00E33A99">
      <w:pPr>
        <w:pStyle w:val="Text1"/>
        <w:spacing w:after="120"/>
        <w:ind w:left="0"/>
        <w:rPr>
          <w:noProof/>
        </w:rPr>
      </w:pPr>
      <w:r>
        <w:rPr>
          <w:noProof/>
        </w:rPr>
        <w:t>The main drawbacks of</w:t>
      </w:r>
      <w:r>
        <w:rPr>
          <w:noProof/>
        </w:rPr>
        <w:t xml:space="preserve"> the super-credit system could be mitigated or overcome by redesigning it into a crediting system, which would incentivise the uptake of LEV beyond a given level and would avoid undermining the CO</w:t>
      </w:r>
      <w:r>
        <w:rPr>
          <w:noProof/>
          <w:vertAlign w:val="subscript"/>
        </w:rPr>
        <w:t>2</w:t>
      </w:r>
      <w:r>
        <w:rPr>
          <w:noProof/>
        </w:rPr>
        <w:t xml:space="preserve"> target levels.</w:t>
      </w:r>
    </w:p>
    <w:p w:rsidR="001A26B0" w:rsidRDefault="00E33A99">
      <w:pPr>
        <w:pStyle w:val="Text1"/>
        <w:spacing w:after="120"/>
        <w:ind w:left="0"/>
        <w:rPr>
          <w:noProof/>
        </w:rPr>
      </w:pPr>
      <w:r>
        <w:rPr>
          <w:noProof/>
        </w:rPr>
        <w:t>In view of the above, the following three o</w:t>
      </w:r>
      <w:r>
        <w:rPr>
          <w:noProof/>
        </w:rPr>
        <w:t>ptions are considered:</w:t>
      </w:r>
    </w:p>
    <w:p w:rsidR="001A26B0" w:rsidRDefault="00E33A99">
      <w:pPr>
        <w:pStyle w:val="ListParagraph"/>
        <w:numPr>
          <w:ilvl w:val="0"/>
          <w:numId w:val="24"/>
        </w:numPr>
        <w:spacing w:after="120"/>
        <w:contextualSpacing w:val="0"/>
        <w:rPr>
          <w:noProof/>
          <w:lang w:val="da-DK"/>
        </w:rPr>
      </w:pPr>
      <w:r>
        <w:rPr>
          <w:noProof/>
          <w:lang w:val="da-DK"/>
        </w:rPr>
        <w:t>Option LEVT_MAND: LEV mandate</w:t>
      </w:r>
    </w:p>
    <w:p w:rsidR="001A26B0" w:rsidRDefault="00E33A99">
      <w:pPr>
        <w:pStyle w:val="ListParagraph"/>
        <w:spacing w:after="120"/>
        <w:contextualSpacing w:val="0"/>
        <w:rPr>
          <w:noProof/>
          <w:lang w:val="en-US"/>
        </w:rPr>
      </w:pPr>
      <w:r>
        <w:rPr>
          <w:noProof/>
          <w:szCs w:val="24"/>
          <w:lang w:val="en-US"/>
        </w:rPr>
        <w:t xml:space="preserve">Under this option, each manufacturer's new vehicle fleet would have to include at least a given share of LEV. </w:t>
      </w:r>
    </w:p>
    <w:p w:rsidR="001A26B0" w:rsidRDefault="00E33A99">
      <w:pPr>
        <w:pStyle w:val="ListParagraph"/>
        <w:numPr>
          <w:ilvl w:val="0"/>
          <w:numId w:val="24"/>
        </w:numPr>
        <w:spacing w:after="120"/>
        <w:contextualSpacing w:val="0"/>
        <w:rPr>
          <w:noProof/>
          <w:szCs w:val="24"/>
          <w:lang w:val="en-US"/>
        </w:rPr>
      </w:pPr>
      <w:r>
        <w:rPr>
          <w:noProof/>
          <w:szCs w:val="24"/>
        </w:rPr>
        <w:t>Option LEVT_CRED1: LEV crediting system with one-way adjustment of the CO</w:t>
      </w:r>
      <w:r>
        <w:rPr>
          <w:noProof/>
          <w:szCs w:val="24"/>
          <w:vertAlign w:val="subscript"/>
        </w:rPr>
        <w:t>2</w:t>
      </w:r>
      <w:r>
        <w:rPr>
          <w:noProof/>
          <w:szCs w:val="24"/>
        </w:rPr>
        <w:t xml:space="preserve"> target</w:t>
      </w:r>
    </w:p>
    <w:p w:rsidR="001A26B0" w:rsidRDefault="00E33A99">
      <w:pPr>
        <w:pStyle w:val="ListParagraph"/>
        <w:spacing w:after="120"/>
        <w:contextualSpacing w:val="0"/>
        <w:rPr>
          <w:noProof/>
          <w:szCs w:val="24"/>
          <w:lang w:val="en-US"/>
        </w:rPr>
      </w:pPr>
      <w:r>
        <w:rPr>
          <w:noProof/>
          <w:szCs w:val="24"/>
          <w:lang w:val="en-US"/>
        </w:rPr>
        <w:t xml:space="preserve">This </w:t>
      </w:r>
      <w:r>
        <w:rPr>
          <w:noProof/>
          <w:szCs w:val="24"/>
          <w:lang w:val="en-US"/>
        </w:rPr>
        <w:t>option builds on and improves the current super-credits system. The LEV incentive would take the form of a crediting system in connection with a manufacturer's specific CO</w:t>
      </w:r>
      <w:r>
        <w:rPr>
          <w:noProof/>
          <w:szCs w:val="24"/>
          <w:vertAlign w:val="subscript"/>
          <w:lang w:val="en-US"/>
        </w:rPr>
        <w:t>2</w:t>
      </w:r>
      <w:r>
        <w:rPr>
          <w:noProof/>
          <w:szCs w:val="24"/>
          <w:lang w:val="en-US"/>
        </w:rPr>
        <w:t xml:space="preserve"> target. A benchmark would be defined for the share of LEV in the new fleet in a giv</w:t>
      </w:r>
      <w:r>
        <w:rPr>
          <w:noProof/>
          <w:szCs w:val="24"/>
          <w:lang w:val="en-US"/>
        </w:rPr>
        <w:t>en year. The specific CO</w:t>
      </w:r>
      <w:r>
        <w:rPr>
          <w:noProof/>
          <w:szCs w:val="24"/>
          <w:vertAlign w:val="subscript"/>
          <w:lang w:val="en-US"/>
        </w:rPr>
        <w:t>2</w:t>
      </w:r>
      <w:r>
        <w:rPr>
          <w:noProof/>
          <w:szCs w:val="24"/>
          <w:lang w:val="en-US"/>
        </w:rPr>
        <w:t xml:space="preserve"> target of a manufacturer exceeding this LEV benchmark would be adjusted as follows: each LEV registration above the benchmark would be rewarded on a 1%/1% ratio, meaning that a manufacturer registering 1% more LEV than the benchma</w:t>
      </w:r>
      <w:r>
        <w:rPr>
          <w:noProof/>
          <w:szCs w:val="24"/>
          <w:lang w:val="en-US"/>
        </w:rPr>
        <w:t>rk would get a 1% less stringent CO</w:t>
      </w:r>
      <w:r>
        <w:rPr>
          <w:noProof/>
          <w:szCs w:val="24"/>
          <w:vertAlign w:val="subscript"/>
          <w:lang w:val="en-US"/>
        </w:rPr>
        <w:t>2</w:t>
      </w:r>
      <w:r>
        <w:rPr>
          <w:noProof/>
          <w:szCs w:val="24"/>
          <w:lang w:val="en-US"/>
        </w:rPr>
        <w:t xml:space="preserve"> target. The CO</w:t>
      </w:r>
      <w:r>
        <w:rPr>
          <w:noProof/>
          <w:szCs w:val="24"/>
          <w:vertAlign w:val="subscript"/>
          <w:lang w:val="en-US"/>
        </w:rPr>
        <w:t>2</w:t>
      </w:r>
      <w:r>
        <w:rPr>
          <w:noProof/>
          <w:szCs w:val="24"/>
          <w:lang w:val="en-US"/>
        </w:rPr>
        <w:t xml:space="preserve"> target adjustment would be limited to 5% in order to avoid it to be weakened too much. Assessing compliance would be done only against the CO</w:t>
      </w:r>
      <w:r>
        <w:rPr>
          <w:noProof/>
          <w:szCs w:val="24"/>
          <w:vertAlign w:val="subscript"/>
          <w:lang w:val="en-US"/>
        </w:rPr>
        <w:t>2</w:t>
      </w:r>
      <w:r>
        <w:rPr>
          <w:noProof/>
          <w:szCs w:val="24"/>
          <w:lang w:val="en-US"/>
        </w:rPr>
        <w:t xml:space="preserve"> target. Not meeting the LEV benchmark would have no conseque</w:t>
      </w:r>
      <w:r>
        <w:rPr>
          <w:noProof/>
          <w:szCs w:val="24"/>
          <w:lang w:val="en-US"/>
        </w:rPr>
        <w:t>nces for this compliance assessment.</w:t>
      </w:r>
    </w:p>
    <w:p w:rsidR="001A26B0" w:rsidRDefault="00E33A99">
      <w:pPr>
        <w:pStyle w:val="ListParagraph"/>
        <w:numPr>
          <w:ilvl w:val="0"/>
          <w:numId w:val="24"/>
        </w:numPr>
        <w:spacing w:after="120"/>
        <w:contextualSpacing w:val="0"/>
        <w:rPr>
          <w:noProof/>
          <w:szCs w:val="24"/>
          <w:lang w:val="en-US"/>
        </w:rPr>
      </w:pPr>
      <w:r>
        <w:rPr>
          <w:noProof/>
          <w:szCs w:val="24"/>
        </w:rPr>
        <w:t>Option LEVT_CRED2: LEV crediting system with two-way adjustment of the CO</w:t>
      </w:r>
      <w:r>
        <w:rPr>
          <w:noProof/>
          <w:szCs w:val="24"/>
          <w:vertAlign w:val="subscript"/>
        </w:rPr>
        <w:t>2</w:t>
      </w:r>
      <w:r>
        <w:rPr>
          <w:noProof/>
          <w:szCs w:val="24"/>
        </w:rPr>
        <w:t xml:space="preserve"> target</w:t>
      </w:r>
    </w:p>
    <w:p w:rsidR="001A26B0" w:rsidRDefault="00E33A99">
      <w:pPr>
        <w:pStyle w:val="ListParagraph"/>
        <w:spacing w:after="120"/>
        <w:contextualSpacing w:val="0"/>
        <w:rPr>
          <w:noProof/>
          <w:szCs w:val="24"/>
          <w:lang w:val="en-US"/>
        </w:rPr>
      </w:pPr>
      <w:r>
        <w:rPr>
          <w:noProof/>
          <w:szCs w:val="24"/>
        </w:rPr>
        <w:t xml:space="preserve">This option only differs from option LEVT_CRED1 in that </w:t>
      </w:r>
      <w:r>
        <w:rPr>
          <w:noProof/>
          <w:szCs w:val="24"/>
          <w:lang w:val="en-US"/>
        </w:rPr>
        <w:t>a manufacturer not meeting the LEV benchmark level would have to comply with a st</w:t>
      </w:r>
      <w:r>
        <w:rPr>
          <w:noProof/>
          <w:szCs w:val="24"/>
          <w:lang w:val="en-US"/>
        </w:rPr>
        <w:t>ricter specific CO</w:t>
      </w:r>
      <w:r>
        <w:rPr>
          <w:noProof/>
          <w:szCs w:val="24"/>
          <w:vertAlign w:val="subscript"/>
          <w:lang w:val="en-US"/>
        </w:rPr>
        <w:t>2</w:t>
      </w:r>
      <w:r>
        <w:rPr>
          <w:noProof/>
          <w:szCs w:val="24"/>
          <w:lang w:val="en-US"/>
        </w:rPr>
        <w:t xml:space="preserve"> target. Again, each LEV registration below the benchmark would be counted at a 1%/1% ratio, meaning that a manufacturer registering 1% less LEV than the benchmark would get a 1% more stringent CO</w:t>
      </w:r>
      <w:r>
        <w:rPr>
          <w:noProof/>
          <w:szCs w:val="24"/>
          <w:vertAlign w:val="subscript"/>
          <w:lang w:val="en-US"/>
        </w:rPr>
        <w:t>2</w:t>
      </w:r>
      <w:r>
        <w:rPr>
          <w:noProof/>
          <w:szCs w:val="24"/>
          <w:lang w:val="en-US"/>
        </w:rPr>
        <w:t xml:space="preserve"> target. The CO</w:t>
      </w:r>
      <w:r>
        <w:rPr>
          <w:noProof/>
          <w:szCs w:val="24"/>
          <w:vertAlign w:val="subscript"/>
          <w:lang w:val="en-US"/>
        </w:rPr>
        <w:t xml:space="preserve">2 </w:t>
      </w:r>
      <w:r>
        <w:rPr>
          <w:noProof/>
          <w:szCs w:val="24"/>
          <w:lang w:val="en-US"/>
        </w:rPr>
        <w:t>target adjustment would</w:t>
      </w:r>
      <w:r>
        <w:rPr>
          <w:noProof/>
          <w:szCs w:val="24"/>
          <w:lang w:val="en-US"/>
        </w:rPr>
        <w:t xml:space="preserve"> also be limited to 5%. Not meeting the LEV benchmark would therefore be reflected in the compliance assessment through a more stringent CO</w:t>
      </w:r>
      <w:r>
        <w:rPr>
          <w:noProof/>
          <w:szCs w:val="24"/>
          <w:vertAlign w:val="subscript"/>
          <w:lang w:val="en-US"/>
        </w:rPr>
        <w:t>2</w:t>
      </w:r>
      <w:r>
        <w:rPr>
          <w:noProof/>
          <w:szCs w:val="24"/>
          <w:lang w:val="en-US"/>
        </w:rPr>
        <w:t xml:space="preserve"> target.</w:t>
      </w:r>
    </w:p>
    <w:p w:rsidR="001A26B0" w:rsidRDefault="00E33A99">
      <w:pPr>
        <w:pStyle w:val="ListParagraph"/>
        <w:spacing w:after="120"/>
        <w:ind w:left="0"/>
        <w:contextualSpacing w:val="0"/>
        <w:rPr>
          <w:noProof/>
          <w:szCs w:val="24"/>
        </w:rPr>
      </w:pPr>
      <w:r>
        <w:rPr>
          <w:noProof/>
        </w:rPr>
        <w:t>As regards the percentage of the new vehicle fleet serving as the LEV mandate (LEVT_MAND) or benchmark (opt</w:t>
      </w:r>
      <w:r>
        <w:rPr>
          <w:noProof/>
        </w:rPr>
        <w:t>ions LEVT_CRED), three options are considered for cars, labelled LEV%_A,  LEV%_B and LEV%_C, and two options for vans, labelled LEV%_A and LEV%_B</w:t>
      </w:r>
      <w:r>
        <w:rPr>
          <w:noProof/>
          <w:szCs w:val="24"/>
        </w:rPr>
        <w:t>. The values chosen for the LEV mandate/benchmark are incremental compared to the LEV shares in the new vehicle</w:t>
      </w:r>
      <w:r>
        <w:rPr>
          <w:noProof/>
          <w:szCs w:val="24"/>
        </w:rPr>
        <w:t xml:space="preserve"> fleet under option LEV0, while taking account of recent announcements by vehicle manufacturers as regards their expected LEV share. This is further explained in Section 0.</w:t>
      </w:r>
    </w:p>
    <w:p w:rsidR="001A26B0" w:rsidRDefault="00E33A99">
      <w:pPr>
        <w:pStyle w:val="Caption"/>
        <w:spacing w:before="0"/>
        <w:rPr>
          <w:noProof/>
          <w:lang w:val="en"/>
        </w:rPr>
      </w:pPr>
      <w:r>
        <w:rPr>
          <w:b w:val="0"/>
          <w:noProof/>
        </w:rPr>
        <w:t>The assessment will be based on applying the same LEV mandate/benchmark for all man</w:t>
      </w:r>
      <w:r>
        <w:rPr>
          <w:b w:val="0"/>
          <w:noProof/>
        </w:rPr>
        <w:t xml:space="preserve">ufacturers. The option of differentiating between OEMs has been not been withheld. </w:t>
      </w:r>
    </w:p>
    <w:p w:rsidR="001A26B0" w:rsidRDefault="00E33A99">
      <w:pPr>
        <w:pStyle w:val="Heading2"/>
        <w:rPr>
          <w:noProof/>
        </w:rPr>
      </w:pPr>
      <w:bookmarkStart w:id="132" w:name="_Toc496635593"/>
      <w:r>
        <w:rPr>
          <w:noProof/>
        </w:rPr>
        <w:t>Elements for cost-effective implementation</w:t>
      </w:r>
      <w:bookmarkEnd w:id="132"/>
    </w:p>
    <w:p w:rsidR="001A26B0" w:rsidRDefault="00E33A99">
      <w:pPr>
        <w:pStyle w:val="Heading3"/>
        <w:rPr>
          <w:noProof/>
        </w:rPr>
      </w:pPr>
      <w:bookmarkStart w:id="133" w:name="_Toc492548042"/>
      <w:bookmarkStart w:id="134" w:name="_Toc496635594"/>
      <w:bookmarkStart w:id="135" w:name="_Toc487211782"/>
      <w:bookmarkStart w:id="136" w:name="_Toc467857500"/>
      <w:r>
        <w:rPr>
          <w:noProof/>
        </w:rPr>
        <w:t>Eco-innovations</w:t>
      </w:r>
      <w:bookmarkEnd w:id="133"/>
      <w:r>
        <w:rPr>
          <w:noProof/>
        </w:rPr>
        <w:t xml:space="preserve"> (ECO)</w:t>
      </w:r>
      <w:bookmarkEnd w:id="134"/>
    </w:p>
    <w:p w:rsidR="001A26B0" w:rsidRDefault="00E33A99">
      <w:pPr>
        <w:spacing w:after="120"/>
        <w:rPr>
          <w:noProof/>
        </w:rPr>
      </w:pPr>
      <w:bookmarkStart w:id="137" w:name="_Toc492548043"/>
      <w:r>
        <w:rPr>
          <w:noProof/>
        </w:rPr>
        <w:t>Article 12 of the Cars and Vans Regulations provides manufacturers with the possibility to take into accoun</w:t>
      </w:r>
      <w:r>
        <w:rPr>
          <w:noProof/>
        </w:rPr>
        <w:t>t CO</w:t>
      </w:r>
      <w:r>
        <w:rPr>
          <w:noProof/>
          <w:vertAlign w:val="subscript"/>
        </w:rPr>
        <w:t>2</w:t>
      </w:r>
      <w:r>
        <w:rPr>
          <w:noProof/>
        </w:rPr>
        <w:t xml:space="preserve"> reductions achieved by innovative technologies whose CO</w:t>
      </w:r>
      <w:r>
        <w:rPr>
          <w:noProof/>
          <w:vertAlign w:val="subscript"/>
        </w:rPr>
        <w:t>2</w:t>
      </w:r>
      <w:r>
        <w:rPr>
          <w:noProof/>
        </w:rPr>
        <w:t xml:space="preserve"> reducing effect cannot be demonstrated through the official test procedure. Vehicle manufacturers and component suppliers may apply for the Commission's approval of a technology as an eco-innov</w:t>
      </w:r>
      <w:r>
        <w:rPr>
          <w:noProof/>
        </w:rPr>
        <w:t xml:space="preserve">ation, if it fulfils the following basic conditions: </w:t>
      </w:r>
    </w:p>
    <w:p w:rsidR="001A26B0" w:rsidRDefault="00E33A99">
      <w:pPr>
        <w:numPr>
          <w:ilvl w:val="0"/>
          <w:numId w:val="22"/>
        </w:numPr>
        <w:spacing w:after="120"/>
        <w:rPr>
          <w:noProof/>
        </w:rPr>
      </w:pPr>
      <w:r>
        <w:rPr>
          <w:noProof/>
        </w:rPr>
        <w:t>The supplier or manufacturer must be accountable for the CO</w:t>
      </w:r>
      <w:r>
        <w:rPr>
          <w:noProof/>
          <w:vertAlign w:val="subscript"/>
        </w:rPr>
        <w:t>2</w:t>
      </w:r>
      <w:r>
        <w:rPr>
          <w:noProof/>
        </w:rPr>
        <w:t xml:space="preserve"> savings achieved;</w:t>
      </w:r>
    </w:p>
    <w:p w:rsidR="001A26B0" w:rsidRDefault="00E33A99">
      <w:pPr>
        <w:numPr>
          <w:ilvl w:val="0"/>
          <w:numId w:val="22"/>
        </w:numPr>
        <w:spacing w:after="120"/>
        <w:rPr>
          <w:noProof/>
        </w:rPr>
      </w:pPr>
      <w:r>
        <w:rPr>
          <w:noProof/>
        </w:rPr>
        <w:t>The technologies must make a verified contribution to CO</w:t>
      </w:r>
      <w:r>
        <w:rPr>
          <w:noProof/>
          <w:vertAlign w:val="subscript"/>
        </w:rPr>
        <w:t>2</w:t>
      </w:r>
      <w:r>
        <w:rPr>
          <w:noProof/>
        </w:rPr>
        <w:t xml:space="preserve"> reduction;</w:t>
      </w:r>
    </w:p>
    <w:p w:rsidR="001A26B0" w:rsidRDefault="00E33A99">
      <w:pPr>
        <w:numPr>
          <w:ilvl w:val="0"/>
          <w:numId w:val="22"/>
        </w:numPr>
        <w:spacing w:after="120"/>
        <w:rPr>
          <w:noProof/>
        </w:rPr>
      </w:pPr>
      <w:r>
        <w:rPr>
          <w:noProof/>
        </w:rPr>
        <w:t>The technologies must not be covered by the standard t</w:t>
      </w:r>
      <w:r>
        <w:rPr>
          <w:noProof/>
        </w:rPr>
        <w:t>est cycle CO</w:t>
      </w:r>
      <w:r>
        <w:rPr>
          <w:noProof/>
          <w:vertAlign w:val="subscript"/>
        </w:rPr>
        <w:t>2</w:t>
      </w:r>
      <w:r>
        <w:rPr>
          <w:noProof/>
        </w:rPr>
        <w:t xml:space="preserve"> measurement or by mandatory provisions covered by the so-called Union's integrated approach to reach 10 g CO</w:t>
      </w:r>
      <w:r>
        <w:rPr>
          <w:noProof/>
          <w:vertAlign w:val="subscript"/>
        </w:rPr>
        <w:t>2</w:t>
      </w:r>
      <w:r>
        <w:rPr>
          <w:noProof/>
        </w:rPr>
        <w:t>/km (Article 1 and Article 12(2)(c) of the Cars Regulation</w:t>
      </w:r>
      <w:r>
        <w:rPr>
          <w:noProof/>
          <w:vertAlign w:val="superscript"/>
        </w:rPr>
        <w:footnoteReference w:id="106"/>
      </w:r>
      <w:r>
        <w:rPr>
          <w:noProof/>
        </w:rPr>
        <w:t>, see below for more information).</w:t>
      </w:r>
    </w:p>
    <w:p w:rsidR="001A26B0" w:rsidRDefault="00E33A99">
      <w:pPr>
        <w:spacing w:after="120"/>
        <w:rPr>
          <w:noProof/>
        </w:rPr>
      </w:pPr>
      <w:r>
        <w:rPr>
          <w:noProof/>
        </w:rPr>
        <w:t xml:space="preserve">Where an approved eco-innovation </w:t>
      </w:r>
      <w:r>
        <w:rPr>
          <w:noProof/>
        </w:rPr>
        <w:t>technology is fitted to a manufacturer's vehicles, the average specific emissions of that manufacturer may be reduced by the CO</w:t>
      </w:r>
      <w:r>
        <w:rPr>
          <w:noProof/>
          <w:vertAlign w:val="subscript"/>
        </w:rPr>
        <w:t>2</w:t>
      </w:r>
      <w:r>
        <w:rPr>
          <w:noProof/>
        </w:rPr>
        <w:t xml:space="preserve"> savings from applying that technology, up to a maximum of 7 g CO</w:t>
      </w:r>
      <w:r>
        <w:rPr>
          <w:noProof/>
          <w:vertAlign w:val="subscript"/>
        </w:rPr>
        <w:t>2</w:t>
      </w:r>
      <w:r>
        <w:rPr>
          <w:noProof/>
        </w:rPr>
        <w:t xml:space="preserve">/km per year. </w:t>
      </w:r>
    </w:p>
    <w:p w:rsidR="001A26B0" w:rsidRDefault="00E33A99">
      <w:pPr>
        <w:spacing w:after="120"/>
        <w:rPr>
          <w:noProof/>
        </w:rPr>
      </w:pPr>
      <w:r>
        <w:rPr>
          <w:noProof/>
        </w:rPr>
        <w:t>The Commission is empowered to adopt detailed p</w:t>
      </w:r>
      <w:r>
        <w:rPr>
          <w:noProof/>
        </w:rPr>
        <w:t xml:space="preserve">rovisions on the application procedure, including on the implementation of the criteria listed above. So far, the Commission has adopted more than 20 decisions approving eco-innovations for use in cars, for instance LED lighting systems and more efficient </w:t>
      </w:r>
      <w:r>
        <w:rPr>
          <w:noProof/>
        </w:rPr>
        <w:t>alternators. No applications have yet been submitted with regard to vans.</w:t>
      </w:r>
    </w:p>
    <w:p w:rsidR="001A26B0" w:rsidRDefault="00E33A99">
      <w:pPr>
        <w:spacing w:after="120"/>
        <w:rPr>
          <w:noProof/>
        </w:rPr>
      </w:pPr>
      <w:r>
        <w:rPr>
          <w:noProof/>
        </w:rPr>
        <w:t>Both the previous impact assessment</w:t>
      </w:r>
      <w:r>
        <w:rPr>
          <w:noProof/>
          <w:vertAlign w:val="superscript"/>
        </w:rPr>
        <w:footnoteReference w:id="107"/>
      </w:r>
      <w:r>
        <w:rPr>
          <w:noProof/>
        </w:rPr>
        <w:t xml:space="preserve"> and the evaluation study concerning the Cars and Vans Regulations concluded that eco-innovations are effective and efficient as they help to redu</w:t>
      </w:r>
      <w:r>
        <w:rPr>
          <w:noProof/>
        </w:rPr>
        <w:t>ce CO</w:t>
      </w:r>
      <w:r>
        <w:rPr>
          <w:noProof/>
          <w:vertAlign w:val="subscript"/>
        </w:rPr>
        <w:t>2</w:t>
      </w:r>
      <w:r>
        <w:rPr>
          <w:noProof/>
        </w:rPr>
        <w:t xml:space="preserve"> emissions at a lower cost than alternative options. While it could be argued that the stringency of the targets as measured on the official test procedure would be reduced by this modality, this effect is balanced by the delivery of ‘off cycle’ emis</w:t>
      </w:r>
      <w:r>
        <w:rPr>
          <w:noProof/>
        </w:rPr>
        <w:t xml:space="preserve">sion reductions which cannot be measured on the test procedure and by setting a cap on the contribution of those reductions to the target achievement. </w:t>
      </w:r>
    </w:p>
    <w:p w:rsidR="001A26B0" w:rsidRDefault="00E33A99">
      <w:pPr>
        <w:spacing w:after="120"/>
        <w:rPr>
          <w:noProof/>
        </w:rPr>
      </w:pPr>
      <w:r>
        <w:rPr>
          <w:noProof/>
        </w:rPr>
        <w:t xml:space="preserve">During the public consultation, a very large majority of stakeholders across all stakeholder groups was </w:t>
      </w:r>
      <w:r>
        <w:rPr>
          <w:noProof/>
        </w:rPr>
        <w:t>in favour of taking account of CO</w:t>
      </w:r>
      <w:r>
        <w:rPr>
          <w:noProof/>
          <w:vertAlign w:val="subscript"/>
        </w:rPr>
        <w:t>2</w:t>
      </w:r>
      <w:r>
        <w:rPr>
          <w:noProof/>
        </w:rPr>
        <w:t xml:space="preserve"> emission reductions arising from eco-innovations. Moreover, the evaluation study concluded that there is evidence supporting that the introduction of the Regulations has had a positive impact on innovation through encoura</w:t>
      </w:r>
      <w:r>
        <w:rPr>
          <w:noProof/>
        </w:rPr>
        <w:t>ging higher R&amp;D, and the development and deployment of fuel efficient technologies in the market. A phase-out of the eco-innovation modality will therefore not be considered as an option.</w:t>
      </w:r>
    </w:p>
    <w:p w:rsidR="001A26B0" w:rsidRDefault="00E33A99">
      <w:pPr>
        <w:spacing w:after="120"/>
        <w:rPr>
          <w:noProof/>
          <w:color w:val="000000" w:themeColor="text1"/>
        </w:rPr>
      </w:pPr>
      <w:r>
        <w:rPr>
          <w:noProof/>
          <w:color w:val="000000" w:themeColor="text1"/>
        </w:rPr>
        <w:t>The evaluation study as well as stakeholders have however raised the issue of the administrative burden linked to the application and certification of savings as an issue and have suggested that the eco-innovation regime could be simplified in order to ens</w:t>
      </w:r>
      <w:r>
        <w:rPr>
          <w:noProof/>
          <w:color w:val="000000" w:themeColor="text1"/>
        </w:rPr>
        <w:t xml:space="preserve">ure a wider up-take of eco-innovations in the EU fleet. </w:t>
      </w:r>
    </w:p>
    <w:p w:rsidR="001A26B0" w:rsidRDefault="00E33A99">
      <w:pPr>
        <w:spacing w:after="120"/>
        <w:rPr>
          <w:noProof/>
          <w:color w:val="000000" w:themeColor="text1"/>
        </w:rPr>
      </w:pPr>
      <w:r>
        <w:rPr>
          <w:noProof/>
          <w:color w:val="000000" w:themeColor="text1"/>
        </w:rPr>
        <w:t>Under the Cars and Vans Regulations (Article 12), the Commission is empowered to adopt detailed provisions on the application process, through which it may address any issues related to the administr</w:t>
      </w:r>
      <w:r>
        <w:rPr>
          <w:noProof/>
          <w:color w:val="000000" w:themeColor="text1"/>
        </w:rPr>
        <w:t xml:space="preserve">ative burden for industry and/or authorities. The Implementing Regulations </w:t>
      </w:r>
      <w:r>
        <w:rPr>
          <w:rStyle w:val="FootnoteReference"/>
          <w:noProof/>
          <w:color w:val="000000" w:themeColor="text1"/>
        </w:rPr>
        <w:footnoteReference w:id="108"/>
      </w:r>
      <w:r>
        <w:rPr>
          <w:noProof/>
          <w:color w:val="000000" w:themeColor="text1"/>
        </w:rPr>
        <w:t xml:space="preserve"> set out the requirements for applications as well as for the certification by type approval authorities of the CO</w:t>
      </w:r>
      <w:r>
        <w:rPr>
          <w:noProof/>
          <w:color w:val="000000" w:themeColor="text1"/>
          <w:vertAlign w:val="subscript"/>
        </w:rPr>
        <w:t>2</w:t>
      </w:r>
      <w:r>
        <w:rPr>
          <w:noProof/>
          <w:color w:val="000000" w:themeColor="text1"/>
        </w:rPr>
        <w:t xml:space="preserve"> savings from the approved technologies. </w:t>
      </w:r>
    </w:p>
    <w:p w:rsidR="001A26B0" w:rsidRDefault="00E33A99">
      <w:pPr>
        <w:spacing w:after="120"/>
        <w:rPr>
          <w:noProof/>
          <w:color w:val="000000" w:themeColor="text1"/>
        </w:rPr>
      </w:pPr>
      <w:r>
        <w:rPr>
          <w:noProof/>
          <w:color w:val="000000" w:themeColor="text1"/>
        </w:rPr>
        <w:t>A revision of the Imple</w:t>
      </w:r>
      <w:r>
        <w:rPr>
          <w:noProof/>
          <w:color w:val="000000" w:themeColor="text1"/>
        </w:rPr>
        <w:t>menting Regulations is currently underway, with a view of adapting it to the new test procedure WLTP, but also to introduce a number of simplifications without changing the robustness of the assessment of the applications or the certification of the saving</w:t>
      </w:r>
      <w:r>
        <w:rPr>
          <w:noProof/>
          <w:color w:val="000000" w:themeColor="text1"/>
        </w:rPr>
        <w:t>s. The revision includes consideration of the US approach of determining off-cycle technologies with pre-defined CO</w:t>
      </w:r>
      <w:r>
        <w:rPr>
          <w:noProof/>
          <w:color w:val="000000" w:themeColor="text1"/>
          <w:vertAlign w:val="subscript"/>
        </w:rPr>
        <w:t>2</w:t>
      </w:r>
      <w:r>
        <w:rPr>
          <w:noProof/>
          <w:color w:val="000000" w:themeColor="text1"/>
        </w:rPr>
        <w:t xml:space="preserve"> savings as well as the possibility for amending existing approval decision upon request by stakeholders or at the Commission's initiative. </w:t>
      </w:r>
    </w:p>
    <w:p w:rsidR="001A26B0" w:rsidRDefault="00E33A99">
      <w:pPr>
        <w:spacing w:after="120"/>
        <w:rPr>
          <w:noProof/>
          <w:color w:val="000000" w:themeColor="text1"/>
        </w:rPr>
      </w:pPr>
      <w:r>
        <w:rPr>
          <w:noProof/>
          <w:color w:val="000000" w:themeColor="text1"/>
        </w:rPr>
        <w:t>In view of this, it can be concluded that the current concept of eco-innovations is both efficient in that approved innovations will reduce CO</w:t>
      </w:r>
      <w:r>
        <w:rPr>
          <w:noProof/>
          <w:color w:val="000000" w:themeColor="text1"/>
          <w:vertAlign w:val="subscript"/>
        </w:rPr>
        <w:t>2</w:t>
      </w:r>
      <w:r>
        <w:rPr>
          <w:noProof/>
          <w:color w:val="000000" w:themeColor="text1"/>
        </w:rPr>
        <w:t xml:space="preserve"> emissions and cost-effective in that their cost should be lower than alternative options, while not causing any</w:t>
      </w:r>
      <w:r>
        <w:rPr>
          <w:noProof/>
          <w:color w:val="000000" w:themeColor="text1"/>
        </w:rPr>
        <w:t xml:space="preserve"> significant adverse effects with regard to the stringency of the targets. </w:t>
      </w:r>
    </w:p>
    <w:p w:rsidR="001A26B0" w:rsidRDefault="00E33A99">
      <w:pPr>
        <w:spacing w:after="120"/>
        <w:rPr>
          <w:noProof/>
          <w:color w:val="000000" w:themeColor="text1"/>
        </w:rPr>
      </w:pPr>
      <w:r>
        <w:rPr>
          <w:noProof/>
          <w:color w:val="000000" w:themeColor="text1"/>
        </w:rPr>
        <w:t>Moreover, the current design of the provisions provides the Commission with the necessary powers to address effectively the concerns raised by stakeholders and identified in the re</w:t>
      </w:r>
      <w:r>
        <w:rPr>
          <w:noProof/>
          <w:color w:val="000000" w:themeColor="text1"/>
        </w:rPr>
        <w:t xml:space="preserve">levant studies with regard to the administrative burden. </w:t>
      </w:r>
    </w:p>
    <w:p w:rsidR="001A26B0" w:rsidRDefault="00E33A99">
      <w:pPr>
        <w:spacing w:after="120"/>
        <w:rPr>
          <w:noProof/>
          <w:color w:val="000000" w:themeColor="text1"/>
        </w:rPr>
      </w:pPr>
      <w:r>
        <w:rPr>
          <w:noProof/>
          <w:color w:val="000000" w:themeColor="text1"/>
        </w:rPr>
        <w:t>Against that background, it is considered that the current design of the eco-innovation modality is fit for purpose and can be maintained for the period 2022 to 2030. However, two issues require fur</w:t>
      </w:r>
      <w:r>
        <w:rPr>
          <w:noProof/>
          <w:color w:val="000000" w:themeColor="text1"/>
        </w:rPr>
        <w:t>ther consideration: the cap for the CO</w:t>
      </w:r>
      <w:r>
        <w:rPr>
          <w:noProof/>
          <w:color w:val="000000" w:themeColor="text1"/>
          <w:vertAlign w:val="subscript"/>
        </w:rPr>
        <w:t>2</w:t>
      </w:r>
      <w:r>
        <w:rPr>
          <w:noProof/>
          <w:color w:val="000000" w:themeColor="text1"/>
        </w:rPr>
        <w:t xml:space="preserve"> savings and the current exclusion of mobile air-conditioning systems from being eligible as eco-innovations. Manufacturers have in the context of the introduction of the WLTP requested an increase in the 7 g CO</w:t>
      </w:r>
      <w:r>
        <w:rPr>
          <w:noProof/>
          <w:color w:val="000000" w:themeColor="text1"/>
          <w:vertAlign w:val="subscript"/>
        </w:rPr>
        <w:t>2</w:t>
      </w:r>
      <w:r>
        <w:rPr>
          <w:noProof/>
          <w:color w:val="000000" w:themeColor="text1"/>
        </w:rPr>
        <w:t>/km c</w:t>
      </w:r>
      <w:r>
        <w:rPr>
          <w:noProof/>
          <w:color w:val="000000" w:themeColor="text1"/>
        </w:rPr>
        <w:t>ap. Manufacturers as well as component suppliers have also called for including mobile air-conditioning systems in the eco-innovation regime, pending any further regulation of such systems under the type approval legislation.</w:t>
      </w:r>
    </w:p>
    <w:p w:rsidR="001A26B0" w:rsidRDefault="00E33A99">
      <w:pPr>
        <w:spacing w:after="120"/>
        <w:rPr>
          <w:i/>
          <w:noProof/>
          <w:color w:val="000000" w:themeColor="text1"/>
          <w:u w:val="single"/>
        </w:rPr>
      </w:pPr>
      <w:r>
        <w:rPr>
          <w:i/>
          <w:noProof/>
          <w:color w:val="000000" w:themeColor="text1"/>
          <w:u w:val="single"/>
        </w:rPr>
        <w:t>Cap for the CO</w:t>
      </w:r>
      <w:r>
        <w:rPr>
          <w:i/>
          <w:noProof/>
          <w:color w:val="000000" w:themeColor="text1"/>
          <w:u w:val="single"/>
          <w:vertAlign w:val="subscript"/>
        </w:rPr>
        <w:t>2</w:t>
      </w:r>
      <w:r>
        <w:rPr>
          <w:i/>
          <w:noProof/>
          <w:color w:val="000000" w:themeColor="text1"/>
          <w:u w:val="single"/>
        </w:rPr>
        <w:t xml:space="preserve"> savings</w:t>
      </w:r>
    </w:p>
    <w:p w:rsidR="001A26B0" w:rsidRDefault="00E33A99">
      <w:pPr>
        <w:spacing w:after="120"/>
        <w:rPr>
          <w:noProof/>
          <w:color w:val="000000" w:themeColor="text1"/>
        </w:rPr>
      </w:pPr>
      <w:r>
        <w:rPr>
          <w:noProof/>
          <w:color w:val="000000" w:themeColor="text1"/>
        </w:rPr>
        <w:t>The cu</w:t>
      </w:r>
      <w:r>
        <w:rPr>
          <w:noProof/>
          <w:color w:val="000000" w:themeColor="text1"/>
        </w:rPr>
        <w:t>rrent eco-innovation regime includes a cap of 7 g CO</w:t>
      </w:r>
      <w:r>
        <w:rPr>
          <w:noProof/>
          <w:color w:val="000000" w:themeColor="text1"/>
          <w:vertAlign w:val="subscript"/>
        </w:rPr>
        <w:t>2</w:t>
      </w:r>
      <w:r>
        <w:rPr>
          <w:noProof/>
          <w:color w:val="000000" w:themeColor="text1"/>
        </w:rPr>
        <w:t>/km for the CO</w:t>
      </w:r>
      <w:r>
        <w:rPr>
          <w:noProof/>
          <w:color w:val="000000" w:themeColor="text1"/>
          <w:vertAlign w:val="subscript"/>
        </w:rPr>
        <w:t>2</w:t>
      </w:r>
      <w:r>
        <w:rPr>
          <w:noProof/>
          <w:color w:val="000000" w:themeColor="text1"/>
        </w:rPr>
        <w:t xml:space="preserve"> savings that may be taken into account for compliance purposes. The cap applies regardless of the target level and vehicle category concerned. Until now, the up-take of eco-innovations ha</w:t>
      </w:r>
      <w:r>
        <w:rPr>
          <w:noProof/>
          <w:color w:val="000000" w:themeColor="text1"/>
        </w:rPr>
        <w:t>s been limited (less than 1 g CO</w:t>
      </w:r>
      <w:r>
        <w:rPr>
          <w:noProof/>
          <w:color w:val="000000" w:themeColor="text1"/>
          <w:vertAlign w:val="subscript"/>
        </w:rPr>
        <w:t>2</w:t>
      </w:r>
      <w:r>
        <w:rPr>
          <w:noProof/>
          <w:color w:val="000000" w:themeColor="text1"/>
        </w:rPr>
        <w:t xml:space="preserve">/km in average savings for the manufacturer with the highest number of eco-innovations). It is however expected that the amount of eco-innovation credits used by manufacturers will increase significantly towards the target </w:t>
      </w:r>
      <w:r>
        <w:rPr>
          <w:noProof/>
          <w:color w:val="000000" w:themeColor="text1"/>
        </w:rPr>
        <w:t xml:space="preserve">years 2020-2021. </w:t>
      </w:r>
    </w:p>
    <w:p w:rsidR="001A26B0" w:rsidRDefault="00E33A99">
      <w:pPr>
        <w:spacing w:after="120"/>
        <w:rPr>
          <w:noProof/>
          <w:color w:val="000000" w:themeColor="text1"/>
        </w:rPr>
      </w:pPr>
      <w:r>
        <w:rPr>
          <w:noProof/>
          <w:color w:val="000000" w:themeColor="text1"/>
        </w:rPr>
        <w:t>The 7 g CO</w:t>
      </w:r>
      <w:r>
        <w:rPr>
          <w:noProof/>
          <w:color w:val="000000" w:themeColor="text1"/>
          <w:vertAlign w:val="subscript"/>
        </w:rPr>
        <w:t>2</w:t>
      </w:r>
      <w:r>
        <w:rPr>
          <w:noProof/>
          <w:color w:val="000000" w:themeColor="text1"/>
        </w:rPr>
        <w:t>/km cap has been set by reference to the emissions tested on the NEDC, while the EU-wide fleet CO</w:t>
      </w:r>
      <w:r>
        <w:rPr>
          <w:noProof/>
          <w:color w:val="000000" w:themeColor="text1"/>
          <w:vertAlign w:val="subscript"/>
        </w:rPr>
        <w:t xml:space="preserve">2 </w:t>
      </w:r>
      <w:r>
        <w:rPr>
          <w:noProof/>
          <w:color w:val="000000" w:themeColor="text1"/>
        </w:rPr>
        <w:t>targets for the period 2022 to 2030 are to be based on the emissions measured on the new WLTP type approval test. By setting a cap on the eco-innovation savings, a balance is ensured between incentives given to efficiency improvements demonstrated on the o</w:t>
      </w:r>
      <w:r>
        <w:rPr>
          <w:noProof/>
          <w:color w:val="000000" w:themeColor="text1"/>
        </w:rPr>
        <w:t>fficial test procedure and those given for the development of more efficient and new technologies that are not covered by that test. That balance also takes into account the fact that the target level is set on the basis of the test procedure emissions onl</w:t>
      </w:r>
      <w:r>
        <w:rPr>
          <w:noProof/>
          <w:color w:val="000000" w:themeColor="text1"/>
        </w:rPr>
        <w:t xml:space="preserve">y. </w:t>
      </w:r>
    </w:p>
    <w:p w:rsidR="001A26B0" w:rsidRDefault="00E33A99">
      <w:pPr>
        <w:spacing w:after="120"/>
        <w:rPr>
          <w:noProof/>
          <w:color w:val="000000" w:themeColor="text1"/>
        </w:rPr>
      </w:pPr>
      <w:r>
        <w:rPr>
          <w:noProof/>
          <w:color w:val="000000" w:themeColor="text1"/>
        </w:rPr>
        <w:t>The majority of technologies that have already been approved as eco-innovations will continue to fall outside also the WLTP test and will thus still be eligible as eco-innovations. There is however still uncertainty with regard to the level of the savi</w:t>
      </w:r>
      <w:r>
        <w:rPr>
          <w:noProof/>
          <w:color w:val="000000" w:themeColor="text1"/>
        </w:rPr>
        <w:t xml:space="preserve">ngs that can be expected from those technologies within the new testing framework as well as for the potential for other off-cycle technologies. </w:t>
      </w:r>
    </w:p>
    <w:p w:rsidR="001A26B0" w:rsidRDefault="00E33A99">
      <w:pPr>
        <w:spacing w:after="120"/>
        <w:rPr>
          <w:noProof/>
          <w:color w:val="000000" w:themeColor="text1"/>
        </w:rPr>
      </w:pPr>
      <w:r>
        <w:rPr>
          <w:noProof/>
          <w:color w:val="000000" w:themeColor="text1"/>
        </w:rPr>
        <w:t>Against that background, and in order to ensure a smooth transition from the NEDC to the WLTP testing conditio</w:t>
      </w:r>
      <w:r>
        <w:rPr>
          <w:noProof/>
          <w:color w:val="000000" w:themeColor="text1"/>
        </w:rPr>
        <w:t>ns, it is proposed to maintain the cap at the level of 7 g CO</w:t>
      </w:r>
      <w:r>
        <w:rPr>
          <w:noProof/>
          <w:color w:val="000000" w:themeColor="text1"/>
          <w:vertAlign w:val="subscript"/>
        </w:rPr>
        <w:t>2</w:t>
      </w:r>
      <w:r>
        <w:rPr>
          <w:noProof/>
          <w:color w:val="000000" w:themeColor="text1"/>
        </w:rPr>
        <w:t xml:space="preserve">/km pending the availability of more information with regard to the level of eco-innovation savings under the new WLTP test procedure. </w:t>
      </w:r>
    </w:p>
    <w:p w:rsidR="001A26B0" w:rsidRDefault="00E33A99">
      <w:pPr>
        <w:spacing w:after="120"/>
        <w:rPr>
          <w:noProof/>
          <w:color w:val="000000" w:themeColor="text1"/>
        </w:rPr>
      </w:pPr>
      <w:r>
        <w:rPr>
          <w:noProof/>
          <w:color w:val="000000" w:themeColor="text1"/>
        </w:rPr>
        <w:t>In order to be able to take into account the experience th</w:t>
      </w:r>
      <w:r>
        <w:rPr>
          <w:noProof/>
          <w:color w:val="000000" w:themeColor="text1"/>
        </w:rPr>
        <w:t>at will be gained from the implementation of that procedure in the next couple of years, it is appropriate to consider an option providing the Commission with an empowerment to review the level of the cap so as to ensure that incentives given to eco-innova</w:t>
      </w:r>
      <w:r>
        <w:rPr>
          <w:noProof/>
          <w:color w:val="000000" w:themeColor="text1"/>
        </w:rPr>
        <w:t>tions remain balanced and effective over time.</w:t>
      </w:r>
    </w:p>
    <w:p w:rsidR="001A26B0" w:rsidRDefault="00E33A99">
      <w:pPr>
        <w:spacing w:after="120"/>
        <w:rPr>
          <w:i/>
          <w:noProof/>
          <w:color w:val="000000" w:themeColor="text1"/>
          <w:u w:val="single"/>
        </w:rPr>
      </w:pPr>
      <w:r>
        <w:rPr>
          <w:i/>
          <w:noProof/>
          <w:color w:val="000000" w:themeColor="text1"/>
          <w:u w:val="single"/>
        </w:rPr>
        <w:t>Mobile air-conditioning systems (MAC systems)</w:t>
      </w:r>
    </w:p>
    <w:p w:rsidR="001A26B0" w:rsidRDefault="00E33A99">
      <w:pPr>
        <w:spacing w:after="120"/>
        <w:rPr>
          <w:noProof/>
          <w:color w:val="000000" w:themeColor="text1"/>
        </w:rPr>
      </w:pPr>
      <w:r>
        <w:rPr>
          <w:noProof/>
          <w:color w:val="000000" w:themeColor="text1"/>
        </w:rPr>
        <w:t>Under the Cars and Vans Regulations, measures that are covered by the so-called "integrated approach" as defined in the 2007 Commission Communication on A Competit</w:t>
      </w:r>
      <w:r>
        <w:rPr>
          <w:noProof/>
          <w:color w:val="000000" w:themeColor="text1"/>
        </w:rPr>
        <w:t>ive Automotive Regulatory Framework for the 21st Century</w:t>
      </w:r>
      <w:r>
        <w:rPr>
          <w:noProof/>
          <w:color w:val="000000" w:themeColor="text1"/>
          <w:vertAlign w:val="superscript"/>
        </w:rPr>
        <w:footnoteReference w:id="109"/>
      </w:r>
      <w:r>
        <w:rPr>
          <w:noProof/>
          <w:color w:val="000000" w:themeColor="text1"/>
        </w:rPr>
        <w:t xml:space="preserve"> are not eligible as eco-innovations</w:t>
      </w:r>
      <w:r>
        <w:rPr>
          <w:rStyle w:val="FootnoteReference"/>
          <w:noProof/>
          <w:color w:val="000000" w:themeColor="text1"/>
        </w:rPr>
        <w:footnoteReference w:id="110"/>
      </w:r>
      <w:r>
        <w:rPr>
          <w:noProof/>
          <w:color w:val="000000" w:themeColor="text1"/>
        </w:rPr>
        <w:t xml:space="preserve">. This includes, inter alia, MAC systems.  </w:t>
      </w:r>
    </w:p>
    <w:p w:rsidR="001A26B0" w:rsidRDefault="00E33A99">
      <w:pPr>
        <w:spacing w:after="120"/>
        <w:rPr>
          <w:noProof/>
          <w:color w:val="000000" w:themeColor="text1"/>
        </w:rPr>
      </w:pPr>
      <w:r>
        <w:rPr>
          <w:noProof/>
          <w:color w:val="000000" w:themeColor="text1"/>
        </w:rPr>
        <w:t>All measures related to this "integrated approach", with the exception of MAC systems, are subject to mandatory measur</w:t>
      </w:r>
      <w:r>
        <w:rPr>
          <w:noProof/>
          <w:color w:val="000000" w:themeColor="text1"/>
        </w:rPr>
        <w:t xml:space="preserve">es. This concerns tyre pressure monitoring systems, tyre rolling resistance limits, gear shift indicators, fuel efficiency standards for vans and the use of biofuels. Mandatory measures addressing the efficiency of MAC systems have not yet been introduced </w:t>
      </w:r>
      <w:r>
        <w:rPr>
          <w:noProof/>
          <w:color w:val="000000" w:themeColor="text1"/>
        </w:rPr>
        <w:t xml:space="preserve">and the WLTP test procedure, developed in the context of the UNECE, will not cover such systems in a foreseeable future.  </w:t>
      </w:r>
    </w:p>
    <w:p w:rsidR="001A26B0" w:rsidRDefault="00E33A99">
      <w:pPr>
        <w:autoSpaceDE w:val="0"/>
        <w:autoSpaceDN w:val="0"/>
        <w:adjustRightInd w:val="0"/>
        <w:spacing w:after="120"/>
        <w:rPr>
          <w:noProof/>
          <w:color w:val="000000" w:themeColor="text1"/>
        </w:rPr>
      </w:pPr>
      <w:r>
        <w:rPr>
          <w:noProof/>
          <w:color w:val="000000" w:themeColor="text1"/>
        </w:rPr>
        <w:t>Different studies</w:t>
      </w:r>
      <w:r>
        <w:rPr>
          <w:noProof/>
          <w:color w:val="000000" w:themeColor="text1"/>
          <w:vertAlign w:val="superscript"/>
        </w:rPr>
        <w:footnoteReference w:id="111"/>
      </w:r>
      <w:r>
        <w:rPr>
          <w:noProof/>
          <w:color w:val="000000" w:themeColor="text1"/>
        </w:rPr>
        <w:t xml:space="preserve"> have pointed to the absence of measures addressing the efficiency of MAC systems as a draw-back, considering that </w:t>
      </w:r>
      <w:r>
        <w:rPr>
          <w:noProof/>
          <w:color w:val="000000" w:themeColor="text1"/>
        </w:rPr>
        <w:t>MAC systems are one of the most important energy consumers on board vehicles, representing an average increase in fuel consumption in the order of 9%</w:t>
      </w:r>
      <w:r>
        <w:rPr>
          <w:noProof/>
          <w:vertAlign w:val="superscript"/>
        </w:rPr>
        <w:footnoteReference w:id="112"/>
      </w:r>
      <w:r>
        <w:rPr>
          <w:noProof/>
          <w:color w:val="000000" w:themeColor="text1"/>
        </w:rPr>
        <w:t>. Furthermore, these systems are becoming standard equipment in new vehicles. The share of new cars equipp</w:t>
      </w:r>
      <w:r>
        <w:rPr>
          <w:noProof/>
          <w:color w:val="000000" w:themeColor="text1"/>
        </w:rPr>
        <w:t>ed with MAC has risen from around 10% in 1993 to 85 % in 2011</w:t>
      </w:r>
      <w:r>
        <w:rPr>
          <w:rStyle w:val="FootnoteReference"/>
          <w:noProof/>
          <w:color w:val="000000" w:themeColor="text1"/>
        </w:rPr>
        <w:footnoteReference w:id="113"/>
      </w:r>
      <w:r>
        <w:rPr>
          <w:noProof/>
          <w:color w:val="000000" w:themeColor="text1"/>
        </w:rPr>
        <w:t xml:space="preserve">. </w:t>
      </w:r>
    </w:p>
    <w:p w:rsidR="001A26B0" w:rsidRDefault="00E33A99">
      <w:pPr>
        <w:spacing w:after="120"/>
        <w:rPr>
          <w:noProof/>
          <w:color w:val="000000" w:themeColor="text1"/>
        </w:rPr>
      </w:pPr>
      <w:r>
        <w:rPr>
          <w:noProof/>
          <w:color w:val="000000" w:themeColor="text1"/>
        </w:rPr>
        <w:t>Against that background, it is appropriate to consider the option of incentivising more energy efficient MAC systems within the context of eco-innovations. More efficient MAC could reduce the</w:t>
      </w:r>
      <w:r>
        <w:rPr>
          <w:noProof/>
          <w:color w:val="000000" w:themeColor="text1"/>
        </w:rPr>
        <w:t xml:space="preserve"> overall fuel consumption by at least 1 or 2%</w:t>
      </w:r>
      <w:r>
        <w:rPr>
          <w:noProof/>
          <w:vertAlign w:val="superscript"/>
        </w:rPr>
        <w:footnoteReference w:id="114"/>
      </w:r>
      <w:r>
        <w:rPr>
          <w:noProof/>
          <w:color w:val="000000" w:themeColor="text1"/>
        </w:rPr>
        <w:t xml:space="preserve">. </w:t>
      </w:r>
    </w:p>
    <w:p w:rsidR="001A26B0" w:rsidRDefault="00E33A99">
      <w:pPr>
        <w:spacing w:after="120"/>
        <w:rPr>
          <w:noProof/>
          <w:color w:val="000000" w:themeColor="text1"/>
        </w:rPr>
      </w:pPr>
      <w:r>
        <w:rPr>
          <w:noProof/>
          <w:color w:val="000000" w:themeColor="text1"/>
        </w:rPr>
        <w:t>It should also be noted that the US has introduced an off-cycle regime, according to which manufacturers that provide efficiency improvements in MAC systems can generate CO</w:t>
      </w:r>
      <w:r>
        <w:rPr>
          <w:noProof/>
          <w:color w:val="000000" w:themeColor="text1"/>
          <w:vertAlign w:val="subscript"/>
        </w:rPr>
        <w:t>2</w:t>
      </w:r>
      <w:r>
        <w:rPr>
          <w:noProof/>
          <w:color w:val="000000" w:themeColor="text1"/>
        </w:rPr>
        <w:t>-efficiency credits. The credits g</w:t>
      </w:r>
      <w:r>
        <w:rPr>
          <w:noProof/>
          <w:color w:val="000000" w:themeColor="text1"/>
        </w:rPr>
        <w:t>enerated by the use of efficient MAC systems represented an equivalent of around 1.9 g CO</w:t>
      </w:r>
      <w:r>
        <w:rPr>
          <w:noProof/>
          <w:color w:val="000000" w:themeColor="text1"/>
          <w:vertAlign w:val="subscript"/>
        </w:rPr>
        <w:t>2</w:t>
      </w:r>
      <w:r>
        <w:rPr>
          <w:noProof/>
          <w:color w:val="000000" w:themeColor="text1"/>
        </w:rPr>
        <w:t xml:space="preserve"> /km in 2014 and in 2015.</w:t>
      </w:r>
    </w:p>
    <w:p w:rsidR="001A26B0" w:rsidRDefault="00E33A99">
      <w:pPr>
        <w:spacing w:after="120"/>
        <w:rPr>
          <w:noProof/>
          <w:color w:val="000000" w:themeColor="text1"/>
        </w:rPr>
      </w:pPr>
      <w:r>
        <w:rPr>
          <w:noProof/>
          <w:color w:val="000000" w:themeColor="text1"/>
        </w:rPr>
        <w:t>It is therefore proposed to consider the option of extending the scope of the eco-innovation regime to include MAC systems.</w:t>
      </w:r>
    </w:p>
    <w:p w:rsidR="001A26B0" w:rsidRDefault="00E33A99">
      <w:pPr>
        <w:spacing w:after="120"/>
        <w:rPr>
          <w:noProof/>
        </w:rPr>
      </w:pPr>
      <w:r>
        <w:rPr>
          <w:noProof/>
        </w:rPr>
        <w:t>In view of the a</w:t>
      </w:r>
      <w:r>
        <w:rPr>
          <w:noProof/>
        </w:rPr>
        <w:t>bove, the following options are considered:</w:t>
      </w:r>
    </w:p>
    <w:p w:rsidR="001A26B0" w:rsidRDefault="00E33A99">
      <w:pPr>
        <w:pStyle w:val="ListParagraph"/>
        <w:numPr>
          <w:ilvl w:val="0"/>
          <w:numId w:val="40"/>
        </w:numPr>
        <w:spacing w:after="120"/>
        <w:contextualSpacing w:val="0"/>
        <w:rPr>
          <w:noProof/>
        </w:rPr>
      </w:pPr>
      <w:r>
        <w:rPr>
          <w:noProof/>
        </w:rPr>
        <w:t>Option ECO 0: Change nothing</w:t>
      </w:r>
    </w:p>
    <w:p w:rsidR="001A26B0" w:rsidRDefault="00E33A99">
      <w:pPr>
        <w:numPr>
          <w:ilvl w:val="0"/>
          <w:numId w:val="19"/>
        </w:numPr>
        <w:spacing w:after="120"/>
        <w:ind w:left="714" w:hanging="357"/>
        <w:rPr>
          <w:noProof/>
        </w:rPr>
      </w:pPr>
      <w:r>
        <w:rPr>
          <w:noProof/>
        </w:rPr>
        <w:t>Option ECO 1: Future review and possible adjustment of the cap on the eco-innovation savings</w:t>
      </w:r>
    </w:p>
    <w:p w:rsidR="001A26B0" w:rsidRDefault="00E33A99">
      <w:pPr>
        <w:spacing w:after="120"/>
        <w:ind w:left="357"/>
        <w:rPr>
          <w:noProof/>
        </w:rPr>
      </w:pPr>
      <w:r>
        <w:rPr>
          <w:noProof/>
        </w:rPr>
        <w:t>This option would maintain the current provisions of Article 12 of the Cars and Vans Regul</w:t>
      </w:r>
      <w:r>
        <w:rPr>
          <w:noProof/>
        </w:rPr>
        <w:t>ations but would introduce an empowerment for the Commission to review and, where found appropriate following an assessment, adjust the 7 g CO</w:t>
      </w:r>
      <w:r>
        <w:rPr>
          <w:noProof/>
          <w:vertAlign w:val="subscript"/>
        </w:rPr>
        <w:t>2</w:t>
      </w:r>
      <w:r>
        <w:rPr>
          <w:noProof/>
        </w:rPr>
        <w:t xml:space="preserve">/km cap set on the eco-innovation savings. </w:t>
      </w:r>
    </w:p>
    <w:p w:rsidR="001A26B0" w:rsidRDefault="00E33A99">
      <w:pPr>
        <w:pStyle w:val="ListParagraph"/>
        <w:numPr>
          <w:ilvl w:val="0"/>
          <w:numId w:val="19"/>
        </w:numPr>
        <w:spacing w:after="120"/>
        <w:ind w:left="719"/>
        <w:contextualSpacing w:val="0"/>
        <w:rPr>
          <w:noProof/>
        </w:rPr>
      </w:pPr>
      <w:r>
        <w:rPr>
          <w:noProof/>
        </w:rPr>
        <w:t xml:space="preserve">Option ECO 2: </w:t>
      </w:r>
      <w:r>
        <w:rPr>
          <w:noProof/>
          <w:color w:val="000000" w:themeColor="text1"/>
        </w:rPr>
        <w:t xml:space="preserve">Extend the scope of the eco-innovation regime to </w:t>
      </w:r>
      <w:r>
        <w:rPr>
          <w:noProof/>
          <w:color w:val="000000" w:themeColor="text1"/>
        </w:rPr>
        <w:t>include MAC systems</w:t>
      </w:r>
    </w:p>
    <w:p w:rsidR="001A26B0" w:rsidRDefault="00E33A99">
      <w:pPr>
        <w:spacing w:after="120"/>
        <w:ind w:left="360"/>
        <w:rPr>
          <w:noProof/>
        </w:rPr>
      </w:pPr>
      <w:r>
        <w:rPr>
          <w:noProof/>
        </w:rPr>
        <w:t>This option would also maintain the provisions of Article 12 of the Cars and Vans Regulations including the empowerment to adjust the cap as described in ECO1 but would remove the exclusion of MAC systems from being eligible as eco-inno</w:t>
      </w:r>
      <w:r>
        <w:rPr>
          <w:noProof/>
        </w:rPr>
        <w:t>vations. The design of the methodology for determining the efficiency of MAC systems would result from an application by a manufacturer or supplier which would have to be assessed and approved by the Commission.</w:t>
      </w:r>
    </w:p>
    <w:p w:rsidR="001A26B0" w:rsidRDefault="00E33A99">
      <w:pPr>
        <w:pStyle w:val="Heading3"/>
        <w:rPr>
          <w:noProof/>
        </w:rPr>
      </w:pPr>
      <w:bookmarkStart w:id="138" w:name="_Toc496635595"/>
      <w:r>
        <w:rPr>
          <w:noProof/>
        </w:rPr>
        <w:t>Pooling</w:t>
      </w:r>
      <w:bookmarkEnd w:id="137"/>
      <w:r>
        <w:rPr>
          <w:noProof/>
        </w:rPr>
        <w:t xml:space="preserve"> (POOL)</w:t>
      </w:r>
      <w:bookmarkEnd w:id="138"/>
    </w:p>
    <w:p w:rsidR="001A26B0" w:rsidRDefault="00E33A99">
      <w:pPr>
        <w:spacing w:after="120"/>
        <w:rPr>
          <w:noProof/>
          <w:color w:val="000000" w:themeColor="text1"/>
          <w:szCs w:val="24"/>
        </w:rPr>
      </w:pPr>
      <w:bookmarkStart w:id="139" w:name="_Toc488397468"/>
      <w:bookmarkStart w:id="140" w:name="_Toc492548044"/>
      <w:bookmarkEnd w:id="139"/>
      <w:r>
        <w:rPr>
          <w:rFonts w:eastAsiaTheme="minorEastAsia"/>
          <w:noProof/>
          <w:color w:val="000000" w:themeColor="text1"/>
          <w:szCs w:val="24"/>
        </w:rPr>
        <w:t xml:space="preserve">The current Regulations </w:t>
      </w:r>
      <w:r>
        <w:rPr>
          <w:rFonts w:eastAsiaTheme="minorEastAsia"/>
          <w:noProof/>
          <w:color w:val="000000" w:themeColor="text1"/>
          <w:szCs w:val="24"/>
        </w:rPr>
        <w:t>(Article 7) offer individual manufacturers the possibility to form a "</w:t>
      </w:r>
      <w:r>
        <w:rPr>
          <w:noProof/>
          <w:color w:val="000000" w:themeColor="text1"/>
          <w:szCs w:val="24"/>
        </w:rPr>
        <w:t>pool" for the purposes of meeting their emission targets. Such agreement enables a group of manufacturers to be counted as one entity for the purpose of compliance with the joint target.</w:t>
      </w:r>
      <w:r>
        <w:rPr>
          <w:noProof/>
          <w:color w:val="000000" w:themeColor="text1"/>
          <w:szCs w:val="24"/>
        </w:rPr>
        <w:t xml:space="preserve"> This allows manufacturers to decide on the most efficient way of complying with the targets. All manufacturers covered by the scope of the Regulations, which have not been granted a derogation (see section 5.4.5), could be part of a pool. </w:t>
      </w:r>
    </w:p>
    <w:p w:rsidR="001A26B0" w:rsidRDefault="00E33A99">
      <w:pPr>
        <w:spacing w:after="120"/>
        <w:rPr>
          <w:noProof/>
          <w:szCs w:val="24"/>
        </w:rPr>
      </w:pPr>
      <w:r>
        <w:rPr>
          <w:noProof/>
          <w:szCs w:val="24"/>
        </w:rPr>
        <w:t>Pooling has bee</w:t>
      </w:r>
      <w:r>
        <w:rPr>
          <w:noProof/>
          <w:szCs w:val="24"/>
        </w:rPr>
        <w:t xml:space="preserve">n extensively used under the </w:t>
      </w:r>
      <w:r>
        <w:rPr>
          <w:noProof/>
          <w:color w:val="000000" w:themeColor="text1"/>
          <w:szCs w:val="24"/>
        </w:rPr>
        <w:t xml:space="preserve">current Regulations. </w:t>
      </w:r>
      <w:r>
        <w:rPr>
          <w:noProof/>
          <w:color w:val="000000" w:themeColor="text1"/>
        </w:rPr>
        <w:t xml:space="preserve">In 2015, pooling was used by 49 car manufacturers, responsible for 81% of all new car registrations in that year and by 25 van manufacturers, responsible for 70% of all new van registrations in that year. </w:t>
      </w:r>
      <w:r>
        <w:rPr>
          <w:noProof/>
          <w:color w:val="000000" w:themeColor="text1"/>
          <w:szCs w:val="24"/>
        </w:rPr>
        <w:t>F</w:t>
      </w:r>
      <w:r>
        <w:rPr>
          <w:noProof/>
          <w:color w:val="000000" w:themeColor="text1"/>
          <w:szCs w:val="24"/>
        </w:rPr>
        <w:t xml:space="preserve">orming a pool has prevented several manufacturers from exceeding their individual specific emissions target (in 2015 this was the case for </w:t>
      </w:r>
      <w:r>
        <w:rPr>
          <w:noProof/>
          <w:color w:val="000000" w:themeColor="text1"/>
        </w:rPr>
        <w:t>23 car manufacturers and 4 van manufacturers, which were member of a pool)</w:t>
      </w:r>
      <w:r>
        <w:rPr>
          <w:noProof/>
          <w:color w:val="000000" w:themeColor="text1"/>
          <w:szCs w:val="24"/>
          <w:vertAlign w:val="superscript"/>
        </w:rPr>
        <w:footnoteReference w:id="115"/>
      </w:r>
      <w:r>
        <w:rPr>
          <w:noProof/>
          <w:color w:val="000000" w:themeColor="text1"/>
          <w:szCs w:val="24"/>
        </w:rPr>
        <w:t>.</w:t>
      </w:r>
    </w:p>
    <w:p w:rsidR="001A26B0" w:rsidRDefault="00E33A99">
      <w:pPr>
        <w:spacing w:after="120"/>
        <w:rPr>
          <w:noProof/>
          <w:color w:val="000000"/>
          <w:szCs w:val="24"/>
        </w:rPr>
      </w:pPr>
      <w:r>
        <w:rPr>
          <w:noProof/>
          <w:color w:val="000000"/>
          <w:szCs w:val="24"/>
        </w:rPr>
        <w:t>The vast majority of pools have been for</w:t>
      </w:r>
      <w:r>
        <w:rPr>
          <w:noProof/>
          <w:color w:val="000000"/>
          <w:szCs w:val="24"/>
        </w:rPr>
        <w:t>med by manufacturers belonging to the same group of connected undertakings. Independent manufacturers may also form pools, however, until now this possibility has been rarely used. A pool formed by independent manufacturers would, in accordance with compet</w:t>
      </w:r>
      <w:r>
        <w:rPr>
          <w:noProof/>
          <w:color w:val="000000"/>
          <w:szCs w:val="24"/>
        </w:rPr>
        <w:t>ition rules, have to be open to the participation of any other manufacturer requesting to participate. This reduces somewhat the utility of such, so called "open", pools with regard to compliance planning.</w:t>
      </w:r>
    </w:p>
    <w:p w:rsidR="001A26B0" w:rsidRDefault="00E33A99">
      <w:pPr>
        <w:spacing w:after="120"/>
        <w:rPr>
          <w:noProof/>
          <w:szCs w:val="24"/>
        </w:rPr>
      </w:pPr>
      <w:r>
        <w:rPr>
          <w:noProof/>
          <w:szCs w:val="24"/>
        </w:rPr>
        <w:t>In order to enhance pooling as an instrument for a</w:t>
      </w:r>
      <w:r>
        <w:rPr>
          <w:noProof/>
          <w:szCs w:val="24"/>
        </w:rPr>
        <w:t>ll manufacturers to reduce compliance costs, the conditions under which open pools may be formed by independent manufacturers and under which conditions another manufacturer may request to join an existing open pool could to be clarified. An option is ther</w:t>
      </w:r>
      <w:r>
        <w:rPr>
          <w:noProof/>
          <w:szCs w:val="24"/>
        </w:rPr>
        <w:t>efore introduced whereby the Commission is empowered to complement the existing provision by developing specific criteria for the open pool arrangements, in particular with a view to address any relevant competition aspects.</w:t>
      </w:r>
    </w:p>
    <w:p w:rsidR="001A26B0" w:rsidRDefault="00E33A99">
      <w:pPr>
        <w:spacing w:after="120"/>
        <w:rPr>
          <w:noProof/>
          <w:szCs w:val="24"/>
        </w:rPr>
      </w:pPr>
      <w:r>
        <w:rPr>
          <w:noProof/>
          <w:szCs w:val="24"/>
        </w:rPr>
        <w:t>In view of the above, the follo</w:t>
      </w:r>
      <w:r>
        <w:rPr>
          <w:noProof/>
          <w:szCs w:val="24"/>
        </w:rPr>
        <w:t>wing options should be considered:</w:t>
      </w:r>
    </w:p>
    <w:p w:rsidR="001A26B0" w:rsidRDefault="00E33A99">
      <w:pPr>
        <w:pStyle w:val="ListParagraph"/>
        <w:numPr>
          <w:ilvl w:val="0"/>
          <w:numId w:val="46"/>
        </w:numPr>
        <w:spacing w:after="120"/>
        <w:contextualSpacing w:val="0"/>
        <w:rPr>
          <w:noProof/>
          <w:szCs w:val="24"/>
        </w:rPr>
      </w:pPr>
      <w:r>
        <w:rPr>
          <w:noProof/>
          <w:szCs w:val="24"/>
        </w:rPr>
        <w:t>Option POOL 0 – change nothing – current pooling regime</w:t>
      </w:r>
    </w:p>
    <w:p w:rsidR="001A26B0" w:rsidRDefault="00E33A99">
      <w:pPr>
        <w:pStyle w:val="ListParagraph"/>
        <w:numPr>
          <w:ilvl w:val="0"/>
          <w:numId w:val="46"/>
        </w:numPr>
        <w:spacing w:after="120"/>
        <w:contextualSpacing w:val="0"/>
        <w:rPr>
          <w:noProof/>
          <w:szCs w:val="24"/>
        </w:rPr>
      </w:pPr>
      <w:r>
        <w:rPr>
          <w:noProof/>
          <w:szCs w:val="24"/>
        </w:rPr>
        <w:t>Option POOL 1 – an empowerment for the Commission to specify the conditions for open pools arrangements</w:t>
      </w:r>
    </w:p>
    <w:p w:rsidR="001A26B0" w:rsidRDefault="00E33A99">
      <w:pPr>
        <w:pStyle w:val="Heading3"/>
        <w:rPr>
          <w:noProof/>
        </w:rPr>
      </w:pPr>
      <w:bookmarkStart w:id="141" w:name="_Toc496635596"/>
      <w:r>
        <w:rPr>
          <w:noProof/>
        </w:rPr>
        <w:t>Trading</w:t>
      </w:r>
      <w:bookmarkEnd w:id="140"/>
      <w:r>
        <w:rPr>
          <w:noProof/>
        </w:rPr>
        <w:t xml:space="preserve"> (TRADE)</w:t>
      </w:r>
      <w:bookmarkEnd w:id="141"/>
    </w:p>
    <w:p w:rsidR="001A26B0" w:rsidRDefault="00E33A99">
      <w:pPr>
        <w:spacing w:after="120"/>
        <w:rPr>
          <w:noProof/>
          <w:szCs w:val="24"/>
        </w:rPr>
      </w:pPr>
      <w:r>
        <w:rPr>
          <w:noProof/>
        </w:rPr>
        <w:t>Trading has been suggested as a complement to</w:t>
      </w:r>
      <w:r>
        <w:rPr>
          <w:noProof/>
        </w:rPr>
        <w:t xml:space="preserve"> pooling in order to provide additional flexibility for manufacturers in meeting the targets. </w:t>
      </w:r>
      <w:r>
        <w:rPr>
          <w:noProof/>
          <w:szCs w:val="24"/>
        </w:rPr>
        <w:t>Trading would allow individual manufacturers (or pools) to trade credits depending on their performance. This means that when a manufacturer (pool) overachieves i</w:t>
      </w:r>
      <w:r>
        <w:rPr>
          <w:noProof/>
          <w:szCs w:val="24"/>
        </w:rPr>
        <w:t>ts specific CO</w:t>
      </w:r>
      <w:r>
        <w:rPr>
          <w:noProof/>
          <w:szCs w:val="24"/>
          <w:vertAlign w:val="subscript"/>
        </w:rPr>
        <w:t>2</w:t>
      </w:r>
      <w:r>
        <w:rPr>
          <w:noProof/>
          <w:szCs w:val="24"/>
        </w:rPr>
        <w:t xml:space="preserve"> emissions and/or LEV mandate, this would result in credits that could be sold to another manufacturer (pool), which would otherwise not meet its target.</w:t>
      </w:r>
    </w:p>
    <w:p w:rsidR="001A26B0" w:rsidRDefault="00E33A99">
      <w:pPr>
        <w:spacing w:after="120"/>
        <w:rPr>
          <w:noProof/>
          <w:szCs w:val="24"/>
        </w:rPr>
      </w:pPr>
      <w:r>
        <w:rPr>
          <w:noProof/>
          <w:szCs w:val="24"/>
        </w:rPr>
        <w:t>The main distinction compared to pooling is that trading would not require an upfront d</w:t>
      </w:r>
      <w:r>
        <w:rPr>
          <w:noProof/>
          <w:szCs w:val="24"/>
        </w:rPr>
        <w:t>ecision by manufacturers on how to ensure compliance with the target. The decision to trade could take place only at the time the provisional performance of the manufacturer (pool) is known.</w:t>
      </w:r>
    </w:p>
    <w:p w:rsidR="001A26B0" w:rsidRDefault="00E33A99">
      <w:pPr>
        <w:spacing w:after="120"/>
        <w:rPr>
          <w:noProof/>
          <w:szCs w:val="24"/>
        </w:rPr>
      </w:pPr>
      <w:r>
        <w:rPr>
          <w:noProof/>
          <w:szCs w:val="24"/>
        </w:rPr>
        <w:t>Just as for pooling, trading would support the meeting of the CO</w:t>
      </w:r>
      <w:r>
        <w:rPr>
          <w:noProof/>
          <w:szCs w:val="24"/>
          <w:vertAlign w:val="subscript"/>
        </w:rPr>
        <w:t>2</w:t>
      </w:r>
      <w:r>
        <w:rPr>
          <w:noProof/>
          <w:szCs w:val="24"/>
        </w:rPr>
        <w:t xml:space="preserve"> targets or a LEV mandate or a combination of both. </w:t>
      </w:r>
    </w:p>
    <w:p w:rsidR="001A26B0" w:rsidRDefault="00E33A99">
      <w:pPr>
        <w:spacing w:after="120"/>
        <w:rPr>
          <w:noProof/>
          <w:szCs w:val="24"/>
        </w:rPr>
      </w:pPr>
      <w:r>
        <w:rPr>
          <w:noProof/>
          <w:szCs w:val="24"/>
        </w:rPr>
        <w:t xml:space="preserve">In the case of a </w:t>
      </w:r>
      <w:r>
        <w:rPr>
          <w:noProof/>
          <w:szCs w:val="24"/>
          <w:u w:val="single"/>
        </w:rPr>
        <w:t>LEV mandate (LEVT_MAND)</w:t>
      </w:r>
      <w:r>
        <w:rPr>
          <w:noProof/>
          <w:szCs w:val="24"/>
        </w:rPr>
        <w:t>, different design options are possible, mainly in relation to how any LEV generating credits are being accounted for in relation to the CO</w:t>
      </w:r>
      <w:r>
        <w:rPr>
          <w:noProof/>
          <w:szCs w:val="24"/>
          <w:vertAlign w:val="subscript"/>
        </w:rPr>
        <w:t>2</w:t>
      </w:r>
      <w:r>
        <w:rPr>
          <w:noProof/>
          <w:szCs w:val="24"/>
        </w:rPr>
        <w:t xml:space="preserve"> targets</w:t>
      </w:r>
      <w:r>
        <w:rPr>
          <w:rStyle w:val="FootnoteReference"/>
          <w:noProof/>
          <w:szCs w:val="24"/>
        </w:rPr>
        <w:footnoteReference w:id="116"/>
      </w:r>
      <w:r>
        <w:rPr>
          <w:noProof/>
          <w:szCs w:val="24"/>
        </w:rPr>
        <w:t>.</w:t>
      </w:r>
    </w:p>
    <w:p w:rsidR="001A26B0" w:rsidRDefault="00E33A99">
      <w:pPr>
        <w:spacing w:after="120"/>
        <w:rPr>
          <w:noProof/>
          <w:szCs w:val="24"/>
        </w:rPr>
      </w:pPr>
      <w:r>
        <w:rPr>
          <w:noProof/>
          <w:szCs w:val="24"/>
        </w:rPr>
        <w:t xml:space="preserve">Under a </w:t>
      </w:r>
      <w:r>
        <w:rPr>
          <w:noProof/>
          <w:szCs w:val="24"/>
          <w:u w:val="single"/>
        </w:rPr>
        <w:t xml:space="preserve">LEV </w:t>
      </w:r>
      <w:r>
        <w:rPr>
          <w:noProof/>
          <w:szCs w:val="24"/>
          <w:u w:val="single"/>
        </w:rPr>
        <w:t>crediting system (options LEVT_CRED)</w:t>
      </w:r>
      <w:r>
        <w:rPr>
          <w:noProof/>
          <w:szCs w:val="24"/>
        </w:rPr>
        <w:t>, a separation between LEV credits and CO</w:t>
      </w:r>
      <w:r>
        <w:rPr>
          <w:noProof/>
          <w:szCs w:val="24"/>
          <w:vertAlign w:val="subscript"/>
        </w:rPr>
        <w:t>2</w:t>
      </w:r>
      <w:r>
        <w:rPr>
          <w:noProof/>
          <w:szCs w:val="24"/>
        </w:rPr>
        <w:t xml:space="preserve"> emission credits would not be necessary. For example, a manufacturer that does not achieve the LEV benchmark would have to meet a more stringent CO</w:t>
      </w:r>
      <w:r>
        <w:rPr>
          <w:noProof/>
          <w:szCs w:val="24"/>
          <w:vertAlign w:val="subscript"/>
        </w:rPr>
        <w:t>2</w:t>
      </w:r>
      <w:r>
        <w:rPr>
          <w:noProof/>
          <w:szCs w:val="24"/>
        </w:rPr>
        <w:t xml:space="preserve"> target. If that leads to non</w:t>
      </w:r>
      <w:r>
        <w:rPr>
          <w:noProof/>
          <w:szCs w:val="24"/>
        </w:rPr>
        <w:t>-compliance with the CO</w:t>
      </w:r>
      <w:r>
        <w:rPr>
          <w:noProof/>
          <w:szCs w:val="24"/>
          <w:vertAlign w:val="subscript"/>
        </w:rPr>
        <w:t>2</w:t>
      </w:r>
      <w:r>
        <w:rPr>
          <w:noProof/>
          <w:szCs w:val="24"/>
        </w:rPr>
        <w:t xml:space="preserve"> target, the manufacturer would have to buy credits from a manufacturer overachieving on its CO</w:t>
      </w:r>
      <w:r>
        <w:rPr>
          <w:noProof/>
          <w:szCs w:val="24"/>
          <w:vertAlign w:val="subscript"/>
        </w:rPr>
        <w:t>2</w:t>
      </w:r>
      <w:r>
        <w:rPr>
          <w:noProof/>
          <w:szCs w:val="24"/>
        </w:rPr>
        <w:t xml:space="preserve"> target.</w:t>
      </w:r>
    </w:p>
    <w:p w:rsidR="001A26B0" w:rsidRDefault="00E33A99">
      <w:pPr>
        <w:spacing w:after="120"/>
        <w:rPr>
          <w:noProof/>
          <w:szCs w:val="24"/>
        </w:rPr>
      </w:pPr>
      <w:r>
        <w:rPr>
          <w:noProof/>
          <w:szCs w:val="24"/>
        </w:rPr>
        <w:t>In light of the above the following options are considered:</w:t>
      </w:r>
    </w:p>
    <w:p w:rsidR="001A26B0" w:rsidRDefault="00E33A99">
      <w:pPr>
        <w:pStyle w:val="ListParagraph"/>
        <w:numPr>
          <w:ilvl w:val="0"/>
          <w:numId w:val="19"/>
        </w:numPr>
        <w:spacing w:after="120"/>
        <w:contextualSpacing w:val="0"/>
        <w:rPr>
          <w:noProof/>
        </w:rPr>
      </w:pPr>
      <w:r>
        <w:rPr>
          <w:noProof/>
        </w:rPr>
        <w:t>Option TRADE 0: Change nothing – no trading</w:t>
      </w:r>
    </w:p>
    <w:p w:rsidR="001A26B0" w:rsidRDefault="00E33A99">
      <w:pPr>
        <w:pStyle w:val="ListParagraph"/>
        <w:numPr>
          <w:ilvl w:val="0"/>
          <w:numId w:val="19"/>
        </w:numPr>
        <w:spacing w:after="120"/>
        <w:rPr>
          <w:noProof/>
        </w:rPr>
      </w:pPr>
      <w:r>
        <w:rPr>
          <w:noProof/>
        </w:rPr>
        <w:t xml:space="preserve">Option TRADE 1: Introduce trading as an additional modality for reaching the </w:t>
      </w:r>
      <w:r>
        <w:rPr>
          <w:noProof/>
          <w:szCs w:val="24"/>
        </w:rPr>
        <w:t>CO</w:t>
      </w:r>
      <w:r>
        <w:rPr>
          <w:noProof/>
          <w:szCs w:val="24"/>
          <w:vertAlign w:val="subscript"/>
        </w:rPr>
        <w:t>2</w:t>
      </w:r>
      <w:r>
        <w:rPr>
          <w:noProof/>
          <w:szCs w:val="24"/>
        </w:rPr>
        <w:t xml:space="preserve"> targets and/or LEV </w:t>
      </w:r>
      <w:r>
        <w:rPr>
          <w:noProof/>
        </w:rPr>
        <w:t>mandates</w:t>
      </w:r>
    </w:p>
    <w:p w:rsidR="001A26B0" w:rsidRDefault="00E33A99">
      <w:pPr>
        <w:spacing w:after="120"/>
        <w:ind w:left="710"/>
        <w:rPr>
          <w:noProof/>
          <w:szCs w:val="24"/>
        </w:rPr>
      </w:pPr>
      <w:r>
        <w:rPr>
          <w:noProof/>
          <w:szCs w:val="24"/>
        </w:rPr>
        <w:t xml:space="preserve">Under this option, </w:t>
      </w:r>
      <w:r>
        <w:rPr>
          <w:rFonts w:eastAsiaTheme="minorEastAsia"/>
          <w:noProof/>
          <w:szCs w:val="24"/>
        </w:rPr>
        <w:t>individual</w:t>
      </w:r>
      <w:r>
        <w:rPr>
          <w:noProof/>
          <w:szCs w:val="24"/>
        </w:rPr>
        <w:t xml:space="preserve"> manufacturers (or pools) (which do not benefit from a derogation) would be allowed to exchange CO</w:t>
      </w:r>
      <w:r>
        <w:rPr>
          <w:noProof/>
          <w:szCs w:val="24"/>
          <w:vertAlign w:val="subscript"/>
        </w:rPr>
        <w:t>2</w:t>
      </w:r>
      <w:r>
        <w:rPr>
          <w:noProof/>
          <w:szCs w:val="24"/>
        </w:rPr>
        <w:t xml:space="preserve"> and/or LEV credits</w:t>
      </w:r>
      <w:r>
        <w:rPr>
          <w:noProof/>
          <w:szCs w:val="24"/>
        </w:rPr>
        <w:t xml:space="preserve"> on an 'ad hoc' basis. This would require the establishment of a register to ensure full transparency and accountability of all transactions among manufacturers. </w:t>
      </w:r>
    </w:p>
    <w:p w:rsidR="001A26B0" w:rsidRDefault="00E33A99">
      <w:pPr>
        <w:pStyle w:val="Text3"/>
        <w:ind w:left="0"/>
        <w:rPr>
          <w:noProof/>
        </w:rPr>
      </w:pPr>
      <w:r>
        <w:rPr>
          <w:noProof/>
          <w:szCs w:val="24"/>
        </w:rPr>
        <w:t xml:space="preserve">Trading would be allowed for cars and for vans separately (not amongst them). </w:t>
      </w:r>
    </w:p>
    <w:p w:rsidR="001A26B0" w:rsidRDefault="00E33A99">
      <w:pPr>
        <w:pStyle w:val="Heading3"/>
        <w:rPr>
          <w:noProof/>
        </w:rPr>
      </w:pPr>
      <w:bookmarkStart w:id="142" w:name="_Toc491871869"/>
      <w:bookmarkStart w:id="143" w:name="_Toc492405079"/>
      <w:bookmarkStart w:id="144" w:name="_Toc485978588"/>
      <w:bookmarkStart w:id="145" w:name="_Toc485997729"/>
      <w:bookmarkStart w:id="146" w:name="_Toc486237944"/>
      <w:bookmarkStart w:id="147" w:name="_Toc485978590"/>
      <w:bookmarkStart w:id="148" w:name="_Toc485997731"/>
      <w:bookmarkStart w:id="149" w:name="_Toc486237946"/>
      <w:bookmarkStart w:id="150" w:name="_Ref491448102"/>
      <w:bookmarkStart w:id="151" w:name="_Toc492548045"/>
      <w:bookmarkStart w:id="152" w:name="_Toc496635597"/>
      <w:bookmarkEnd w:id="142"/>
      <w:bookmarkEnd w:id="143"/>
      <w:bookmarkEnd w:id="144"/>
      <w:bookmarkEnd w:id="145"/>
      <w:bookmarkEnd w:id="146"/>
      <w:bookmarkEnd w:id="147"/>
      <w:bookmarkEnd w:id="148"/>
      <w:bookmarkEnd w:id="149"/>
      <w:r>
        <w:rPr>
          <w:noProof/>
        </w:rPr>
        <w:t>Banking and bo</w:t>
      </w:r>
      <w:r>
        <w:rPr>
          <w:noProof/>
        </w:rPr>
        <w:t>rrowing (BB)</w:t>
      </w:r>
      <w:bookmarkEnd w:id="150"/>
      <w:bookmarkEnd w:id="151"/>
      <w:bookmarkEnd w:id="152"/>
    </w:p>
    <w:p w:rsidR="001A26B0" w:rsidRDefault="00E33A99">
      <w:pPr>
        <w:spacing w:after="120"/>
        <w:rPr>
          <w:noProof/>
        </w:rPr>
      </w:pPr>
      <w:r>
        <w:rPr>
          <w:noProof/>
        </w:rPr>
        <w:t>Banking and borrowing are mechanisms used in different regulatory environments setting policy targets for individual actors with the aim of increasing flexibility and therefore lowering the cost of compliance. The rationale is that the overall</w:t>
      </w:r>
      <w:r>
        <w:rPr>
          <w:noProof/>
        </w:rPr>
        <w:t xml:space="preserve"> desired outcome should be achieved by a certain time, while acknowledging that the optimal route to that point may differ between actors.</w:t>
      </w:r>
    </w:p>
    <w:p w:rsidR="001A26B0" w:rsidRDefault="00E33A99">
      <w:pPr>
        <w:spacing w:after="120"/>
        <w:rPr>
          <w:noProof/>
        </w:rPr>
      </w:pPr>
      <w:r>
        <w:rPr>
          <w:noProof/>
        </w:rPr>
        <w:t>For the LDV CO</w:t>
      </w:r>
      <w:r>
        <w:rPr>
          <w:noProof/>
          <w:vertAlign w:val="subscript"/>
        </w:rPr>
        <w:t>2</w:t>
      </w:r>
      <w:r>
        <w:rPr>
          <w:noProof/>
        </w:rPr>
        <w:t xml:space="preserve"> legislation, banking would mean that when in a given year the average specific CO</w:t>
      </w:r>
      <w:r>
        <w:rPr>
          <w:noProof/>
          <w:vertAlign w:val="subscript"/>
        </w:rPr>
        <w:t>2</w:t>
      </w:r>
      <w:r>
        <w:rPr>
          <w:noProof/>
        </w:rPr>
        <w:t xml:space="preserve"> emissions of a man</w:t>
      </w:r>
      <w:r>
        <w:rPr>
          <w:noProof/>
        </w:rPr>
        <w:t>ufacturer (pool) are below its specific emissions target, the manufacturer (pool) can carry over the difference between its emissions and its target as CO</w:t>
      </w:r>
      <w:r>
        <w:rPr>
          <w:noProof/>
          <w:vertAlign w:val="subscript"/>
        </w:rPr>
        <w:t>2</w:t>
      </w:r>
      <w:r>
        <w:rPr>
          <w:noProof/>
        </w:rPr>
        <w:t xml:space="preserve"> credits for future compliance purposes. In case its average specific CO</w:t>
      </w:r>
      <w:r>
        <w:rPr>
          <w:noProof/>
          <w:vertAlign w:val="subscript"/>
        </w:rPr>
        <w:t>2</w:t>
      </w:r>
      <w:r>
        <w:rPr>
          <w:noProof/>
        </w:rPr>
        <w:t xml:space="preserve"> emissions exceed the specif</w:t>
      </w:r>
      <w:r>
        <w:rPr>
          <w:noProof/>
        </w:rPr>
        <w:t>ic emissions target in one of the following years, the manufacturer (pool) can offset these excess emissions with the ‘banked’ CO</w:t>
      </w:r>
      <w:r>
        <w:rPr>
          <w:noProof/>
          <w:vertAlign w:val="subscript"/>
        </w:rPr>
        <w:t>2</w:t>
      </w:r>
      <w:r>
        <w:rPr>
          <w:noProof/>
        </w:rPr>
        <w:t xml:space="preserve"> credits from preceding year(s). </w:t>
      </w:r>
    </w:p>
    <w:p w:rsidR="001A26B0" w:rsidRDefault="00E33A99">
      <w:pPr>
        <w:spacing w:after="120"/>
        <w:rPr>
          <w:noProof/>
        </w:rPr>
      </w:pPr>
      <w:r>
        <w:rPr>
          <w:noProof/>
        </w:rPr>
        <w:t>Borrowing would mean that, in a given year, a manufacturer (pool) could comply with its CO</w:t>
      </w:r>
      <w:r>
        <w:rPr>
          <w:noProof/>
          <w:vertAlign w:val="subscript"/>
        </w:rPr>
        <w:t>2</w:t>
      </w:r>
      <w:r>
        <w:rPr>
          <w:noProof/>
        </w:rPr>
        <w:t xml:space="preserve"> </w:t>
      </w:r>
      <w:r>
        <w:rPr>
          <w:noProof/>
        </w:rPr>
        <w:t>target by 'borrowing' CO</w:t>
      </w:r>
      <w:r>
        <w:rPr>
          <w:noProof/>
          <w:vertAlign w:val="subscript"/>
        </w:rPr>
        <w:t xml:space="preserve">2 </w:t>
      </w:r>
      <w:r>
        <w:rPr>
          <w:noProof/>
        </w:rPr>
        <w:t xml:space="preserve">credits, which have to ‘paid back’ in subsequent years. </w:t>
      </w:r>
    </w:p>
    <w:p w:rsidR="001A26B0" w:rsidRDefault="00E33A99">
      <w:pPr>
        <w:spacing w:after="120"/>
        <w:rPr>
          <w:noProof/>
        </w:rPr>
      </w:pPr>
      <w:r>
        <w:rPr>
          <w:noProof/>
        </w:rPr>
        <w:t>In order to ensure that the EU-wide fleet CO</w:t>
      </w:r>
      <w:r>
        <w:rPr>
          <w:noProof/>
          <w:vertAlign w:val="subscript"/>
        </w:rPr>
        <w:t xml:space="preserve">2 </w:t>
      </w:r>
      <w:r>
        <w:rPr>
          <w:noProof/>
        </w:rPr>
        <w:t>target set for a certain date is actually met, banking and borrowing needs to be limited. For the definition of such a limit, t</w:t>
      </w:r>
      <w:r>
        <w:rPr>
          <w:noProof/>
        </w:rPr>
        <w:t>he timeline for the new CO</w:t>
      </w:r>
      <w:r>
        <w:rPr>
          <w:noProof/>
          <w:vertAlign w:val="subscript"/>
        </w:rPr>
        <w:t>2</w:t>
      </w:r>
      <w:r>
        <w:rPr>
          <w:noProof/>
        </w:rPr>
        <w:t xml:space="preserve"> emissions target(s) (options TT, see Section 5.1.2) is critical. </w:t>
      </w:r>
    </w:p>
    <w:p w:rsidR="001A26B0" w:rsidRDefault="00E33A99">
      <w:pPr>
        <w:spacing w:after="120"/>
        <w:rPr>
          <w:noProof/>
        </w:rPr>
      </w:pPr>
      <w:r>
        <w:rPr>
          <w:noProof/>
        </w:rPr>
        <w:t>If new targets are only set in discrete years (e.g. 2025 and/or 2030), it would be necessary to define a target trajectory against which emissions in the intermed</w:t>
      </w:r>
      <w:r>
        <w:rPr>
          <w:noProof/>
        </w:rPr>
        <w:t>iate years would be compared for the purpose of granting credits. This would avoid that too many credits are accumulated before 2025, respectively 2030, which otherwise would allow a manufacturer (pool) to significantly exceed the target and hence undermin</w:t>
      </w:r>
      <w:r>
        <w:rPr>
          <w:noProof/>
        </w:rPr>
        <w:t>e the intended CO</w:t>
      </w:r>
      <w:r>
        <w:rPr>
          <w:noProof/>
          <w:vertAlign w:val="subscript"/>
        </w:rPr>
        <w:t>2</w:t>
      </w:r>
      <w:r>
        <w:rPr>
          <w:noProof/>
        </w:rPr>
        <w:t xml:space="preserve"> emission reductions for that time period. In case of annual CO</w:t>
      </w:r>
      <w:r>
        <w:rPr>
          <w:noProof/>
          <w:vertAlign w:val="subscript"/>
        </w:rPr>
        <w:t>2</w:t>
      </w:r>
      <w:r>
        <w:rPr>
          <w:noProof/>
        </w:rPr>
        <w:t xml:space="preserve"> targets, these would, by definition, provide for such a trajectory.</w:t>
      </w:r>
    </w:p>
    <w:p w:rsidR="001A26B0" w:rsidRDefault="00E33A99">
      <w:pPr>
        <w:spacing w:after="120"/>
        <w:rPr>
          <w:noProof/>
        </w:rPr>
      </w:pPr>
      <w:r>
        <w:rPr>
          <w:noProof/>
        </w:rPr>
        <w:t>However, even if a trajectory is set, there may still be a risk of too many credits being accumulated ove</w:t>
      </w:r>
      <w:r>
        <w:rPr>
          <w:noProof/>
        </w:rPr>
        <w:t>r time. In order to prevent this, banking could be limited to certain time periods (e.g. 2025-2030) or even to one year (e.g. 2025, when overachieving the applicable target or the trajectory). In the latter case, credits could only be used for compliance w</w:t>
      </w:r>
      <w:r>
        <w:rPr>
          <w:noProof/>
        </w:rPr>
        <w:t xml:space="preserve">ith the 2030 target. Finally, </w:t>
      </w:r>
      <w:r>
        <w:rPr>
          <w:noProof/>
          <w:color w:val="000000" w:themeColor="text1"/>
        </w:rPr>
        <w:t>the use of banked credits could be limited to the year 2030 and no credits could be used after that year (assuming that a target will remain in place in subsequent years).</w:t>
      </w:r>
    </w:p>
    <w:p w:rsidR="001A26B0" w:rsidRDefault="00E33A99">
      <w:pPr>
        <w:spacing w:after="120"/>
        <w:rPr>
          <w:i/>
          <w:noProof/>
          <w:color w:val="000000" w:themeColor="text1"/>
        </w:rPr>
      </w:pPr>
      <w:r>
        <w:rPr>
          <w:i/>
          <w:noProof/>
          <w:color w:val="000000" w:themeColor="text1"/>
        </w:rPr>
        <w:t>Links with the LEV incentives</w:t>
      </w:r>
    </w:p>
    <w:p w:rsidR="001A26B0" w:rsidRDefault="00E33A99">
      <w:pPr>
        <w:spacing w:after="120"/>
        <w:rPr>
          <w:noProof/>
          <w:color w:val="000000" w:themeColor="text1"/>
        </w:rPr>
      </w:pPr>
      <w:r>
        <w:rPr>
          <w:noProof/>
          <w:color w:val="000000" w:themeColor="text1"/>
        </w:rPr>
        <w:t>In case of option LEVT_M</w:t>
      </w:r>
      <w:r>
        <w:rPr>
          <w:noProof/>
          <w:color w:val="000000" w:themeColor="text1"/>
        </w:rPr>
        <w:t>AND, the above considerations would equally be valid in relation to the LEV mandate.</w:t>
      </w:r>
    </w:p>
    <w:p w:rsidR="001A26B0" w:rsidRDefault="00E33A99">
      <w:pPr>
        <w:spacing w:after="120"/>
        <w:rPr>
          <w:noProof/>
          <w:color w:val="000000" w:themeColor="text1"/>
          <w:szCs w:val="24"/>
          <w:lang w:eastAsia="en-GB"/>
        </w:rPr>
      </w:pPr>
      <w:r>
        <w:rPr>
          <w:noProof/>
          <w:color w:val="000000" w:themeColor="text1"/>
          <w:szCs w:val="24"/>
          <w:lang w:eastAsia="en-GB"/>
        </w:rPr>
        <w:t>However, the situation is different in case of a LEV crediting system (options LEVT_CRED) where compliance assessment is based on the CO</w:t>
      </w:r>
      <w:r>
        <w:rPr>
          <w:noProof/>
          <w:color w:val="000000" w:themeColor="text1"/>
          <w:szCs w:val="24"/>
          <w:vertAlign w:val="subscript"/>
          <w:lang w:eastAsia="en-GB"/>
        </w:rPr>
        <w:t>2</w:t>
      </w:r>
      <w:r>
        <w:rPr>
          <w:noProof/>
          <w:color w:val="000000" w:themeColor="text1"/>
          <w:szCs w:val="24"/>
          <w:lang w:eastAsia="en-GB"/>
        </w:rPr>
        <w:t xml:space="preserve"> target only and therefore already makes a link between the LEV benchmark and the CO</w:t>
      </w:r>
      <w:r>
        <w:rPr>
          <w:noProof/>
          <w:color w:val="000000" w:themeColor="text1"/>
          <w:szCs w:val="24"/>
          <w:vertAlign w:val="subscript"/>
          <w:lang w:eastAsia="en-GB"/>
        </w:rPr>
        <w:t>2</w:t>
      </w:r>
      <w:r>
        <w:rPr>
          <w:noProof/>
          <w:color w:val="000000" w:themeColor="text1"/>
          <w:szCs w:val="24"/>
          <w:lang w:eastAsia="en-GB"/>
        </w:rPr>
        <w:t xml:space="preserve"> target. Hence, under that option, banking would only be necessary in relation to the CO</w:t>
      </w:r>
      <w:r>
        <w:rPr>
          <w:noProof/>
          <w:color w:val="000000" w:themeColor="text1"/>
          <w:szCs w:val="24"/>
          <w:vertAlign w:val="subscript"/>
          <w:lang w:eastAsia="en-GB"/>
        </w:rPr>
        <w:t>2</w:t>
      </w:r>
      <w:r>
        <w:rPr>
          <w:noProof/>
          <w:color w:val="000000" w:themeColor="text1"/>
          <w:szCs w:val="24"/>
          <w:lang w:eastAsia="en-GB"/>
        </w:rPr>
        <w:t xml:space="preserve"> target.</w:t>
      </w:r>
    </w:p>
    <w:p w:rsidR="001A26B0" w:rsidRDefault="00E33A99">
      <w:pPr>
        <w:autoSpaceDE w:val="0"/>
        <w:autoSpaceDN w:val="0"/>
        <w:adjustRightInd w:val="0"/>
        <w:spacing w:after="120"/>
        <w:rPr>
          <w:noProof/>
          <w:szCs w:val="24"/>
        </w:rPr>
      </w:pPr>
      <w:r>
        <w:rPr>
          <w:rFonts w:eastAsiaTheme="minorHAnsi"/>
          <w:noProof/>
          <w:szCs w:val="24"/>
        </w:rPr>
        <w:t>In light of the above-mentioned considerations, t</w:t>
      </w:r>
      <w:r>
        <w:rPr>
          <w:noProof/>
          <w:szCs w:val="24"/>
        </w:rPr>
        <w:t>he following options are</w:t>
      </w:r>
      <w:r>
        <w:rPr>
          <w:noProof/>
          <w:szCs w:val="24"/>
        </w:rPr>
        <w:t xml:space="preserve"> considered:</w:t>
      </w:r>
    </w:p>
    <w:p w:rsidR="001A26B0" w:rsidRDefault="00E33A99">
      <w:pPr>
        <w:pStyle w:val="ListParagraph"/>
        <w:numPr>
          <w:ilvl w:val="0"/>
          <w:numId w:val="19"/>
        </w:numPr>
        <w:spacing w:after="120"/>
        <w:ind w:left="714" w:hanging="357"/>
        <w:contextualSpacing w:val="0"/>
        <w:rPr>
          <w:noProof/>
        </w:rPr>
      </w:pPr>
      <w:r>
        <w:rPr>
          <w:noProof/>
        </w:rPr>
        <w:t>Option BB 0: Change nothing</w:t>
      </w:r>
    </w:p>
    <w:p w:rsidR="001A26B0" w:rsidRDefault="00E33A99">
      <w:pPr>
        <w:spacing w:after="120"/>
        <w:ind w:left="720"/>
        <w:rPr>
          <w:noProof/>
          <w:szCs w:val="24"/>
        </w:rPr>
      </w:pPr>
      <w:r>
        <w:rPr>
          <w:noProof/>
          <w:szCs w:val="24"/>
        </w:rPr>
        <w:t>Under this option, no banking or borrowing would be allowed.</w:t>
      </w:r>
    </w:p>
    <w:p w:rsidR="001A26B0" w:rsidRDefault="00E33A99">
      <w:pPr>
        <w:pStyle w:val="ListParagraph"/>
        <w:numPr>
          <w:ilvl w:val="0"/>
          <w:numId w:val="19"/>
        </w:numPr>
        <w:spacing w:after="120"/>
        <w:ind w:left="714" w:hanging="357"/>
        <w:contextualSpacing w:val="0"/>
        <w:rPr>
          <w:noProof/>
        </w:rPr>
      </w:pPr>
      <w:r>
        <w:rPr>
          <w:noProof/>
        </w:rPr>
        <w:t>Option BB 1: Banking only</w:t>
      </w:r>
    </w:p>
    <w:p w:rsidR="001A26B0" w:rsidRDefault="00E33A99">
      <w:pPr>
        <w:spacing w:after="120"/>
        <w:ind w:left="710"/>
        <w:rPr>
          <w:noProof/>
        </w:rPr>
      </w:pPr>
      <w:r>
        <w:rPr>
          <w:noProof/>
        </w:rPr>
        <w:t>Under this option, banking of CO</w:t>
      </w:r>
      <w:r>
        <w:rPr>
          <w:noProof/>
          <w:vertAlign w:val="subscript"/>
        </w:rPr>
        <w:t>2</w:t>
      </w:r>
      <w:r>
        <w:rPr>
          <w:noProof/>
        </w:rPr>
        <w:t xml:space="preserve"> and/or LEV credits would be allowed, but no borrowing.</w:t>
      </w:r>
    </w:p>
    <w:p w:rsidR="001A26B0" w:rsidRDefault="00E33A99">
      <w:pPr>
        <w:pStyle w:val="ListParagraph"/>
        <w:numPr>
          <w:ilvl w:val="0"/>
          <w:numId w:val="19"/>
        </w:numPr>
        <w:spacing w:after="120"/>
        <w:ind w:left="714" w:hanging="357"/>
        <w:contextualSpacing w:val="0"/>
        <w:rPr>
          <w:noProof/>
        </w:rPr>
      </w:pPr>
      <w:r>
        <w:rPr>
          <w:noProof/>
        </w:rPr>
        <w:t xml:space="preserve">Option BB 2: Banking and borrowing: </w:t>
      </w:r>
    </w:p>
    <w:p w:rsidR="001A26B0" w:rsidRDefault="00E33A99">
      <w:pPr>
        <w:spacing w:after="120"/>
        <w:ind w:left="710"/>
        <w:rPr>
          <w:noProof/>
        </w:rPr>
      </w:pPr>
      <w:r>
        <w:rPr>
          <w:noProof/>
        </w:rPr>
        <w:t>Un</w:t>
      </w:r>
      <w:r>
        <w:rPr>
          <w:noProof/>
        </w:rPr>
        <w:t>der this option, both the banking and borrowing of CO</w:t>
      </w:r>
      <w:r>
        <w:rPr>
          <w:noProof/>
          <w:vertAlign w:val="subscript"/>
        </w:rPr>
        <w:t>2</w:t>
      </w:r>
      <w:r>
        <w:rPr>
          <w:noProof/>
        </w:rPr>
        <w:t xml:space="preserve"> and/or LEV credits would be allowed.</w:t>
      </w:r>
    </w:p>
    <w:p w:rsidR="001A26B0" w:rsidRDefault="00E33A99">
      <w:pPr>
        <w:pStyle w:val="Heading3"/>
        <w:rPr>
          <w:noProof/>
        </w:rPr>
      </w:pPr>
      <w:bookmarkStart w:id="153" w:name="_Ref485894086"/>
      <w:bookmarkStart w:id="154" w:name="_Toc492548046"/>
      <w:bookmarkStart w:id="155" w:name="_Toc496635598"/>
      <w:r>
        <w:rPr>
          <w:noProof/>
        </w:rPr>
        <w:t>Exemptions and derogations</w:t>
      </w:r>
      <w:bookmarkEnd w:id="153"/>
      <w:bookmarkEnd w:id="154"/>
      <w:bookmarkEnd w:id="155"/>
    </w:p>
    <w:p w:rsidR="001A26B0" w:rsidRDefault="00E33A99">
      <w:pPr>
        <w:autoSpaceDE w:val="0"/>
        <w:autoSpaceDN w:val="0"/>
        <w:adjustRightInd w:val="0"/>
        <w:spacing w:after="120"/>
        <w:rPr>
          <w:noProof/>
          <w:szCs w:val="24"/>
        </w:rPr>
      </w:pPr>
      <w:r>
        <w:rPr>
          <w:rFonts w:ascii="TimesNewRoman" w:hAnsi="TimesNewRoman" w:cs="TimesNewRoman"/>
          <w:noProof/>
          <w:szCs w:val="24"/>
        </w:rPr>
        <w:t>The Cars and Vans Regulations acknowledge that CO</w:t>
      </w:r>
      <w:r>
        <w:rPr>
          <w:rFonts w:ascii="TimesNewRoman" w:hAnsi="TimesNewRoman" w:cs="TimesNewRoman"/>
          <w:noProof/>
          <w:szCs w:val="24"/>
          <w:vertAlign w:val="subscript"/>
        </w:rPr>
        <w:t>2</w:t>
      </w:r>
      <w:r>
        <w:rPr>
          <w:rFonts w:ascii="TimesNewRoman" w:hAnsi="TimesNewRoman" w:cs="TimesNewRoman"/>
          <w:noProof/>
          <w:szCs w:val="24"/>
        </w:rPr>
        <w:t xml:space="preserve"> targets should be determined </w:t>
      </w:r>
      <w:r>
        <w:rPr>
          <w:noProof/>
          <w:szCs w:val="24"/>
        </w:rPr>
        <w:t>differently for smaller manufacturers as compared to larg</w:t>
      </w:r>
      <w:r>
        <w:rPr>
          <w:noProof/>
          <w:szCs w:val="24"/>
        </w:rPr>
        <w:t>er ones, taking account of their capability to meet such standards. The Regulations therefore contain the following derogations:</w:t>
      </w:r>
    </w:p>
    <w:p w:rsidR="001A26B0" w:rsidRDefault="00E33A99">
      <w:pPr>
        <w:numPr>
          <w:ilvl w:val="0"/>
          <w:numId w:val="23"/>
        </w:numPr>
        <w:autoSpaceDE w:val="0"/>
        <w:autoSpaceDN w:val="0"/>
        <w:adjustRightInd w:val="0"/>
        <w:spacing w:after="120"/>
        <w:rPr>
          <w:noProof/>
          <w:szCs w:val="24"/>
        </w:rPr>
      </w:pPr>
      <w:r>
        <w:rPr>
          <w:noProof/>
          <w:szCs w:val="24"/>
        </w:rPr>
        <w:t xml:space="preserve">A </w:t>
      </w:r>
      <w:r>
        <w:rPr>
          <w:i/>
          <w:noProof/>
          <w:szCs w:val="24"/>
          <w:u w:val="single"/>
        </w:rPr>
        <w:t>de minimis</w:t>
      </w:r>
      <w:r>
        <w:rPr>
          <w:noProof/>
          <w:szCs w:val="24"/>
          <w:u w:val="single"/>
        </w:rPr>
        <w:t xml:space="preserve"> exemption (cars and vans)</w:t>
      </w:r>
      <w:r>
        <w:rPr>
          <w:noProof/>
          <w:szCs w:val="24"/>
        </w:rPr>
        <w:t xml:space="preserve">, which was introduced in the legislation in </w:t>
      </w:r>
      <w:r>
        <w:rPr>
          <w:noProof/>
        </w:rPr>
        <w:t xml:space="preserve">2014 for manufacturers responsible for less </w:t>
      </w:r>
      <w:r>
        <w:rPr>
          <w:noProof/>
        </w:rPr>
        <w:t>than 1,000 newly registered vehicles per year.</w:t>
      </w:r>
      <w:r>
        <w:rPr>
          <w:noProof/>
          <w:szCs w:val="24"/>
        </w:rPr>
        <w:t xml:space="preserve"> This exempts small manufacturers, in many cases SMEs, from meeting a specific CO</w:t>
      </w:r>
      <w:r>
        <w:rPr>
          <w:noProof/>
          <w:szCs w:val="24"/>
          <w:vertAlign w:val="subscript"/>
        </w:rPr>
        <w:t>2</w:t>
      </w:r>
      <w:r>
        <w:rPr>
          <w:noProof/>
          <w:szCs w:val="24"/>
        </w:rPr>
        <w:t xml:space="preserve"> emissions target and hence from applying for a derogation, thus reducing administrative burden;</w:t>
      </w:r>
    </w:p>
    <w:p w:rsidR="001A26B0" w:rsidRDefault="00E33A99">
      <w:pPr>
        <w:numPr>
          <w:ilvl w:val="0"/>
          <w:numId w:val="23"/>
        </w:numPr>
        <w:autoSpaceDE w:val="0"/>
        <w:autoSpaceDN w:val="0"/>
        <w:adjustRightInd w:val="0"/>
        <w:spacing w:after="120"/>
        <w:rPr>
          <w:noProof/>
          <w:szCs w:val="24"/>
        </w:rPr>
      </w:pPr>
      <w:r>
        <w:rPr>
          <w:noProof/>
          <w:szCs w:val="24"/>
          <w:u w:val="single"/>
        </w:rPr>
        <w:t xml:space="preserve">Small volume derogations (cars </w:t>
      </w:r>
      <w:r>
        <w:rPr>
          <w:noProof/>
          <w:szCs w:val="24"/>
          <w:u w:val="single"/>
        </w:rPr>
        <w:t>and vans)</w:t>
      </w:r>
      <w:r>
        <w:rPr>
          <w:noProof/>
          <w:szCs w:val="24"/>
        </w:rPr>
        <w:t>: manufacturers (or a group of connected undertakings) responsible for between 1,000 and 10,000 cars registered per year or between 1,000 and 22,000 vans registered per year can apply to the Commission for an individual target consistent with thei</w:t>
      </w:r>
      <w:r>
        <w:rPr>
          <w:noProof/>
          <w:szCs w:val="24"/>
        </w:rPr>
        <w:t>r reduction potential;</w:t>
      </w:r>
    </w:p>
    <w:p w:rsidR="001A26B0" w:rsidRDefault="00E33A99">
      <w:pPr>
        <w:numPr>
          <w:ilvl w:val="0"/>
          <w:numId w:val="23"/>
        </w:numPr>
        <w:autoSpaceDE w:val="0"/>
        <w:autoSpaceDN w:val="0"/>
        <w:adjustRightInd w:val="0"/>
        <w:spacing w:after="120"/>
        <w:rPr>
          <w:noProof/>
          <w:szCs w:val="24"/>
        </w:rPr>
      </w:pPr>
      <w:r>
        <w:rPr>
          <w:noProof/>
          <w:szCs w:val="24"/>
          <w:u w:val="single"/>
        </w:rPr>
        <w:t>Niche derogations (cars only)</w:t>
      </w:r>
      <w:r>
        <w:rPr>
          <w:noProof/>
          <w:szCs w:val="24"/>
        </w:rPr>
        <w:t>: manufacturers (or a group of connected undertakings) responsible for between 10,000 and 300,000 cars registered per year can apply for an individual target in 2021, corresponding with a 45% reduction fr</w:t>
      </w:r>
      <w:r>
        <w:rPr>
          <w:noProof/>
          <w:szCs w:val="24"/>
        </w:rPr>
        <w:t>om their 2007 average emissions.</w:t>
      </w:r>
    </w:p>
    <w:p w:rsidR="001A26B0" w:rsidRDefault="00E33A99">
      <w:pPr>
        <w:pStyle w:val="Heading4"/>
        <w:rPr>
          <w:noProof/>
          <w:color w:val="000000" w:themeColor="text1"/>
          <w:lang w:val="fr-BE"/>
        </w:rPr>
      </w:pPr>
      <w:r>
        <w:rPr>
          <w:noProof/>
        </w:rPr>
        <w:tab/>
      </w:r>
      <w:bookmarkStart w:id="156" w:name="_Toc491461025"/>
      <w:bookmarkStart w:id="157" w:name="_Toc492548047"/>
      <w:bookmarkStart w:id="158" w:name="_Toc496635599"/>
      <w:r>
        <w:rPr>
          <w:noProof/>
        </w:rPr>
        <w:t xml:space="preserve">'De </w:t>
      </w:r>
      <w:r>
        <w:rPr>
          <w:noProof/>
          <w:color w:val="000000" w:themeColor="text1"/>
          <w:lang w:val="fr-BE"/>
        </w:rPr>
        <w:t>minimis' exemptions' and 'small volume' derogations</w:t>
      </w:r>
      <w:bookmarkEnd w:id="156"/>
      <w:bookmarkEnd w:id="157"/>
      <w:bookmarkEnd w:id="158"/>
    </w:p>
    <w:p w:rsidR="001A26B0" w:rsidRDefault="00E33A99">
      <w:pPr>
        <w:spacing w:after="120"/>
        <w:rPr>
          <w:noProof/>
        </w:rPr>
      </w:pPr>
      <w:r>
        <w:rPr>
          <w:i/>
          <w:noProof/>
        </w:rPr>
        <w:t>De minimis</w:t>
      </w:r>
      <w:r>
        <w:rPr>
          <w:noProof/>
        </w:rPr>
        <w:t xml:space="preserve"> exemptions reduce compliance and administrative costs for small manufacturers which are in many cases SMEs. Since they are exempt from meeting a specific CO</w:t>
      </w:r>
      <w:r>
        <w:rPr>
          <w:noProof/>
          <w:vertAlign w:val="subscript"/>
        </w:rPr>
        <w:t>2</w:t>
      </w:r>
      <w:r>
        <w:rPr>
          <w:noProof/>
        </w:rPr>
        <w:t xml:space="preserve"> target they have no compliance costs for adapting their vehicles to meet CO</w:t>
      </w:r>
      <w:r>
        <w:rPr>
          <w:noProof/>
          <w:vertAlign w:val="subscript"/>
        </w:rPr>
        <w:t>2</w:t>
      </w:r>
      <w:r>
        <w:rPr>
          <w:noProof/>
        </w:rPr>
        <w:t xml:space="preserve"> standards. The evalu</w:t>
      </w:r>
      <w:r>
        <w:rPr>
          <w:noProof/>
        </w:rPr>
        <w:t>ation study estimated that the exemption reduces the administrative burden for the eligible manufacturers by around € 25,000 per manufacturer. It also facilitates the market entry of new manufacturers whilst having no significant impacts on the CO</w:t>
      </w:r>
      <w:r>
        <w:rPr>
          <w:noProof/>
          <w:vertAlign w:val="subscript"/>
        </w:rPr>
        <w:t>2</w:t>
      </w:r>
      <w:r>
        <w:rPr>
          <w:noProof/>
        </w:rPr>
        <w:t xml:space="preserve"> reducti</w:t>
      </w:r>
      <w:r>
        <w:rPr>
          <w:noProof/>
        </w:rPr>
        <w:t xml:space="preserve">ons of the overall EU vehicles fleet. During the public consultation, small car manufacturers underlined the importance of this exemption, with no other stakeholders questioning it. </w:t>
      </w:r>
    </w:p>
    <w:p w:rsidR="001A26B0" w:rsidRDefault="00E33A99">
      <w:pPr>
        <w:spacing w:after="120"/>
        <w:rPr>
          <w:noProof/>
          <w:lang w:val="en"/>
        </w:rPr>
      </w:pPr>
      <w:r>
        <w:rPr>
          <w:noProof/>
        </w:rPr>
        <w:t>The evaluation study also identified the small volume derogations as a po</w:t>
      </w:r>
      <w:r>
        <w:rPr>
          <w:noProof/>
        </w:rPr>
        <w:t xml:space="preserve">tential weakness, but also confirmed that its impacts in this respect had been relatively small. Most stakeholders also supported this derogation regime, although some environmental NGOs and public authorities were opposed. </w:t>
      </w:r>
    </w:p>
    <w:p w:rsidR="001A26B0" w:rsidRDefault="00E33A99">
      <w:pPr>
        <w:spacing w:after="120"/>
        <w:rPr>
          <w:noProof/>
        </w:rPr>
      </w:pPr>
      <w:r>
        <w:rPr>
          <w:noProof/>
        </w:rPr>
        <w:t>In 2015/2016, 23 car manufactur</w:t>
      </w:r>
      <w:r>
        <w:rPr>
          <w:noProof/>
        </w:rPr>
        <w:t xml:space="preserve">ers benefitted from this derogation, 18 of which had less than 1,000 registrations and could thus have benefitted from the </w:t>
      </w:r>
      <w:r>
        <w:rPr>
          <w:i/>
          <w:noProof/>
        </w:rPr>
        <w:t>de minimis</w:t>
      </w:r>
      <w:r>
        <w:rPr>
          <w:noProof/>
        </w:rPr>
        <w:t xml:space="preserve"> exemption (many small manufacturers continue to apply for derogations since EU derogations are required to avoid penalties</w:t>
      </w:r>
      <w:r>
        <w:rPr>
          <w:noProof/>
        </w:rPr>
        <w:t xml:space="preserve"> when selling vehicles on the Swiss market). Without a derogation (or exemption) all of these car manufacturers would have exceeded their specific emissions target. </w:t>
      </w:r>
    </w:p>
    <w:p w:rsidR="001A26B0" w:rsidRDefault="00E33A99">
      <w:pPr>
        <w:spacing w:after="120"/>
        <w:rPr>
          <w:noProof/>
        </w:rPr>
      </w:pPr>
      <w:r>
        <w:rPr>
          <w:noProof/>
        </w:rPr>
        <w:t xml:space="preserve">Six van manufacturers (or pools) applied for this derogation in 2015/2016, three of which </w:t>
      </w:r>
      <w:r>
        <w:rPr>
          <w:noProof/>
        </w:rPr>
        <w:t xml:space="preserve">had less than 1,000 vans registered in these years and were thus eligible for the </w:t>
      </w:r>
      <w:r>
        <w:rPr>
          <w:i/>
          <w:noProof/>
        </w:rPr>
        <w:t>de minimis</w:t>
      </w:r>
      <w:r>
        <w:rPr>
          <w:noProof/>
        </w:rPr>
        <w:t xml:space="preserve"> exemption</w:t>
      </w:r>
      <w:r>
        <w:rPr>
          <w:noProof/>
          <w:vertAlign w:val="superscript"/>
        </w:rPr>
        <w:t xml:space="preserve"> </w:t>
      </w:r>
      <w:r>
        <w:rPr>
          <w:noProof/>
          <w:vertAlign w:val="superscript"/>
        </w:rPr>
        <w:footnoteReference w:id="117"/>
      </w:r>
      <w:r>
        <w:rPr>
          <w:noProof/>
        </w:rPr>
        <w:t xml:space="preserve">. Four other manufacturers, which were eligible for the derogation, did not apply for it as they met their 'default' (Annex I) target. </w:t>
      </w:r>
    </w:p>
    <w:p w:rsidR="001A26B0" w:rsidRDefault="00E33A99">
      <w:pPr>
        <w:spacing w:after="120"/>
        <w:rPr>
          <w:noProof/>
        </w:rPr>
      </w:pPr>
      <w:r>
        <w:rPr>
          <w:noProof/>
        </w:rPr>
        <w:t>In considering p</w:t>
      </w:r>
      <w:r>
        <w:rPr>
          <w:noProof/>
        </w:rPr>
        <w:t>ossible options, it does not appear appropriate to completely exempt this group of manufacturers from meeting any CO</w:t>
      </w:r>
      <w:r>
        <w:rPr>
          <w:noProof/>
          <w:vertAlign w:val="subscript"/>
        </w:rPr>
        <w:t>2</w:t>
      </w:r>
      <w:r>
        <w:rPr>
          <w:noProof/>
        </w:rPr>
        <w:t xml:space="preserve"> targets in view of the emission reduction potential in this segment, including the introduction of alternative powertrains. On the other h</w:t>
      </w:r>
      <w:r>
        <w:rPr>
          <w:noProof/>
        </w:rPr>
        <w:t>and, applying the same targets as for large volume manufacturers, based on the limit value curve, would mean that the reduction effort imposed on the small volume manufacturers would be significantly higher compared to large volume manufacturers taking acc</w:t>
      </w:r>
      <w:r>
        <w:rPr>
          <w:noProof/>
        </w:rPr>
        <w:t xml:space="preserve">ount of their capability to meet emission standards (e.g. smaller fleet, fewer models). </w:t>
      </w:r>
    </w:p>
    <w:p w:rsidR="001A26B0" w:rsidRDefault="00E33A99">
      <w:pPr>
        <w:spacing w:after="120"/>
        <w:rPr>
          <w:noProof/>
        </w:rPr>
      </w:pPr>
      <w:r>
        <w:rPr>
          <w:noProof/>
        </w:rPr>
        <w:t xml:space="preserve">The options of complete exemption or applying the same targets as for large volume manufacturers are therefore not considered further. </w:t>
      </w:r>
    </w:p>
    <w:p w:rsidR="001A26B0" w:rsidRDefault="00E33A99">
      <w:pPr>
        <w:spacing w:after="120"/>
        <w:rPr>
          <w:noProof/>
        </w:rPr>
      </w:pPr>
      <w:r>
        <w:rPr>
          <w:noProof/>
        </w:rPr>
        <w:t>While some manufacturers applyi</w:t>
      </w:r>
      <w:r>
        <w:rPr>
          <w:noProof/>
        </w:rPr>
        <w:t>ng for the derogation have pointed to the administrative burden of the application procedure as an issue, it should be noted that the Commission is empowered to define the detailed provisions on the application procedure and assessment criteria. These conc</w:t>
      </w:r>
      <w:r>
        <w:rPr>
          <w:noProof/>
        </w:rPr>
        <w:t>erns can effectively be addressed through a simplification of the current applicable rules which are defined under comitology</w:t>
      </w:r>
      <w:r>
        <w:rPr>
          <w:noProof/>
          <w:vertAlign w:val="superscript"/>
        </w:rPr>
        <w:footnoteReference w:id="118"/>
      </w:r>
      <w:r>
        <w:rPr>
          <w:noProof/>
        </w:rPr>
        <w:t>.</w:t>
      </w:r>
    </w:p>
    <w:p w:rsidR="001A26B0" w:rsidRDefault="00E33A99">
      <w:pPr>
        <w:spacing w:after="120"/>
        <w:rPr>
          <w:noProof/>
        </w:rPr>
      </w:pPr>
      <w:r>
        <w:rPr>
          <w:noProof/>
        </w:rPr>
        <w:t xml:space="preserve">In view of the above, the impact assessment does not consider specific options to change the existing regime of </w:t>
      </w:r>
      <w:r>
        <w:rPr>
          <w:i/>
          <w:noProof/>
        </w:rPr>
        <w:t>de minimis</w:t>
      </w:r>
      <w:r>
        <w:rPr>
          <w:noProof/>
        </w:rPr>
        <w:t xml:space="preserve"> exemp</w:t>
      </w:r>
      <w:r>
        <w:rPr>
          <w:noProof/>
        </w:rPr>
        <w:t>tions and small volume manufacturers.</w:t>
      </w:r>
    </w:p>
    <w:p w:rsidR="001A26B0" w:rsidRDefault="00E33A99">
      <w:pPr>
        <w:pStyle w:val="Heading4"/>
        <w:rPr>
          <w:noProof/>
        </w:rPr>
      </w:pPr>
      <w:r>
        <w:rPr>
          <w:noProof/>
        </w:rPr>
        <w:tab/>
      </w:r>
      <w:bookmarkStart w:id="159" w:name="_Ref485915143"/>
      <w:bookmarkStart w:id="160" w:name="_Toc492548048"/>
      <w:bookmarkStart w:id="161" w:name="_Toc496635600"/>
      <w:r>
        <w:rPr>
          <w:noProof/>
        </w:rPr>
        <w:t>Niche derogations for car manufacturers (NIC)</w:t>
      </w:r>
      <w:bookmarkEnd w:id="159"/>
      <w:bookmarkEnd w:id="160"/>
      <w:bookmarkEnd w:id="161"/>
    </w:p>
    <w:p w:rsidR="001A26B0" w:rsidRDefault="00E33A99">
      <w:pPr>
        <w:spacing w:after="120"/>
        <w:rPr>
          <w:noProof/>
        </w:rPr>
      </w:pPr>
      <w:r>
        <w:rPr>
          <w:noProof/>
        </w:rPr>
        <w:t>The Cars Regulation allows a 'niche' car manufacturer to meet a fixed emission reduction percentage set in relation to its emissions in 2007 (25% reduction by 2015 and 45%</w:t>
      </w:r>
      <w:r>
        <w:rPr>
          <w:noProof/>
        </w:rPr>
        <w:t xml:space="preserve"> by 2021) instead of the 'default' emission target according to the limit value curve (Annex I to the Regulation). It should be noted that the percentage emission reduction between the 2015 and 2021 'niche' derogation targets is the same as the one between</w:t>
      </w:r>
      <w:r>
        <w:rPr>
          <w:noProof/>
        </w:rPr>
        <w:t xml:space="preserve"> the fleet-wide targets set in the Regulation for those years (130 g/km and 95 g/km, respectively).</w:t>
      </w:r>
    </w:p>
    <w:p w:rsidR="001A26B0" w:rsidRDefault="00E33A99">
      <w:pPr>
        <w:spacing w:after="120"/>
        <w:rPr>
          <w:noProof/>
        </w:rPr>
      </w:pPr>
      <w:r>
        <w:rPr>
          <w:noProof/>
        </w:rPr>
        <w:t>In 2015/2016, eight manufacturers or pools were eligible for a niche derogation but only five have applied to the Commission. Four out of the eight</w:t>
      </w:r>
      <w:r>
        <w:rPr>
          <w:noProof/>
          <w:vertAlign w:val="superscript"/>
        </w:rPr>
        <w:footnoteReference w:id="119"/>
      </w:r>
      <w:r>
        <w:rPr>
          <w:noProof/>
        </w:rPr>
        <w:t xml:space="preserve"> were be</w:t>
      </w:r>
      <w:r>
        <w:rPr>
          <w:noProof/>
        </w:rPr>
        <w:t xml:space="preserve">low their 'default' (Annex I) specific emissions target in one or both years and so strictly speaking did not need a derogation to comply with the Regulation. </w:t>
      </w:r>
    </w:p>
    <w:p w:rsidR="001A26B0" w:rsidRDefault="00E33A99">
      <w:pPr>
        <w:spacing w:after="120"/>
        <w:rPr>
          <w:noProof/>
        </w:rPr>
      </w:pPr>
      <w:r>
        <w:rPr>
          <w:noProof/>
        </w:rPr>
        <w:t>It results from the evaluation study that this derogation potentially weakens the delivery of CO</w:t>
      </w:r>
      <w:r>
        <w:rPr>
          <w:noProof/>
          <w:vertAlign w:val="subscript"/>
        </w:rPr>
        <w:t>2</w:t>
      </w:r>
      <w:r>
        <w:rPr>
          <w:noProof/>
        </w:rPr>
        <w:t xml:space="preserve"> emissions reductions. If all of the eligible manufacturers would apply for the derogation, the number of cars covered could then increase by up to five times</w:t>
      </w:r>
      <w:r>
        <w:rPr>
          <w:noProof/>
          <w:vertAlign w:val="superscript"/>
        </w:rPr>
        <w:footnoteReference w:id="120"/>
      </w:r>
      <w:r>
        <w:rPr>
          <w:noProof/>
        </w:rPr>
        <w:t xml:space="preserve">. </w:t>
      </w:r>
    </w:p>
    <w:p w:rsidR="001A26B0" w:rsidRDefault="00E33A99">
      <w:pPr>
        <w:spacing w:after="120"/>
        <w:rPr>
          <w:noProof/>
        </w:rPr>
      </w:pPr>
      <w:r>
        <w:rPr>
          <w:noProof/>
        </w:rPr>
        <w:t>During the public consultation, car manufacturers supported the continuation of this derogati</w:t>
      </w:r>
      <w:r>
        <w:rPr>
          <w:noProof/>
        </w:rPr>
        <w:t>on regime but a majority of environmental and transport NGOs as well as all consumer organisations were against it.</w:t>
      </w:r>
    </w:p>
    <w:p w:rsidR="001A26B0" w:rsidRDefault="00E33A99">
      <w:pPr>
        <w:spacing w:after="120"/>
        <w:rPr>
          <w:noProof/>
        </w:rPr>
      </w:pPr>
      <w:r>
        <w:rPr>
          <w:noProof/>
        </w:rPr>
        <w:t>Taking into account those considerations, the following options will be considered:</w:t>
      </w:r>
    </w:p>
    <w:p w:rsidR="001A26B0" w:rsidRDefault="00E33A99">
      <w:pPr>
        <w:pStyle w:val="ListParagraph"/>
        <w:numPr>
          <w:ilvl w:val="0"/>
          <w:numId w:val="19"/>
        </w:numPr>
        <w:spacing w:after="120"/>
        <w:ind w:left="714" w:hanging="357"/>
        <w:contextualSpacing w:val="0"/>
        <w:rPr>
          <w:noProof/>
          <w:color w:val="000000" w:themeColor="text1"/>
        </w:rPr>
      </w:pPr>
      <w:r>
        <w:rPr>
          <w:noProof/>
          <w:color w:val="000000" w:themeColor="text1"/>
        </w:rPr>
        <w:t>Option NIC 0: Change nothing</w:t>
      </w:r>
    </w:p>
    <w:p w:rsidR="001A26B0" w:rsidRDefault="00E33A99">
      <w:pPr>
        <w:spacing w:after="120"/>
        <w:ind w:left="360"/>
        <w:rPr>
          <w:noProof/>
        </w:rPr>
      </w:pPr>
      <w:bookmarkStart w:id="162" w:name="_Ref485810205"/>
      <w:r>
        <w:rPr>
          <w:noProof/>
        </w:rPr>
        <w:t>This would mean maintaining</w:t>
      </w:r>
      <w:r>
        <w:rPr>
          <w:noProof/>
        </w:rPr>
        <w:t xml:space="preserve"> the current provisions of the Cars Regulation. As a result, the 'niche' manufacturers would have to continue to comply after 2021 with the current derogation target, i.e. </w:t>
      </w:r>
      <w:r>
        <w:rPr>
          <w:noProof/>
          <w:szCs w:val="24"/>
        </w:rPr>
        <w:t>45% reduction from their 2007 average emissions</w:t>
      </w:r>
      <w:r>
        <w:rPr>
          <w:noProof/>
        </w:rPr>
        <w:t>.</w:t>
      </w:r>
    </w:p>
    <w:p w:rsidR="001A26B0" w:rsidRDefault="00E33A99">
      <w:pPr>
        <w:numPr>
          <w:ilvl w:val="0"/>
          <w:numId w:val="19"/>
        </w:numPr>
        <w:spacing w:after="120"/>
        <w:ind w:left="714" w:hanging="357"/>
        <w:rPr>
          <w:noProof/>
        </w:rPr>
      </w:pPr>
      <w:r>
        <w:rPr>
          <w:noProof/>
        </w:rPr>
        <w:t>Option NIC 1: Set new derogation ta</w:t>
      </w:r>
      <w:r>
        <w:rPr>
          <w:noProof/>
        </w:rPr>
        <w:t xml:space="preserve">rgets for 'niche' manufacturers </w:t>
      </w:r>
    </w:p>
    <w:p w:rsidR="001A26B0" w:rsidRDefault="00E33A99">
      <w:pPr>
        <w:spacing w:after="120"/>
        <w:ind w:left="360"/>
        <w:rPr>
          <w:noProof/>
        </w:rPr>
      </w:pPr>
      <w:r>
        <w:rPr>
          <w:noProof/>
        </w:rPr>
        <w:t>Under this option, new "niche" targets would be defined for the period post-2021 on the basis of the overall CO</w:t>
      </w:r>
      <w:r>
        <w:rPr>
          <w:noProof/>
          <w:vertAlign w:val="subscript"/>
        </w:rPr>
        <w:t>2</w:t>
      </w:r>
      <w:r>
        <w:rPr>
          <w:noProof/>
        </w:rPr>
        <w:t xml:space="preserve"> reduction targets defined for the EU-wide fleet (TLC, see Section 5.1.1). The starting point for the 'niche' manufacturers would be their specific emission target for 2021. This approach would be in line with the reduction pathway set in the current Regul</w:t>
      </w:r>
      <w:r>
        <w:rPr>
          <w:noProof/>
        </w:rPr>
        <w:t>ations between 2015 and 2021.</w:t>
      </w:r>
    </w:p>
    <w:p w:rsidR="001A26B0" w:rsidRDefault="00E33A99">
      <w:pPr>
        <w:numPr>
          <w:ilvl w:val="0"/>
          <w:numId w:val="19"/>
        </w:numPr>
        <w:spacing w:after="120"/>
        <w:ind w:left="714" w:hanging="357"/>
        <w:rPr>
          <w:noProof/>
        </w:rPr>
      </w:pPr>
      <w:r>
        <w:rPr>
          <w:noProof/>
        </w:rPr>
        <w:t xml:space="preserve">Option NIC 2: Remove the 'niche' derogation </w:t>
      </w:r>
    </w:p>
    <w:p w:rsidR="001A26B0" w:rsidRDefault="00E33A99">
      <w:pPr>
        <w:spacing w:after="120"/>
        <w:ind w:left="360"/>
        <w:rPr>
          <w:noProof/>
        </w:rPr>
      </w:pPr>
      <w:r>
        <w:rPr>
          <w:noProof/>
        </w:rPr>
        <w:t>Under this option, no 'niche' derogations would be foreseen. This would mean that the 'niche' manufacturers would be covered by the same rules as the larger manufacturers as regards</w:t>
      </w:r>
      <w:r>
        <w:rPr>
          <w:noProof/>
        </w:rPr>
        <w:t xml:space="preserve"> the target levels (see Section 5.1.1.1), distribution of effort (see Section 5.2) and LEV/ZEV incentives (see Section 5.3.2).</w:t>
      </w:r>
    </w:p>
    <w:p w:rsidR="001A26B0" w:rsidRDefault="00E33A99">
      <w:pPr>
        <w:pStyle w:val="Heading2"/>
        <w:rPr>
          <w:noProof/>
        </w:rPr>
      </w:pPr>
      <w:bookmarkStart w:id="163" w:name="_Ref492028221"/>
      <w:bookmarkStart w:id="164" w:name="_Toc492548049"/>
      <w:bookmarkStart w:id="165" w:name="_Toc496635601"/>
      <w:bookmarkEnd w:id="162"/>
      <w:r>
        <w:rPr>
          <w:noProof/>
        </w:rPr>
        <w:t>Governance</w:t>
      </w:r>
      <w:bookmarkEnd w:id="163"/>
      <w:bookmarkEnd w:id="164"/>
      <w:bookmarkEnd w:id="165"/>
      <w:r>
        <w:rPr>
          <w:noProof/>
        </w:rPr>
        <w:t xml:space="preserve"> </w:t>
      </w:r>
    </w:p>
    <w:p w:rsidR="001A26B0" w:rsidRDefault="00E33A99">
      <w:pPr>
        <w:spacing w:after="120"/>
        <w:rPr>
          <w:noProof/>
        </w:rPr>
      </w:pPr>
      <w:r>
        <w:rPr>
          <w:noProof/>
        </w:rPr>
        <w:t>The CO</w:t>
      </w:r>
      <w:r>
        <w:rPr>
          <w:noProof/>
          <w:vertAlign w:val="subscript"/>
        </w:rPr>
        <w:t>2</w:t>
      </w:r>
      <w:r>
        <w:rPr>
          <w:noProof/>
        </w:rPr>
        <w:t xml:space="preserve"> emission targets for LDVs are set and enforced using as reference a standardised type approval test, taking p</w:t>
      </w:r>
      <w:r>
        <w:rPr>
          <w:noProof/>
        </w:rPr>
        <w:t>lace in a laboratory. This approach is used worldwide and allows for comparability, reproducibility, verifiability and planning certainty. The effectiveness of the targets in reducing CO</w:t>
      </w:r>
      <w:r>
        <w:rPr>
          <w:noProof/>
          <w:vertAlign w:val="subscript"/>
        </w:rPr>
        <w:t>2</w:t>
      </w:r>
      <w:r>
        <w:rPr>
          <w:noProof/>
        </w:rPr>
        <w:t xml:space="preserve"> emissions in reality depends on the one hand on the representativene</w:t>
      </w:r>
      <w:r>
        <w:rPr>
          <w:noProof/>
        </w:rPr>
        <w:t xml:space="preserve">ss of the test procedure with respect to average real-world driving, and on the other hand on the extent to which the vehicles placed on the market conform to the reference vehicles tested at type approval. </w:t>
      </w:r>
    </w:p>
    <w:p w:rsidR="001A26B0" w:rsidRDefault="00E33A99">
      <w:pPr>
        <w:spacing w:after="120"/>
        <w:rPr>
          <w:noProof/>
        </w:rPr>
      </w:pPr>
      <w:r>
        <w:rPr>
          <w:noProof/>
        </w:rPr>
        <w:t>As highlighted in the evaluation report and in t</w:t>
      </w:r>
      <w:r>
        <w:rPr>
          <w:noProof/>
        </w:rPr>
        <w:t>he opinion of the Scientific Advice Mechanism</w:t>
      </w:r>
      <w:r>
        <w:rPr>
          <w:noProof/>
          <w:vertAlign w:val="superscript"/>
        </w:rPr>
        <w:footnoteReference w:id="121"/>
      </w:r>
      <w:r>
        <w:rPr>
          <w:noProof/>
        </w:rPr>
        <w:t>, it is widely accepted that the currently used NEDC laboratory test is no longer representative of today's driving conditions and vehicle technologies. Evidence taken from a number of sources indicates a growi</w:t>
      </w:r>
      <w:r>
        <w:rPr>
          <w:noProof/>
        </w:rPr>
        <w:t>ng divergence over the past years, up to around 40%, between the certified emissions and the emissions of vehicles driven on European roads</w:t>
      </w:r>
      <w:r>
        <w:rPr>
          <w:noProof/>
          <w:vertAlign w:val="superscript"/>
        </w:rPr>
        <w:footnoteReference w:id="122"/>
      </w:r>
      <w:r>
        <w:rPr>
          <w:noProof/>
        </w:rPr>
        <w:t xml:space="preserve">.  </w:t>
      </w:r>
    </w:p>
    <w:p w:rsidR="001A26B0" w:rsidRDefault="00E33A99">
      <w:pPr>
        <w:spacing w:after="120"/>
        <w:rPr>
          <w:noProof/>
        </w:rPr>
      </w:pPr>
      <w:r>
        <w:rPr>
          <w:noProof/>
        </w:rPr>
        <w:t>Factors which have contributed to this divergence include: the deployment of CO</w:t>
      </w:r>
      <w:r>
        <w:rPr>
          <w:noProof/>
          <w:vertAlign w:val="subscript"/>
        </w:rPr>
        <w:t>2</w:t>
      </w:r>
      <w:r>
        <w:rPr>
          <w:noProof/>
        </w:rPr>
        <w:t xml:space="preserve"> reducing technologies deliverin</w:t>
      </w:r>
      <w:r>
        <w:rPr>
          <w:noProof/>
        </w:rPr>
        <w:t>g more savings under test conditions than on the road; exploitation of flexibilities in the test procedure; growing deployment of untested energy consuming devices; driver independent circumstances like weather, road conditions or trip types; driving style</w:t>
      </w:r>
      <w:r>
        <w:rPr>
          <w:noProof/>
        </w:rPr>
        <w:t xml:space="preserve"> and driving modes</w:t>
      </w:r>
      <w:r>
        <w:rPr>
          <w:noProof/>
          <w:vertAlign w:val="superscript"/>
        </w:rPr>
        <w:footnoteReference w:id="123"/>
      </w:r>
      <w:r>
        <w:rPr>
          <w:noProof/>
        </w:rPr>
        <w:t>.</w:t>
      </w:r>
    </w:p>
    <w:p w:rsidR="001A26B0" w:rsidRDefault="00E33A99">
      <w:pPr>
        <w:spacing w:after="120"/>
        <w:rPr>
          <w:noProof/>
        </w:rPr>
      </w:pPr>
      <w:r>
        <w:rPr>
          <w:noProof/>
        </w:rPr>
        <w:t>During the public consultation there was very strong support across all stakeholder groups for the Commission to explore the potential to further reduce the divergence between the test cycle and real world emissions. Only representatives of car manufacture</w:t>
      </w:r>
      <w:r>
        <w:rPr>
          <w:noProof/>
        </w:rPr>
        <w:t xml:space="preserve">rs and one component supplier were against this. All stakeholder groups, except for car manufacturers, supported establishing additional driving tests to give values closer to real driving emissions. </w:t>
      </w:r>
    </w:p>
    <w:p w:rsidR="001A26B0" w:rsidRDefault="00E33A99">
      <w:pPr>
        <w:spacing w:after="120"/>
        <w:rPr>
          <w:noProof/>
        </w:rPr>
      </w:pPr>
      <w:r>
        <w:rPr>
          <w:noProof/>
        </w:rPr>
        <w:t>Application of the WLTP, which is mandatory in the EU f</w:t>
      </w:r>
      <w:r>
        <w:rPr>
          <w:noProof/>
        </w:rPr>
        <w:t>or all new car types from September 2017 and for all new cars and vans from September 2019, will result in more realistic CO</w:t>
      </w:r>
      <w:r>
        <w:rPr>
          <w:noProof/>
          <w:vertAlign w:val="subscript"/>
        </w:rPr>
        <w:t>2</w:t>
      </w:r>
      <w:r>
        <w:rPr>
          <w:noProof/>
        </w:rPr>
        <w:t xml:space="preserve"> values.  </w:t>
      </w:r>
    </w:p>
    <w:p w:rsidR="001A26B0" w:rsidRDefault="00E33A99">
      <w:pPr>
        <w:spacing w:after="120"/>
        <w:rPr>
          <w:noProof/>
        </w:rPr>
      </w:pPr>
      <w:r>
        <w:rPr>
          <w:noProof/>
        </w:rPr>
        <w:t>However, the longer-term effectiveness of the shift to WLTP in closing the gap will depend on the extent to which it wil</w:t>
      </w:r>
      <w:r>
        <w:rPr>
          <w:noProof/>
        </w:rPr>
        <w:t xml:space="preserve">l remain representative of real-world driving circumstances and on the degree to which it is enforced, including via market surveillance instruments. </w:t>
      </w:r>
    </w:p>
    <w:p w:rsidR="001A26B0" w:rsidRDefault="00E33A99">
      <w:pPr>
        <w:spacing w:after="120"/>
        <w:rPr>
          <w:noProof/>
        </w:rPr>
      </w:pPr>
      <w:r>
        <w:rPr>
          <w:noProof/>
        </w:rPr>
        <w:t>The following sections set out the options considered in relation to these two governance aspects.</w:t>
      </w:r>
    </w:p>
    <w:p w:rsidR="001A26B0" w:rsidRDefault="00E33A99">
      <w:pPr>
        <w:pStyle w:val="Heading3"/>
        <w:rPr>
          <w:noProof/>
        </w:rPr>
      </w:pPr>
      <w:bookmarkStart w:id="166" w:name="_Toc492408636"/>
      <w:bookmarkStart w:id="167" w:name="_Toc496635602"/>
      <w:r>
        <w:rPr>
          <w:noProof/>
        </w:rPr>
        <w:t>Real-w</w:t>
      </w:r>
      <w:r>
        <w:rPr>
          <w:noProof/>
        </w:rPr>
        <w:t>orld emissions (RWG)</w:t>
      </w:r>
      <w:bookmarkEnd w:id="166"/>
      <w:bookmarkEnd w:id="167"/>
    </w:p>
    <w:p w:rsidR="001A26B0" w:rsidRDefault="00E33A99">
      <w:pPr>
        <w:spacing w:after="120"/>
        <w:rPr>
          <w:noProof/>
        </w:rPr>
      </w:pPr>
      <w:r>
        <w:rPr>
          <w:noProof/>
        </w:rPr>
        <w:t>The effectiveness of technologies applied to reduce the CO</w:t>
      </w:r>
      <w:r>
        <w:rPr>
          <w:noProof/>
          <w:vertAlign w:val="subscript"/>
        </w:rPr>
        <w:t>2</w:t>
      </w:r>
      <w:r>
        <w:rPr>
          <w:noProof/>
        </w:rPr>
        <w:t xml:space="preserve"> emissions of vehicles is affected by the actual driving conditions. This effectiveness can therefore not be fully captured by a laboratory emissions test procedure, in particu</w:t>
      </w:r>
      <w:r>
        <w:rPr>
          <w:noProof/>
        </w:rPr>
        <w:t xml:space="preserve">lar given the rapid evolution of these technologies. </w:t>
      </w:r>
    </w:p>
    <w:p w:rsidR="001A26B0" w:rsidRDefault="00E33A99">
      <w:pPr>
        <w:spacing w:after="120"/>
        <w:rPr>
          <w:noProof/>
        </w:rPr>
      </w:pPr>
      <w:r>
        <w:rPr>
          <w:noProof/>
        </w:rPr>
        <w:t>Therefore, it is generally accepted that the emissions determined through a test procedure differ from the actual emissions achieved in the real world</w:t>
      </w:r>
      <w:r>
        <w:rPr>
          <w:noProof/>
          <w:vertAlign w:val="superscript"/>
        </w:rPr>
        <w:footnoteReference w:id="124"/>
      </w:r>
      <w:r>
        <w:rPr>
          <w:noProof/>
        </w:rPr>
        <w:t>. As such, this is not problematic for designing CO</w:t>
      </w:r>
      <w:r>
        <w:rPr>
          <w:noProof/>
          <w:vertAlign w:val="subscript"/>
        </w:rPr>
        <w:t>2</w:t>
      </w:r>
      <w:r>
        <w:rPr>
          <w:noProof/>
        </w:rPr>
        <w:t xml:space="preserve"> targets relying on type approval values, as long as the expected divergence between the test procedure and the real world emissions can be estimated correctly (see Annex 6). However, for the CO</w:t>
      </w:r>
      <w:r>
        <w:rPr>
          <w:noProof/>
          <w:vertAlign w:val="subscript"/>
        </w:rPr>
        <w:t>2</w:t>
      </w:r>
      <w:r>
        <w:rPr>
          <w:noProof/>
        </w:rPr>
        <w:t xml:space="preserve"> targets to fulfil their objective, it is important that any</w:t>
      </w:r>
      <w:r>
        <w:rPr>
          <w:noProof/>
        </w:rPr>
        <w:t xml:space="preserve"> remaining divergence under the test procedure does not increase over time. </w:t>
      </w:r>
    </w:p>
    <w:p w:rsidR="001A26B0" w:rsidRDefault="00E33A99">
      <w:pPr>
        <w:spacing w:after="120"/>
        <w:rPr>
          <w:noProof/>
        </w:rPr>
      </w:pPr>
      <w:r>
        <w:rPr>
          <w:noProof/>
        </w:rPr>
        <w:t>This consideration also applies with regard to consumer information. Type approval values of CO</w:t>
      </w:r>
      <w:r>
        <w:rPr>
          <w:noProof/>
          <w:vertAlign w:val="subscript"/>
        </w:rPr>
        <w:t>2</w:t>
      </w:r>
      <w:r>
        <w:rPr>
          <w:noProof/>
        </w:rPr>
        <w:t xml:space="preserve"> and fuel consumption are used by consumers to compare different vehicles' performa</w:t>
      </w:r>
      <w:r>
        <w:rPr>
          <w:noProof/>
        </w:rPr>
        <w:t>nce in terms of fuel efficiency. In order avoid that consumers are misled with regard to the performance of vehicles, information on how type approval values compare to real world values should be readily available. Easy access to real world fuel and energ</w:t>
      </w:r>
      <w:r>
        <w:rPr>
          <w:noProof/>
        </w:rPr>
        <w:t>y consumption data should contribute to achieve that and would also be an important step towards increased transparency and rebuilding consumer trust in the automotive industry as well as in the type approval system.</w:t>
      </w:r>
    </w:p>
    <w:p w:rsidR="001A26B0" w:rsidRDefault="00E33A99">
      <w:pPr>
        <w:spacing w:after="120"/>
        <w:rPr>
          <w:noProof/>
        </w:rPr>
      </w:pPr>
      <w:r>
        <w:rPr>
          <w:noProof/>
        </w:rPr>
        <w:t>The following two options are considere</w:t>
      </w:r>
      <w:r>
        <w:rPr>
          <w:noProof/>
        </w:rPr>
        <w:t>d with a view to address both the need to verify and ensure the representativeness of the new test procedure and to provide consumers with robust real world data on vehicle CO</w:t>
      </w:r>
      <w:r>
        <w:rPr>
          <w:noProof/>
          <w:vertAlign w:val="subscript"/>
        </w:rPr>
        <w:t>2</w:t>
      </w:r>
      <w:r>
        <w:rPr>
          <w:noProof/>
        </w:rPr>
        <w:t xml:space="preserve"> emissions and fuel consumption:</w:t>
      </w:r>
    </w:p>
    <w:p w:rsidR="001A26B0" w:rsidRDefault="00E33A99">
      <w:pPr>
        <w:numPr>
          <w:ilvl w:val="0"/>
          <w:numId w:val="19"/>
        </w:numPr>
        <w:spacing w:after="120"/>
        <w:ind w:left="714" w:hanging="357"/>
        <w:rPr>
          <w:noProof/>
        </w:rPr>
      </w:pPr>
      <w:r>
        <w:rPr>
          <w:noProof/>
        </w:rPr>
        <w:t>Option RWG 0:</w:t>
      </w:r>
      <w:r>
        <w:rPr>
          <w:noProof/>
        </w:rPr>
        <w:tab/>
        <w:t xml:space="preserve">Change nothing </w:t>
      </w:r>
    </w:p>
    <w:p w:rsidR="001A26B0" w:rsidRDefault="00E33A99">
      <w:pPr>
        <w:spacing w:after="120"/>
        <w:ind w:left="360"/>
        <w:rPr>
          <w:noProof/>
        </w:rPr>
      </w:pPr>
      <w:r>
        <w:rPr>
          <w:noProof/>
        </w:rPr>
        <w:t>This option assum</w:t>
      </w:r>
      <w:r>
        <w:rPr>
          <w:noProof/>
        </w:rPr>
        <w:t>es that the new test procedure WLTP, its periodic revision and the (proposed) revision of the type approval testing</w:t>
      </w:r>
      <w:r>
        <w:rPr>
          <w:noProof/>
          <w:vertAlign w:val="superscript"/>
        </w:rPr>
        <w:footnoteReference w:id="125"/>
      </w:r>
      <w:r>
        <w:rPr>
          <w:noProof/>
        </w:rPr>
        <w:t xml:space="preserve"> would be sufficient to ensure the representativeness of the test procedure over time, with a limited and stable divergence with respect to </w:t>
      </w:r>
      <w:r>
        <w:rPr>
          <w:noProof/>
        </w:rPr>
        <w:t>average real-world emissions. It also assumes that the CO</w:t>
      </w:r>
      <w:r>
        <w:rPr>
          <w:noProof/>
          <w:vertAlign w:val="subscript"/>
        </w:rPr>
        <w:t>2</w:t>
      </w:r>
      <w:r>
        <w:rPr>
          <w:noProof/>
        </w:rPr>
        <w:t xml:space="preserve"> and fuel consumption data resulting from the WLTP test would be sufficient in terms of consumer information.</w:t>
      </w:r>
    </w:p>
    <w:p w:rsidR="001A26B0" w:rsidRDefault="00E33A99">
      <w:pPr>
        <w:numPr>
          <w:ilvl w:val="0"/>
          <w:numId w:val="19"/>
        </w:numPr>
        <w:spacing w:after="120"/>
        <w:ind w:left="714" w:hanging="357"/>
        <w:rPr>
          <w:noProof/>
        </w:rPr>
      </w:pPr>
      <w:r>
        <w:rPr>
          <w:noProof/>
        </w:rPr>
        <w:t>Option RWG 1:</w:t>
      </w:r>
      <w:r>
        <w:rPr>
          <w:noProof/>
        </w:rPr>
        <w:tab/>
        <w:t>Collection, publication, and monitoring of real world fuel consumption dat</w:t>
      </w:r>
      <w:r>
        <w:rPr>
          <w:noProof/>
        </w:rPr>
        <w:t>a</w:t>
      </w:r>
    </w:p>
    <w:p w:rsidR="001A26B0" w:rsidRDefault="00E33A99">
      <w:pPr>
        <w:spacing w:after="120"/>
        <w:ind w:left="426"/>
        <w:rPr>
          <w:noProof/>
        </w:rPr>
      </w:pPr>
      <w:r>
        <w:rPr>
          <w:noProof/>
        </w:rPr>
        <w:t>This option considers two main complementary sources: firstly, the collection by manufacturers of real world fuel and energy consumption data from new vehicles and their publication on-line or by other easily accessible means. Secondly, the monitoring an</w:t>
      </w:r>
      <w:r>
        <w:rPr>
          <w:noProof/>
        </w:rPr>
        <w:t xml:space="preserve">d assessment by the Commission of the manufacturer data and, if appropriate, from national sources, such as from periodic technical inspections, with a view to continuously evaluate the representativeness of the WLTP. </w:t>
      </w:r>
    </w:p>
    <w:p w:rsidR="001A26B0" w:rsidRDefault="00E33A99">
      <w:pPr>
        <w:spacing w:after="120"/>
        <w:ind w:left="426"/>
        <w:rPr>
          <w:noProof/>
        </w:rPr>
      </w:pPr>
      <w:r>
        <w:rPr>
          <w:noProof/>
        </w:rPr>
        <w:t xml:space="preserve">The implementation of these measures </w:t>
      </w:r>
      <w:r>
        <w:rPr>
          <w:noProof/>
        </w:rPr>
        <w:t>would require an empowerment for the Commission to determine the conditions for the collection and publication of the data, inter alia taking into account relevant data protection requirements. This empowerment would enable the development of a methodology</w:t>
      </w:r>
      <w:r>
        <w:rPr>
          <w:noProof/>
        </w:rPr>
        <w:t xml:space="preserve"> to access, monitor and evaluate on a regular basis the average real world CO</w:t>
      </w:r>
      <w:r>
        <w:rPr>
          <w:noProof/>
          <w:vertAlign w:val="subscript"/>
        </w:rPr>
        <w:t>2</w:t>
      </w:r>
      <w:r>
        <w:rPr>
          <w:noProof/>
        </w:rPr>
        <w:t xml:space="preserve"> emissions of the new vehicle fleet (and/or sub-fleets thereof) and determine how that evolves in comparison to the corresponding type approval values. The findings based on that</w:t>
      </w:r>
      <w:r>
        <w:rPr>
          <w:noProof/>
        </w:rPr>
        <w:t xml:space="preserve"> evaluation would be an essential element to be considered in a review of the WLTP test procedure and, where necessary, of the CO</w:t>
      </w:r>
      <w:r>
        <w:rPr>
          <w:noProof/>
          <w:vertAlign w:val="subscript"/>
        </w:rPr>
        <w:t>2</w:t>
      </w:r>
      <w:r>
        <w:rPr>
          <w:noProof/>
        </w:rPr>
        <w:t xml:space="preserve"> emission standards. </w:t>
      </w:r>
    </w:p>
    <w:p w:rsidR="001A26B0" w:rsidRDefault="00E33A99">
      <w:pPr>
        <w:spacing w:after="120"/>
        <w:rPr>
          <w:noProof/>
        </w:rPr>
      </w:pPr>
      <w:r>
        <w:rPr>
          <w:noProof/>
        </w:rPr>
        <w:t>These measures require the availability of relevant data on real world fuel and energy consumption which</w:t>
      </w:r>
      <w:r>
        <w:rPr>
          <w:noProof/>
        </w:rPr>
        <w:t xml:space="preserve"> are described below. </w:t>
      </w:r>
    </w:p>
    <w:p w:rsidR="001A26B0" w:rsidRDefault="00E33A99">
      <w:pPr>
        <w:spacing w:after="120"/>
        <w:rPr>
          <w:i/>
          <w:noProof/>
        </w:rPr>
      </w:pPr>
      <w:r>
        <w:rPr>
          <w:i/>
          <w:noProof/>
        </w:rPr>
        <w:t>Standardized 'fuel consumption measurement device'</w:t>
      </w:r>
    </w:p>
    <w:p w:rsidR="001A26B0" w:rsidRDefault="00E33A99">
      <w:pPr>
        <w:spacing w:after="120"/>
        <w:rPr>
          <w:noProof/>
        </w:rPr>
      </w:pPr>
      <w:r>
        <w:rPr>
          <w:noProof/>
        </w:rPr>
        <w:t>The Commission is currently preparing an amendment, in the context of the type approval legislation, of the WLTP Regulation 2017/1151 to lay down an obligation for manufacturers to f</w:t>
      </w:r>
      <w:r>
        <w:rPr>
          <w:noProof/>
        </w:rPr>
        <w:t>it a standardized 'fuel consumption measurement device' in the new vehicles.</w:t>
      </w:r>
    </w:p>
    <w:p w:rsidR="001A26B0" w:rsidRDefault="00E33A99">
      <w:pPr>
        <w:spacing w:after="120"/>
        <w:rPr>
          <w:noProof/>
        </w:rPr>
      </w:pPr>
      <w:r>
        <w:rPr>
          <w:noProof/>
        </w:rPr>
        <w:t>This measure is not covered as an option in this impact assessment as it concerns an obligation under type approval legislation through a comitology act. It should however be note</w:t>
      </w:r>
      <w:r>
        <w:rPr>
          <w:noProof/>
        </w:rPr>
        <w:t xml:space="preserve">d that the </w:t>
      </w:r>
      <w:r>
        <w:rPr>
          <w:noProof/>
          <w:color w:val="000000" w:themeColor="text1"/>
        </w:rPr>
        <w:t>cost for cars to be equipped with standardised, accurate and accessible on-board fuel-consumption measurement devices is estimated to be very low - in the order of 1 euro per vehicle</w:t>
      </w:r>
      <w:r>
        <w:rPr>
          <w:noProof/>
          <w:color w:val="000000" w:themeColor="text1"/>
          <w:vertAlign w:val="superscript"/>
        </w:rPr>
        <w:footnoteReference w:id="126"/>
      </w:r>
      <w:r>
        <w:rPr>
          <w:noProof/>
          <w:color w:val="000000" w:themeColor="text1"/>
        </w:rPr>
        <w:t>. - and they already exist in today's vehicles</w:t>
      </w:r>
      <w:r>
        <w:rPr>
          <w:noProof/>
          <w:color w:val="000000" w:themeColor="text1"/>
          <w:vertAlign w:val="superscript"/>
        </w:rPr>
        <w:footnoteReference w:id="127"/>
      </w:r>
      <w:r>
        <w:rPr>
          <w:noProof/>
          <w:color w:val="000000" w:themeColor="text1"/>
          <w:vertAlign w:val="superscript"/>
        </w:rPr>
        <w:t>,</w:t>
      </w:r>
      <w:r>
        <w:rPr>
          <w:noProof/>
          <w:color w:val="000000" w:themeColor="text1"/>
          <w:vertAlign w:val="superscript"/>
        </w:rPr>
        <w:footnoteReference w:id="128"/>
      </w:r>
      <w:r>
        <w:rPr>
          <w:noProof/>
          <w:color w:val="000000" w:themeColor="text1"/>
          <w:vertAlign w:val="superscript"/>
        </w:rPr>
        <w:t>,</w:t>
      </w:r>
      <w:r>
        <w:rPr>
          <w:noProof/>
          <w:color w:val="000000" w:themeColor="text1"/>
        </w:rPr>
        <w:t xml:space="preserve">, but the </w:t>
      </w:r>
      <w:r>
        <w:rPr>
          <w:noProof/>
          <w:color w:val="000000" w:themeColor="text1"/>
        </w:rPr>
        <w:t>information is not accessible Moreover, this enabling technology has already been mandated in California</w:t>
      </w:r>
      <w:r>
        <w:rPr>
          <w:noProof/>
          <w:color w:val="000000" w:themeColor="text1"/>
          <w:vertAlign w:val="superscript"/>
        </w:rPr>
        <w:footnoteReference w:id="129"/>
      </w:r>
      <w:r>
        <w:rPr>
          <w:noProof/>
          <w:color w:val="000000" w:themeColor="text1"/>
        </w:rPr>
        <w:t xml:space="preserve"> as of 2019.</w:t>
      </w:r>
    </w:p>
    <w:p w:rsidR="001A26B0" w:rsidRDefault="00E33A99">
      <w:pPr>
        <w:spacing w:after="120"/>
        <w:rPr>
          <w:rFonts w:eastAsia="Calibri"/>
          <w:noProof/>
          <w:szCs w:val="24"/>
        </w:rPr>
      </w:pPr>
      <w:r>
        <w:rPr>
          <w:rFonts w:eastAsia="Calibri"/>
          <w:noProof/>
          <w:szCs w:val="24"/>
        </w:rPr>
        <w:t xml:space="preserve">The data resulting from such fuel consumption measurements would provide a robust basis to verify the representativeness of the WLTP type </w:t>
      </w:r>
      <w:r>
        <w:rPr>
          <w:rFonts w:eastAsia="Calibri"/>
          <w:noProof/>
          <w:szCs w:val="24"/>
        </w:rPr>
        <w:t xml:space="preserve">approval emission values and monitor the gap. It would also provide consumers with reference real world data on the basis of which they can assess how their own fuel economy compares to the average real world fuel consumption. In addition, it would enable </w:t>
      </w:r>
      <w:r>
        <w:rPr>
          <w:rFonts w:eastAsia="Calibri"/>
          <w:noProof/>
          <w:szCs w:val="24"/>
        </w:rPr>
        <w:t xml:space="preserve">simplified on-road fuel consumption measurements on a large number of vehicles. </w:t>
      </w:r>
    </w:p>
    <w:p w:rsidR="001A26B0" w:rsidRDefault="00E33A99">
      <w:pPr>
        <w:spacing w:after="120"/>
        <w:rPr>
          <w:noProof/>
          <w:color w:val="000000" w:themeColor="text1"/>
        </w:rPr>
      </w:pPr>
      <w:r>
        <w:rPr>
          <w:rFonts w:eastAsia="Calibri"/>
          <w:noProof/>
          <w:szCs w:val="24"/>
        </w:rPr>
        <w:t>An empowerment would be required for the Commission to develop the necessary provisions for the collection of the data as well as for the conditions for access and publication</w:t>
      </w:r>
      <w:r>
        <w:rPr>
          <w:rFonts w:eastAsia="Calibri"/>
          <w:noProof/>
          <w:szCs w:val="24"/>
        </w:rPr>
        <w:t xml:space="preserve">. </w:t>
      </w:r>
      <w:r>
        <w:rPr>
          <w:noProof/>
          <w:color w:val="000000" w:themeColor="text1"/>
        </w:rPr>
        <w:t>This approach is in line with the recommendation of the European Parliament (following the work of its EMIS Committee)</w:t>
      </w:r>
      <w:r>
        <w:rPr>
          <w:noProof/>
          <w:color w:val="000000" w:themeColor="text1"/>
          <w:vertAlign w:val="superscript"/>
        </w:rPr>
        <w:footnoteReference w:id="130"/>
      </w:r>
      <w:r>
        <w:rPr>
          <w:noProof/>
          <w:color w:val="000000" w:themeColor="text1"/>
        </w:rPr>
        <w:t>, the opinion of the Scientific Advice Mechanism</w:t>
      </w:r>
      <w:r>
        <w:rPr>
          <w:rStyle w:val="FootnoteReference"/>
          <w:noProof/>
          <w:color w:val="000000" w:themeColor="text1"/>
        </w:rPr>
        <w:footnoteReference w:id="131"/>
      </w:r>
      <w:r>
        <w:rPr>
          <w:noProof/>
          <w:color w:val="000000" w:themeColor="text1"/>
        </w:rPr>
        <w:t xml:space="preserve">, as well as the technical assessment by the Commission's </w:t>
      </w:r>
      <w:r>
        <w:rPr>
          <w:noProof/>
          <w:color w:val="000000" w:themeColor="text1"/>
          <w:szCs w:val="24"/>
        </w:rPr>
        <w:t>Joint Research Centre</w:t>
      </w:r>
      <w:r>
        <w:rPr>
          <w:noProof/>
          <w:color w:val="000000" w:themeColor="text1"/>
        </w:rPr>
        <w:t xml:space="preserve"> (see A</w:t>
      </w:r>
      <w:r>
        <w:rPr>
          <w:noProof/>
          <w:color w:val="000000" w:themeColor="text1"/>
        </w:rPr>
        <w:t xml:space="preserve">nnex 6). </w:t>
      </w:r>
    </w:p>
    <w:p w:rsidR="001A26B0" w:rsidRDefault="00E33A99">
      <w:pPr>
        <w:spacing w:after="120"/>
        <w:rPr>
          <w:rFonts w:eastAsia="Calibri"/>
          <w:i/>
          <w:noProof/>
          <w:szCs w:val="24"/>
        </w:rPr>
      </w:pPr>
      <w:r>
        <w:rPr>
          <w:rFonts w:eastAsia="Calibri"/>
          <w:i/>
          <w:noProof/>
          <w:szCs w:val="24"/>
        </w:rPr>
        <w:t>Other data sources</w:t>
      </w:r>
    </w:p>
    <w:p w:rsidR="001A26B0" w:rsidRDefault="00E33A99">
      <w:pPr>
        <w:autoSpaceDE w:val="0"/>
        <w:autoSpaceDN w:val="0"/>
        <w:adjustRightInd w:val="0"/>
        <w:spacing w:after="120"/>
        <w:rPr>
          <w:noProof/>
          <w:color w:val="000000" w:themeColor="text1"/>
          <w:szCs w:val="24"/>
        </w:rPr>
      </w:pPr>
      <w:r>
        <w:rPr>
          <w:noProof/>
          <w:color w:val="000000" w:themeColor="text1"/>
          <w:szCs w:val="24"/>
        </w:rPr>
        <w:t>In the absence of standardised on-board fuel sensors, real-world fuel consumption data can be gathered via self-reporting platforms or fleet operators</w:t>
      </w:r>
      <w:r>
        <w:rPr>
          <w:noProof/>
          <w:color w:val="000000" w:themeColor="text1"/>
          <w:szCs w:val="24"/>
          <w:vertAlign w:val="superscript"/>
        </w:rPr>
        <w:footnoteReference w:id="132"/>
      </w:r>
      <w:r>
        <w:rPr>
          <w:noProof/>
          <w:color w:val="000000" w:themeColor="text1"/>
          <w:szCs w:val="24"/>
          <w:vertAlign w:val="superscript"/>
        </w:rPr>
        <w:t>,</w:t>
      </w:r>
      <w:r>
        <w:rPr>
          <w:noProof/>
          <w:color w:val="000000" w:themeColor="text1"/>
          <w:szCs w:val="24"/>
          <w:vertAlign w:val="superscript"/>
        </w:rPr>
        <w:footnoteReference w:id="133"/>
      </w:r>
      <w:r>
        <w:rPr>
          <w:noProof/>
          <w:color w:val="000000" w:themeColor="text1"/>
          <w:szCs w:val="24"/>
        </w:rPr>
        <w:t xml:space="preserve"> even though such data are subject to inherent bias. The gap can also be e</w:t>
      </w:r>
      <w:r>
        <w:rPr>
          <w:noProof/>
          <w:color w:val="000000" w:themeColor="text1"/>
          <w:szCs w:val="24"/>
        </w:rPr>
        <w:t>stimated using a simulation software like the Green Driving Tool developed by the Commission's Joint Research Centre</w:t>
      </w:r>
      <w:r>
        <w:rPr>
          <w:noProof/>
          <w:color w:val="000000" w:themeColor="text1"/>
          <w:szCs w:val="24"/>
          <w:vertAlign w:val="superscript"/>
        </w:rPr>
        <w:footnoteReference w:id="134"/>
      </w:r>
      <w:r>
        <w:rPr>
          <w:noProof/>
          <w:color w:val="000000" w:themeColor="text1"/>
          <w:szCs w:val="24"/>
          <w:vertAlign w:val="superscript"/>
        </w:rPr>
        <w:t>,</w:t>
      </w:r>
      <w:r>
        <w:rPr>
          <w:noProof/>
          <w:color w:val="000000" w:themeColor="text1"/>
          <w:szCs w:val="24"/>
          <w:vertAlign w:val="superscript"/>
        </w:rPr>
        <w:footnoteReference w:id="135"/>
      </w:r>
      <w:r>
        <w:rPr>
          <w:noProof/>
          <w:color w:val="000000" w:themeColor="text1"/>
          <w:szCs w:val="24"/>
        </w:rPr>
        <w:t xml:space="preserve">. </w:t>
      </w:r>
    </w:p>
    <w:p w:rsidR="001A26B0" w:rsidRDefault="00E33A99">
      <w:pPr>
        <w:autoSpaceDE w:val="0"/>
        <w:autoSpaceDN w:val="0"/>
        <w:adjustRightInd w:val="0"/>
        <w:spacing w:after="120"/>
        <w:rPr>
          <w:noProof/>
        </w:rPr>
      </w:pPr>
      <w:r>
        <w:rPr>
          <w:noProof/>
          <w:color w:val="000000" w:themeColor="text1"/>
          <w:szCs w:val="24"/>
        </w:rPr>
        <w:t>CO</w:t>
      </w:r>
      <w:r>
        <w:rPr>
          <w:noProof/>
          <w:color w:val="000000" w:themeColor="text1"/>
          <w:szCs w:val="24"/>
          <w:vertAlign w:val="subscript"/>
        </w:rPr>
        <w:t>2</w:t>
      </w:r>
      <w:r>
        <w:rPr>
          <w:noProof/>
          <w:color w:val="000000" w:themeColor="text1"/>
          <w:szCs w:val="24"/>
        </w:rPr>
        <w:t xml:space="preserve"> measurements are also performed at type-approval (ex-ante) as part of the Real Driving Emissions (RDE) procedure for pollutant emi</w:t>
      </w:r>
      <w:r>
        <w:rPr>
          <w:noProof/>
          <w:color w:val="000000" w:themeColor="text1"/>
          <w:szCs w:val="24"/>
        </w:rPr>
        <w:t>ssions introduced gradually as of 2017</w:t>
      </w:r>
      <w:r>
        <w:rPr>
          <w:rStyle w:val="FootnoteReference"/>
          <w:noProof/>
          <w:color w:val="000000" w:themeColor="text1"/>
          <w:szCs w:val="24"/>
        </w:rPr>
        <w:footnoteReference w:id="136"/>
      </w:r>
      <w:r>
        <w:rPr>
          <w:noProof/>
          <w:color w:val="000000" w:themeColor="text1"/>
          <w:szCs w:val="24"/>
        </w:rPr>
        <w:t>. Their measurement is necessary to validate the procedure itself. However, there is no evidence to date for the degree of representativeness of these data with respect to corresponding ex-post average real-world driving emissions, and there is a risk of b</w:t>
      </w:r>
      <w:r>
        <w:rPr>
          <w:noProof/>
          <w:color w:val="000000" w:themeColor="text1"/>
          <w:szCs w:val="24"/>
        </w:rPr>
        <w:t xml:space="preserve">ias and inconsistency across the tested vehicle types (see Annex 6). </w:t>
      </w:r>
    </w:p>
    <w:p w:rsidR="001A26B0" w:rsidRDefault="00E33A99">
      <w:pPr>
        <w:pStyle w:val="Text1"/>
        <w:spacing w:after="120"/>
        <w:ind w:left="0"/>
        <w:rPr>
          <w:b/>
          <w:i/>
          <w:noProof/>
        </w:rPr>
      </w:pPr>
      <w:r>
        <w:rPr>
          <w:b/>
          <w:i/>
          <w:noProof/>
        </w:rPr>
        <w:t>Other option considered: elaboration of an ex-ante CO</w:t>
      </w:r>
      <w:r>
        <w:rPr>
          <w:b/>
          <w:i/>
          <w:noProof/>
          <w:vertAlign w:val="subscript"/>
        </w:rPr>
        <w:t>2</w:t>
      </w:r>
      <w:r>
        <w:rPr>
          <w:b/>
          <w:i/>
          <w:noProof/>
        </w:rPr>
        <w:t xml:space="preserve"> real-driving emissions procedure, including the determination of a not-to-exceed limit</w:t>
      </w:r>
    </w:p>
    <w:p w:rsidR="001A26B0" w:rsidRDefault="00E33A99">
      <w:pPr>
        <w:spacing w:after="120"/>
        <w:rPr>
          <w:noProof/>
        </w:rPr>
      </w:pPr>
      <w:r>
        <w:rPr>
          <w:noProof/>
        </w:rPr>
        <w:t xml:space="preserve">In their response to the public </w:t>
      </w:r>
      <w:r>
        <w:rPr>
          <w:noProof/>
        </w:rPr>
        <w:t>consultation, some environmental and transport NGOs and car drivers associations suggested to develop a dedicated new RDE test protocol for CO</w:t>
      </w:r>
      <w:r>
        <w:rPr>
          <w:noProof/>
          <w:vertAlign w:val="subscript"/>
        </w:rPr>
        <w:t>2</w:t>
      </w:r>
      <w:r>
        <w:rPr>
          <w:noProof/>
        </w:rPr>
        <w:t xml:space="preserve"> emissions using Portable Measurement Equipment Systems (PEMS). In addition, binding not-to-exceed limits for CO</w:t>
      </w:r>
      <w:r>
        <w:rPr>
          <w:noProof/>
          <w:vertAlign w:val="subscript"/>
        </w:rPr>
        <w:t>2</w:t>
      </w:r>
      <w:r>
        <w:rPr>
          <w:noProof/>
        </w:rPr>
        <w:t xml:space="preserve"> emissions would be introduced. These not-to-exceed limits would be based on the difference between the emissions measured during the WLTP test cycle and the new RDE procedure for CO</w:t>
      </w:r>
      <w:r>
        <w:rPr>
          <w:noProof/>
          <w:vertAlign w:val="subscript"/>
        </w:rPr>
        <w:t>2</w:t>
      </w:r>
      <w:r>
        <w:rPr>
          <w:noProof/>
        </w:rPr>
        <w:t xml:space="preserve"> emissions. This would add another level of compliance checking, in a sim</w:t>
      </w:r>
      <w:r>
        <w:rPr>
          <w:noProof/>
        </w:rPr>
        <w:t xml:space="preserve">ilar way as for air pollutant emissions. </w:t>
      </w:r>
    </w:p>
    <w:p w:rsidR="001A26B0" w:rsidRDefault="00E33A99">
      <w:pPr>
        <w:spacing w:after="120"/>
        <w:rPr>
          <w:noProof/>
        </w:rPr>
      </w:pPr>
      <w:r>
        <w:rPr>
          <w:noProof/>
          <w:szCs w:val="24"/>
        </w:rPr>
        <w:t xml:space="preserve">The feasibility of such an </w:t>
      </w:r>
      <w:r>
        <w:rPr>
          <w:noProof/>
        </w:rPr>
        <w:t>approach is highly uncertain due in particular to the high variability in the CO</w:t>
      </w:r>
      <w:r>
        <w:rPr>
          <w:noProof/>
          <w:vertAlign w:val="subscript"/>
        </w:rPr>
        <w:t>2</w:t>
      </w:r>
      <w:r>
        <w:rPr>
          <w:noProof/>
        </w:rPr>
        <w:t xml:space="preserve"> emissions under real world conditions. RDE CO</w:t>
      </w:r>
      <w:r>
        <w:rPr>
          <w:noProof/>
          <w:vertAlign w:val="subscript"/>
        </w:rPr>
        <w:t>2</w:t>
      </w:r>
      <w:r>
        <w:rPr>
          <w:noProof/>
        </w:rPr>
        <w:t xml:space="preserve"> test results are strongly influenced by external factors, </w:t>
      </w:r>
      <w:r>
        <w:rPr>
          <w:noProof/>
        </w:rPr>
        <w:t xml:space="preserve">such as temperature, humidity, and driving behaviour. Consequently, the test results cannot offer the precision needed for regulatory purposes, such as target setting, compliance checking or for imposing financial penalties. In a laboratory test – such as </w:t>
      </w:r>
      <w:r>
        <w:rPr>
          <w:noProof/>
        </w:rPr>
        <w:t>the WLTP – such external factors can be controlled and the test values can as a consequence ensure the necessary legal certainty and precision</w:t>
      </w:r>
      <w:r>
        <w:rPr>
          <w:noProof/>
          <w:vertAlign w:val="superscript"/>
        </w:rPr>
        <w:footnoteReference w:id="137"/>
      </w:r>
      <w:r>
        <w:rPr>
          <w:noProof/>
        </w:rPr>
        <w:t xml:space="preserve">. </w:t>
      </w:r>
    </w:p>
    <w:p w:rsidR="001A26B0" w:rsidRDefault="00E33A99">
      <w:pPr>
        <w:spacing w:after="120"/>
        <w:rPr>
          <w:noProof/>
        </w:rPr>
      </w:pPr>
      <w:r>
        <w:rPr>
          <w:noProof/>
        </w:rPr>
        <w:t>Custom-tailored test protocols of individual manufacturers (or groups) may provide more realistic fuel consump</w:t>
      </w:r>
      <w:r>
        <w:rPr>
          <w:noProof/>
        </w:rPr>
        <w:t>tion and CO</w:t>
      </w:r>
      <w:r>
        <w:rPr>
          <w:noProof/>
          <w:vertAlign w:val="subscript"/>
        </w:rPr>
        <w:t>2</w:t>
      </w:r>
      <w:r>
        <w:rPr>
          <w:noProof/>
        </w:rPr>
        <w:t xml:space="preserve"> emission values than a laboratory test. They can provide useful information to consumers. However, such protocols rely on test data from a limited number of vehicle models and selected drivers, and make use of monitored real world emissions of</w:t>
      </w:r>
      <w:r>
        <w:rPr>
          <w:noProof/>
        </w:rPr>
        <w:t xml:space="preserve"> these specific fleets. As a consequence, these test protocols are not exposed to the same variability or uncertainties as compared to a more generic protocol that would have to apply in an equivalent way and with similar accuracy to any vehicle on the EU </w:t>
      </w:r>
      <w:r>
        <w:rPr>
          <w:noProof/>
        </w:rPr>
        <w:t xml:space="preserve">market. </w:t>
      </w:r>
    </w:p>
    <w:p w:rsidR="001A26B0" w:rsidRDefault="00E33A99">
      <w:pPr>
        <w:spacing w:after="120"/>
        <w:rPr>
          <w:noProof/>
        </w:rPr>
      </w:pPr>
      <w:r>
        <w:rPr>
          <w:noProof/>
        </w:rPr>
        <w:t xml:space="preserve">In view of the above, the elaboration of an EU-wide ex-ante </w:t>
      </w:r>
      <w:r>
        <w:rPr>
          <w:noProof/>
          <w:szCs w:val="24"/>
        </w:rPr>
        <w:t>CO</w:t>
      </w:r>
      <w:r>
        <w:rPr>
          <w:noProof/>
          <w:szCs w:val="24"/>
          <w:vertAlign w:val="subscript"/>
        </w:rPr>
        <w:t>2</w:t>
      </w:r>
      <w:r>
        <w:rPr>
          <w:noProof/>
          <w:szCs w:val="24"/>
        </w:rPr>
        <w:t xml:space="preserve"> real-driving emissions procedure at type-approval, including the determination of a not-to-exceed limit for the purpose of target setting and compliance checking</w:t>
      </w:r>
      <w:r>
        <w:rPr>
          <w:noProof/>
        </w:rPr>
        <w:t xml:space="preserve"> does not appear feasi</w:t>
      </w:r>
      <w:r>
        <w:rPr>
          <w:noProof/>
        </w:rPr>
        <w:t xml:space="preserve">ble and </w:t>
      </w:r>
      <w:r>
        <w:rPr>
          <w:noProof/>
          <w:szCs w:val="24"/>
        </w:rPr>
        <w:t>is therefore discarded from further analysis.</w:t>
      </w:r>
    </w:p>
    <w:p w:rsidR="001A26B0" w:rsidRDefault="00E33A99">
      <w:pPr>
        <w:pStyle w:val="Heading3"/>
        <w:rPr>
          <w:noProof/>
        </w:rPr>
      </w:pPr>
      <w:bookmarkStart w:id="168" w:name="_Toc492408637"/>
      <w:bookmarkStart w:id="169" w:name="_Toc496635603"/>
      <w:r>
        <w:rPr>
          <w:noProof/>
        </w:rPr>
        <w:t>Market surveillance (conformity of production, in service conformity) (MSU)</w:t>
      </w:r>
      <w:bookmarkEnd w:id="168"/>
      <w:bookmarkEnd w:id="169"/>
    </w:p>
    <w:p w:rsidR="001A26B0" w:rsidRDefault="00E33A99">
      <w:pPr>
        <w:spacing w:after="120"/>
        <w:rPr>
          <w:noProof/>
          <w:szCs w:val="24"/>
        </w:rPr>
      </w:pPr>
      <w:r>
        <w:rPr>
          <w:noProof/>
          <w:szCs w:val="24"/>
        </w:rPr>
        <w:t>As recommended by the European Parliament following the work of its EMIS Committee</w:t>
      </w:r>
      <w:r>
        <w:rPr>
          <w:rStyle w:val="FootnoteReference"/>
          <w:noProof/>
          <w:szCs w:val="24"/>
        </w:rPr>
        <w:footnoteReference w:id="138"/>
      </w:r>
      <w:r>
        <w:rPr>
          <w:noProof/>
          <w:szCs w:val="24"/>
        </w:rPr>
        <w:t xml:space="preserve"> and stressed by several consumer organisat</w:t>
      </w:r>
      <w:r>
        <w:rPr>
          <w:noProof/>
          <w:szCs w:val="24"/>
        </w:rPr>
        <w:t>ions and environmental NGOs</w:t>
      </w:r>
      <w:r>
        <w:rPr>
          <w:rStyle w:val="FootnoteReference"/>
          <w:noProof/>
          <w:szCs w:val="24"/>
        </w:rPr>
        <w:footnoteReference w:id="139"/>
      </w:r>
      <w:r>
        <w:rPr>
          <w:noProof/>
          <w:szCs w:val="24"/>
        </w:rPr>
        <w:t>, it is necessary to put in place the means to detect irregularities in the CO</w:t>
      </w:r>
      <w:r>
        <w:rPr>
          <w:noProof/>
          <w:szCs w:val="24"/>
          <w:vertAlign w:val="subscript"/>
        </w:rPr>
        <w:t>2</w:t>
      </w:r>
      <w:r>
        <w:rPr>
          <w:noProof/>
          <w:szCs w:val="24"/>
        </w:rPr>
        <w:t xml:space="preserve"> and fuel consumption data. </w:t>
      </w:r>
    </w:p>
    <w:p w:rsidR="001A26B0" w:rsidRDefault="00E33A99">
      <w:pPr>
        <w:spacing w:after="120"/>
        <w:rPr>
          <w:noProof/>
          <w:szCs w:val="24"/>
        </w:rPr>
      </w:pPr>
      <w:r>
        <w:rPr>
          <w:noProof/>
          <w:szCs w:val="24"/>
        </w:rPr>
        <w:t>Recent test campaigns performed by independent laboratories, have provided indications of CO</w:t>
      </w:r>
      <w:r>
        <w:rPr>
          <w:noProof/>
          <w:szCs w:val="24"/>
          <w:vertAlign w:val="subscript"/>
        </w:rPr>
        <w:t>2</w:t>
      </w:r>
      <w:r>
        <w:rPr>
          <w:noProof/>
          <w:szCs w:val="24"/>
        </w:rPr>
        <w:t xml:space="preserve"> emission values deviating </w:t>
      </w:r>
      <w:r>
        <w:rPr>
          <w:noProof/>
          <w:szCs w:val="24"/>
        </w:rPr>
        <w:t>significantly from the values determined at type approval</w:t>
      </w:r>
      <w:r>
        <w:rPr>
          <w:noProof/>
          <w:szCs w:val="24"/>
          <w:vertAlign w:val="superscript"/>
        </w:rPr>
        <w:footnoteReference w:id="140"/>
      </w:r>
      <w:r>
        <w:rPr>
          <w:noProof/>
          <w:szCs w:val="24"/>
        </w:rPr>
        <w:t xml:space="preserve">. Such deviations may undermine the achievement of the reduction objectives, distort competition among manufacturers and undermine consumer confidence in the type approval fuel consumption data. </w:t>
      </w:r>
    </w:p>
    <w:p w:rsidR="001A26B0" w:rsidRDefault="00E33A99">
      <w:pPr>
        <w:spacing w:after="120"/>
        <w:rPr>
          <w:noProof/>
          <w:szCs w:val="24"/>
        </w:rPr>
      </w:pPr>
      <w:r>
        <w:rPr>
          <w:noProof/>
          <w:szCs w:val="24"/>
        </w:rPr>
        <w:t>Ty</w:t>
      </w:r>
      <w:r>
        <w:rPr>
          <w:noProof/>
          <w:szCs w:val="24"/>
        </w:rPr>
        <w:t>pe approval tests are performed on a vehicle, which is representative of a certain vehicle family. The CO</w:t>
      </w:r>
      <w:r>
        <w:rPr>
          <w:noProof/>
          <w:szCs w:val="24"/>
          <w:vertAlign w:val="subscript"/>
        </w:rPr>
        <w:t>2</w:t>
      </w:r>
      <w:r>
        <w:rPr>
          <w:noProof/>
          <w:szCs w:val="24"/>
        </w:rPr>
        <w:t xml:space="preserve"> emissions of each vehicle produced that the manufacturer attributes to that family must conform to the emissions of the approved type. The manufactur</w:t>
      </w:r>
      <w:r>
        <w:rPr>
          <w:noProof/>
          <w:szCs w:val="24"/>
        </w:rPr>
        <w:t xml:space="preserve">er certifies this in a certificate of conformity which is issued as a condition for placing a vehicle on the market. </w:t>
      </w:r>
    </w:p>
    <w:p w:rsidR="001A26B0" w:rsidRDefault="00E33A99">
      <w:pPr>
        <w:spacing w:after="120"/>
        <w:rPr>
          <w:noProof/>
          <w:szCs w:val="24"/>
        </w:rPr>
      </w:pPr>
      <w:r>
        <w:rPr>
          <w:noProof/>
          <w:szCs w:val="24"/>
        </w:rPr>
        <w:t>Each year, Member States report the CO</w:t>
      </w:r>
      <w:r>
        <w:rPr>
          <w:noProof/>
          <w:szCs w:val="24"/>
          <w:vertAlign w:val="subscript"/>
        </w:rPr>
        <w:t>2</w:t>
      </w:r>
      <w:r>
        <w:rPr>
          <w:noProof/>
          <w:szCs w:val="24"/>
        </w:rPr>
        <w:t xml:space="preserve"> emission values recorded in the certificates of conformity of the newly registered vehicles to the</w:t>
      </w:r>
      <w:r>
        <w:rPr>
          <w:noProof/>
          <w:szCs w:val="24"/>
        </w:rPr>
        <w:t xml:space="preserve"> Commission. On that basis, the Commission determines the annual average specific emissions of a manufacturer for the purpose of checking compliance with the specific CO</w:t>
      </w:r>
      <w:r>
        <w:rPr>
          <w:noProof/>
          <w:szCs w:val="24"/>
          <w:vertAlign w:val="subscript"/>
        </w:rPr>
        <w:t>2</w:t>
      </w:r>
      <w:r>
        <w:rPr>
          <w:noProof/>
          <w:szCs w:val="24"/>
        </w:rPr>
        <w:t xml:space="preserve"> emissions target.</w:t>
      </w:r>
    </w:p>
    <w:p w:rsidR="001A26B0" w:rsidRDefault="00E33A99">
      <w:pPr>
        <w:spacing w:after="120"/>
        <w:rPr>
          <w:noProof/>
          <w:szCs w:val="24"/>
        </w:rPr>
      </w:pPr>
      <w:r>
        <w:rPr>
          <w:noProof/>
          <w:szCs w:val="24"/>
        </w:rPr>
        <w:t>For the CO</w:t>
      </w:r>
      <w:r>
        <w:rPr>
          <w:noProof/>
          <w:szCs w:val="24"/>
          <w:vertAlign w:val="subscript"/>
        </w:rPr>
        <w:t>2</w:t>
      </w:r>
      <w:r>
        <w:rPr>
          <w:noProof/>
          <w:szCs w:val="24"/>
        </w:rPr>
        <w:t xml:space="preserve"> reduction objectives to be achieved, it is essential that the CO</w:t>
      </w:r>
      <w:r>
        <w:rPr>
          <w:noProof/>
          <w:szCs w:val="24"/>
          <w:vertAlign w:val="subscript"/>
        </w:rPr>
        <w:t>2</w:t>
      </w:r>
      <w:r>
        <w:rPr>
          <w:noProof/>
          <w:szCs w:val="24"/>
        </w:rPr>
        <w:t xml:space="preserve"> emissions of the vehicles placed on the market conform to the type approved values.</w:t>
      </w:r>
    </w:p>
    <w:p w:rsidR="001A26B0" w:rsidRDefault="00E33A99">
      <w:pPr>
        <w:spacing w:after="120"/>
        <w:rPr>
          <w:noProof/>
          <w:szCs w:val="24"/>
        </w:rPr>
      </w:pPr>
      <w:r>
        <w:rPr>
          <w:noProof/>
          <w:szCs w:val="24"/>
        </w:rPr>
        <w:t>Under the type approval legislation, the conformity of the CO</w:t>
      </w:r>
      <w:r>
        <w:rPr>
          <w:noProof/>
          <w:szCs w:val="24"/>
          <w:vertAlign w:val="subscript"/>
        </w:rPr>
        <w:t>2</w:t>
      </w:r>
      <w:r>
        <w:rPr>
          <w:noProof/>
          <w:szCs w:val="24"/>
        </w:rPr>
        <w:t xml:space="preserve"> emissions is currently verified only at th</w:t>
      </w:r>
      <w:r>
        <w:rPr>
          <w:noProof/>
          <w:szCs w:val="24"/>
        </w:rPr>
        <w:t>e stage of production. Some vehicles are selected from the production line by the manufacturer and tested to verify that the CO</w:t>
      </w:r>
      <w:r>
        <w:rPr>
          <w:noProof/>
          <w:szCs w:val="24"/>
          <w:vertAlign w:val="subscript"/>
        </w:rPr>
        <w:t>2</w:t>
      </w:r>
      <w:r>
        <w:rPr>
          <w:noProof/>
          <w:szCs w:val="24"/>
        </w:rPr>
        <w:t xml:space="preserve"> emissions are in line with those of the approved type. If this is not the case, the manufacturer has to take measures to bring </w:t>
      </w:r>
      <w:r>
        <w:rPr>
          <w:noProof/>
          <w:szCs w:val="24"/>
        </w:rPr>
        <w:t xml:space="preserve">the vehicles to be produced into conformity or perform a new type approval test. </w:t>
      </w:r>
    </w:p>
    <w:p w:rsidR="001A26B0" w:rsidRDefault="00E33A99">
      <w:pPr>
        <w:spacing w:after="120"/>
        <w:rPr>
          <w:noProof/>
          <w:szCs w:val="24"/>
        </w:rPr>
      </w:pPr>
      <w:r>
        <w:rPr>
          <w:noProof/>
          <w:szCs w:val="24"/>
        </w:rPr>
        <w:t>A procedure for verifying the CO</w:t>
      </w:r>
      <w:r>
        <w:rPr>
          <w:noProof/>
          <w:szCs w:val="24"/>
          <w:vertAlign w:val="subscript"/>
        </w:rPr>
        <w:t>2</w:t>
      </w:r>
      <w:r>
        <w:rPr>
          <w:noProof/>
          <w:szCs w:val="24"/>
        </w:rPr>
        <w:t xml:space="preserve"> emissions of vehicles on the road, i.e. a so called in-service conformity test, is not yet in place. However, a proposal for setting up such</w:t>
      </w:r>
      <w:r>
        <w:rPr>
          <w:noProof/>
          <w:szCs w:val="24"/>
        </w:rPr>
        <w:t xml:space="preserve"> a procedure is under discussion by the co-legislators</w:t>
      </w:r>
      <w:r>
        <w:rPr>
          <w:rStyle w:val="FootnoteReference"/>
          <w:noProof/>
          <w:szCs w:val="24"/>
        </w:rPr>
        <w:footnoteReference w:id="141"/>
      </w:r>
      <w:r>
        <w:rPr>
          <w:noProof/>
          <w:szCs w:val="24"/>
        </w:rPr>
        <w:t xml:space="preserve">. In case in-service tests would not be retained in type approval legislation following the on-going co-decision process, an empowerment for the Commission to set up an independent testing of vehicles </w:t>
      </w:r>
      <w:r>
        <w:rPr>
          <w:noProof/>
          <w:szCs w:val="24"/>
        </w:rPr>
        <w:t>in use could be considered as part of this proposal.</w:t>
      </w:r>
    </w:p>
    <w:p w:rsidR="001A26B0" w:rsidRDefault="00E33A99">
      <w:pPr>
        <w:spacing w:after="120"/>
        <w:rPr>
          <w:noProof/>
          <w:szCs w:val="24"/>
        </w:rPr>
      </w:pPr>
      <w:r>
        <w:rPr>
          <w:noProof/>
          <w:szCs w:val="24"/>
        </w:rPr>
        <w:t>In view of this, the following options are considered to ensure that the emissions of vehicles placed on the market continue to adequately reflect the CO</w:t>
      </w:r>
      <w:r>
        <w:rPr>
          <w:noProof/>
          <w:szCs w:val="24"/>
          <w:vertAlign w:val="subscript"/>
        </w:rPr>
        <w:t>2</w:t>
      </w:r>
      <w:r>
        <w:rPr>
          <w:noProof/>
          <w:szCs w:val="24"/>
        </w:rPr>
        <w:t xml:space="preserve"> emissions determined at type approval, to minimi</w:t>
      </w:r>
      <w:r>
        <w:rPr>
          <w:noProof/>
          <w:szCs w:val="24"/>
        </w:rPr>
        <w:t>se the risk of deviations occurring and, if they occur, to ensure that the consequences for the CO</w:t>
      </w:r>
      <w:r>
        <w:rPr>
          <w:noProof/>
          <w:szCs w:val="24"/>
          <w:vertAlign w:val="subscript"/>
        </w:rPr>
        <w:t>2</w:t>
      </w:r>
      <w:r>
        <w:rPr>
          <w:noProof/>
          <w:szCs w:val="24"/>
        </w:rPr>
        <w:t xml:space="preserve"> reduction objectives can be adequately addressed. </w:t>
      </w:r>
    </w:p>
    <w:p w:rsidR="001A26B0" w:rsidRDefault="00E33A99">
      <w:pPr>
        <w:numPr>
          <w:ilvl w:val="0"/>
          <w:numId w:val="19"/>
        </w:numPr>
        <w:spacing w:after="120"/>
        <w:ind w:left="360"/>
        <w:rPr>
          <w:noProof/>
        </w:rPr>
      </w:pPr>
      <w:r>
        <w:rPr>
          <w:noProof/>
        </w:rPr>
        <w:t>Option MSU 0: Change nothing</w:t>
      </w:r>
    </w:p>
    <w:p w:rsidR="001A26B0" w:rsidRDefault="00E33A99">
      <w:pPr>
        <w:spacing w:after="120"/>
        <w:ind w:left="360"/>
        <w:rPr>
          <w:noProof/>
          <w:szCs w:val="24"/>
        </w:rPr>
      </w:pPr>
      <w:r>
        <w:rPr>
          <w:noProof/>
          <w:szCs w:val="24"/>
        </w:rPr>
        <w:t>This option would mean that the CO</w:t>
      </w:r>
      <w:r>
        <w:rPr>
          <w:noProof/>
          <w:szCs w:val="24"/>
          <w:vertAlign w:val="subscript"/>
        </w:rPr>
        <w:t>2</w:t>
      </w:r>
      <w:r>
        <w:rPr>
          <w:noProof/>
          <w:szCs w:val="24"/>
        </w:rPr>
        <w:t xml:space="preserve"> monitoring provisions set out in the Car</w:t>
      </w:r>
      <w:r>
        <w:rPr>
          <w:noProof/>
          <w:szCs w:val="24"/>
        </w:rPr>
        <w:t>s and Vans Regulations</w:t>
      </w:r>
      <w:r>
        <w:rPr>
          <w:rStyle w:val="FootnoteReference"/>
          <w:noProof/>
          <w:szCs w:val="24"/>
        </w:rPr>
        <w:footnoteReference w:id="142"/>
      </w:r>
      <w:r>
        <w:rPr>
          <w:noProof/>
          <w:szCs w:val="24"/>
        </w:rPr>
        <w:t xml:space="preserve"> and the associated implementing legislation continue to apply. This allows the Commission to amend the CO</w:t>
      </w:r>
      <w:r>
        <w:rPr>
          <w:noProof/>
          <w:szCs w:val="24"/>
          <w:vertAlign w:val="subscript"/>
        </w:rPr>
        <w:t>2</w:t>
      </w:r>
      <w:r>
        <w:rPr>
          <w:noProof/>
          <w:szCs w:val="24"/>
        </w:rPr>
        <w:t xml:space="preserve"> monitoring data reported by Member States where manufacturers have found and notified errors in that data</w:t>
      </w:r>
      <w:r>
        <w:rPr>
          <w:noProof/>
          <w:szCs w:val="24"/>
          <w:vertAlign w:val="superscript"/>
        </w:rPr>
        <w:footnoteReference w:id="143"/>
      </w:r>
      <w:r>
        <w:rPr>
          <w:noProof/>
          <w:szCs w:val="24"/>
        </w:rPr>
        <w:t xml:space="preserve">. The verification </w:t>
      </w:r>
      <w:r>
        <w:rPr>
          <w:noProof/>
          <w:szCs w:val="24"/>
        </w:rPr>
        <w:t>by a manufacturer is voluntary and there is no explicit obligation placed on either manufacturers or Member States to report to the Commission deviations found from the type approved CO</w:t>
      </w:r>
      <w:r>
        <w:rPr>
          <w:noProof/>
          <w:szCs w:val="24"/>
          <w:vertAlign w:val="subscript"/>
        </w:rPr>
        <w:t>2</w:t>
      </w:r>
      <w:r>
        <w:rPr>
          <w:noProof/>
          <w:szCs w:val="24"/>
        </w:rPr>
        <w:t xml:space="preserve"> emission values.</w:t>
      </w:r>
    </w:p>
    <w:p w:rsidR="001A26B0" w:rsidRDefault="00E33A99">
      <w:pPr>
        <w:numPr>
          <w:ilvl w:val="0"/>
          <w:numId w:val="19"/>
        </w:numPr>
        <w:spacing w:after="120"/>
        <w:ind w:left="360"/>
        <w:rPr>
          <w:noProof/>
        </w:rPr>
      </w:pPr>
      <w:r>
        <w:rPr>
          <w:noProof/>
        </w:rPr>
        <w:t>Option MSU 1: Obligation to report deviations and th</w:t>
      </w:r>
      <w:r>
        <w:rPr>
          <w:noProof/>
        </w:rPr>
        <w:t>e introduction of a correction mechanism</w:t>
      </w:r>
    </w:p>
    <w:p w:rsidR="001A26B0" w:rsidRDefault="00E33A99">
      <w:pPr>
        <w:spacing w:after="120"/>
        <w:ind w:left="360"/>
        <w:rPr>
          <w:noProof/>
          <w:szCs w:val="24"/>
        </w:rPr>
      </w:pPr>
      <w:r>
        <w:rPr>
          <w:noProof/>
          <w:szCs w:val="24"/>
        </w:rPr>
        <w:t>Under this option, an obligation would be introduced in the legislation requiring Member States and manufacturers to systematically inform the Commission of any findings resulting from conformity of production tests</w:t>
      </w:r>
      <w:r>
        <w:rPr>
          <w:noProof/>
          <w:szCs w:val="24"/>
        </w:rPr>
        <w:t xml:space="preserve"> or, where applicable, from in-service conformity tests, and inform of deviations from the type approved CO</w:t>
      </w:r>
      <w:r>
        <w:rPr>
          <w:noProof/>
          <w:szCs w:val="24"/>
          <w:vertAlign w:val="subscript"/>
        </w:rPr>
        <w:t>2</w:t>
      </w:r>
      <w:r>
        <w:rPr>
          <w:noProof/>
          <w:szCs w:val="24"/>
        </w:rPr>
        <w:t xml:space="preserve"> emissions affecting the monitored CO</w:t>
      </w:r>
      <w:r>
        <w:rPr>
          <w:noProof/>
          <w:szCs w:val="24"/>
          <w:vertAlign w:val="subscript"/>
        </w:rPr>
        <w:t>2</w:t>
      </w:r>
      <w:r>
        <w:rPr>
          <w:noProof/>
          <w:szCs w:val="24"/>
        </w:rPr>
        <w:t xml:space="preserve"> data. </w:t>
      </w:r>
    </w:p>
    <w:p w:rsidR="001A26B0" w:rsidRDefault="00E33A99">
      <w:pPr>
        <w:spacing w:after="120"/>
        <w:ind w:left="360"/>
        <w:rPr>
          <w:noProof/>
          <w:szCs w:val="24"/>
        </w:rPr>
      </w:pPr>
      <w:r>
        <w:rPr>
          <w:noProof/>
          <w:szCs w:val="24"/>
        </w:rPr>
        <w:t>The monitoring data for a manufacturer would be corrected in those cases where serious deviations from</w:t>
      </w:r>
      <w:r>
        <w:rPr>
          <w:noProof/>
          <w:szCs w:val="24"/>
        </w:rPr>
        <w:t xml:space="preserve"> the type approval values have been detected which cannot be technically or otherwise justified. The empowerment would allow the Commission to define the way in which deviations may be detected and how these should be reported to the Commission as well as </w:t>
      </w:r>
      <w:r>
        <w:rPr>
          <w:noProof/>
          <w:szCs w:val="24"/>
        </w:rPr>
        <w:t>taken into account for the compliance checking. This could build on measures defined within the framework of the type approval legislation, or as an independent testing procedure to be defined under the CO</w:t>
      </w:r>
      <w:r>
        <w:rPr>
          <w:noProof/>
          <w:szCs w:val="24"/>
          <w:vertAlign w:val="subscript"/>
        </w:rPr>
        <w:t>2</w:t>
      </w:r>
      <w:r>
        <w:rPr>
          <w:noProof/>
          <w:szCs w:val="24"/>
        </w:rPr>
        <w:t xml:space="preserve"> regulations.</w:t>
      </w:r>
    </w:p>
    <w:p w:rsidR="001A26B0" w:rsidRDefault="00E33A99">
      <w:pPr>
        <w:spacing w:after="200" w:line="276" w:lineRule="auto"/>
        <w:jc w:val="left"/>
        <w:rPr>
          <w:b/>
          <w:smallCaps/>
          <w:noProof/>
          <w:lang w:val="en"/>
        </w:rPr>
      </w:pPr>
      <w:r>
        <w:rPr>
          <w:noProof/>
        </w:rPr>
        <w:br w:type="page"/>
      </w:r>
    </w:p>
    <w:p w:rsidR="001A26B0" w:rsidRDefault="00E33A99">
      <w:pPr>
        <w:pStyle w:val="Heading1"/>
        <w:rPr>
          <w:noProof/>
        </w:rPr>
      </w:pPr>
      <w:bookmarkStart w:id="170" w:name="_Toc496635604"/>
      <w:r>
        <w:rPr>
          <w:noProof/>
        </w:rPr>
        <w:t xml:space="preserve">WHAT ARE THE ECONOMIC/EMPLOYMENT, </w:t>
      </w:r>
      <w:r>
        <w:rPr>
          <w:noProof/>
        </w:rPr>
        <w:t>ENVIRONMENTAL AND SOCIAL IMPACTS OF THE DIFFERENT POLICY OPTIONS AND WHO WILL BE AFFECTED?</w:t>
      </w:r>
      <w:bookmarkEnd w:id="135"/>
      <w:bookmarkEnd w:id="170"/>
    </w:p>
    <w:p w:rsidR="001A26B0" w:rsidRDefault="00E33A99">
      <w:pPr>
        <w:pStyle w:val="Heading2"/>
        <w:rPr>
          <w:noProof/>
          <w:szCs w:val="24"/>
        </w:rPr>
      </w:pPr>
      <w:bookmarkStart w:id="171" w:name="_Ref493669173"/>
      <w:bookmarkStart w:id="172" w:name="_Toc496635605"/>
      <w:bookmarkStart w:id="173" w:name="_Toc485119151"/>
      <w:bookmarkStart w:id="174" w:name="_Toc487211783"/>
      <w:bookmarkEnd w:id="136"/>
      <w:r>
        <w:rPr>
          <w:noProof/>
        </w:rPr>
        <w:t>General methodological considerations</w:t>
      </w:r>
      <w:bookmarkEnd w:id="171"/>
      <w:bookmarkEnd w:id="172"/>
      <w:r>
        <w:rPr>
          <w:noProof/>
        </w:rPr>
        <w:t xml:space="preserve"> </w:t>
      </w:r>
    </w:p>
    <w:p w:rsidR="001A26B0" w:rsidRDefault="00E33A99">
      <w:pPr>
        <w:spacing w:after="120"/>
        <w:rPr>
          <w:noProof/>
          <w:szCs w:val="24"/>
        </w:rPr>
      </w:pPr>
      <w:r>
        <w:rPr>
          <w:noProof/>
          <w:szCs w:val="24"/>
        </w:rPr>
        <w:t>The quantification of the impacts, in particular as regards the target levels, distribution of effort and LEV incentives - see</w:t>
      </w:r>
      <w:r>
        <w:rPr>
          <w:noProof/>
          <w:szCs w:val="24"/>
        </w:rPr>
        <w:t xml:space="preserve"> Sections 6.3.2, 6.4 and 0 - relies on a suite of models and a dedicated set of cost curves covering a broad range of up-to-date technologies for reducing CO</w:t>
      </w:r>
      <w:r>
        <w:rPr>
          <w:noProof/>
          <w:szCs w:val="24"/>
          <w:vertAlign w:val="subscript"/>
        </w:rPr>
        <w:t>2</w:t>
      </w:r>
      <w:r>
        <w:rPr>
          <w:noProof/>
          <w:szCs w:val="24"/>
        </w:rPr>
        <w:t xml:space="preserve"> emissions from cars and vans. </w:t>
      </w:r>
    </w:p>
    <w:p w:rsidR="001A26B0" w:rsidRDefault="00E33A99">
      <w:pPr>
        <w:spacing w:after="120"/>
        <w:rPr>
          <w:noProof/>
          <w:szCs w:val="24"/>
        </w:rPr>
      </w:pPr>
      <w:r>
        <w:rPr>
          <w:noProof/>
          <w:szCs w:val="24"/>
        </w:rPr>
        <w:t>These cost curves, which show the CO</w:t>
      </w:r>
      <w:r>
        <w:rPr>
          <w:noProof/>
          <w:szCs w:val="24"/>
          <w:vertAlign w:val="subscript"/>
        </w:rPr>
        <w:t>2</w:t>
      </w:r>
      <w:r>
        <w:rPr>
          <w:noProof/>
          <w:szCs w:val="24"/>
        </w:rPr>
        <w:t xml:space="preserve"> reduction potential and cost</w:t>
      </w:r>
      <w:r>
        <w:rPr>
          <w:noProof/>
          <w:szCs w:val="24"/>
        </w:rPr>
        <w:t>s for over 80 technologies, were determined as part of a study</w:t>
      </w:r>
      <w:r>
        <w:rPr>
          <w:rStyle w:val="FootnoteReference"/>
          <w:noProof/>
          <w:szCs w:val="24"/>
        </w:rPr>
        <w:footnoteReference w:id="144"/>
      </w:r>
      <w:r>
        <w:rPr>
          <w:noProof/>
          <w:szCs w:val="24"/>
        </w:rPr>
        <w:t xml:space="preserve"> on which car manufacturers, suppliers and other stakeholders provided input and were extensively consulted. </w:t>
      </w:r>
      <w:r>
        <w:rPr>
          <w:noProof/>
        </w:rPr>
        <w:t>The technologies considered include those that are currently already utilised in veh</w:t>
      </w:r>
      <w:r>
        <w:rPr>
          <w:noProof/>
        </w:rPr>
        <w:t>icles in the marketplace, as well as those expected to be available in the near future, and also options that have been proposed or are under development that could feasibly be introduced to the marketplace in the 2020-2030 period. Starting from a detailed</w:t>
      </w:r>
      <w:r>
        <w:rPr>
          <w:noProof/>
        </w:rPr>
        <w:t xml:space="preserve"> assessment of these technologies, </w:t>
      </w:r>
      <w:r>
        <w:rPr>
          <w:noProof/>
          <w:szCs w:val="24"/>
        </w:rPr>
        <w:t>a total of 252 cost-curves on a WLTP basis was generated for different combinations of powertrain type (conventional, PHEV, BEV, FCEV), vehicle segment (four size classes for cars and three for vans) and year (2015, 2020,</w:t>
      </w:r>
      <w:r>
        <w:rPr>
          <w:noProof/>
          <w:szCs w:val="24"/>
        </w:rPr>
        <w:t xml:space="preserve"> 2025 and 2030). </w:t>
      </w:r>
    </w:p>
    <w:p w:rsidR="001A26B0" w:rsidRDefault="00E33A99">
      <w:pPr>
        <w:spacing w:after="120"/>
        <w:rPr>
          <w:noProof/>
          <w:szCs w:val="24"/>
        </w:rPr>
      </w:pPr>
      <w:r>
        <w:rPr>
          <w:noProof/>
          <w:szCs w:val="24"/>
        </w:rPr>
        <w:t>In the preparation of the cost curves, which represent a cost-optimal combination of technologies to be fitted in the vehicles to reach specific CO</w:t>
      </w:r>
      <w:r>
        <w:rPr>
          <w:noProof/>
          <w:szCs w:val="24"/>
          <w:vertAlign w:val="subscript"/>
        </w:rPr>
        <w:t>2</w:t>
      </w:r>
      <w:r>
        <w:rPr>
          <w:noProof/>
          <w:szCs w:val="24"/>
        </w:rPr>
        <w:t xml:space="preserve"> reduction levels, the possibility (or impossibility) to combine technologies has been duly taken into account, as has their pre-existing market penetration in the vehicles fleet, and overlaps in the CO</w:t>
      </w:r>
      <w:r>
        <w:rPr>
          <w:noProof/>
          <w:szCs w:val="24"/>
          <w:vertAlign w:val="subscript"/>
        </w:rPr>
        <w:t>2</w:t>
      </w:r>
      <w:r>
        <w:rPr>
          <w:noProof/>
          <w:szCs w:val="24"/>
        </w:rPr>
        <w:t xml:space="preserve"> saving potential of technologies when combined into </w:t>
      </w:r>
      <w:r>
        <w:rPr>
          <w:noProof/>
          <w:szCs w:val="24"/>
        </w:rPr>
        <w:t xml:space="preserve">packages. </w:t>
      </w:r>
    </w:p>
    <w:p w:rsidR="001A26B0" w:rsidRDefault="00E33A99">
      <w:pPr>
        <w:spacing w:after="120"/>
        <w:rPr>
          <w:noProof/>
          <w:szCs w:val="24"/>
        </w:rPr>
      </w:pPr>
      <w:r>
        <w:rPr>
          <w:noProof/>
          <w:szCs w:val="24"/>
        </w:rPr>
        <w:t>In addition, for the purpose of analysing the sensitivity of cost assumptions apart from the "medium" costs, a number of cost-curves were developed illustrating the impact of low and high technology cost estimates. These different cost estimates</w:t>
      </w:r>
      <w:r>
        <w:rPr>
          <w:noProof/>
          <w:szCs w:val="24"/>
        </w:rPr>
        <w:t xml:space="preserve"> were calculated using a methodological approach developed and refined in consultation with stakeholders and a statistical model to assess the uncertainty in the future cost projections. The "medium" cost case represents the most likely scenario resulting </w:t>
      </w:r>
      <w:r>
        <w:rPr>
          <w:noProof/>
          <w:szCs w:val="24"/>
        </w:rPr>
        <w:t>from significant future technology deployment to meet post-2020 CO</w:t>
      </w:r>
      <w:r>
        <w:rPr>
          <w:noProof/>
          <w:szCs w:val="24"/>
          <w:vertAlign w:val="subscript"/>
        </w:rPr>
        <w:t>2</w:t>
      </w:r>
      <w:r>
        <w:rPr>
          <w:noProof/>
          <w:szCs w:val="24"/>
        </w:rPr>
        <w:t xml:space="preserve"> targets. The projected future costs of BEV, PHEV and FCEV powertrains take into account economies of scale and potential rates of learning on the cost reduction of key components (i.e. notably batteries and fuel cells) in different market deployment scena</w:t>
      </w:r>
      <w:r>
        <w:rPr>
          <w:noProof/>
          <w:szCs w:val="24"/>
        </w:rPr>
        <w:t>rios. These costs have also been reviewed in the light of the more rapid than expected reductions in battery costs.</w:t>
      </w:r>
    </w:p>
    <w:p w:rsidR="001A26B0" w:rsidRDefault="00E33A99">
      <w:pPr>
        <w:spacing w:after="120"/>
        <w:rPr>
          <w:noProof/>
          <w:szCs w:val="24"/>
        </w:rPr>
      </w:pPr>
      <w:r>
        <w:rPr>
          <w:noProof/>
          <w:szCs w:val="24"/>
        </w:rPr>
        <w:t>The PRIMES-TREMOVE model is used to project the evolution of the road transport sector. This model was consistently used for climate, energy</w:t>
      </w:r>
      <w:r>
        <w:rPr>
          <w:noProof/>
          <w:szCs w:val="24"/>
        </w:rPr>
        <w:t xml:space="preserve"> and transport initiatives in the past, including for the 2016 Commission initiatives concerning the Effort Sharing Regulation (ESR), the Energy Efficiency Directive (EED), the Low-Emission Mobility Strategy, the Eurovignette Directive, as well as impact a</w:t>
      </w:r>
      <w:r>
        <w:rPr>
          <w:noProof/>
          <w:szCs w:val="24"/>
        </w:rPr>
        <w:t>ssessment on the Clean Vehicles Directive which was conducted in parallel. In addition, macro-economic models (GEM-E3, E3ME) and the DIONE model developed by the JRC have been used. All analytical models used are described in detail in Annex 4.</w:t>
      </w:r>
    </w:p>
    <w:p w:rsidR="001A26B0" w:rsidRDefault="00E33A99">
      <w:pPr>
        <w:spacing w:after="120"/>
        <w:rPr>
          <w:noProof/>
          <w:szCs w:val="24"/>
        </w:rPr>
      </w:pPr>
      <w:r>
        <w:rPr>
          <w:noProof/>
          <w:szCs w:val="24"/>
        </w:rPr>
        <w:t>The baselin</w:t>
      </w:r>
      <w:r>
        <w:rPr>
          <w:noProof/>
          <w:szCs w:val="24"/>
        </w:rPr>
        <w:t>e used for this impact assessment builds on the "Reference Scenario 2016" (</w:t>
      </w:r>
      <w:r>
        <w:rPr>
          <w:i/>
          <w:noProof/>
          <w:szCs w:val="24"/>
        </w:rPr>
        <w:t>Ref2016</w:t>
      </w:r>
      <w:r>
        <w:rPr>
          <w:noProof/>
          <w:szCs w:val="24"/>
        </w:rPr>
        <w:t>)</w:t>
      </w:r>
      <w:r>
        <w:rPr>
          <w:rStyle w:val="FootnoteReference"/>
          <w:noProof/>
          <w:szCs w:val="24"/>
        </w:rPr>
        <w:footnoteReference w:id="145"/>
      </w:r>
      <w:r>
        <w:rPr>
          <w:noProof/>
          <w:szCs w:val="24"/>
        </w:rPr>
        <w:t>, which was used as the baseline for the ESR and EED proposals and the Low-Emission Mobility Strategy. In this scenario the market uptake of advanced technologies is estima</w:t>
      </w:r>
      <w:r>
        <w:rPr>
          <w:noProof/>
          <w:szCs w:val="24"/>
        </w:rPr>
        <w:t xml:space="preserve">ted to remain rather low, not allowing for economies of scale, i.e. costs for these advanced technologies staying high. </w:t>
      </w:r>
    </w:p>
    <w:p w:rsidR="001A26B0" w:rsidRDefault="00E33A99">
      <w:pPr>
        <w:spacing w:after="120"/>
        <w:rPr>
          <w:noProof/>
          <w:szCs w:val="24"/>
        </w:rPr>
      </w:pPr>
      <w:r>
        <w:rPr>
          <w:noProof/>
          <w:szCs w:val="24"/>
        </w:rPr>
        <w:t>The baseline</w:t>
      </w:r>
      <w:r>
        <w:rPr>
          <w:noProof/>
        </w:rPr>
        <w:t xml:space="preserve"> includes a few policy measures adopted after the cut-off date of </w:t>
      </w:r>
      <w:r>
        <w:rPr>
          <w:i/>
          <w:noProof/>
        </w:rPr>
        <w:t>Ref2016</w:t>
      </w:r>
      <w:r>
        <w:rPr>
          <w:noProof/>
        </w:rPr>
        <w:t xml:space="preserve"> (end of 2014). Furthermore, some further differen</w:t>
      </w:r>
      <w:r>
        <w:rPr>
          <w:noProof/>
        </w:rPr>
        <w:t>tiation in the model assumptions was needed</w:t>
      </w:r>
      <w:r>
        <w:rPr>
          <w:noProof/>
          <w:szCs w:val="24"/>
        </w:rPr>
        <w:t xml:space="preserve"> in view of new information from specific studies, in particular:</w:t>
      </w:r>
    </w:p>
    <w:p w:rsidR="001A26B0" w:rsidRDefault="00E33A99">
      <w:pPr>
        <w:pStyle w:val="ListParagraph"/>
        <w:numPr>
          <w:ilvl w:val="0"/>
          <w:numId w:val="33"/>
        </w:numPr>
        <w:spacing w:after="120"/>
        <w:ind w:left="720"/>
        <w:contextualSpacing w:val="0"/>
        <w:rPr>
          <w:noProof/>
          <w:szCs w:val="24"/>
        </w:rPr>
      </w:pPr>
      <w:r>
        <w:rPr>
          <w:noProof/>
          <w:szCs w:val="24"/>
        </w:rPr>
        <w:t xml:space="preserve">Updated cost curves were used, as explained above. The new costs are lower than the costs used as assumptions in </w:t>
      </w:r>
      <w:r>
        <w:rPr>
          <w:i/>
          <w:noProof/>
          <w:szCs w:val="24"/>
        </w:rPr>
        <w:t>Ref2016</w:t>
      </w:r>
      <w:r>
        <w:rPr>
          <w:noProof/>
          <w:szCs w:val="24"/>
        </w:rPr>
        <w:t xml:space="preserve"> and other previous analyti</w:t>
      </w:r>
      <w:r>
        <w:rPr>
          <w:noProof/>
          <w:szCs w:val="24"/>
        </w:rPr>
        <w:t xml:space="preserve">cal work performed with the PRIMES-TREMOVE model. </w:t>
      </w:r>
    </w:p>
    <w:p w:rsidR="001A26B0" w:rsidRDefault="00E33A99">
      <w:pPr>
        <w:pStyle w:val="ListParagraph"/>
        <w:numPr>
          <w:ilvl w:val="0"/>
          <w:numId w:val="33"/>
        </w:numPr>
        <w:spacing w:after="120"/>
        <w:contextualSpacing w:val="0"/>
        <w:rPr>
          <w:noProof/>
          <w:szCs w:val="24"/>
        </w:rPr>
      </w:pPr>
      <w:r>
        <w:rPr>
          <w:noProof/>
          <w:szCs w:val="24"/>
        </w:rPr>
        <w:t>Based on a recent JRC study</w:t>
      </w:r>
      <w:r>
        <w:rPr>
          <w:rStyle w:val="FootnoteReference"/>
          <w:noProof/>
          <w:szCs w:val="24"/>
        </w:rPr>
        <w:footnoteReference w:id="146"/>
      </w:r>
      <w:r>
        <w:rPr>
          <w:noProof/>
          <w:szCs w:val="24"/>
        </w:rPr>
        <w:t xml:space="preserve"> and other publications, a higher gap between emissions measured during NEDC testing and those in real driving conditions has been applied, on average about 37% for cars and 33%</w:t>
      </w:r>
      <w:r>
        <w:rPr>
          <w:noProof/>
          <w:szCs w:val="24"/>
        </w:rPr>
        <w:t xml:space="preserve"> for vans</w:t>
      </w:r>
      <w:r>
        <w:rPr>
          <w:rStyle w:val="FootnoteReference"/>
          <w:noProof/>
          <w:szCs w:val="24"/>
        </w:rPr>
        <w:footnoteReference w:id="147"/>
      </w:r>
      <w:r>
        <w:rPr>
          <w:noProof/>
          <w:szCs w:val="24"/>
        </w:rPr>
        <w:t xml:space="preserve">. </w:t>
      </w:r>
    </w:p>
    <w:p w:rsidR="001A26B0" w:rsidRDefault="00E33A99">
      <w:pPr>
        <w:pStyle w:val="ListParagraph"/>
        <w:numPr>
          <w:ilvl w:val="0"/>
          <w:numId w:val="33"/>
        </w:numPr>
        <w:spacing w:after="120"/>
        <w:contextualSpacing w:val="0"/>
        <w:rPr>
          <w:noProof/>
          <w:szCs w:val="24"/>
        </w:rPr>
      </w:pPr>
      <w:r>
        <w:rPr>
          <w:noProof/>
          <w:szCs w:val="24"/>
        </w:rPr>
        <w:t>The transition from the NEDC to the WLTP test cycle has been factored in by converting NEDC to WLTP emission values, using conversion factors derived by the JRC for this purpose (see Annex 4.5). For conventionally fuelled vehicles, these conve</w:t>
      </w:r>
      <w:r>
        <w:rPr>
          <w:noProof/>
          <w:szCs w:val="24"/>
        </w:rPr>
        <w:t xml:space="preserve">rsion factors are 1.21 for cars and 1.30 for vans, with specific values depending on the segments and powertrains. </w:t>
      </w:r>
    </w:p>
    <w:p w:rsidR="001A26B0" w:rsidRDefault="00E33A99">
      <w:pPr>
        <w:spacing w:after="120"/>
        <w:rPr>
          <w:noProof/>
          <w:szCs w:val="24"/>
        </w:rPr>
      </w:pPr>
      <w:r>
        <w:rPr>
          <w:noProof/>
          <w:szCs w:val="24"/>
        </w:rPr>
        <w:t>Finally, the latest set of data from monitoring the implementation of the Cars and Vans Regulations (2015) has been used to properly reflect</w:t>
      </w:r>
      <w:r>
        <w:rPr>
          <w:noProof/>
          <w:szCs w:val="24"/>
        </w:rPr>
        <w:t xml:space="preserve"> the current fleet composition and the turn-over rate for cars.  </w:t>
      </w:r>
    </w:p>
    <w:p w:rsidR="001A26B0" w:rsidRDefault="00E33A99">
      <w:pPr>
        <w:spacing w:after="120"/>
        <w:rPr>
          <w:noProof/>
          <w:szCs w:val="24"/>
        </w:rPr>
      </w:pPr>
      <w:r>
        <w:rPr>
          <w:noProof/>
          <w:szCs w:val="24"/>
        </w:rPr>
        <w:t>The baseline assumes that the EU-wide CO</w:t>
      </w:r>
      <w:r>
        <w:rPr>
          <w:noProof/>
          <w:szCs w:val="24"/>
          <w:vertAlign w:val="subscript"/>
        </w:rPr>
        <w:t>2</w:t>
      </w:r>
      <w:r>
        <w:rPr>
          <w:noProof/>
          <w:szCs w:val="24"/>
        </w:rPr>
        <w:t xml:space="preserve"> standards for the new passenger cars and vans fleets remain at the same level as in the current Regulations after 2020/2021 (i.e. 95 g CO</w:t>
      </w:r>
      <w:r>
        <w:rPr>
          <w:noProof/>
          <w:szCs w:val="24"/>
          <w:vertAlign w:val="subscript"/>
        </w:rPr>
        <w:t>2</w:t>
      </w:r>
      <w:r>
        <w:rPr>
          <w:noProof/>
          <w:szCs w:val="24"/>
        </w:rPr>
        <w:t xml:space="preserve"> /km for c</w:t>
      </w:r>
      <w:r>
        <w:rPr>
          <w:noProof/>
          <w:szCs w:val="24"/>
        </w:rPr>
        <w:t>ars and 147 g CO</w:t>
      </w:r>
      <w:r>
        <w:rPr>
          <w:noProof/>
          <w:szCs w:val="24"/>
          <w:vertAlign w:val="subscript"/>
        </w:rPr>
        <w:t>2</w:t>
      </w:r>
      <w:r>
        <w:rPr>
          <w:noProof/>
          <w:szCs w:val="24"/>
        </w:rPr>
        <w:t>/km for vans). This would lead to a reduction of CO</w:t>
      </w:r>
      <w:r>
        <w:rPr>
          <w:noProof/>
          <w:szCs w:val="24"/>
          <w:vertAlign w:val="subscript"/>
        </w:rPr>
        <w:t>2</w:t>
      </w:r>
      <w:r>
        <w:rPr>
          <w:noProof/>
          <w:szCs w:val="24"/>
        </w:rPr>
        <w:t xml:space="preserve"> emissions in the period between 2020 and 2030 due to the renewal of the fleet and the reduction of the technology costs over time, which triggers the uptake of more efficient vehicles. H</w:t>
      </w:r>
      <w:r>
        <w:rPr>
          <w:noProof/>
          <w:szCs w:val="24"/>
        </w:rPr>
        <w:t>owever, in absence of new targets, the CO</w:t>
      </w:r>
      <w:r>
        <w:rPr>
          <w:noProof/>
          <w:szCs w:val="24"/>
          <w:vertAlign w:val="subscript"/>
        </w:rPr>
        <w:t>2</w:t>
      </w:r>
      <w:r>
        <w:rPr>
          <w:noProof/>
          <w:szCs w:val="24"/>
        </w:rPr>
        <w:t xml:space="preserve"> emissions reductions remain limited. </w:t>
      </w:r>
      <w:r>
        <w:rPr>
          <w:noProof/>
          <w:szCs w:val="24"/>
        </w:rPr>
        <w:fldChar w:fldCharType="begin"/>
      </w:r>
      <w:r>
        <w:rPr>
          <w:noProof/>
          <w:szCs w:val="24"/>
        </w:rPr>
        <w:instrText xml:space="preserve"> REF _Ref495661114 \h </w:instrText>
      </w:r>
      <w:r>
        <w:rPr>
          <w:noProof/>
          <w:szCs w:val="24"/>
        </w:rPr>
      </w:r>
      <w:r>
        <w:rPr>
          <w:noProof/>
          <w:szCs w:val="24"/>
        </w:rPr>
        <w:fldChar w:fldCharType="separate"/>
      </w:r>
      <w:r>
        <w:rPr>
          <w:noProof/>
        </w:rPr>
        <w:t>Figure 9</w:t>
      </w:r>
      <w:r>
        <w:rPr>
          <w:noProof/>
          <w:szCs w:val="24"/>
        </w:rPr>
        <w:fldChar w:fldCharType="end"/>
      </w:r>
      <w:r>
        <w:rPr>
          <w:noProof/>
          <w:szCs w:val="24"/>
        </w:rPr>
        <w:t xml:space="preserve"> shows that the GHG emissions from road transport are expected to decrease by </w:t>
      </w:r>
      <w:r>
        <w:rPr>
          <w:noProof/>
          <w:szCs w:val="24"/>
        </w:rPr>
        <w:t xml:space="preserve">17% in 2030 with respect to 2005. </w:t>
      </w:r>
    </w:p>
    <w:p w:rsidR="001A26B0" w:rsidRDefault="00E33A99">
      <w:pPr>
        <w:pStyle w:val="Caption"/>
        <w:keepNext/>
        <w:spacing w:after="240"/>
        <w:rPr>
          <w:noProof/>
        </w:rPr>
      </w:pPr>
      <w:bookmarkStart w:id="175" w:name="_Ref495661114"/>
      <w:bookmarkStart w:id="176" w:name="_Toc496688555"/>
      <w:r>
        <w:rPr>
          <w:noProof/>
        </w:rP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bookmarkEnd w:id="175"/>
      <w:r>
        <w:rPr>
          <w:noProof/>
        </w:rPr>
        <w:t>: Projected trend of greenhouse gas emissions from road transport between 2005 and 2030 under the baseline</w:t>
      </w:r>
      <w:bookmarkEnd w:id="176"/>
      <w:r>
        <w:rPr>
          <w:noProof/>
        </w:rPr>
        <w:t xml:space="preserve"> </w:t>
      </w:r>
    </w:p>
    <w:p w:rsidR="001A26B0" w:rsidRDefault="00E33A99">
      <w:pPr>
        <w:spacing w:after="120"/>
        <w:jc w:val="center"/>
        <w:rPr>
          <w:noProof/>
          <w:szCs w:val="24"/>
        </w:rPr>
      </w:pPr>
      <w:r>
        <w:rPr>
          <w:noProof/>
          <w:szCs w:val="24"/>
          <w:lang w:eastAsia="en-GB"/>
        </w:rPr>
        <w:drawing>
          <wp:inline distT="0" distB="0" distL="0" distR="0">
            <wp:extent cx="5029200" cy="2990850"/>
            <wp:effectExtent l="0" t="0" r="0" b="0"/>
            <wp:docPr id="7173" name="Picture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29200" cy="2990850"/>
                    </a:xfrm>
                    <a:prstGeom prst="rect">
                      <a:avLst/>
                    </a:prstGeom>
                    <a:noFill/>
                  </pic:spPr>
                </pic:pic>
              </a:graphicData>
            </a:graphic>
          </wp:inline>
        </w:drawing>
      </w:r>
    </w:p>
    <w:p w:rsidR="001A26B0" w:rsidRDefault="00E33A99">
      <w:pPr>
        <w:spacing w:after="120"/>
        <w:rPr>
          <w:noProof/>
          <w:szCs w:val="24"/>
        </w:rPr>
      </w:pPr>
      <w:r>
        <w:rPr>
          <w:noProof/>
          <w:szCs w:val="24"/>
        </w:rPr>
        <w:t>In particular, CO</w:t>
      </w:r>
      <w:r>
        <w:rPr>
          <w:noProof/>
          <w:szCs w:val="24"/>
          <w:vertAlign w:val="subscript"/>
        </w:rPr>
        <w:t>2</w:t>
      </w:r>
      <w:r>
        <w:rPr>
          <w:noProof/>
          <w:szCs w:val="24"/>
        </w:rPr>
        <w:t xml:space="preserve"> emissions from passenger cars and vans reduce by 26% and 17</w:t>
      </w:r>
      <w:r>
        <w:rPr>
          <w:noProof/>
          <w:szCs w:val="24"/>
        </w:rPr>
        <w:t>% respectively between 2005 and 2030. In a context of projected growing activity, these reductions are achieved due to the penetration in the fleet of more efficient vehicles. The monitored type-approval CO</w:t>
      </w:r>
      <w:r>
        <w:rPr>
          <w:noProof/>
          <w:szCs w:val="24"/>
          <w:vertAlign w:val="subscript"/>
        </w:rPr>
        <w:t>2</w:t>
      </w:r>
      <w:r>
        <w:rPr>
          <w:noProof/>
          <w:szCs w:val="24"/>
        </w:rPr>
        <w:t xml:space="preserve"> values of new passenger cars and vans decrease r</w:t>
      </w:r>
      <w:r>
        <w:rPr>
          <w:noProof/>
          <w:szCs w:val="24"/>
        </w:rPr>
        <w:t>espectively by 14% and 11% between 2020 and 2030.</w:t>
      </w:r>
    </w:p>
    <w:p w:rsidR="001A26B0" w:rsidRDefault="00E33A99">
      <w:pPr>
        <w:spacing w:after="120"/>
        <w:rPr>
          <w:noProof/>
          <w:szCs w:val="24"/>
        </w:rPr>
      </w:pPr>
      <w:r>
        <w:rPr>
          <w:noProof/>
          <w:szCs w:val="24"/>
        </w:rPr>
        <w:t xml:space="preserve">The resulting composition of the new passenger car and van fleet in 2025 and 2030 is shown in Section 6.3.2.1 in </w:t>
      </w:r>
      <w:r>
        <w:rPr>
          <w:noProof/>
          <w:szCs w:val="24"/>
        </w:rPr>
        <w:fldChar w:fldCharType="begin"/>
      </w:r>
      <w:r>
        <w:rPr>
          <w:noProof/>
          <w:szCs w:val="24"/>
        </w:rPr>
        <w:instrText xml:space="preserve"> REF _Ref493669036 \h </w:instrText>
      </w:r>
      <w:r>
        <w:rPr>
          <w:noProof/>
          <w:szCs w:val="24"/>
        </w:rPr>
      </w:r>
      <w:r>
        <w:rPr>
          <w:noProof/>
          <w:szCs w:val="24"/>
        </w:rPr>
        <w:fldChar w:fldCharType="separate"/>
      </w:r>
      <w:r>
        <w:rPr>
          <w:noProof/>
        </w:rPr>
        <w:t>Table 6</w:t>
      </w:r>
      <w:r>
        <w:rPr>
          <w:noProof/>
          <w:szCs w:val="24"/>
        </w:rPr>
        <w:fldChar w:fldCharType="end"/>
      </w:r>
      <w:r>
        <w:rPr>
          <w:noProof/>
          <w:szCs w:val="24"/>
        </w:rPr>
        <w:t xml:space="preserve"> (TLC0) and </w:t>
      </w:r>
      <w:r>
        <w:rPr>
          <w:noProof/>
          <w:szCs w:val="24"/>
        </w:rPr>
        <w:fldChar w:fldCharType="begin"/>
      </w:r>
      <w:r>
        <w:rPr>
          <w:noProof/>
          <w:szCs w:val="24"/>
        </w:rPr>
        <w:instrText xml:space="preserve"> REF _Ref493669013 \h </w:instrText>
      </w:r>
      <w:r>
        <w:rPr>
          <w:noProof/>
          <w:szCs w:val="24"/>
        </w:rPr>
      </w:r>
      <w:r>
        <w:rPr>
          <w:noProof/>
          <w:szCs w:val="24"/>
        </w:rPr>
        <w:fldChar w:fldCharType="separate"/>
      </w:r>
      <w:r>
        <w:rPr>
          <w:noProof/>
        </w:rPr>
        <w:t>Table 7</w:t>
      </w:r>
      <w:r>
        <w:rPr>
          <w:noProof/>
          <w:szCs w:val="24"/>
        </w:rPr>
        <w:fldChar w:fldCharType="end"/>
      </w:r>
      <w:r>
        <w:rPr>
          <w:noProof/>
          <w:szCs w:val="24"/>
        </w:rPr>
        <w:t xml:space="preserve"> (TLV0). The uptake of LEV remains limited, especially when considering that by 2050</w:t>
      </w:r>
      <w:r>
        <w:rPr>
          <w:noProof/>
          <w:szCs w:val="24"/>
        </w:rPr>
        <w:t xml:space="preserve"> the fleet share of these vehicles should be around 68-72% in view of the longer term emission reduction objectives.</w:t>
      </w:r>
    </w:p>
    <w:p w:rsidR="001A26B0" w:rsidRDefault="00E33A99">
      <w:pPr>
        <w:spacing w:after="120"/>
        <w:rPr>
          <w:noProof/>
          <w:szCs w:val="24"/>
        </w:rPr>
      </w:pPr>
      <w:r>
        <w:rPr>
          <w:noProof/>
          <w:szCs w:val="24"/>
        </w:rPr>
        <w:t>A detailed description of the baseline projections is presented in Annex 4.</w:t>
      </w:r>
    </w:p>
    <w:p w:rsidR="001A26B0" w:rsidRDefault="00E33A99">
      <w:pPr>
        <w:pStyle w:val="Heading2"/>
        <w:rPr>
          <w:noProof/>
          <w:szCs w:val="24"/>
        </w:rPr>
      </w:pPr>
      <w:bookmarkStart w:id="177" w:name="_Toc496003051"/>
      <w:bookmarkStart w:id="178" w:name="_Toc496003052"/>
      <w:bookmarkStart w:id="179" w:name="_Toc492405089"/>
      <w:bookmarkStart w:id="180" w:name="_Toc496635606"/>
      <w:bookmarkEnd w:id="177"/>
      <w:bookmarkEnd w:id="178"/>
      <w:bookmarkEnd w:id="179"/>
      <w:r>
        <w:rPr>
          <w:noProof/>
          <w:szCs w:val="24"/>
        </w:rPr>
        <w:t>Consistency with previous analytical work</w:t>
      </w:r>
      <w:bookmarkEnd w:id="180"/>
    </w:p>
    <w:p w:rsidR="001A26B0" w:rsidRDefault="00E33A99">
      <w:pPr>
        <w:spacing w:after="120"/>
        <w:rPr>
          <w:noProof/>
        </w:rPr>
      </w:pPr>
      <w:bookmarkStart w:id="181" w:name="_Toc492405091"/>
      <w:bookmarkStart w:id="182" w:name="_Toc492405092"/>
      <w:bookmarkStart w:id="183" w:name="_Toc492405138"/>
      <w:bookmarkStart w:id="184" w:name="_Toc492405139"/>
      <w:bookmarkStart w:id="185" w:name="_Toc492405140"/>
      <w:bookmarkStart w:id="186" w:name="_Toc492405170"/>
      <w:bookmarkStart w:id="187" w:name="_Toc492405171"/>
      <w:bookmarkStart w:id="188" w:name="_Toc492405172"/>
      <w:bookmarkStart w:id="189" w:name="_Toc492405173"/>
      <w:bookmarkStart w:id="190" w:name="_Toc491871877"/>
      <w:bookmarkStart w:id="191" w:name="_Toc491871878"/>
      <w:bookmarkStart w:id="192" w:name="_Toc491871879"/>
      <w:bookmarkStart w:id="193" w:name="_Toc489535794"/>
      <w:bookmarkStart w:id="194" w:name="_Toc489536146"/>
      <w:bookmarkStart w:id="195" w:name="_Toc489536499"/>
      <w:bookmarkStart w:id="196" w:name="_Toc489536842"/>
      <w:bookmarkStart w:id="197" w:name="_Toc490062441"/>
      <w:bookmarkStart w:id="198" w:name="_Toc490062626"/>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Pr>
          <w:noProof/>
          <w:szCs w:val="24"/>
        </w:rPr>
        <w:t>A comparison was perf</w:t>
      </w:r>
      <w:r>
        <w:rPr>
          <w:noProof/>
          <w:szCs w:val="24"/>
        </w:rPr>
        <w:t>ormed between different options for the CO</w:t>
      </w:r>
      <w:r>
        <w:rPr>
          <w:noProof/>
          <w:szCs w:val="24"/>
          <w:vertAlign w:val="subscript"/>
        </w:rPr>
        <w:t>2</w:t>
      </w:r>
      <w:r>
        <w:rPr>
          <w:noProof/>
          <w:szCs w:val="24"/>
        </w:rPr>
        <w:t xml:space="preserve"> targets for new cars and vans considered for the period after 2020 in this impact assessment and under the "</w:t>
      </w:r>
      <w:r>
        <w:rPr>
          <w:i/>
          <w:noProof/>
          <w:szCs w:val="24"/>
        </w:rPr>
        <w:t>EUCO30</w:t>
      </w:r>
      <w:r>
        <w:rPr>
          <w:noProof/>
          <w:szCs w:val="24"/>
        </w:rPr>
        <w:t>" scenario</w:t>
      </w:r>
      <w:r>
        <w:rPr>
          <w:rStyle w:val="FootnoteReference"/>
          <w:noProof/>
          <w:szCs w:val="24"/>
        </w:rPr>
        <w:footnoteReference w:id="148"/>
      </w:r>
      <w:r>
        <w:rPr>
          <w:noProof/>
          <w:szCs w:val="24"/>
        </w:rPr>
        <w:t>, which is underlying several Commission climate, energy and transport policy proposals</w:t>
      </w:r>
      <w:r>
        <w:rPr>
          <w:noProof/>
          <w:szCs w:val="24"/>
        </w:rPr>
        <w:t xml:space="preserve"> adopted in 2016. This scenario achieves the EU-wide 2030 targets regarding greenhouse gas emissions in the ESR sectors (a 30% reduction compared to 2005), and regarding final energy demand (27% renewable energy and 30% energy efficiency). The results are </w:t>
      </w:r>
      <w:r>
        <w:rPr>
          <w:noProof/>
          <w:szCs w:val="24"/>
        </w:rPr>
        <w:t>shown in Section 6.3.2.4.3 and in Annex 4</w:t>
      </w:r>
      <w:r>
        <w:rPr>
          <w:noProof/>
        </w:rPr>
        <w:t>.</w:t>
      </w:r>
    </w:p>
    <w:p w:rsidR="001A26B0" w:rsidRDefault="00E33A99">
      <w:pPr>
        <w:pStyle w:val="Heading2"/>
        <w:rPr>
          <w:noProof/>
        </w:rPr>
      </w:pPr>
      <w:bookmarkStart w:id="199" w:name="_Toc496635607"/>
      <w:r>
        <w:rPr>
          <w:noProof/>
        </w:rPr>
        <w:t>Emission targets: metric, level and timing</w:t>
      </w:r>
      <w:bookmarkEnd w:id="199"/>
      <w:r>
        <w:rPr>
          <w:noProof/>
        </w:rPr>
        <w:t xml:space="preserve"> </w:t>
      </w:r>
      <w:bookmarkEnd w:id="173"/>
      <w:bookmarkEnd w:id="174"/>
    </w:p>
    <w:p w:rsidR="001A26B0" w:rsidRDefault="00E33A99">
      <w:pPr>
        <w:pStyle w:val="Heading3"/>
        <w:rPr>
          <w:noProof/>
        </w:rPr>
      </w:pPr>
      <w:bookmarkStart w:id="200" w:name="_Toc496635608"/>
      <w:bookmarkStart w:id="201" w:name="_Toc485119152"/>
      <w:bookmarkStart w:id="202" w:name="_Toc487211784"/>
      <w:r>
        <w:rPr>
          <w:noProof/>
        </w:rPr>
        <w:t>Metric for expressing the targets</w:t>
      </w:r>
      <w:bookmarkEnd w:id="200"/>
    </w:p>
    <w:p w:rsidR="001A26B0" w:rsidRDefault="00E33A99">
      <w:pPr>
        <w:pStyle w:val="Heading4"/>
        <w:rPr>
          <w:noProof/>
        </w:rPr>
      </w:pPr>
      <w:bookmarkStart w:id="203" w:name="_Toc490836223"/>
      <w:bookmarkStart w:id="204" w:name="_Toc490836591"/>
      <w:bookmarkStart w:id="205" w:name="_Toc490836844"/>
      <w:bookmarkStart w:id="206" w:name="_Toc491183390"/>
      <w:bookmarkStart w:id="207" w:name="_Toc491284003"/>
      <w:bookmarkStart w:id="208" w:name="_Toc491285087"/>
      <w:bookmarkStart w:id="209" w:name="_Toc491286173"/>
      <w:bookmarkStart w:id="210" w:name="_Toc491871882"/>
      <w:bookmarkStart w:id="211" w:name="_Toc496635609"/>
      <w:bookmarkEnd w:id="203"/>
      <w:bookmarkEnd w:id="204"/>
      <w:bookmarkEnd w:id="205"/>
      <w:bookmarkEnd w:id="206"/>
      <w:bookmarkEnd w:id="207"/>
      <w:bookmarkEnd w:id="208"/>
      <w:bookmarkEnd w:id="209"/>
      <w:bookmarkEnd w:id="210"/>
      <w:r>
        <w:rPr>
          <w:noProof/>
        </w:rPr>
        <w:t>Option TM_WTW: metric for setting the targets based on Well-to-Wheel approach</w:t>
      </w:r>
      <w:bookmarkEnd w:id="211"/>
    </w:p>
    <w:p w:rsidR="001A26B0" w:rsidRDefault="00E33A99">
      <w:pPr>
        <w:spacing w:after="120"/>
        <w:rPr>
          <w:noProof/>
        </w:rPr>
      </w:pPr>
      <w:r>
        <w:rPr>
          <w:noProof/>
        </w:rPr>
        <w:t>The two main arguments most frequently used by stakeholde</w:t>
      </w:r>
      <w:r>
        <w:rPr>
          <w:noProof/>
        </w:rPr>
        <w:t xml:space="preserve">rs calling for a change from the current tank-to-wheel (TTW) to a well-to-wheel (WTW) metric mainly relate to the following aspects: </w:t>
      </w:r>
    </w:p>
    <w:p w:rsidR="001A26B0" w:rsidRDefault="00E33A99">
      <w:pPr>
        <w:pStyle w:val="ListParagraph"/>
        <w:numPr>
          <w:ilvl w:val="0"/>
          <w:numId w:val="88"/>
        </w:numPr>
        <w:spacing w:after="120"/>
        <w:rPr>
          <w:noProof/>
        </w:rPr>
      </w:pPr>
      <w:r>
        <w:rPr>
          <w:noProof/>
        </w:rPr>
        <w:t>the need to account for the well-to-tank (WTT) emissions of electricity generation in comparison with those from fossil fu</w:t>
      </w:r>
      <w:r>
        <w:rPr>
          <w:noProof/>
        </w:rPr>
        <w:t>els, in particular in a context where the power sector is not yet fully decarbonised;</w:t>
      </w:r>
    </w:p>
    <w:p w:rsidR="001A26B0" w:rsidRDefault="00E33A99">
      <w:pPr>
        <w:pStyle w:val="ListParagraph"/>
        <w:numPr>
          <w:ilvl w:val="0"/>
          <w:numId w:val="88"/>
        </w:numPr>
        <w:spacing w:after="120"/>
        <w:rPr>
          <w:noProof/>
        </w:rPr>
      </w:pPr>
      <w:r>
        <w:rPr>
          <w:noProof/>
        </w:rPr>
        <w:t>the need to acknowledge the role of low-carbon fuels like bio-ethanol, bio-methane or synthetic fuels produced from renewable electricity when setting reduction targets f</w:t>
      </w:r>
      <w:r>
        <w:rPr>
          <w:noProof/>
        </w:rPr>
        <w:t>or CO</w:t>
      </w:r>
      <w:r>
        <w:rPr>
          <w:noProof/>
          <w:vertAlign w:val="subscript"/>
        </w:rPr>
        <w:t>2</w:t>
      </w:r>
      <w:r>
        <w:rPr>
          <w:noProof/>
        </w:rPr>
        <w:t xml:space="preserve"> emissions from cars and vans in order to incentivise the use of those fuels.</w:t>
      </w:r>
    </w:p>
    <w:p w:rsidR="001A26B0" w:rsidRDefault="00E33A99">
      <w:pPr>
        <w:spacing w:after="120"/>
        <w:rPr>
          <w:noProof/>
        </w:rPr>
      </w:pPr>
      <w:r>
        <w:rPr>
          <w:noProof/>
        </w:rPr>
        <w:t>As regards the first argument, it needs to be remembered that greenhouse gas emissions from the power and refinery sectors in the EU are already covered by the EU emissions trading system (ETS). Furthermore, the power sector is also affected by measures to</w:t>
      </w:r>
      <w:r>
        <w:rPr>
          <w:noProof/>
        </w:rPr>
        <w:t xml:space="preserve"> attain the Renewable Energy target. </w:t>
      </w:r>
    </w:p>
    <w:p w:rsidR="001A26B0" w:rsidRDefault="00E33A99">
      <w:pPr>
        <w:spacing w:after="120"/>
        <w:rPr>
          <w:noProof/>
        </w:rPr>
      </w:pPr>
      <w:r>
        <w:rPr>
          <w:noProof/>
        </w:rPr>
        <w:t>With respect to the second argument, the Commission's 2016 RED-II proposal</w:t>
      </w:r>
      <w:r>
        <w:rPr>
          <w:rStyle w:val="FootnoteReference"/>
          <w:noProof/>
        </w:rPr>
        <w:footnoteReference w:id="149"/>
      </w:r>
      <w:r>
        <w:rPr>
          <w:noProof/>
        </w:rPr>
        <w:t xml:space="preserve"> sets mandates on the fuels sector for 2030. This means that EU policy is already in place for incentivising the deployment of renewable electr</w:t>
      </w:r>
      <w:r>
        <w:rPr>
          <w:noProof/>
        </w:rPr>
        <w:t>icity and low-carbon fuels across all sectors, including transport.</w:t>
      </w:r>
    </w:p>
    <w:p w:rsidR="001A26B0" w:rsidRDefault="00E33A99">
      <w:pPr>
        <w:spacing w:after="120"/>
        <w:rPr>
          <w:noProof/>
        </w:rPr>
      </w:pPr>
      <w:r>
        <w:rPr>
          <w:noProof/>
        </w:rPr>
        <w:t xml:space="preserve">Thus, moving to a WTW metric would </w:t>
      </w:r>
      <w:r>
        <w:rPr>
          <w:i/>
          <w:noProof/>
        </w:rPr>
        <w:t>de facto</w:t>
      </w:r>
      <w:r>
        <w:rPr>
          <w:noProof/>
        </w:rPr>
        <w:t xml:space="preserve"> constitute double regulation for the fuels sector as well as the power sector. In the medium term, the impact of this double regulation on the e</w:t>
      </w:r>
      <w:r>
        <w:rPr>
          <w:noProof/>
        </w:rPr>
        <w:t>missions from those sectors in combination with other EU ETS sectors would likely be negligible as the total emissions of the EU ETS sectors are covered by a cap that declines every year. In fact, power sector emissions are reducing at a faster rate than t</w:t>
      </w:r>
      <w:r>
        <w:rPr>
          <w:noProof/>
        </w:rPr>
        <w:t>hat of any other sector</w:t>
      </w:r>
      <w:r>
        <w:rPr>
          <w:b/>
          <w:i/>
          <w:noProof/>
        </w:rPr>
        <w:t>.</w:t>
      </w:r>
      <w:r>
        <w:rPr>
          <w:noProof/>
        </w:rPr>
        <w:t xml:space="preserve"> According to the projections based on the Reference Scenario 2016, about 65% of electricity generated in the EU in 2030 will be carbon free</w:t>
      </w:r>
      <w:r>
        <w:rPr>
          <w:rStyle w:val="FootnoteReference"/>
          <w:noProof/>
        </w:rPr>
        <w:footnoteReference w:id="150"/>
      </w:r>
      <w:r>
        <w:rPr>
          <w:noProof/>
        </w:rPr>
        <w:t xml:space="preserve">. </w:t>
      </w:r>
    </w:p>
    <w:p w:rsidR="001A26B0" w:rsidRDefault="00E33A99">
      <w:pPr>
        <w:spacing w:after="120"/>
        <w:rPr>
          <w:noProof/>
        </w:rPr>
      </w:pPr>
      <w:r>
        <w:rPr>
          <w:noProof/>
        </w:rPr>
        <w:t>Projections taking into account newly proposed policies</w:t>
      </w:r>
      <w:r>
        <w:rPr>
          <w:rStyle w:val="FootnoteReference"/>
          <w:noProof/>
        </w:rPr>
        <w:footnoteReference w:id="151"/>
      </w:r>
      <w:r>
        <w:rPr>
          <w:noProof/>
        </w:rPr>
        <w:t xml:space="preserve"> show a carbon free share of mor</w:t>
      </w:r>
      <w:r>
        <w:rPr>
          <w:noProof/>
        </w:rPr>
        <w:t>e than 70%, and overall project a decrease of GHG intensity in the power sector of around 40% between 2015 and 2030. With the continuation of the linear reduction factor in the ETS beyond 2030, further reductions of the greenhouse gas intensity of the powe</w:t>
      </w:r>
      <w:r>
        <w:rPr>
          <w:noProof/>
        </w:rPr>
        <w:t>r sector will be realised. The WTW emissions of electric vehicles in particular can therefore be expected to reduce over time.</w:t>
      </w:r>
    </w:p>
    <w:p w:rsidR="001A26B0" w:rsidRDefault="00E33A99">
      <w:pPr>
        <w:spacing w:after="120"/>
        <w:rPr>
          <w:noProof/>
        </w:rPr>
      </w:pPr>
      <w:r>
        <w:rPr>
          <w:noProof/>
        </w:rPr>
        <w:t>As the WTW emissions are not a property of the vehicle alone, it would be hard if not impossible to establish metrics which are a</w:t>
      </w:r>
      <w:r>
        <w:rPr>
          <w:noProof/>
        </w:rPr>
        <w:t>ccurate, fair and cost-effective. In fact, conventional powertrains are sufficiently flexible to use different fuel types within certain specifications and therefore it is not possible to determine ex-ante for a given new vehicle on which fuels it will act</w:t>
      </w:r>
      <w:r>
        <w:rPr>
          <w:noProof/>
        </w:rPr>
        <w:t>ually run or to which extent these would be low-carbon fuels. PHEV and BEV will run on any form of electricity, no matter how it is produced, with PHEV also capable of running on liquid fuels. Hence, uncertain ex-ante assumptions would have to be used to a</w:t>
      </w:r>
      <w:r>
        <w:rPr>
          <w:noProof/>
        </w:rPr>
        <w:t>ccount for the potential use of low-carbon fuels in the metric expressing the CO</w:t>
      </w:r>
      <w:r>
        <w:rPr>
          <w:noProof/>
          <w:vertAlign w:val="subscript"/>
        </w:rPr>
        <w:t>2</w:t>
      </w:r>
      <w:r>
        <w:rPr>
          <w:noProof/>
        </w:rPr>
        <w:t xml:space="preserve"> emission performance.</w:t>
      </w:r>
    </w:p>
    <w:p w:rsidR="001A26B0" w:rsidRDefault="00E33A99">
      <w:pPr>
        <w:spacing w:after="120"/>
        <w:rPr>
          <w:noProof/>
        </w:rPr>
      </w:pPr>
      <w:r>
        <w:rPr>
          <w:noProof/>
        </w:rPr>
        <w:t xml:space="preserve">Alternatively, some fuel producers propose to use an ex-post crediting approach for based on actual fuel use and the respective GHG emission factors. </w:t>
      </w:r>
      <w:r>
        <w:rPr>
          <w:noProof/>
        </w:rPr>
        <w:t>While it is theoretically possible to establish WTT factors for the many different fuels used in vehicles</w:t>
      </w:r>
      <w:r>
        <w:rPr>
          <w:rStyle w:val="FootnoteReference"/>
          <w:noProof/>
        </w:rPr>
        <w:footnoteReference w:id="152"/>
      </w:r>
      <w:r>
        <w:rPr>
          <w:noProof/>
        </w:rPr>
        <w:t>, there are numerous practical barriers to overcome to actually agree on such figures, which also vary geographically as well as over time. Lessons ca</w:t>
      </w:r>
      <w:r>
        <w:rPr>
          <w:noProof/>
        </w:rPr>
        <w:t>n be learned from the discussions regarding the monitoring requirements for upstream emissions in the context of the Fuel Quality Directive 98/70/EC (FQD), where stakeholder concerns about large administrative burden contributed to the political decision n</w:t>
      </w:r>
      <w:r>
        <w:rPr>
          <w:noProof/>
        </w:rPr>
        <w:t>ot to insist on detailed monitoring of emissions from well to tank and instead to discontinue regulating CO</w:t>
      </w:r>
      <w:r>
        <w:rPr>
          <w:noProof/>
          <w:vertAlign w:val="subscript"/>
        </w:rPr>
        <w:t>2</w:t>
      </w:r>
      <w:r>
        <w:rPr>
          <w:noProof/>
        </w:rPr>
        <w:t xml:space="preserve"> in the FQD after 2020. Similarly, as in the implementation of the Renewables Directive the issues of indirect land use change (ILUC) and the sustai</w:t>
      </w:r>
      <w:r>
        <w:rPr>
          <w:noProof/>
        </w:rPr>
        <w:t>nability of imported low-emission fuels would have to be addressed. For the WTW based CO</w:t>
      </w:r>
      <w:r>
        <w:rPr>
          <w:noProof/>
          <w:vertAlign w:val="subscript"/>
        </w:rPr>
        <w:t>2</w:t>
      </w:r>
      <w:r>
        <w:rPr>
          <w:noProof/>
        </w:rPr>
        <w:t xml:space="preserve"> targets, the exact same issues would have to be faced, but in addition a discussion would be needed regarding electricity. </w:t>
      </w:r>
    </w:p>
    <w:p w:rsidR="001A26B0" w:rsidRDefault="00E33A99">
      <w:pPr>
        <w:spacing w:after="120"/>
        <w:rPr>
          <w:noProof/>
        </w:rPr>
      </w:pPr>
      <w:r>
        <w:rPr>
          <w:noProof/>
        </w:rPr>
        <w:t>Even in the case of an ex-post crediting s</w:t>
      </w:r>
      <w:r>
        <w:rPr>
          <w:noProof/>
        </w:rPr>
        <w:t>ystem, highly uncertain ex-ante assumptions would have to be made about the availability of such credits when setting new CO</w:t>
      </w:r>
      <w:r>
        <w:rPr>
          <w:noProof/>
          <w:vertAlign w:val="subscript"/>
        </w:rPr>
        <w:t>2</w:t>
      </w:r>
      <w:r>
        <w:rPr>
          <w:noProof/>
        </w:rPr>
        <w:t xml:space="preserve"> targets for cars in order to maintain a sufficient level of incentives for accelerating the adoption of efficient and clean techno</w:t>
      </w:r>
      <w:r>
        <w:rPr>
          <w:noProof/>
        </w:rPr>
        <w:t xml:space="preserve">logies in cars and vans. </w:t>
      </w:r>
    </w:p>
    <w:p w:rsidR="001A26B0" w:rsidRDefault="00E33A99">
      <w:pPr>
        <w:spacing w:after="120"/>
        <w:rPr>
          <w:noProof/>
        </w:rPr>
      </w:pPr>
      <w:r>
        <w:rPr>
          <w:noProof/>
        </w:rPr>
        <w:t>As the actual emission reduction potential, the market availability and the penetration rate of low-emission fuels falls outside the direct control of the automotive industry, ACEA advocates maintaining the current tank-to-wheel m</w:t>
      </w:r>
      <w:r>
        <w:rPr>
          <w:noProof/>
        </w:rPr>
        <w:t>etric.</w:t>
      </w:r>
    </w:p>
    <w:p w:rsidR="001A26B0" w:rsidRDefault="00E33A99">
      <w:pPr>
        <w:spacing w:after="120"/>
        <w:rPr>
          <w:noProof/>
        </w:rPr>
      </w:pPr>
      <w:r>
        <w:rPr>
          <w:noProof/>
        </w:rPr>
        <w:t>Additional information on WTW emissions can be found in Annex 8.1.</w:t>
      </w:r>
    </w:p>
    <w:p w:rsidR="001A26B0" w:rsidRDefault="00E33A99">
      <w:pPr>
        <w:pStyle w:val="Heading4"/>
        <w:rPr>
          <w:noProof/>
        </w:rPr>
      </w:pPr>
      <w:bookmarkStart w:id="212" w:name="_Toc493273585"/>
      <w:bookmarkStart w:id="213" w:name="_Toc493276210"/>
      <w:bookmarkStart w:id="214" w:name="_Toc490243259"/>
      <w:bookmarkStart w:id="215" w:name="_Toc490836225"/>
      <w:bookmarkStart w:id="216" w:name="_Toc490836593"/>
      <w:bookmarkStart w:id="217" w:name="_Toc490836846"/>
      <w:bookmarkStart w:id="218" w:name="_Toc491183392"/>
      <w:bookmarkStart w:id="219" w:name="_Toc491284005"/>
      <w:bookmarkStart w:id="220" w:name="_Toc491285089"/>
      <w:bookmarkStart w:id="221" w:name="_Toc491286175"/>
      <w:bookmarkStart w:id="222" w:name="_Toc496635610"/>
      <w:bookmarkEnd w:id="212"/>
      <w:bookmarkEnd w:id="213"/>
      <w:bookmarkEnd w:id="214"/>
      <w:bookmarkEnd w:id="215"/>
      <w:bookmarkEnd w:id="216"/>
      <w:bookmarkEnd w:id="217"/>
      <w:bookmarkEnd w:id="218"/>
      <w:bookmarkEnd w:id="219"/>
      <w:bookmarkEnd w:id="220"/>
      <w:bookmarkEnd w:id="221"/>
      <w:r>
        <w:rPr>
          <w:noProof/>
        </w:rPr>
        <w:t>Option TM_EMB: metric for setting the targets based on embedded emissions</w:t>
      </w:r>
      <w:bookmarkEnd w:id="222"/>
    </w:p>
    <w:p w:rsidR="001A26B0" w:rsidRDefault="00E33A99">
      <w:pPr>
        <w:spacing w:after="120"/>
        <w:rPr>
          <w:noProof/>
        </w:rPr>
      </w:pPr>
      <w:r>
        <w:rPr>
          <w:noProof/>
        </w:rPr>
        <w:t>Apart from the WTW emissions, which cover the use phase of the vehicle and the production of the fuels used,</w:t>
      </w:r>
      <w:r>
        <w:rPr>
          <w:noProof/>
        </w:rPr>
        <w:t xml:space="preserve"> there are also "embedded" CO</w:t>
      </w:r>
      <w:r>
        <w:rPr>
          <w:noProof/>
          <w:vertAlign w:val="subscript"/>
        </w:rPr>
        <w:t>2</w:t>
      </w:r>
      <w:r>
        <w:rPr>
          <w:noProof/>
        </w:rPr>
        <w:t xml:space="preserve"> emissions associated with vehicle manufacturing (including the mining, processing and manufacturing of materials and components), maintenance and disposal. </w:t>
      </w:r>
    </w:p>
    <w:p w:rsidR="001A26B0" w:rsidRDefault="00E33A99">
      <w:pPr>
        <w:spacing w:after="120"/>
        <w:rPr>
          <w:noProof/>
        </w:rPr>
      </w:pPr>
      <w:r>
        <w:rPr>
          <w:noProof/>
        </w:rPr>
        <w:t>It is estimated that those embedded emissions currently cause around</w:t>
      </w:r>
      <w:r>
        <w:rPr>
          <w:noProof/>
        </w:rPr>
        <w:t xml:space="preserve"> 16% of the total lifetime CO</w:t>
      </w:r>
      <w:r>
        <w:rPr>
          <w:noProof/>
          <w:vertAlign w:val="subscript"/>
        </w:rPr>
        <w:t>2</w:t>
      </w:r>
      <w:r>
        <w:rPr>
          <w:noProof/>
        </w:rPr>
        <w:t xml:space="preserve"> emissions of EU cars</w:t>
      </w:r>
      <w:r>
        <w:rPr>
          <w:rStyle w:val="FootnoteReference"/>
          <w:noProof/>
        </w:rPr>
        <w:footnoteReference w:id="153"/>
      </w:r>
      <w:r>
        <w:rPr>
          <w:i/>
          <w:noProof/>
        </w:rPr>
        <w:t>.</w:t>
      </w:r>
      <w:r>
        <w:rPr>
          <w:noProof/>
        </w:rPr>
        <w:t xml:space="preserve"> Additional information on embedded emissions can be found in Annex 8.1.</w:t>
      </w:r>
    </w:p>
    <w:p w:rsidR="001A26B0" w:rsidRDefault="00E33A99">
      <w:pPr>
        <w:spacing w:after="120"/>
        <w:rPr>
          <w:noProof/>
        </w:rPr>
      </w:pPr>
      <w:r>
        <w:rPr>
          <w:noProof/>
        </w:rPr>
        <w:t>The evaluation study concluded that the further uptake of technologies improving the fuel efficiency of conventional (internal com</w:t>
      </w:r>
      <w:r>
        <w:rPr>
          <w:noProof/>
        </w:rPr>
        <w:t>bustion engine) vehicles would have a limited impact on production emissions, and that the tailpipe CO</w:t>
      </w:r>
      <w:r>
        <w:rPr>
          <w:noProof/>
          <w:vertAlign w:val="subscript"/>
        </w:rPr>
        <w:t>2</w:t>
      </w:r>
      <w:r>
        <w:rPr>
          <w:noProof/>
        </w:rPr>
        <w:t xml:space="preserve"> emission savings achieved through such measures would outweigh by far any additional production emissions.</w:t>
      </w:r>
    </w:p>
    <w:p w:rsidR="001A26B0" w:rsidRDefault="00E33A99">
      <w:pPr>
        <w:spacing w:after="120"/>
        <w:rPr>
          <w:noProof/>
        </w:rPr>
      </w:pPr>
      <w:r>
        <w:rPr>
          <w:noProof/>
        </w:rPr>
        <w:t>Nevertheless, it was also noted that the rela</w:t>
      </w:r>
      <w:r>
        <w:rPr>
          <w:noProof/>
        </w:rPr>
        <w:t xml:space="preserve">tive importance of embedded emissions may increase in the long-term, in particular when the proportion of vehicles using alternative powertrains is increasing. </w:t>
      </w:r>
    </w:p>
    <w:p w:rsidR="001A26B0" w:rsidRDefault="00E33A99">
      <w:pPr>
        <w:spacing w:after="120"/>
        <w:rPr>
          <w:noProof/>
        </w:rPr>
      </w:pPr>
      <w:r>
        <w:rPr>
          <w:noProof/>
        </w:rPr>
        <w:t>A number of recent studies highlighted the potential emissions associated with the production o</w:t>
      </w:r>
      <w:r>
        <w:rPr>
          <w:noProof/>
        </w:rPr>
        <w:t>f batteries for electric vehicles. However, the emission factors calculated vary significantly depending on the type of battery in terms of materials and energy density and the source of energy used for its production</w:t>
      </w:r>
      <w:r>
        <w:rPr>
          <w:rStyle w:val="FootnoteReference"/>
          <w:noProof/>
        </w:rPr>
        <w:footnoteReference w:id="154"/>
      </w:r>
      <w:r>
        <w:rPr>
          <w:noProof/>
        </w:rPr>
        <w:t xml:space="preserve">. Furthermore, it is anticipated that </w:t>
      </w:r>
      <w:r>
        <w:rPr>
          <w:noProof/>
        </w:rPr>
        <w:t>the significance of batteries in the overall carbon footprint of electric vehicles could decrease very significantly due a number of factors, including the anticipated increase in gravimetric energy density reducing the materials use per kWh, the reduced G</w:t>
      </w:r>
      <w:r>
        <w:rPr>
          <w:noProof/>
        </w:rPr>
        <w:t xml:space="preserve">HG intensity of the power sector (see above) and materials used in battery manufacture, improved recycling processes, and an extension of the battery lifetime. Improved overall vehicle efficiencies would also contribute to this by reducing the size of the </w:t>
      </w:r>
      <w:r>
        <w:rPr>
          <w:noProof/>
        </w:rPr>
        <w:t>battery needed for a given electric range. All of this would cause the GHG emissions from the lifecycle of a BEV to drop by 40% between 2020 and 2030, in particular, if combined with establishing a strong battery manufacturing base within the EU in the nea</w:t>
      </w:r>
      <w:r>
        <w:rPr>
          <w:noProof/>
        </w:rPr>
        <w:t xml:space="preserve">r future. </w:t>
      </w:r>
    </w:p>
    <w:p w:rsidR="001A26B0" w:rsidRDefault="00E33A99">
      <w:pPr>
        <w:spacing w:after="120"/>
        <w:rPr>
          <w:noProof/>
        </w:rPr>
      </w:pPr>
      <w:r>
        <w:rPr>
          <w:noProof/>
        </w:rPr>
        <w:t>Another study</w:t>
      </w:r>
      <w:r>
        <w:rPr>
          <w:rStyle w:val="FootnoteReference"/>
          <w:noProof/>
        </w:rPr>
        <w:footnoteReference w:id="155"/>
      </w:r>
      <w:r>
        <w:rPr>
          <w:noProof/>
        </w:rPr>
        <w:t xml:space="preserve"> highlighted the technical complexity of the issue, and the high administrative burden of covering embedded emissions in a meaningful way. In addition, trade policy issues might be raised as in the case of the emissions from fuels </w:t>
      </w:r>
      <w:r>
        <w:rPr>
          <w:noProof/>
        </w:rPr>
        <w:t>produced from Canadian tar sands during the implementation of the FQD. Such highly complex and detailed emission reporting would need to rely on life-cycle assessment (LCA) reporting by manufacturers which would have to cover all relevant downstream emissi</w:t>
      </w:r>
      <w:r>
        <w:rPr>
          <w:noProof/>
        </w:rPr>
        <w:t xml:space="preserve">ons from a huge number of suppliers of materials and car parts within the EU and from third countries. Developing a meaningful and robust methodology with guidelines and tools would be lengthy and costly. </w:t>
      </w:r>
    </w:p>
    <w:p w:rsidR="001A26B0" w:rsidRDefault="00E33A99">
      <w:pPr>
        <w:spacing w:after="120"/>
        <w:rPr>
          <w:noProof/>
        </w:rPr>
      </w:pPr>
      <w:r>
        <w:rPr>
          <w:noProof/>
        </w:rPr>
        <w:t>Using a pre-described LCA approach that is suffici</w:t>
      </w:r>
      <w:r>
        <w:rPr>
          <w:noProof/>
        </w:rPr>
        <w:t>ently meaningful and providing the right incentives for reducing the embedded emissions would not only be extremely complex in terms of methodological approach, but would also be very difficult to enforce.</w:t>
      </w:r>
    </w:p>
    <w:p w:rsidR="001A26B0" w:rsidRDefault="00E33A99">
      <w:pPr>
        <w:spacing w:after="120"/>
        <w:rPr>
          <w:noProof/>
        </w:rPr>
      </w:pPr>
      <w:r>
        <w:rPr>
          <w:noProof/>
        </w:rPr>
        <w:t>If such a LCA methodology could not be established</w:t>
      </w:r>
      <w:r>
        <w:rPr>
          <w:noProof/>
        </w:rPr>
        <w:t>, fixed default values for including embedded emissions in the metric would have to be used. However, this would have very limited added value as it would just give incentives for reducing the amount of materials used, but not take account of the differenc</w:t>
      </w:r>
      <w:r>
        <w:rPr>
          <w:noProof/>
        </w:rPr>
        <w:t xml:space="preserve">es between the emissions related to various materials. </w:t>
      </w:r>
    </w:p>
    <w:p w:rsidR="001A26B0" w:rsidRDefault="00E33A99">
      <w:pPr>
        <w:spacing w:after="120"/>
        <w:rPr>
          <w:noProof/>
        </w:rPr>
      </w:pPr>
      <w:r>
        <w:rPr>
          <w:noProof/>
        </w:rPr>
        <w:t xml:space="preserve">In response to the public consultation, most car manufacturers were against covering embedded emissions in the metric, while other stakeholder groups had diverging views. The steel industry mentioned </w:t>
      </w:r>
      <w:r>
        <w:rPr>
          <w:noProof/>
        </w:rPr>
        <w:t>that the eco-innovation scheme should be complemented with an LCA credit option.</w:t>
      </w:r>
    </w:p>
    <w:p w:rsidR="001A26B0" w:rsidRDefault="00E33A99">
      <w:pPr>
        <w:pStyle w:val="Text1"/>
        <w:spacing w:after="120"/>
        <w:ind w:left="0"/>
        <w:rPr>
          <w:noProof/>
        </w:rPr>
      </w:pPr>
      <w:r>
        <w:rPr>
          <w:noProof/>
        </w:rPr>
        <w:t>For the reasons above, including embedded emissions in the metric in a meaningful way is not deemed feasible with an effort proportionate to the expected benefits due to the t</w:t>
      </w:r>
      <w:r>
        <w:rPr>
          <w:noProof/>
        </w:rPr>
        <w:t xml:space="preserve">echnical complexity of the issue and the prohibitively high cost of data collection at the level of granularity required. </w:t>
      </w:r>
    </w:p>
    <w:p w:rsidR="001A26B0" w:rsidRDefault="00E33A99">
      <w:pPr>
        <w:spacing w:after="120"/>
        <w:rPr>
          <w:noProof/>
        </w:rPr>
      </w:pPr>
      <w:bookmarkStart w:id="223" w:name="_Toc491871885"/>
      <w:bookmarkEnd w:id="223"/>
      <w:r>
        <w:rPr>
          <w:noProof/>
        </w:rPr>
        <w:t>In the coming years, voluntary reporting on embedded emissions of the most relevant segments along the supply chain and testing vario</w:t>
      </w:r>
      <w:r>
        <w:rPr>
          <w:noProof/>
        </w:rPr>
        <w:t>us methodological approaches could offer further insights to manufacturers on the overall carbon footprint of car manufacturing. This could be combined with regularly monitoring the progress made with reducing the embedded emissions through dedicated studi</w:t>
      </w:r>
      <w:r>
        <w:rPr>
          <w:noProof/>
        </w:rPr>
        <w:t xml:space="preserve">es. </w:t>
      </w:r>
    </w:p>
    <w:p w:rsidR="001A26B0" w:rsidRDefault="00E33A99">
      <w:pPr>
        <w:pStyle w:val="Heading4"/>
        <w:rPr>
          <w:noProof/>
        </w:rPr>
      </w:pPr>
      <w:bookmarkStart w:id="224" w:name="_Toc496635611"/>
      <w:r>
        <w:rPr>
          <w:noProof/>
        </w:rPr>
        <w:t>Option TM_MIL: metric for setting the targets based on mileage weighting</w:t>
      </w:r>
      <w:bookmarkEnd w:id="224"/>
    </w:p>
    <w:p w:rsidR="001A26B0" w:rsidRDefault="00E33A99">
      <w:pPr>
        <w:spacing w:after="120"/>
        <w:rPr>
          <w:rFonts w:cs="Arial"/>
          <w:noProof/>
        </w:rPr>
      </w:pPr>
      <w:r>
        <w:rPr>
          <w:rFonts w:cs="Arial"/>
          <w:noProof/>
        </w:rPr>
        <w:t>Information on vehicle lifetime mileage was gathered in the context of two studies on behalf of the Commission. A first one</w:t>
      </w:r>
      <w:r>
        <w:rPr>
          <w:rStyle w:val="FootnoteReference"/>
          <w:rFonts w:cs="Arial"/>
          <w:noProof/>
        </w:rPr>
        <w:footnoteReference w:id="156"/>
      </w:r>
      <w:r>
        <w:rPr>
          <w:rFonts w:cs="Arial"/>
          <w:noProof/>
        </w:rPr>
        <w:t xml:space="preserve"> investigated differences in lifetime mileage between </w:t>
      </w:r>
      <w:r>
        <w:rPr>
          <w:rFonts w:cs="Arial"/>
          <w:noProof/>
        </w:rPr>
        <w:t>vehicle categories. A follow-up study</w:t>
      </w:r>
      <w:r>
        <w:rPr>
          <w:rStyle w:val="FootnoteReference"/>
          <w:rFonts w:cs="Arial"/>
          <w:noProof/>
        </w:rPr>
        <w:footnoteReference w:id="157"/>
      </w:r>
      <w:r>
        <w:rPr>
          <w:rFonts w:cs="Arial"/>
          <w:noProof/>
        </w:rPr>
        <w:t xml:space="preserve"> gathered additional data and analysed the total mileages of vehicles of different ages with the aim of describing how annual mileage varies and accumulates during the vehicle lifetime.</w:t>
      </w:r>
    </w:p>
    <w:p w:rsidR="001A26B0" w:rsidRDefault="00E33A99">
      <w:pPr>
        <w:spacing w:after="120"/>
        <w:rPr>
          <w:rFonts w:cs="Arial"/>
          <w:noProof/>
        </w:rPr>
      </w:pPr>
      <w:r>
        <w:rPr>
          <w:rFonts w:cs="Arial"/>
          <w:noProof/>
        </w:rPr>
        <w:t>It was found that diesel cars on</w:t>
      </w:r>
      <w:r>
        <w:rPr>
          <w:rFonts w:cs="Arial"/>
          <w:noProof/>
        </w:rPr>
        <w:t xml:space="preserve"> average run higher mileages than petrol cars, but no size-related differences in mileage were identified for vans.</w:t>
      </w:r>
    </w:p>
    <w:p w:rsidR="001A26B0" w:rsidRDefault="00E33A99">
      <w:pPr>
        <w:spacing w:after="120"/>
        <w:rPr>
          <w:rFonts w:cs="Arial"/>
          <w:noProof/>
        </w:rPr>
      </w:pPr>
      <w:r>
        <w:rPr>
          <w:rFonts w:cs="Arial"/>
          <w:noProof/>
        </w:rPr>
        <w:t>Introducing mileage-weighting when calculating the fleet-wide average emissions, by weighting the CO</w:t>
      </w:r>
      <w:r>
        <w:rPr>
          <w:rFonts w:cs="Arial"/>
          <w:noProof/>
          <w:vertAlign w:val="subscript"/>
        </w:rPr>
        <w:t>2</w:t>
      </w:r>
      <w:r>
        <w:rPr>
          <w:rFonts w:cs="Arial"/>
          <w:noProof/>
        </w:rPr>
        <w:t xml:space="preserve"> emissions of each type of car by the d</w:t>
      </w:r>
      <w:r>
        <w:rPr>
          <w:rFonts w:cs="Arial"/>
          <w:noProof/>
        </w:rPr>
        <w:t>istance typically travelled over its lifetime, would impose a proportionately more stringent target on larger and heavier vehicles. According to the findings of the study, this would in turn slightly reduce by 1.6-1.8% the overall fleet-wide cost of achiev</w:t>
      </w:r>
      <w:r>
        <w:rPr>
          <w:rFonts w:cs="Arial"/>
          <w:noProof/>
        </w:rPr>
        <w:t>ing the same CO</w:t>
      </w:r>
      <w:r>
        <w:rPr>
          <w:rFonts w:cs="Arial"/>
          <w:noProof/>
          <w:vertAlign w:val="subscript"/>
        </w:rPr>
        <w:t>2</w:t>
      </w:r>
      <w:r>
        <w:rPr>
          <w:rFonts w:cs="Arial"/>
          <w:noProof/>
        </w:rPr>
        <w:t xml:space="preserve"> reduction. </w:t>
      </w:r>
    </w:p>
    <w:p w:rsidR="001A26B0" w:rsidRDefault="00E33A99">
      <w:pPr>
        <w:spacing w:after="120"/>
        <w:rPr>
          <w:rFonts w:cs="Arial"/>
          <w:noProof/>
        </w:rPr>
      </w:pPr>
      <w:r>
        <w:rPr>
          <w:rFonts w:cs="Arial"/>
          <w:noProof/>
        </w:rPr>
        <w:t xml:space="preserve">A main challenge encountered during these studies was to find appropriately detailed data at Member State level and important data gaps remain in this respect. </w:t>
      </w:r>
    </w:p>
    <w:p w:rsidR="001A26B0" w:rsidRDefault="00E33A99">
      <w:pPr>
        <w:pStyle w:val="Text1"/>
        <w:spacing w:after="120"/>
        <w:ind w:left="0"/>
        <w:rPr>
          <w:noProof/>
        </w:rPr>
      </w:pPr>
      <w:r>
        <w:rPr>
          <w:rFonts w:cs="Arial"/>
          <w:noProof/>
        </w:rPr>
        <w:t>A more recent study</w:t>
      </w:r>
      <w:r>
        <w:rPr>
          <w:rStyle w:val="FootnoteReference"/>
          <w:rFonts w:cs="Arial"/>
          <w:noProof/>
        </w:rPr>
        <w:footnoteReference w:id="158"/>
      </w:r>
      <w:r>
        <w:rPr>
          <w:rFonts w:cs="Arial"/>
          <w:noProof/>
        </w:rPr>
        <w:t>, building on the aforementioned data, conclud</w:t>
      </w:r>
      <w:r>
        <w:rPr>
          <w:rFonts w:cs="Arial"/>
          <w:noProof/>
        </w:rPr>
        <w:t>ed that</w:t>
      </w:r>
      <w:r>
        <w:rPr>
          <w:noProof/>
          <w:lang w:eastAsia="nl-NL"/>
        </w:rPr>
        <w:t xml:space="preserve"> accounting for different lifetime mileages would have a relatively limited impact on the effectiveness, costs and competitiveness. Furthermore, it was highlighted that establishing robust and broadly agreeable mileage numbers for different vehicle </w:t>
      </w:r>
      <w:r>
        <w:rPr>
          <w:noProof/>
          <w:lang w:eastAsia="nl-NL"/>
        </w:rPr>
        <w:t xml:space="preserve">types and categories depending on the utility value or other characteristics would be very complicated. </w:t>
      </w:r>
    </w:p>
    <w:p w:rsidR="001A26B0" w:rsidRDefault="00E33A99">
      <w:pPr>
        <w:pStyle w:val="Text1"/>
        <w:spacing w:after="120"/>
        <w:ind w:left="0"/>
        <w:rPr>
          <w:noProof/>
        </w:rPr>
      </w:pPr>
      <w:r>
        <w:rPr>
          <w:noProof/>
        </w:rPr>
        <w:t>In light of the above, there are a number of uncertainties around the feasibility of establishing a robust mileage database to implement this option.</w:t>
      </w:r>
    </w:p>
    <w:p w:rsidR="001A26B0" w:rsidRDefault="00E33A99">
      <w:pPr>
        <w:pStyle w:val="Heading3"/>
        <w:spacing w:before="0"/>
        <w:rPr>
          <w:noProof/>
        </w:rPr>
      </w:pPr>
      <w:bookmarkStart w:id="225" w:name="_Ref491880540"/>
      <w:bookmarkStart w:id="226" w:name="_Ref491880796"/>
      <w:bookmarkStart w:id="227" w:name="_Ref491880807"/>
      <w:bookmarkStart w:id="228" w:name="_Ref491939009"/>
      <w:bookmarkStart w:id="229" w:name="_Toc496635612"/>
      <w:r>
        <w:rPr>
          <w:noProof/>
        </w:rPr>
        <w:t>Target levels for cars (TLC)</w:t>
      </w:r>
      <w:bookmarkEnd w:id="201"/>
      <w:bookmarkEnd w:id="202"/>
      <w:r>
        <w:rPr>
          <w:noProof/>
        </w:rPr>
        <w:t xml:space="preserve"> and vans (TLV)</w:t>
      </w:r>
      <w:bookmarkEnd w:id="225"/>
      <w:bookmarkEnd w:id="226"/>
      <w:bookmarkEnd w:id="227"/>
      <w:bookmarkEnd w:id="228"/>
      <w:bookmarkEnd w:id="229"/>
    </w:p>
    <w:p w:rsidR="001A26B0" w:rsidRDefault="00E33A99">
      <w:pPr>
        <w:pStyle w:val="Heading4"/>
        <w:rPr>
          <w:noProof/>
        </w:rPr>
      </w:pPr>
      <w:bookmarkStart w:id="230" w:name="_Ref495669428"/>
      <w:bookmarkStart w:id="231" w:name="_Toc496635613"/>
      <w:r>
        <w:rPr>
          <w:noProof/>
        </w:rPr>
        <w:t>Introduction</w:t>
      </w:r>
      <w:bookmarkEnd w:id="230"/>
      <w:bookmarkEnd w:id="231"/>
    </w:p>
    <w:p w:rsidR="001A26B0" w:rsidRDefault="00E33A99">
      <w:pPr>
        <w:spacing w:after="120"/>
        <w:rPr>
          <w:b/>
          <w:noProof/>
        </w:rPr>
      </w:pPr>
      <w:r>
        <w:rPr>
          <w:noProof/>
          <w:szCs w:val="24"/>
        </w:rPr>
        <w:t>As regards the CO</w:t>
      </w:r>
      <w:r>
        <w:rPr>
          <w:noProof/>
          <w:szCs w:val="24"/>
          <w:vertAlign w:val="subscript"/>
        </w:rPr>
        <w:t>2</w:t>
      </w:r>
      <w:r>
        <w:rPr>
          <w:noProof/>
          <w:szCs w:val="24"/>
        </w:rPr>
        <w:t xml:space="preserve"> emission performance of new passenger cars, due to the continuous overall improvement of car technologies some autonomous improvement is expected to occur under the baseline. On av</w:t>
      </w:r>
      <w:r>
        <w:rPr>
          <w:noProof/>
          <w:szCs w:val="24"/>
        </w:rPr>
        <w:t>erage, WLTP CO</w:t>
      </w:r>
      <w:r>
        <w:rPr>
          <w:noProof/>
          <w:szCs w:val="24"/>
          <w:vertAlign w:val="subscript"/>
        </w:rPr>
        <w:t>2</w:t>
      </w:r>
      <w:r>
        <w:rPr>
          <w:noProof/>
          <w:szCs w:val="24"/>
        </w:rPr>
        <w:t xml:space="preserve"> emissions in 2030 are estimated to be 14% lower than in 2021. For vans, a similar effect is seen, bringing down emission by 10% in 2030 compared to 2020. In fact, the improvements already captured in the baselines TLC0 and TLV0 are very sim</w:t>
      </w:r>
      <w:r>
        <w:rPr>
          <w:noProof/>
          <w:szCs w:val="24"/>
        </w:rPr>
        <w:t>ilar to the results of the options TLC10 and TLV10. Therefore, there is no need to consider the latter options further.</w:t>
      </w:r>
    </w:p>
    <w:p w:rsidR="001A26B0" w:rsidRDefault="00E33A99">
      <w:pPr>
        <w:spacing w:after="120"/>
        <w:rPr>
          <w:noProof/>
        </w:rPr>
      </w:pPr>
      <w:r>
        <w:rPr>
          <w:noProof/>
        </w:rPr>
        <w:fldChar w:fldCharType="begin"/>
      </w:r>
      <w:r>
        <w:rPr>
          <w:noProof/>
        </w:rPr>
        <w:instrText xml:space="preserve"> REF _Ref493669036 \h </w:instrText>
      </w:r>
      <w:r>
        <w:rPr>
          <w:noProof/>
        </w:rPr>
      </w:r>
      <w:r>
        <w:rPr>
          <w:noProof/>
        </w:rPr>
        <w:fldChar w:fldCharType="separate"/>
      </w:r>
      <w:r>
        <w:rPr>
          <w:noProof/>
        </w:rPr>
        <w:t>Table 6</w:t>
      </w:r>
      <w:r>
        <w:rPr>
          <w:noProof/>
        </w:rPr>
        <w:fldChar w:fldCharType="end"/>
      </w:r>
      <w:r>
        <w:rPr>
          <w:noProof/>
        </w:rPr>
        <w:t xml:space="preserve"> and </w:t>
      </w:r>
      <w:r>
        <w:rPr>
          <w:noProof/>
        </w:rPr>
        <w:fldChar w:fldCharType="begin"/>
      </w:r>
      <w:r>
        <w:rPr>
          <w:noProof/>
        </w:rPr>
        <w:instrText xml:space="preserve"> REF _Ref493772273 \h </w:instrText>
      </w:r>
      <w:r>
        <w:rPr>
          <w:noProof/>
        </w:rPr>
      </w:r>
      <w:r>
        <w:rPr>
          <w:noProof/>
        </w:rPr>
        <w:fldChar w:fldCharType="separate"/>
      </w:r>
      <w:r>
        <w:rPr>
          <w:noProof/>
          <w:szCs w:val="24"/>
        </w:rPr>
        <w:t>Figure 10</w:t>
      </w:r>
      <w:r>
        <w:rPr>
          <w:noProof/>
        </w:rPr>
        <w:fldChar w:fldCharType="end"/>
      </w:r>
      <w:r>
        <w:rPr>
          <w:noProof/>
        </w:rPr>
        <w:t xml:space="preserve"> show the impact of the remaining six target options on the composition of the EU-wide fleet for passenger cars in 2025 and 2030. </w:t>
      </w:r>
    </w:p>
    <w:p w:rsidR="001A26B0" w:rsidRDefault="00E33A99">
      <w:pPr>
        <w:spacing w:after="120"/>
        <w:rPr>
          <w:noProof/>
        </w:rPr>
      </w:pPr>
      <w:r>
        <w:rPr>
          <w:noProof/>
        </w:rPr>
        <w:t>At moderate target levels up to TLC30, the change in composit</w:t>
      </w:r>
      <w:r>
        <w:rPr>
          <w:noProof/>
        </w:rPr>
        <w:t>ion of the fleet will be rather gradual compared to the baseline. For instance, with a 30 % target the share of gasoline and diesel cars in 2030 will still make up almost three quarters of the total fleet, compared to slightly more than 80% in the baseline</w:t>
      </w:r>
      <w:r>
        <w:rPr>
          <w:noProof/>
        </w:rPr>
        <w:t>. Only at the higher target levels, the change would be more rapid. In the most ambitious scenario, the gasoline and diesel car share would decline to a little more than 55%.</w:t>
      </w:r>
    </w:p>
    <w:p w:rsidR="001A26B0" w:rsidRDefault="00E33A99">
      <w:pPr>
        <w:pStyle w:val="Caption"/>
        <w:rPr>
          <w:b w:val="0"/>
          <w:noProof/>
          <w:szCs w:val="24"/>
        </w:rPr>
      </w:pPr>
      <w:r>
        <w:rPr>
          <w:b w:val="0"/>
          <w:noProof/>
          <w:szCs w:val="24"/>
        </w:rPr>
        <w:t xml:space="preserve">It should be noted that for option TLC20 the new fleet composition results in an </w:t>
      </w:r>
      <w:r>
        <w:rPr>
          <w:b w:val="0"/>
          <w:noProof/>
          <w:szCs w:val="24"/>
        </w:rPr>
        <w:t>over-achievement of the CO</w:t>
      </w:r>
      <w:r>
        <w:rPr>
          <w:b w:val="0"/>
          <w:noProof/>
          <w:szCs w:val="24"/>
          <w:vertAlign w:val="subscript"/>
        </w:rPr>
        <w:t>2</w:t>
      </w:r>
      <w:r>
        <w:rPr>
          <w:b w:val="0"/>
          <w:noProof/>
          <w:szCs w:val="24"/>
        </w:rPr>
        <w:t xml:space="preserve"> target constraint. This is because for all policy options, the introduction of the CO</w:t>
      </w:r>
      <w:r>
        <w:rPr>
          <w:b w:val="0"/>
          <w:noProof/>
          <w:szCs w:val="24"/>
          <w:vertAlign w:val="subscript"/>
        </w:rPr>
        <w:t>2</w:t>
      </w:r>
      <w:r>
        <w:rPr>
          <w:b w:val="0"/>
          <w:noProof/>
          <w:szCs w:val="24"/>
        </w:rPr>
        <w:t xml:space="preserve"> target constraint is assessed in the context of the broader policy on low-emission mobility, i.e. in conjunction with enhanced availability o</w:t>
      </w:r>
      <w:r>
        <w:rPr>
          <w:b w:val="0"/>
          <w:noProof/>
          <w:szCs w:val="24"/>
        </w:rPr>
        <w:t xml:space="preserve">f recharging infrastructure and better user acceptance of advanced powertrains as higher mileage of EVs reduces range anxiety. </w:t>
      </w:r>
      <w:r>
        <w:rPr>
          <w:b w:val="0"/>
          <w:noProof/>
        </w:rPr>
        <w:t>These factors result in an enhanced up take of more advanced power trains. In combination with cost-beneficial improvements of IC</w:t>
      </w:r>
      <w:r>
        <w:rPr>
          <w:b w:val="0"/>
          <w:noProof/>
        </w:rPr>
        <w:t xml:space="preserve">EVs, this leads to a situation that the 20% target is somewhat overachieved. </w:t>
      </w:r>
      <w:r>
        <w:rPr>
          <w:b w:val="0"/>
          <w:noProof/>
          <w:szCs w:val="24"/>
        </w:rPr>
        <w:t>This effect is also illustrated in the results regarding final energy demand (section 6.3.2.2.1.4) and CO</w:t>
      </w:r>
      <w:r>
        <w:rPr>
          <w:b w:val="0"/>
          <w:noProof/>
          <w:szCs w:val="24"/>
          <w:vertAlign w:val="subscript"/>
        </w:rPr>
        <w:t>2</w:t>
      </w:r>
      <w:r>
        <w:rPr>
          <w:b w:val="0"/>
          <w:noProof/>
          <w:szCs w:val="24"/>
        </w:rPr>
        <w:t xml:space="preserve"> emission trends over time (section 6.3.2.4.1), where the TLC20 results a</w:t>
      </w:r>
      <w:r>
        <w:rPr>
          <w:b w:val="0"/>
          <w:noProof/>
          <w:szCs w:val="24"/>
        </w:rPr>
        <w:t xml:space="preserve">re somewhat optimistic, when comparing the different policy options.  </w:t>
      </w:r>
    </w:p>
    <w:p w:rsidR="001A26B0" w:rsidRDefault="00E33A99">
      <w:pPr>
        <w:pStyle w:val="Caption"/>
        <w:keepNext/>
        <w:rPr>
          <w:noProof/>
        </w:rPr>
      </w:pPr>
      <w:bookmarkStart w:id="232" w:name="_Ref493669036"/>
      <w:r>
        <w:rPr>
          <w:noProof/>
        </w:rPr>
        <w:t xml:space="preserve">Table </w:t>
      </w:r>
      <w:r>
        <w:rPr>
          <w:noProof/>
        </w:rPr>
        <w:fldChar w:fldCharType="begin"/>
      </w:r>
      <w:r>
        <w:rPr>
          <w:noProof/>
        </w:rPr>
        <w:instrText xml:space="preserve"> SEQ Table \* ARABIC </w:instrText>
      </w:r>
      <w:r>
        <w:rPr>
          <w:noProof/>
        </w:rPr>
        <w:fldChar w:fldCharType="separate"/>
      </w:r>
      <w:r>
        <w:rPr>
          <w:noProof/>
        </w:rPr>
        <w:t>6</w:t>
      </w:r>
      <w:r>
        <w:rPr>
          <w:noProof/>
        </w:rPr>
        <w:fldChar w:fldCharType="end"/>
      </w:r>
      <w:bookmarkEnd w:id="232"/>
      <w:r>
        <w:rPr>
          <w:noProof/>
        </w:rPr>
        <w:t xml:space="preserve">: Passenger car fleet powertrain composition (new cars) in 2025 and 2030 under different TLC options </w:t>
      </w:r>
    </w:p>
    <w:tbl>
      <w:tblPr>
        <w:tblStyle w:val="TableGrid"/>
        <w:tblW w:w="5000" w:type="pct"/>
        <w:tblLayout w:type="fixed"/>
        <w:tblLook w:val="04A0" w:firstRow="1" w:lastRow="0" w:firstColumn="1" w:lastColumn="0" w:noHBand="0" w:noVBand="1"/>
      </w:tblPr>
      <w:tblGrid>
        <w:gridCol w:w="1271"/>
        <w:gridCol w:w="752"/>
        <w:gridCol w:w="758"/>
        <w:gridCol w:w="756"/>
        <w:gridCol w:w="756"/>
        <w:gridCol w:w="756"/>
        <w:gridCol w:w="754"/>
        <w:gridCol w:w="756"/>
        <w:gridCol w:w="756"/>
        <w:gridCol w:w="758"/>
        <w:gridCol w:w="756"/>
      </w:tblGrid>
      <w:tr w:rsidR="001A26B0">
        <w:trPr>
          <w:trHeight w:val="289"/>
        </w:trPr>
        <w:tc>
          <w:tcPr>
            <w:tcW w:w="720" w:type="pct"/>
            <w:vMerge w:val="restart"/>
            <w:noWrap/>
            <w:vAlign w:val="center"/>
          </w:tcPr>
          <w:p w:rsidR="001A26B0" w:rsidRDefault="00E33A99">
            <w:pPr>
              <w:spacing w:after="120"/>
              <w:jc w:val="left"/>
              <w:rPr>
                <w:b/>
                <w:noProof/>
                <w:sz w:val="20"/>
              </w:rPr>
            </w:pPr>
            <w:r>
              <w:rPr>
                <w:b/>
                <w:noProof/>
                <w:sz w:val="22"/>
              </w:rPr>
              <w:t>2025</w:t>
            </w:r>
          </w:p>
        </w:tc>
        <w:tc>
          <w:tcPr>
            <w:tcW w:w="855" w:type="pct"/>
            <w:gridSpan w:val="2"/>
            <w:noWrap/>
          </w:tcPr>
          <w:p w:rsidR="001A26B0" w:rsidRDefault="00E33A99">
            <w:pPr>
              <w:spacing w:after="120"/>
              <w:jc w:val="center"/>
              <w:rPr>
                <w:noProof/>
                <w:sz w:val="20"/>
              </w:rPr>
            </w:pPr>
            <w:r>
              <w:rPr>
                <w:noProof/>
                <w:sz w:val="20"/>
              </w:rPr>
              <w:t>Gasoline</w:t>
            </w:r>
          </w:p>
        </w:tc>
        <w:tc>
          <w:tcPr>
            <w:tcW w:w="856" w:type="pct"/>
            <w:gridSpan w:val="2"/>
            <w:noWrap/>
          </w:tcPr>
          <w:p w:rsidR="001A26B0" w:rsidRDefault="00E33A99">
            <w:pPr>
              <w:spacing w:after="120"/>
              <w:jc w:val="center"/>
              <w:rPr>
                <w:noProof/>
                <w:sz w:val="20"/>
              </w:rPr>
            </w:pPr>
            <w:r>
              <w:rPr>
                <w:noProof/>
                <w:sz w:val="20"/>
              </w:rPr>
              <w:t>Diesel</w:t>
            </w:r>
          </w:p>
        </w:tc>
        <w:tc>
          <w:tcPr>
            <w:tcW w:w="428" w:type="pct"/>
            <w:vMerge w:val="restart"/>
            <w:noWrap/>
            <w:vAlign w:val="center"/>
          </w:tcPr>
          <w:p w:rsidR="001A26B0" w:rsidRDefault="00E33A99">
            <w:pPr>
              <w:spacing w:after="120"/>
              <w:jc w:val="center"/>
              <w:rPr>
                <w:noProof/>
                <w:sz w:val="20"/>
              </w:rPr>
            </w:pPr>
            <w:r>
              <w:rPr>
                <w:noProof/>
                <w:sz w:val="20"/>
              </w:rPr>
              <w:t>CNG</w:t>
            </w:r>
          </w:p>
        </w:tc>
        <w:tc>
          <w:tcPr>
            <w:tcW w:w="427" w:type="pct"/>
            <w:vMerge w:val="restart"/>
            <w:noWrap/>
            <w:vAlign w:val="center"/>
          </w:tcPr>
          <w:p w:rsidR="001A26B0" w:rsidRDefault="00E33A99">
            <w:pPr>
              <w:spacing w:after="120"/>
              <w:jc w:val="center"/>
              <w:rPr>
                <w:noProof/>
                <w:sz w:val="20"/>
              </w:rPr>
            </w:pPr>
            <w:r>
              <w:rPr>
                <w:noProof/>
                <w:sz w:val="20"/>
              </w:rPr>
              <w:t>LPG</w:t>
            </w:r>
          </w:p>
        </w:tc>
        <w:tc>
          <w:tcPr>
            <w:tcW w:w="428" w:type="pct"/>
            <w:vMerge w:val="restart"/>
            <w:noWrap/>
            <w:vAlign w:val="center"/>
          </w:tcPr>
          <w:p w:rsidR="001A26B0" w:rsidRDefault="00E33A99">
            <w:pPr>
              <w:spacing w:after="120"/>
              <w:jc w:val="center"/>
              <w:rPr>
                <w:noProof/>
                <w:sz w:val="20"/>
              </w:rPr>
            </w:pPr>
            <w:r>
              <w:rPr>
                <w:noProof/>
                <w:sz w:val="20"/>
              </w:rPr>
              <w:t>PHEV</w:t>
            </w:r>
          </w:p>
        </w:tc>
        <w:tc>
          <w:tcPr>
            <w:tcW w:w="428" w:type="pct"/>
            <w:vMerge w:val="restart"/>
            <w:noWrap/>
            <w:vAlign w:val="center"/>
          </w:tcPr>
          <w:p w:rsidR="001A26B0" w:rsidRDefault="00E33A99">
            <w:pPr>
              <w:spacing w:after="120"/>
              <w:jc w:val="center"/>
              <w:rPr>
                <w:noProof/>
                <w:sz w:val="20"/>
              </w:rPr>
            </w:pPr>
            <w:r>
              <w:rPr>
                <w:noProof/>
                <w:sz w:val="20"/>
              </w:rPr>
              <w:t>BEV</w:t>
            </w:r>
          </w:p>
        </w:tc>
        <w:tc>
          <w:tcPr>
            <w:tcW w:w="429" w:type="pct"/>
            <w:vMerge w:val="restart"/>
            <w:noWrap/>
            <w:vAlign w:val="center"/>
          </w:tcPr>
          <w:p w:rsidR="001A26B0" w:rsidRDefault="00E33A99">
            <w:pPr>
              <w:spacing w:after="120"/>
              <w:jc w:val="center"/>
              <w:rPr>
                <w:noProof/>
                <w:sz w:val="20"/>
              </w:rPr>
            </w:pPr>
            <w:r>
              <w:rPr>
                <w:noProof/>
                <w:sz w:val="20"/>
              </w:rPr>
              <w:t>FCEV</w:t>
            </w:r>
          </w:p>
        </w:tc>
        <w:tc>
          <w:tcPr>
            <w:tcW w:w="428" w:type="pct"/>
            <w:vMerge w:val="restart"/>
            <w:noWrap/>
            <w:vAlign w:val="center"/>
          </w:tcPr>
          <w:p w:rsidR="001A26B0" w:rsidRDefault="00E33A99">
            <w:pPr>
              <w:spacing w:after="120"/>
              <w:jc w:val="center"/>
              <w:rPr>
                <w:noProof/>
                <w:sz w:val="20"/>
              </w:rPr>
            </w:pPr>
            <w:r>
              <w:rPr>
                <w:noProof/>
                <w:sz w:val="20"/>
              </w:rPr>
              <w:t>Other</w:t>
            </w:r>
          </w:p>
        </w:tc>
      </w:tr>
      <w:tr w:rsidR="001A26B0">
        <w:trPr>
          <w:trHeight w:val="289"/>
        </w:trPr>
        <w:tc>
          <w:tcPr>
            <w:tcW w:w="720" w:type="pct"/>
            <w:vMerge/>
            <w:noWrap/>
          </w:tcPr>
          <w:p w:rsidR="001A26B0" w:rsidRDefault="001A26B0">
            <w:pPr>
              <w:spacing w:after="120"/>
              <w:rPr>
                <w:noProof/>
                <w:sz w:val="20"/>
              </w:rPr>
            </w:pPr>
          </w:p>
        </w:tc>
        <w:tc>
          <w:tcPr>
            <w:tcW w:w="426" w:type="pct"/>
            <w:noWrap/>
          </w:tcPr>
          <w:p w:rsidR="001A26B0" w:rsidRDefault="00E33A99">
            <w:pPr>
              <w:spacing w:after="120"/>
              <w:rPr>
                <w:noProof/>
                <w:sz w:val="20"/>
              </w:rPr>
            </w:pPr>
            <w:r>
              <w:rPr>
                <w:noProof/>
                <w:sz w:val="20"/>
              </w:rPr>
              <w:t>ICEV</w:t>
            </w:r>
          </w:p>
        </w:tc>
        <w:tc>
          <w:tcPr>
            <w:tcW w:w="429" w:type="pct"/>
            <w:noWrap/>
          </w:tcPr>
          <w:p w:rsidR="001A26B0" w:rsidRDefault="00E33A99">
            <w:pPr>
              <w:spacing w:after="120"/>
              <w:jc w:val="center"/>
              <w:rPr>
                <w:noProof/>
                <w:sz w:val="20"/>
              </w:rPr>
            </w:pPr>
            <w:r>
              <w:rPr>
                <w:noProof/>
                <w:sz w:val="20"/>
              </w:rPr>
              <w:t>HEV</w:t>
            </w:r>
          </w:p>
        </w:tc>
        <w:tc>
          <w:tcPr>
            <w:tcW w:w="428" w:type="pct"/>
            <w:noWrap/>
          </w:tcPr>
          <w:p w:rsidR="001A26B0" w:rsidRDefault="00E33A99">
            <w:pPr>
              <w:spacing w:after="120"/>
              <w:jc w:val="center"/>
              <w:rPr>
                <w:noProof/>
                <w:sz w:val="20"/>
              </w:rPr>
            </w:pPr>
            <w:r>
              <w:rPr>
                <w:noProof/>
                <w:sz w:val="20"/>
              </w:rPr>
              <w:t>ICEV</w:t>
            </w:r>
          </w:p>
        </w:tc>
        <w:tc>
          <w:tcPr>
            <w:tcW w:w="428" w:type="pct"/>
            <w:noWrap/>
          </w:tcPr>
          <w:p w:rsidR="001A26B0" w:rsidRDefault="00E33A99">
            <w:pPr>
              <w:spacing w:after="120"/>
              <w:rPr>
                <w:noProof/>
                <w:sz w:val="20"/>
              </w:rPr>
            </w:pPr>
            <w:r>
              <w:rPr>
                <w:noProof/>
                <w:sz w:val="20"/>
              </w:rPr>
              <w:t>HEV</w:t>
            </w:r>
          </w:p>
        </w:tc>
        <w:tc>
          <w:tcPr>
            <w:tcW w:w="428" w:type="pct"/>
            <w:vMerge/>
            <w:noWrap/>
          </w:tcPr>
          <w:p w:rsidR="001A26B0" w:rsidRDefault="001A26B0">
            <w:pPr>
              <w:spacing w:after="120"/>
              <w:jc w:val="center"/>
              <w:rPr>
                <w:noProof/>
                <w:sz w:val="20"/>
              </w:rPr>
            </w:pPr>
          </w:p>
        </w:tc>
        <w:tc>
          <w:tcPr>
            <w:tcW w:w="427" w:type="pct"/>
            <w:vMerge/>
            <w:noWrap/>
          </w:tcPr>
          <w:p w:rsidR="001A26B0" w:rsidRDefault="001A26B0">
            <w:pPr>
              <w:spacing w:after="120"/>
              <w:jc w:val="center"/>
              <w:rPr>
                <w:noProof/>
                <w:sz w:val="20"/>
              </w:rPr>
            </w:pPr>
          </w:p>
        </w:tc>
        <w:tc>
          <w:tcPr>
            <w:tcW w:w="428" w:type="pct"/>
            <w:vMerge/>
            <w:noWrap/>
          </w:tcPr>
          <w:p w:rsidR="001A26B0" w:rsidRDefault="001A26B0">
            <w:pPr>
              <w:spacing w:after="120"/>
              <w:jc w:val="center"/>
              <w:rPr>
                <w:noProof/>
                <w:sz w:val="20"/>
              </w:rPr>
            </w:pPr>
          </w:p>
        </w:tc>
        <w:tc>
          <w:tcPr>
            <w:tcW w:w="428" w:type="pct"/>
            <w:vMerge/>
            <w:noWrap/>
          </w:tcPr>
          <w:p w:rsidR="001A26B0" w:rsidRDefault="001A26B0">
            <w:pPr>
              <w:spacing w:after="120"/>
              <w:jc w:val="center"/>
              <w:rPr>
                <w:noProof/>
                <w:sz w:val="20"/>
              </w:rPr>
            </w:pPr>
          </w:p>
        </w:tc>
        <w:tc>
          <w:tcPr>
            <w:tcW w:w="429" w:type="pct"/>
            <w:vMerge/>
            <w:noWrap/>
          </w:tcPr>
          <w:p w:rsidR="001A26B0" w:rsidRDefault="001A26B0">
            <w:pPr>
              <w:spacing w:after="120"/>
              <w:jc w:val="center"/>
              <w:rPr>
                <w:noProof/>
                <w:sz w:val="20"/>
              </w:rPr>
            </w:pPr>
          </w:p>
        </w:tc>
        <w:tc>
          <w:tcPr>
            <w:tcW w:w="428" w:type="pct"/>
            <w:vMerge/>
            <w:noWrap/>
          </w:tcPr>
          <w:p w:rsidR="001A26B0" w:rsidRDefault="001A26B0">
            <w:pPr>
              <w:spacing w:after="120"/>
              <w:jc w:val="center"/>
              <w:rPr>
                <w:noProof/>
                <w:sz w:val="20"/>
              </w:rPr>
            </w:pPr>
          </w:p>
        </w:tc>
      </w:tr>
      <w:tr w:rsidR="001A26B0">
        <w:trPr>
          <w:trHeight w:val="289"/>
        </w:trPr>
        <w:tc>
          <w:tcPr>
            <w:tcW w:w="720" w:type="pct"/>
            <w:noWrap/>
            <w:hideMark/>
          </w:tcPr>
          <w:p w:rsidR="001A26B0" w:rsidRDefault="00E33A99">
            <w:pPr>
              <w:spacing w:after="120"/>
              <w:rPr>
                <w:noProof/>
                <w:sz w:val="20"/>
              </w:rPr>
            </w:pPr>
            <w:r>
              <w:rPr>
                <w:noProof/>
                <w:sz w:val="20"/>
              </w:rPr>
              <w:t xml:space="preserve">TLC0 </w:t>
            </w:r>
          </w:p>
        </w:tc>
        <w:tc>
          <w:tcPr>
            <w:tcW w:w="426" w:type="pct"/>
            <w:noWrap/>
          </w:tcPr>
          <w:p w:rsidR="001A26B0" w:rsidRDefault="00E33A99">
            <w:pPr>
              <w:spacing w:after="120"/>
              <w:jc w:val="right"/>
              <w:rPr>
                <w:noProof/>
                <w:sz w:val="20"/>
              </w:rPr>
            </w:pPr>
            <w:r>
              <w:rPr>
                <w:noProof/>
                <w:sz w:val="20"/>
              </w:rPr>
              <w:t>27.3%</w:t>
            </w:r>
          </w:p>
        </w:tc>
        <w:tc>
          <w:tcPr>
            <w:tcW w:w="429" w:type="pct"/>
            <w:noWrap/>
          </w:tcPr>
          <w:p w:rsidR="001A26B0" w:rsidRDefault="00E33A99">
            <w:pPr>
              <w:spacing w:after="120"/>
              <w:jc w:val="right"/>
              <w:rPr>
                <w:noProof/>
                <w:sz w:val="20"/>
              </w:rPr>
            </w:pPr>
            <w:r>
              <w:rPr>
                <w:noProof/>
                <w:sz w:val="20"/>
              </w:rPr>
              <w:t>13.6%</w:t>
            </w:r>
          </w:p>
        </w:tc>
        <w:tc>
          <w:tcPr>
            <w:tcW w:w="428" w:type="pct"/>
            <w:noWrap/>
          </w:tcPr>
          <w:p w:rsidR="001A26B0" w:rsidRDefault="00E33A99">
            <w:pPr>
              <w:spacing w:after="120"/>
              <w:jc w:val="right"/>
              <w:rPr>
                <w:noProof/>
                <w:sz w:val="20"/>
              </w:rPr>
            </w:pPr>
            <w:r>
              <w:rPr>
                <w:noProof/>
                <w:sz w:val="20"/>
              </w:rPr>
              <w:t>36.3%</w:t>
            </w:r>
          </w:p>
        </w:tc>
        <w:tc>
          <w:tcPr>
            <w:tcW w:w="428" w:type="pct"/>
            <w:noWrap/>
          </w:tcPr>
          <w:p w:rsidR="001A26B0" w:rsidRDefault="00E33A99">
            <w:pPr>
              <w:spacing w:after="120"/>
              <w:jc w:val="right"/>
              <w:rPr>
                <w:noProof/>
                <w:sz w:val="20"/>
              </w:rPr>
            </w:pPr>
            <w:r>
              <w:rPr>
                <w:noProof/>
                <w:sz w:val="20"/>
              </w:rPr>
              <w:t>9.8%</w:t>
            </w:r>
          </w:p>
        </w:tc>
        <w:tc>
          <w:tcPr>
            <w:tcW w:w="428" w:type="pct"/>
            <w:noWrap/>
          </w:tcPr>
          <w:p w:rsidR="001A26B0" w:rsidRDefault="00E33A99">
            <w:pPr>
              <w:spacing w:after="120"/>
              <w:jc w:val="right"/>
              <w:rPr>
                <w:noProof/>
                <w:sz w:val="20"/>
              </w:rPr>
            </w:pPr>
            <w:r>
              <w:rPr>
                <w:noProof/>
                <w:sz w:val="20"/>
              </w:rPr>
              <w:t>1.7%</w:t>
            </w:r>
          </w:p>
        </w:tc>
        <w:tc>
          <w:tcPr>
            <w:tcW w:w="427" w:type="pct"/>
            <w:noWrap/>
          </w:tcPr>
          <w:p w:rsidR="001A26B0" w:rsidRDefault="00E33A99">
            <w:pPr>
              <w:spacing w:after="120"/>
              <w:jc w:val="right"/>
              <w:rPr>
                <w:noProof/>
                <w:sz w:val="20"/>
              </w:rPr>
            </w:pPr>
            <w:r>
              <w:rPr>
                <w:noProof/>
                <w:sz w:val="20"/>
              </w:rPr>
              <w:t>3.3%</w:t>
            </w:r>
          </w:p>
        </w:tc>
        <w:tc>
          <w:tcPr>
            <w:tcW w:w="428" w:type="pct"/>
            <w:noWrap/>
          </w:tcPr>
          <w:p w:rsidR="001A26B0" w:rsidRDefault="00E33A99">
            <w:pPr>
              <w:spacing w:after="120"/>
              <w:jc w:val="right"/>
              <w:rPr>
                <w:noProof/>
                <w:sz w:val="20"/>
              </w:rPr>
            </w:pPr>
            <w:r>
              <w:rPr>
                <w:noProof/>
                <w:sz w:val="20"/>
              </w:rPr>
              <w:t>4.8%</w:t>
            </w:r>
          </w:p>
        </w:tc>
        <w:tc>
          <w:tcPr>
            <w:tcW w:w="428" w:type="pct"/>
            <w:noWrap/>
          </w:tcPr>
          <w:p w:rsidR="001A26B0" w:rsidRDefault="00E33A99">
            <w:pPr>
              <w:spacing w:after="120"/>
              <w:jc w:val="right"/>
              <w:rPr>
                <w:noProof/>
                <w:sz w:val="20"/>
              </w:rPr>
            </w:pPr>
            <w:r>
              <w:rPr>
                <w:noProof/>
                <w:sz w:val="20"/>
              </w:rPr>
              <w:t>2.4%</w:t>
            </w:r>
          </w:p>
        </w:tc>
        <w:tc>
          <w:tcPr>
            <w:tcW w:w="429" w:type="pct"/>
            <w:noWrap/>
          </w:tcPr>
          <w:p w:rsidR="001A26B0" w:rsidRDefault="00E33A99">
            <w:pPr>
              <w:spacing w:after="120"/>
              <w:jc w:val="right"/>
              <w:rPr>
                <w:noProof/>
                <w:sz w:val="20"/>
              </w:rPr>
            </w:pPr>
            <w:r>
              <w:rPr>
                <w:noProof/>
                <w:sz w:val="20"/>
              </w:rPr>
              <w:t>0.4%</w:t>
            </w:r>
          </w:p>
        </w:tc>
        <w:tc>
          <w:tcPr>
            <w:tcW w:w="428" w:type="pct"/>
            <w:noWrap/>
          </w:tcPr>
          <w:p w:rsidR="001A26B0" w:rsidRDefault="00E33A99">
            <w:pPr>
              <w:spacing w:after="120"/>
              <w:jc w:val="right"/>
              <w:rPr>
                <w:noProof/>
                <w:sz w:val="20"/>
              </w:rPr>
            </w:pPr>
            <w:r>
              <w:rPr>
                <w:noProof/>
                <w:sz w:val="20"/>
              </w:rPr>
              <w:t>0.3%</w:t>
            </w:r>
          </w:p>
        </w:tc>
      </w:tr>
      <w:tr w:rsidR="001A26B0">
        <w:trPr>
          <w:trHeight w:val="300"/>
        </w:trPr>
        <w:tc>
          <w:tcPr>
            <w:tcW w:w="720" w:type="pct"/>
            <w:noWrap/>
            <w:hideMark/>
          </w:tcPr>
          <w:p w:rsidR="001A26B0" w:rsidRDefault="00E33A99">
            <w:pPr>
              <w:spacing w:after="120"/>
              <w:rPr>
                <w:noProof/>
                <w:sz w:val="20"/>
              </w:rPr>
            </w:pPr>
            <w:r>
              <w:rPr>
                <w:noProof/>
                <w:sz w:val="20"/>
              </w:rPr>
              <w:t>TLC20</w:t>
            </w:r>
          </w:p>
        </w:tc>
        <w:tc>
          <w:tcPr>
            <w:tcW w:w="426" w:type="pct"/>
            <w:noWrap/>
          </w:tcPr>
          <w:p w:rsidR="001A26B0" w:rsidRDefault="00E33A99">
            <w:pPr>
              <w:spacing w:after="120"/>
              <w:jc w:val="right"/>
              <w:rPr>
                <w:noProof/>
                <w:sz w:val="20"/>
              </w:rPr>
            </w:pPr>
            <w:r>
              <w:rPr>
                <w:noProof/>
                <w:sz w:val="20"/>
              </w:rPr>
              <w:t>25.2%</w:t>
            </w:r>
          </w:p>
        </w:tc>
        <w:tc>
          <w:tcPr>
            <w:tcW w:w="429" w:type="pct"/>
            <w:noWrap/>
          </w:tcPr>
          <w:p w:rsidR="001A26B0" w:rsidRDefault="00E33A99">
            <w:pPr>
              <w:spacing w:after="120"/>
              <w:jc w:val="right"/>
              <w:rPr>
                <w:noProof/>
                <w:sz w:val="20"/>
              </w:rPr>
            </w:pPr>
            <w:r>
              <w:rPr>
                <w:noProof/>
                <w:sz w:val="20"/>
              </w:rPr>
              <w:t>13.8%</w:t>
            </w:r>
          </w:p>
        </w:tc>
        <w:tc>
          <w:tcPr>
            <w:tcW w:w="428" w:type="pct"/>
            <w:noWrap/>
          </w:tcPr>
          <w:p w:rsidR="001A26B0" w:rsidRDefault="00E33A99">
            <w:pPr>
              <w:spacing w:after="120"/>
              <w:jc w:val="right"/>
              <w:rPr>
                <w:noProof/>
                <w:sz w:val="20"/>
              </w:rPr>
            </w:pPr>
            <w:r>
              <w:rPr>
                <w:noProof/>
                <w:sz w:val="20"/>
              </w:rPr>
              <w:t>33.9%</w:t>
            </w:r>
          </w:p>
        </w:tc>
        <w:tc>
          <w:tcPr>
            <w:tcW w:w="428" w:type="pct"/>
            <w:noWrap/>
          </w:tcPr>
          <w:p w:rsidR="001A26B0" w:rsidRDefault="00E33A99">
            <w:pPr>
              <w:spacing w:after="120"/>
              <w:jc w:val="right"/>
              <w:rPr>
                <w:noProof/>
                <w:sz w:val="20"/>
              </w:rPr>
            </w:pPr>
            <w:r>
              <w:rPr>
                <w:noProof/>
                <w:sz w:val="20"/>
              </w:rPr>
              <w:t>9.6%</w:t>
            </w:r>
          </w:p>
        </w:tc>
        <w:tc>
          <w:tcPr>
            <w:tcW w:w="428" w:type="pct"/>
            <w:noWrap/>
          </w:tcPr>
          <w:p w:rsidR="001A26B0" w:rsidRDefault="00E33A99">
            <w:pPr>
              <w:spacing w:after="120"/>
              <w:jc w:val="right"/>
              <w:rPr>
                <w:noProof/>
                <w:sz w:val="20"/>
              </w:rPr>
            </w:pPr>
            <w:r>
              <w:rPr>
                <w:noProof/>
                <w:sz w:val="20"/>
              </w:rPr>
              <w:t>1.7%</w:t>
            </w:r>
          </w:p>
        </w:tc>
        <w:tc>
          <w:tcPr>
            <w:tcW w:w="427" w:type="pct"/>
            <w:noWrap/>
          </w:tcPr>
          <w:p w:rsidR="001A26B0" w:rsidRDefault="00E33A99">
            <w:pPr>
              <w:spacing w:after="120"/>
              <w:jc w:val="right"/>
              <w:rPr>
                <w:noProof/>
                <w:sz w:val="20"/>
              </w:rPr>
            </w:pPr>
            <w:r>
              <w:rPr>
                <w:noProof/>
                <w:sz w:val="20"/>
              </w:rPr>
              <w:t>3.5%</w:t>
            </w:r>
          </w:p>
        </w:tc>
        <w:tc>
          <w:tcPr>
            <w:tcW w:w="428" w:type="pct"/>
            <w:noWrap/>
          </w:tcPr>
          <w:p w:rsidR="001A26B0" w:rsidRDefault="00E33A99">
            <w:pPr>
              <w:spacing w:after="120"/>
              <w:jc w:val="right"/>
              <w:rPr>
                <w:noProof/>
                <w:sz w:val="20"/>
              </w:rPr>
            </w:pPr>
            <w:r>
              <w:rPr>
                <w:noProof/>
                <w:sz w:val="20"/>
              </w:rPr>
              <w:t>6.6%</w:t>
            </w:r>
          </w:p>
        </w:tc>
        <w:tc>
          <w:tcPr>
            <w:tcW w:w="428" w:type="pct"/>
            <w:noWrap/>
          </w:tcPr>
          <w:p w:rsidR="001A26B0" w:rsidRDefault="00E33A99">
            <w:pPr>
              <w:spacing w:after="120"/>
              <w:jc w:val="right"/>
              <w:rPr>
                <w:noProof/>
                <w:sz w:val="20"/>
              </w:rPr>
            </w:pPr>
            <w:r>
              <w:rPr>
                <w:noProof/>
                <w:sz w:val="20"/>
              </w:rPr>
              <w:t>4.1%</w:t>
            </w:r>
          </w:p>
        </w:tc>
        <w:tc>
          <w:tcPr>
            <w:tcW w:w="429" w:type="pct"/>
            <w:noWrap/>
          </w:tcPr>
          <w:p w:rsidR="001A26B0" w:rsidRDefault="00E33A99">
            <w:pPr>
              <w:spacing w:after="120"/>
              <w:jc w:val="right"/>
              <w:rPr>
                <w:noProof/>
                <w:sz w:val="20"/>
              </w:rPr>
            </w:pPr>
            <w:r>
              <w:rPr>
                <w:noProof/>
                <w:sz w:val="20"/>
              </w:rPr>
              <w:t>1.1%</w:t>
            </w:r>
          </w:p>
        </w:tc>
        <w:tc>
          <w:tcPr>
            <w:tcW w:w="428" w:type="pct"/>
            <w:noWrap/>
          </w:tcPr>
          <w:p w:rsidR="001A26B0" w:rsidRDefault="00E33A99">
            <w:pPr>
              <w:spacing w:after="120"/>
              <w:jc w:val="right"/>
              <w:rPr>
                <w:noProof/>
                <w:sz w:val="20"/>
              </w:rPr>
            </w:pPr>
            <w:r>
              <w:rPr>
                <w:noProof/>
                <w:sz w:val="20"/>
              </w:rPr>
              <w:t>0.5%</w:t>
            </w:r>
          </w:p>
        </w:tc>
      </w:tr>
      <w:tr w:rsidR="001A26B0">
        <w:trPr>
          <w:trHeight w:val="300"/>
        </w:trPr>
        <w:tc>
          <w:tcPr>
            <w:tcW w:w="720" w:type="pct"/>
            <w:noWrap/>
            <w:hideMark/>
          </w:tcPr>
          <w:p w:rsidR="001A26B0" w:rsidRDefault="00E33A99">
            <w:pPr>
              <w:spacing w:after="120"/>
              <w:rPr>
                <w:noProof/>
                <w:sz w:val="20"/>
              </w:rPr>
            </w:pPr>
            <w:r>
              <w:rPr>
                <w:noProof/>
                <w:sz w:val="20"/>
              </w:rPr>
              <w:t>TLC25</w:t>
            </w:r>
          </w:p>
        </w:tc>
        <w:tc>
          <w:tcPr>
            <w:tcW w:w="426" w:type="pct"/>
            <w:noWrap/>
          </w:tcPr>
          <w:p w:rsidR="001A26B0" w:rsidRDefault="00E33A99">
            <w:pPr>
              <w:spacing w:after="120"/>
              <w:jc w:val="right"/>
              <w:rPr>
                <w:noProof/>
                <w:sz w:val="20"/>
              </w:rPr>
            </w:pPr>
            <w:r>
              <w:rPr>
                <w:noProof/>
                <w:sz w:val="20"/>
              </w:rPr>
              <w:t>24.9%</w:t>
            </w:r>
          </w:p>
        </w:tc>
        <w:tc>
          <w:tcPr>
            <w:tcW w:w="429" w:type="pct"/>
            <w:noWrap/>
          </w:tcPr>
          <w:p w:rsidR="001A26B0" w:rsidRDefault="00E33A99">
            <w:pPr>
              <w:spacing w:after="120"/>
              <w:jc w:val="right"/>
              <w:rPr>
                <w:noProof/>
                <w:sz w:val="20"/>
              </w:rPr>
            </w:pPr>
            <w:r>
              <w:rPr>
                <w:noProof/>
                <w:sz w:val="20"/>
              </w:rPr>
              <w:t>13.8%</w:t>
            </w:r>
          </w:p>
        </w:tc>
        <w:tc>
          <w:tcPr>
            <w:tcW w:w="428" w:type="pct"/>
            <w:noWrap/>
          </w:tcPr>
          <w:p w:rsidR="001A26B0" w:rsidRDefault="00E33A99">
            <w:pPr>
              <w:spacing w:after="120"/>
              <w:jc w:val="right"/>
              <w:rPr>
                <w:noProof/>
                <w:sz w:val="20"/>
              </w:rPr>
            </w:pPr>
            <w:r>
              <w:rPr>
                <w:noProof/>
                <w:sz w:val="20"/>
              </w:rPr>
              <w:t>33.6%</w:t>
            </w:r>
          </w:p>
        </w:tc>
        <w:tc>
          <w:tcPr>
            <w:tcW w:w="428" w:type="pct"/>
            <w:noWrap/>
          </w:tcPr>
          <w:p w:rsidR="001A26B0" w:rsidRDefault="00E33A99">
            <w:pPr>
              <w:spacing w:after="120"/>
              <w:jc w:val="right"/>
              <w:rPr>
                <w:noProof/>
                <w:sz w:val="20"/>
              </w:rPr>
            </w:pPr>
            <w:r>
              <w:rPr>
                <w:noProof/>
                <w:sz w:val="20"/>
              </w:rPr>
              <w:t>9.7%</w:t>
            </w:r>
          </w:p>
        </w:tc>
        <w:tc>
          <w:tcPr>
            <w:tcW w:w="428" w:type="pct"/>
            <w:noWrap/>
          </w:tcPr>
          <w:p w:rsidR="001A26B0" w:rsidRDefault="00E33A99">
            <w:pPr>
              <w:spacing w:after="120"/>
              <w:jc w:val="right"/>
              <w:rPr>
                <w:noProof/>
                <w:sz w:val="20"/>
              </w:rPr>
            </w:pPr>
            <w:r>
              <w:rPr>
                <w:noProof/>
                <w:sz w:val="20"/>
              </w:rPr>
              <w:t>1.7%</w:t>
            </w:r>
          </w:p>
        </w:tc>
        <w:tc>
          <w:tcPr>
            <w:tcW w:w="427" w:type="pct"/>
            <w:noWrap/>
          </w:tcPr>
          <w:p w:rsidR="001A26B0" w:rsidRDefault="00E33A99">
            <w:pPr>
              <w:spacing w:after="120"/>
              <w:jc w:val="right"/>
              <w:rPr>
                <w:noProof/>
                <w:sz w:val="20"/>
              </w:rPr>
            </w:pPr>
            <w:r>
              <w:rPr>
                <w:noProof/>
                <w:sz w:val="20"/>
              </w:rPr>
              <w:t>3.5%</w:t>
            </w:r>
          </w:p>
        </w:tc>
        <w:tc>
          <w:tcPr>
            <w:tcW w:w="428" w:type="pct"/>
            <w:noWrap/>
          </w:tcPr>
          <w:p w:rsidR="001A26B0" w:rsidRDefault="00E33A99">
            <w:pPr>
              <w:spacing w:after="120"/>
              <w:jc w:val="right"/>
              <w:rPr>
                <w:noProof/>
                <w:sz w:val="20"/>
              </w:rPr>
            </w:pPr>
            <w:r>
              <w:rPr>
                <w:noProof/>
                <w:sz w:val="20"/>
              </w:rPr>
              <w:t>6.9%</w:t>
            </w:r>
          </w:p>
        </w:tc>
        <w:tc>
          <w:tcPr>
            <w:tcW w:w="428" w:type="pct"/>
            <w:noWrap/>
          </w:tcPr>
          <w:p w:rsidR="001A26B0" w:rsidRDefault="00E33A99">
            <w:pPr>
              <w:spacing w:after="120"/>
              <w:jc w:val="right"/>
              <w:rPr>
                <w:noProof/>
                <w:sz w:val="20"/>
              </w:rPr>
            </w:pPr>
            <w:r>
              <w:rPr>
                <w:noProof/>
                <w:sz w:val="20"/>
              </w:rPr>
              <w:t>4.3%</w:t>
            </w:r>
          </w:p>
        </w:tc>
        <w:tc>
          <w:tcPr>
            <w:tcW w:w="429" w:type="pct"/>
            <w:noWrap/>
          </w:tcPr>
          <w:p w:rsidR="001A26B0" w:rsidRDefault="00E33A99">
            <w:pPr>
              <w:spacing w:after="120"/>
              <w:jc w:val="right"/>
              <w:rPr>
                <w:noProof/>
                <w:sz w:val="20"/>
              </w:rPr>
            </w:pPr>
            <w:r>
              <w:rPr>
                <w:noProof/>
                <w:sz w:val="20"/>
              </w:rPr>
              <w:t>1.1%</w:t>
            </w:r>
          </w:p>
        </w:tc>
        <w:tc>
          <w:tcPr>
            <w:tcW w:w="428" w:type="pct"/>
            <w:noWrap/>
          </w:tcPr>
          <w:p w:rsidR="001A26B0" w:rsidRDefault="00E33A99">
            <w:pPr>
              <w:spacing w:after="120"/>
              <w:jc w:val="right"/>
              <w:rPr>
                <w:noProof/>
                <w:sz w:val="20"/>
              </w:rPr>
            </w:pPr>
            <w:r>
              <w:rPr>
                <w:noProof/>
                <w:sz w:val="20"/>
              </w:rPr>
              <w:t>0.6%</w:t>
            </w:r>
          </w:p>
        </w:tc>
      </w:tr>
      <w:tr w:rsidR="001A26B0">
        <w:trPr>
          <w:trHeight w:val="300"/>
        </w:trPr>
        <w:tc>
          <w:tcPr>
            <w:tcW w:w="720" w:type="pct"/>
            <w:noWrap/>
            <w:hideMark/>
          </w:tcPr>
          <w:p w:rsidR="001A26B0" w:rsidRDefault="00E33A99">
            <w:pPr>
              <w:spacing w:after="120"/>
              <w:rPr>
                <w:noProof/>
                <w:sz w:val="20"/>
              </w:rPr>
            </w:pPr>
            <w:r>
              <w:rPr>
                <w:noProof/>
                <w:sz w:val="20"/>
              </w:rPr>
              <w:t>TLC30</w:t>
            </w:r>
          </w:p>
        </w:tc>
        <w:tc>
          <w:tcPr>
            <w:tcW w:w="426" w:type="pct"/>
            <w:noWrap/>
          </w:tcPr>
          <w:p w:rsidR="001A26B0" w:rsidRDefault="00E33A99">
            <w:pPr>
              <w:spacing w:after="120"/>
              <w:jc w:val="right"/>
              <w:rPr>
                <w:noProof/>
                <w:sz w:val="20"/>
              </w:rPr>
            </w:pPr>
            <w:r>
              <w:rPr>
                <w:noProof/>
                <w:sz w:val="20"/>
              </w:rPr>
              <w:t>24.6%</w:t>
            </w:r>
          </w:p>
        </w:tc>
        <w:tc>
          <w:tcPr>
            <w:tcW w:w="429" w:type="pct"/>
            <w:noWrap/>
          </w:tcPr>
          <w:p w:rsidR="001A26B0" w:rsidRDefault="00E33A99">
            <w:pPr>
              <w:spacing w:after="120"/>
              <w:jc w:val="right"/>
              <w:rPr>
                <w:noProof/>
                <w:sz w:val="20"/>
              </w:rPr>
            </w:pPr>
            <w:r>
              <w:rPr>
                <w:noProof/>
                <w:sz w:val="20"/>
              </w:rPr>
              <w:t>13.8%</w:t>
            </w:r>
          </w:p>
        </w:tc>
        <w:tc>
          <w:tcPr>
            <w:tcW w:w="428" w:type="pct"/>
            <w:noWrap/>
          </w:tcPr>
          <w:p w:rsidR="001A26B0" w:rsidRDefault="00E33A99">
            <w:pPr>
              <w:spacing w:after="120"/>
              <w:jc w:val="right"/>
              <w:rPr>
                <w:noProof/>
                <w:sz w:val="20"/>
              </w:rPr>
            </w:pPr>
            <w:r>
              <w:rPr>
                <w:noProof/>
                <w:sz w:val="20"/>
              </w:rPr>
              <w:t>33.2%</w:t>
            </w:r>
          </w:p>
        </w:tc>
        <w:tc>
          <w:tcPr>
            <w:tcW w:w="428" w:type="pct"/>
            <w:noWrap/>
          </w:tcPr>
          <w:p w:rsidR="001A26B0" w:rsidRDefault="00E33A99">
            <w:pPr>
              <w:spacing w:after="120"/>
              <w:jc w:val="right"/>
              <w:rPr>
                <w:noProof/>
                <w:sz w:val="20"/>
              </w:rPr>
            </w:pPr>
            <w:r>
              <w:rPr>
                <w:noProof/>
                <w:sz w:val="20"/>
              </w:rPr>
              <w:t>9.8%</w:t>
            </w:r>
          </w:p>
        </w:tc>
        <w:tc>
          <w:tcPr>
            <w:tcW w:w="428" w:type="pct"/>
            <w:noWrap/>
          </w:tcPr>
          <w:p w:rsidR="001A26B0" w:rsidRDefault="00E33A99">
            <w:pPr>
              <w:spacing w:after="120"/>
              <w:jc w:val="right"/>
              <w:rPr>
                <w:noProof/>
                <w:sz w:val="20"/>
              </w:rPr>
            </w:pPr>
            <w:r>
              <w:rPr>
                <w:noProof/>
                <w:sz w:val="20"/>
              </w:rPr>
              <w:t>1.6%</w:t>
            </w:r>
          </w:p>
        </w:tc>
        <w:tc>
          <w:tcPr>
            <w:tcW w:w="427" w:type="pct"/>
            <w:noWrap/>
          </w:tcPr>
          <w:p w:rsidR="001A26B0" w:rsidRDefault="00E33A99">
            <w:pPr>
              <w:spacing w:after="120"/>
              <w:jc w:val="right"/>
              <w:rPr>
                <w:noProof/>
                <w:sz w:val="20"/>
              </w:rPr>
            </w:pPr>
            <w:r>
              <w:rPr>
                <w:noProof/>
                <w:sz w:val="20"/>
              </w:rPr>
              <w:t>3.6%</w:t>
            </w:r>
          </w:p>
        </w:tc>
        <w:tc>
          <w:tcPr>
            <w:tcW w:w="428" w:type="pct"/>
            <w:noWrap/>
          </w:tcPr>
          <w:p w:rsidR="001A26B0" w:rsidRDefault="00E33A99">
            <w:pPr>
              <w:spacing w:after="120"/>
              <w:jc w:val="right"/>
              <w:rPr>
                <w:noProof/>
                <w:sz w:val="20"/>
              </w:rPr>
            </w:pPr>
            <w:r>
              <w:rPr>
                <w:noProof/>
                <w:sz w:val="20"/>
              </w:rPr>
              <w:t>7.2%</w:t>
            </w:r>
          </w:p>
        </w:tc>
        <w:tc>
          <w:tcPr>
            <w:tcW w:w="428" w:type="pct"/>
            <w:noWrap/>
          </w:tcPr>
          <w:p w:rsidR="001A26B0" w:rsidRDefault="00E33A99">
            <w:pPr>
              <w:spacing w:after="120"/>
              <w:jc w:val="right"/>
              <w:rPr>
                <w:noProof/>
                <w:sz w:val="20"/>
              </w:rPr>
            </w:pPr>
            <w:r>
              <w:rPr>
                <w:noProof/>
                <w:sz w:val="20"/>
              </w:rPr>
              <w:t>4.4%</w:t>
            </w:r>
          </w:p>
        </w:tc>
        <w:tc>
          <w:tcPr>
            <w:tcW w:w="429" w:type="pct"/>
            <w:noWrap/>
          </w:tcPr>
          <w:p w:rsidR="001A26B0" w:rsidRDefault="00E33A99">
            <w:pPr>
              <w:spacing w:after="120"/>
              <w:jc w:val="right"/>
              <w:rPr>
                <w:noProof/>
                <w:sz w:val="20"/>
              </w:rPr>
            </w:pPr>
            <w:r>
              <w:rPr>
                <w:noProof/>
                <w:sz w:val="20"/>
              </w:rPr>
              <w:t>1.2%</w:t>
            </w:r>
          </w:p>
        </w:tc>
        <w:tc>
          <w:tcPr>
            <w:tcW w:w="428" w:type="pct"/>
            <w:noWrap/>
          </w:tcPr>
          <w:p w:rsidR="001A26B0" w:rsidRDefault="00E33A99">
            <w:pPr>
              <w:spacing w:after="120"/>
              <w:jc w:val="right"/>
              <w:rPr>
                <w:noProof/>
                <w:sz w:val="20"/>
              </w:rPr>
            </w:pPr>
            <w:r>
              <w:rPr>
                <w:noProof/>
                <w:sz w:val="20"/>
              </w:rPr>
              <w:t>0.6%</w:t>
            </w:r>
          </w:p>
        </w:tc>
      </w:tr>
      <w:tr w:rsidR="001A26B0">
        <w:trPr>
          <w:trHeight w:val="300"/>
        </w:trPr>
        <w:tc>
          <w:tcPr>
            <w:tcW w:w="720" w:type="pct"/>
            <w:noWrap/>
            <w:hideMark/>
          </w:tcPr>
          <w:p w:rsidR="001A26B0" w:rsidRDefault="00E33A99">
            <w:pPr>
              <w:spacing w:after="120"/>
              <w:rPr>
                <w:noProof/>
                <w:sz w:val="20"/>
              </w:rPr>
            </w:pPr>
            <w:r>
              <w:rPr>
                <w:noProof/>
                <w:sz w:val="20"/>
              </w:rPr>
              <w:t>TLC40</w:t>
            </w:r>
          </w:p>
        </w:tc>
        <w:tc>
          <w:tcPr>
            <w:tcW w:w="426" w:type="pct"/>
            <w:noWrap/>
          </w:tcPr>
          <w:p w:rsidR="001A26B0" w:rsidRDefault="00E33A99">
            <w:pPr>
              <w:spacing w:after="120"/>
              <w:jc w:val="right"/>
              <w:rPr>
                <w:noProof/>
                <w:sz w:val="20"/>
              </w:rPr>
            </w:pPr>
            <w:r>
              <w:rPr>
                <w:noProof/>
                <w:sz w:val="20"/>
              </w:rPr>
              <w:t>22.4%</w:t>
            </w:r>
          </w:p>
        </w:tc>
        <w:tc>
          <w:tcPr>
            <w:tcW w:w="429" w:type="pct"/>
            <w:noWrap/>
          </w:tcPr>
          <w:p w:rsidR="001A26B0" w:rsidRDefault="00E33A99">
            <w:pPr>
              <w:spacing w:after="120"/>
              <w:jc w:val="right"/>
              <w:rPr>
                <w:noProof/>
                <w:sz w:val="20"/>
              </w:rPr>
            </w:pPr>
            <w:r>
              <w:rPr>
                <w:noProof/>
                <w:sz w:val="20"/>
              </w:rPr>
              <w:t>14.1%</w:t>
            </w:r>
          </w:p>
        </w:tc>
        <w:tc>
          <w:tcPr>
            <w:tcW w:w="428" w:type="pct"/>
            <w:noWrap/>
          </w:tcPr>
          <w:p w:rsidR="001A26B0" w:rsidRDefault="00E33A99">
            <w:pPr>
              <w:spacing w:after="120"/>
              <w:jc w:val="right"/>
              <w:rPr>
                <w:noProof/>
                <w:sz w:val="20"/>
              </w:rPr>
            </w:pPr>
            <w:r>
              <w:rPr>
                <w:noProof/>
                <w:sz w:val="20"/>
              </w:rPr>
              <w:t>31.6%</w:t>
            </w:r>
          </w:p>
        </w:tc>
        <w:tc>
          <w:tcPr>
            <w:tcW w:w="428" w:type="pct"/>
            <w:noWrap/>
          </w:tcPr>
          <w:p w:rsidR="001A26B0" w:rsidRDefault="00E33A99">
            <w:pPr>
              <w:spacing w:after="120"/>
              <w:jc w:val="right"/>
              <w:rPr>
                <w:noProof/>
                <w:sz w:val="20"/>
              </w:rPr>
            </w:pPr>
            <w:r>
              <w:rPr>
                <w:noProof/>
                <w:sz w:val="20"/>
              </w:rPr>
              <w:t>9.8%</w:t>
            </w:r>
          </w:p>
        </w:tc>
        <w:tc>
          <w:tcPr>
            <w:tcW w:w="428" w:type="pct"/>
            <w:noWrap/>
          </w:tcPr>
          <w:p w:rsidR="001A26B0" w:rsidRDefault="00E33A99">
            <w:pPr>
              <w:spacing w:after="120"/>
              <w:jc w:val="right"/>
              <w:rPr>
                <w:noProof/>
                <w:sz w:val="20"/>
              </w:rPr>
            </w:pPr>
            <w:r>
              <w:rPr>
                <w:noProof/>
                <w:sz w:val="20"/>
              </w:rPr>
              <w:t>1.6%</w:t>
            </w:r>
          </w:p>
        </w:tc>
        <w:tc>
          <w:tcPr>
            <w:tcW w:w="427" w:type="pct"/>
            <w:noWrap/>
          </w:tcPr>
          <w:p w:rsidR="001A26B0" w:rsidRDefault="00E33A99">
            <w:pPr>
              <w:spacing w:after="120"/>
              <w:jc w:val="right"/>
              <w:rPr>
                <w:noProof/>
                <w:sz w:val="20"/>
              </w:rPr>
            </w:pPr>
            <w:r>
              <w:rPr>
                <w:noProof/>
                <w:sz w:val="20"/>
              </w:rPr>
              <w:t>3.8%</w:t>
            </w:r>
          </w:p>
        </w:tc>
        <w:tc>
          <w:tcPr>
            <w:tcW w:w="428" w:type="pct"/>
            <w:noWrap/>
          </w:tcPr>
          <w:p w:rsidR="001A26B0" w:rsidRDefault="00E33A99">
            <w:pPr>
              <w:spacing w:after="120"/>
              <w:jc w:val="right"/>
              <w:rPr>
                <w:noProof/>
                <w:sz w:val="20"/>
              </w:rPr>
            </w:pPr>
            <w:r>
              <w:rPr>
                <w:noProof/>
                <w:sz w:val="20"/>
              </w:rPr>
              <w:t>9.1%</w:t>
            </w:r>
          </w:p>
        </w:tc>
        <w:tc>
          <w:tcPr>
            <w:tcW w:w="428" w:type="pct"/>
            <w:noWrap/>
          </w:tcPr>
          <w:p w:rsidR="001A26B0" w:rsidRDefault="00E33A99">
            <w:pPr>
              <w:spacing w:after="120"/>
              <w:jc w:val="right"/>
              <w:rPr>
                <w:noProof/>
                <w:sz w:val="20"/>
              </w:rPr>
            </w:pPr>
            <w:r>
              <w:rPr>
                <w:noProof/>
                <w:sz w:val="20"/>
              </w:rPr>
              <w:t>5.4%</w:t>
            </w:r>
          </w:p>
        </w:tc>
        <w:tc>
          <w:tcPr>
            <w:tcW w:w="429" w:type="pct"/>
            <w:noWrap/>
          </w:tcPr>
          <w:p w:rsidR="001A26B0" w:rsidRDefault="00E33A99">
            <w:pPr>
              <w:spacing w:after="120"/>
              <w:jc w:val="right"/>
              <w:rPr>
                <w:noProof/>
                <w:sz w:val="20"/>
              </w:rPr>
            </w:pPr>
            <w:r>
              <w:rPr>
                <w:noProof/>
                <w:sz w:val="20"/>
              </w:rPr>
              <w:t>1.5%</w:t>
            </w:r>
          </w:p>
        </w:tc>
        <w:tc>
          <w:tcPr>
            <w:tcW w:w="428" w:type="pct"/>
            <w:noWrap/>
          </w:tcPr>
          <w:p w:rsidR="001A26B0" w:rsidRDefault="00E33A99">
            <w:pPr>
              <w:spacing w:after="120"/>
              <w:jc w:val="right"/>
              <w:rPr>
                <w:noProof/>
                <w:sz w:val="20"/>
              </w:rPr>
            </w:pPr>
            <w:r>
              <w:rPr>
                <w:noProof/>
                <w:sz w:val="20"/>
              </w:rPr>
              <w:t>0.7%</w:t>
            </w:r>
          </w:p>
        </w:tc>
      </w:tr>
      <w:tr w:rsidR="001A26B0">
        <w:trPr>
          <w:trHeight w:val="300"/>
        </w:trPr>
        <w:tc>
          <w:tcPr>
            <w:tcW w:w="720" w:type="pct"/>
            <w:noWrap/>
            <w:hideMark/>
          </w:tcPr>
          <w:p w:rsidR="001A26B0" w:rsidRDefault="00E33A99">
            <w:pPr>
              <w:spacing w:after="120"/>
              <w:rPr>
                <w:noProof/>
                <w:sz w:val="20"/>
              </w:rPr>
            </w:pPr>
            <w:r>
              <w:rPr>
                <w:noProof/>
                <w:sz w:val="20"/>
              </w:rPr>
              <w:t>TLC_EP40</w:t>
            </w:r>
          </w:p>
        </w:tc>
        <w:tc>
          <w:tcPr>
            <w:tcW w:w="426" w:type="pct"/>
            <w:noWrap/>
          </w:tcPr>
          <w:p w:rsidR="001A26B0" w:rsidRDefault="00E33A99">
            <w:pPr>
              <w:spacing w:after="120"/>
              <w:jc w:val="right"/>
              <w:rPr>
                <w:noProof/>
                <w:sz w:val="20"/>
              </w:rPr>
            </w:pPr>
            <w:r>
              <w:rPr>
                <w:noProof/>
                <w:sz w:val="20"/>
              </w:rPr>
              <w:t>20.1%</w:t>
            </w:r>
          </w:p>
        </w:tc>
        <w:tc>
          <w:tcPr>
            <w:tcW w:w="429" w:type="pct"/>
            <w:noWrap/>
          </w:tcPr>
          <w:p w:rsidR="001A26B0" w:rsidRDefault="00E33A99">
            <w:pPr>
              <w:spacing w:after="120"/>
              <w:jc w:val="right"/>
              <w:rPr>
                <w:noProof/>
                <w:sz w:val="20"/>
              </w:rPr>
            </w:pPr>
            <w:r>
              <w:rPr>
                <w:noProof/>
                <w:sz w:val="20"/>
              </w:rPr>
              <w:t>14.1%</w:t>
            </w:r>
          </w:p>
        </w:tc>
        <w:tc>
          <w:tcPr>
            <w:tcW w:w="428" w:type="pct"/>
            <w:noWrap/>
          </w:tcPr>
          <w:p w:rsidR="001A26B0" w:rsidRDefault="00E33A99">
            <w:pPr>
              <w:spacing w:after="120"/>
              <w:jc w:val="right"/>
              <w:rPr>
                <w:noProof/>
                <w:sz w:val="20"/>
              </w:rPr>
            </w:pPr>
            <w:r>
              <w:rPr>
                <w:noProof/>
                <w:sz w:val="20"/>
              </w:rPr>
              <w:t>30.0%</w:t>
            </w:r>
          </w:p>
        </w:tc>
        <w:tc>
          <w:tcPr>
            <w:tcW w:w="428" w:type="pct"/>
            <w:noWrap/>
          </w:tcPr>
          <w:p w:rsidR="001A26B0" w:rsidRDefault="00E33A99">
            <w:pPr>
              <w:spacing w:after="120"/>
              <w:jc w:val="right"/>
              <w:rPr>
                <w:noProof/>
                <w:sz w:val="20"/>
              </w:rPr>
            </w:pPr>
            <w:r>
              <w:rPr>
                <w:noProof/>
                <w:sz w:val="20"/>
              </w:rPr>
              <w:t>10.5%</w:t>
            </w:r>
          </w:p>
        </w:tc>
        <w:tc>
          <w:tcPr>
            <w:tcW w:w="428" w:type="pct"/>
            <w:noWrap/>
          </w:tcPr>
          <w:p w:rsidR="001A26B0" w:rsidRDefault="00E33A99">
            <w:pPr>
              <w:spacing w:after="120"/>
              <w:jc w:val="right"/>
              <w:rPr>
                <w:noProof/>
                <w:sz w:val="20"/>
              </w:rPr>
            </w:pPr>
            <w:r>
              <w:rPr>
                <w:noProof/>
                <w:sz w:val="20"/>
              </w:rPr>
              <w:t>1.5%</w:t>
            </w:r>
          </w:p>
        </w:tc>
        <w:tc>
          <w:tcPr>
            <w:tcW w:w="427" w:type="pct"/>
            <w:noWrap/>
          </w:tcPr>
          <w:p w:rsidR="001A26B0" w:rsidRDefault="00E33A99">
            <w:pPr>
              <w:spacing w:after="120"/>
              <w:jc w:val="right"/>
              <w:rPr>
                <w:noProof/>
                <w:sz w:val="20"/>
              </w:rPr>
            </w:pPr>
            <w:r>
              <w:rPr>
                <w:noProof/>
                <w:sz w:val="20"/>
              </w:rPr>
              <w:t>4.3%</w:t>
            </w:r>
          </w:p>
        </w:tc>
        <w:tc>
          <w:tcPr>
            <w:tcW w:w="428" w:type="pct"/>
            <w:noWrap/>
          </w:tcPr>
          <w:p w:rsidR="001A26B0" w:rsidRDefault="00E33A99">
            <w:pPr>
              <w:spacing w:after="120"/>
              <w:jc w:val="right"/>
              <w:rPr>
                <w:noProof/>
                <w:sz w:val="20"/>
              </w:rPr>
            </w:pPr>
            <w:r>
              <w:rPr>
                <w:noProof/>
                <w:sz w:val="20"/>
              </w:rPr>
              <w:t>10.7%</w:t>
            </w:r>
          </w:p>
        </w:tc>
        <w:tc>
          <w:tcPr>
            <w:tcW w:w="428" w:type="pct"/>
            <w:noWrap/>
          </w:tcPr>
          <w:p w:rsidR="001A26B0" w:rsidRDefault="00E33A99">
            <w:pPr>
              <w:spacing w:after="120"/>
              <w:jc w:val="right"/>
              <w:rPr>
                <w:noProof/>
                <w:sz w:val="20"/>
              </w:rPr>
            </w:pPr>
            <w:r>
              <w:rPr>
                <w:noProof/>
                <w:sz w:val="20"/>
              </w:rPr>
              <w:t>6.3%</w:t>
            </w:r>
          </w:p>
        </w:tc>
        <w:tc>
          <w:tcPr>
            <w:tcW w:w="429" w:type="pct"/>
            <w:noWrap/>
          </w:tcPr>
          <w:p w:rsidR="001A26B0" w:rsidRDefault="00E33A99">
            <w:pPr>
              <w:spacing w:after="120"/>
              <w:jc w:val="right"/>
              <w:rPr>
                <w:noProof/>
                <w:sz w:val="20"/>
              </w:rPr>
            </w:pPr>
            <w:r>
              <w:rPr>
                <w:noProof/>
                <w:sz w:val="20"/>
              </w:rPr>
              <w:t>1.7%</w:t>
            </w:r>
          </w:p>
        </w:tc>
        <w:tc>
          <w:tcPr>
            <w:tcW w:w="428" w:type="pct"/>
            <w:noWrap/>
          </w:tcPr>
          <w:p w:rsidR="001A26B0" w:rsidRDefault="00E33A99">
            <w:pPr>
              <w:spacing w:after="120"/>
              <w:jc w:val="right"/>
              <w:rPr>
                <w:noProof/>
                <w:sz w:val="20"/>
              </w:rPr>
            </w:pPr>
            <w:r>
              <w:rPr>
                <w:noProof/>
                <w:sz w:val="20"/>
              </w:rPr>
              <w:t>0.9%</w:t>
            </w:r>
          </w:p>
        </w:tc>
      </w:tr>
      <w:tr w:rsidR="001A26B0">
        <w:trPr>
          <w:trHeight w:val="300"/>
        </w:trPr>
        <w:tc>
          <w:tcPr>
            <w:tcW w:w="720" w:type="pct"/>
            <w:noWrap/>
            <w:hideMark/>
          </w:tcPr>
          <w:p w:rsidR="001A26B0" w:rsidRDefault="00E33A99">
            <w:pPr>
              <w:spacing w:after="120"/>
              <w:rPr>
                <w:noProof/>
                <w:sz w:val="20"/>
              </w:rPr>
            </w:pPr>
            <w:r>
              <w:rPr>
                <w:noProof/>
                <w:sz w:val="20"/>
              </w:rPr>
              <w:t>TLC_EP50</w:t>
            </w:r>
          </w:p>
        </w:tc>
        <w:tc>
          <w:tcPr>
            <w:tcW w:w="426" w:type="pct"/>
            <w:noWrap/>
          </w:tcPr>
          <w:p w:rsidR="001A26B0" w:rsidRDefault="00E33A99">
            <w:pPr>
              <w:spacing w:after="120"/>
              <w:jc w:val="right"/>
              <w:rPr>
                <w:noProof/>
                <w:sz w:val="20"/>
              </w:rPr>
            </w:pPr>
            <w:r>
              <w:rPr>
                <w:noProof/>
                <w:sz w:val="20"/>
              </w:rPr>
              <w:t>19.4%</w:t>
            </w:r>
          </w:p>
        </w:tc>
        <w:tc>
          <w:tcPr>
            <w:tcW w:w="429" w:type="pct"/>
            <w:noWrap/>
          </w:tcPr>
          <w:p w:rsidR="001A26B0" w:rsidRDefault="00E33A99">
            <w:pPr>
              <w:spacing w:after="120"/>
              <w:jc w:val="right"/>
              <w:rPr>
                <w:noProof/>
                <w:sz w:val="20"/>
              </w:rPr>
            </w:pPr>
            <w:r>
              <w:rPr>
                <w:noProof/>
                <w:sz w:val="20"/>
              </w:rPr>
              <w:t>14.3%</w:t>
            </w:r>
          </w:p>
        </w:tc>
        <w:tc>
          <w:tcPr>
            <w:tcW w:w="428" w:type="pct"/>
            <w:noWrap/>
          </w:tcPr>
          <w:p w:rsidR="001A26B0" w:rsidRDefault="00E33A99">
            <w:pPr>
              <w:spacing w:after="120"/>
              <w:jc w:val="right"/>
              <w:rPr>
                <w:noProof/>
                <w:sz w:val="20"/>
              </w:rPr>
            </w:pPr>
            <w:r>
              <w:rPr>
                <w:noProof/>
                <w:sz w:val="20"/>
              </w:rPr>
              <w:t>29.3%</w:t>
            </w:r>
          </w:p>
        </w:tc>
        <w:tc>
          <w:tcPr>
            <w:tcW w:w="428" w:type="pct"/>
            <w:noWrap/>
          </w:tcPr>
          <w:p w:rsidR="001A26B0" w:rsidRDefault="00E33A99">
            <w:pPr>
              <w:spacing w:after="120"/>
              <w:jc w:val="right"/>
              <w:rPr>
                <w:noProof/>
                <w:sz w:val="20"/>
              </w:rPr>
            </w:pPr>
            <w:r>
              <w:rPr>
                <w:noProof/>
                <w:sz w:val="20"/>
              </w:rPr>
              <w:t>10.3%</w:t>
            </w:r>
          </w:p>
        </w:tc>
        <w:tc>
          <w:tcPr>
            <w:tcW w:w="428" w:type="pct"/>
            <w:noWrap/>
          </w:tcPr>
          <w:p w:rsidR="001A26B0" w:rsidRDefault="00E33A99">
            <w:pPr>
              <w:spacing w:after="120"/>
              <w:jc w:val="right"/>
              <w:rPr>
                <w:noProof/>
                <w:sz w:val="20"/>
              </w:rPr>
            </w:pPr>
            <w:r>
              <w:rPr>
                <w:noProof/>
                <w:sz w:val="20"/>
              </w:rPr>
              <w:t>1.5%</w:t>
            </w:r>
          </w:p>
        </w:tc>
        <w:tc>
          <w:tcPr>
            <w:tcW w:w="427" w:type="pct"/>
            <w:noWrap/>
          </w:tcPr>
          <w:p w:rsidR="001A26B0" w:rsidRDefault="00E33A99">
            <w:pPr>
              <w:spacing w:after="120"/>
              <w:jc w:val="right"/>
              <w:rPr>
                <w:noProof/>
                <w:sz w:val="20"/>
              </w:rPr>
            </w:pPr>
            <w:r>
              <w:rPr>
                <w:noProof/>
                <w:sz w:val="20"/>
              </w:rPr>
              <w:t>4.1%</w:t>
            </w:r>
          </w:p>
        </w:tc>
        <w:tc>
          <w:tcPr>
            <w:tcW w:w="428" w:type="pct"/>
            <w:noWrap/>
          </w:tcPr>
          <w:p w:rsidR="001A26B0" w:rsidRDefault="00E33A99">
            <w:pPr>
              <w:spacing w:after="120"/>
              <w:jc w:val="right"/>
              <w:rPr>
                <w:noProof/>
                <w:sz w:val="20"/>
              </w:rPr>
            </w:pPr>
            <w:r>
              <w:rPr>
                <w:noProof/>
                <w:sz w:val="20"/>
              </w:rPr>
              <w:t>11.6%</w:t>
            </w:r>
          </w:p>
        </w:tc>
        <w:tc>
          <w:tcPr>
            <w:tcW w:w="428" w:type="pct"/>
            <w:noWrap/>
          </w:tcPr>
          <w:p w:rsidR="001A26B0" w:rsidRDefault="00E33A99">
            <w:pPr>
              <w:spacing w:after="120"/>
              <w:jc w:val="right"/>
              <w:rPr>
                <w:noProof/>
                <w:sz w:val="20"/>
              </w:rPr>
            </w:pPr>
            <w:r>
              <w:rPr>
                <w:noProof/>
                <w:sz w:val="20"/>
              </w:rPr>
              <w:t>6.7%</w:t>
            </w:r>
          </w:p>
        </w:tc>
        <w:tc>
          <w:tcPr>
            <w:tcW w:w="429" w:type="pct"/>
            <w:noWrap/>
          </w:tcPr>
          <w:p w:rsidR="001A26B0" w:rsidRDefault="00E33A99">
            <w:pPr>
              <w:spacing w:after="120"/>
              <w:jc w:val="right"/>
              <w:rPr>
                <w:noProof/>
                <w:sz w:val="20"/>
              </w:rPr>
            </w:pPr>
            <w:r>
              <w:rPr>
                <w:noProof/>
                <w:sz w:val="20"/>
              </w:rPr>
              <w:t>1.9%</w:t>
            </w:r>
          </w:p>
        </w:tc>
        <w:tc>
          <w:tcPr>
            <w:tcW w:w="428" w:type="pct"/>
            <w:noWrap/>
          </w:tcPr>
          <w:p w:rsidR="001A26B0" w:rsidRDefault="00E33A99">
            <w:pPr>
              <w:spacing w:after="120"/>
              <w:jc w:val="right"/>
              <w:rPr>
                <w:noProof/>
                <w:sz w:val="20"/>
              </w:rPr>
            </w:pPr>
            <w:r>
              <w:rPr>
                <w:noProof/>
                <w:sz w:val="20"/>
              </w:rPr>
              <w:t>0.9%</w:t>
            </w:r>
          </w:p>
        </w:tc>
      </w:tr>
    </w:tbl>
    <w:p w:rsidR="001A26B0" w:rsidRDefault="001A26B0">
      <w:pPr>
        <w:tabs>
          <w:tab w:val="left" w:pos="801"/>
          <w:tab w:val="left" w:pos="1604"/>
          <w:tab w:val="left" w:pos="2405"/>
          <w:tab w:val="left" w:pos="3209"/>
          <w:tab w:val="left" w:pos="4013"/>
          <w:tab w:val="left" w:pos="4815"/>
          <w:tab w:val="left" w:pos="5619"/>
          <w:tab w:val="left" w:pos="6423"/>
          <w:tab w:val="left" w:pos="7224"/>
          <w:tab w:val="left" w:pos="8027"/>
        </w:tabs>
        <w:spacing w:after="0"/>
        <w:jc w:val="left"/>
        <w:rPr>
          <w:noProof/>
          <w:sz w:val="20"/>
        </w:rPr>
      </w:pPr>
    </w:p>
    <w:tbl>
      <w:tblPr>
        <w:tblStyle w:val="TableGrid"/>
        <w:tblW w:w="5000" w:type="pct"/>
        <w:tblLayout w:type="fixed"/>
        <w:tblLook w:val="04A0" w:firstRow="1" w:lastRow="0" w:firstColumn="1" w:lastColumn="0" w:noHBand="0" w:noVBand="1"/>
      </w:tblPr>
      <w:tblGrid>
        <w:gridCol w:w="1271"/>
        <w:gridCol w:w="752"/>
        <w:gridCol w:w="758"/>
        <w:gridCol w:w="756"/>
        <w:gridCol w:w="756"/>
        <w:gridCol w:w="756"/>
        <w:gridCol w:w="754"/>
        <w:gridCol w:w="756"/>
        <w:gridCol w:w="756"/>
        <w:gridCol w:w="758"/>
        <w:gridCol w:w="756"/>
      </w:tblGrid>
      <w:tr w:rsidR="001A26B0">
        <w:trPr>
          <w:trHeight w:val="289"/>
        </w:trPr>
        <w:tc>
          <w:tcPr>
            <w:tcW w:w="720" w:type="pct"/>
            <w:vMerge w:val="restart"/>
            <w:noWrap/>
            <w:vAlign w:val="center"/>
          </w:tcPr>
          <w:p w:rsidR="001A26B0" w:rsidRDefault="00E33A99">
            <w:pPr>
              <w:keepNext/>
              <w:spacing w:after="120"/>
              <w:jc w:val="left"/>
              <w:rPr>
                <w:b/>
                <w:noProof/>
                <w:sz w:val="20"/>
              </w:rPr>
            </w:pPr>
            <w:r>
              <w:rPr>
                <w:b/>
                <w:noProof/>
                <w:sz w:val="22"/>
              </w:rPr>
              <w:t>2030</w:t>
            </w:r>
          </w:p>
        </w:tc>
        <w:tc>
          <w:tcPr>
            <w:tcW w:w="855" w:type="pct"/>
            <w:gridSpan w:val="2"/>
            <w:noWrap/>
          </w:tcPr>
          <w:p w:rsidR="001A26B0" w:rsidRDefault="00E33A99">
            <w:pPr>
              <w:keepNext/>
              <w:spacing w:after="120"/>
              <w:jc w:val="center"/>
              <w:rPr>
                <w:noProof/>
                <w:sz w:val="20"/>
              </w:rPr>
            </w:pPr>
            <w:r>
              <w:rPr>
                <w:noProof/>
                <w:sz w:val="20"/>
              </w:rPr>
              <w:t>Gasoline</w:t>
            </w:r>
          </w:p>
        </w:tc>
        <w:tc>
          <w:tcPr>
            <w:tcW w:w="856" w:type="pct"/>
            <w:gridSpan w:val="2"/>
            <w:noWrap/>
          </w:tcPr>
          <w:p w:rsidR="001A26B0" w:rsidRDefault="00E33A99">
            <w:pPr>
              <w:keepNext/>
              <w:spacing w:after="120"/>
              <w:jc w:val="center"/>
              <w:rPr>
                <w:noProof/>
                <w:sz w:val="20"/>
              </w:rPr>
            </w:pPr>
            <w:r>
              <w:rPr>
                <w:noProof/>
                <w:sz w:val="20"/>
              </w:rPr>
              <w:t>Diesel</w:t>
            </w:r>
          </w:p>
        </w:tc>
        <w:tc>
          <w:tcPr>
            <w:tcW w:w="428" w:type="pct"/>
            <w:vMerge w:val="restart"/>
            <w:noWrap/>
            <w:vAlign w:val="center"/>
          </w:tcPr>
          <w:p w:rsidR="001A26B0" w:rsidRDefault="00E33A99">
            <w:pPr>
              <w:keepNext/>
              <w:spacing w:after="120"/>
              <w:jc w:val="center"/>
              <w:rPr>
                <w:noProof/>
                <w:sz w:val="20"/>
              </w:rPr>
            </w:pPr>
            <w:r>
              <w:rPr>
                <w:noProof/>
                <w:sz w:val="20"/>
              </w:rPr>
              <w:t>CNG</w:t>
            </w:r>
          </w:p>
        </w:tc>
        <w:tc>
          <w:tcPr>
            <w:tcW w:w="427" w:type="pct"/>
            <w:vMerge w:val="restart"/>
            <w:noWrap/>
            <w:vAlign w:val="center"/>
          </w:tcPr>
          <w:p w:rsidR="001A26B0" w:rsidRDefault="00E33A99">
            <w:pPr>
              <w:keepNext/>
              <w:spacing w:after="120"/>
              <w:jc w:val="center"/>
              <w:rPr>
                <w:noProof/>
                <w:sz w:val="20"/>
              </w:rPr>
            </w:pPr>
            <w:r>
              <w:rPr>
                <w:noProof/>
                <w:sz w:val="20"/>
              </w:rPr>
              <w:t>LPG</w:t>
            </w:r>
          </w:p>
        </w:tc>
        <w:tc>
          <w:tcPr>
            <w:tcW w:w="428" w:type="pct"/>
            <w:vMerge w:val="restart"/>
            <w:noWrap/>
            <w:vAlign w:val="center"/>
          </w:tcPr>
          <w:p w:rsidR="001A26B0" w:rsidRDefault="00E33A99">
            <w:pPr>
              <w:keepNext/>
              <w:spacing w:after="120"/>
              <w:jc w:val="center"/>
              <w:rPr>
                <w:noProof/>
                <w:sz w:val="20"/>
              </w:rPr>
            </w:pPr>
            <w:r>
              <w:rPr>
                <w:noProof/>
                <w:sz w:val="20"/>
              </w:rPr>
              <w:t>PHEV</w:t>
            </w:r>
          </w:p>
        </w:tc>
        <w:tc>
          <w:tcPr>
            <w:tcW w:w="428" w:type="pct"/>
            <w:vMerge w:val="restart"/>
            <w:noWrap/>
            <w:vAlign w:val="center"/>
          </w:tcPr>
          <w:p w:rsidR="001A26B0" w:rsidRDefault="00E33A99">
            <w:pPr>
              <w:keepNext/>
              <w:spacing w:after="120"/>
              <w:jc w:val="center"/>
              <w:rPr>
                <w:noProof/>
                <w:sz w:val="20"/>
              </w:rPr>
            </w:pPr>
            <w:r>
              <w:rPr>
                <w:noProof/>
                <w:sz w:val="20"/>
              </w:rPr>
              <w:t>BEV</w:t>
            </w:r>
          </w:p>
        </w:tc>
        <w:tc>
          <w:tcPr>
            <w:tcW w:w="429" w:type="pct"/>
            <w:vMerge w:val="restart"/>
            <w:noWrap/>
            <w:vAlign w:val="center"/>
          </w:tcPr>
          <w:p w:rsidR="001A26B0" w:rsidRDefault="00E33A99">
            <w:pPr>
              <w:keepNext/>
              <w:spacing w:after="120"/>
              <w:jc w:val="center"/>
              <w:rPr>
                <w:noProof/>
                <w:sz w:val="20"/>
              </w:rPr>
            </w:pPr>
            <w:r>
              <w:rPr>
                <w:noProof/>
                <w:sz w:val="20"/>
              </w:rPr>
              <w:t>FCEV</w:t>
            </w:r>
          </w:p>
        </w:tc>
        <w:tc>
          <w:tcPr>
            <w:tcW w:w="428" w:type="pct"/>
            <w:vMerge w:val="restart"/>
            <w:noWrap/>
            <w:vAlign w:val="center"/>
          </w:tcPr>
          <w:p w:rsidR="001A26B0" w:rsidRDefault="00E33A99">
            <w:pPr>
              <w:keepNext/>
              <w:spacing w:after="120"/>
              <w:jc w:val="center"/>
              <w:rPr>
                <w:noProof/>
                <w:sz w:val="20"/>
              </w:rPr>
            </w:pPr>
            <w:r>
              <w:rPr>
                <w:noProof/>
                <w:sz w:val="20"/>
              </w:rPr>
              <w:t>Other</w:t>
            </w:r>
          </w:p>
        </w:tc>
      </w:tr>
      <w:tr w:rsidR="001A26B0">
        <w:trPr>
          <w:trHeight w:val="289"/>
        </w:trPr>
        <w:tc>
          <w:tcPr>
            <w:tcW w:w="720" w:type="pct"/>
            <w:vMerge/>
            <w:noWrap/>
          </w:tcPr>
          <w:p w:rsidR="001A26B0" w:rsidRDefault="001A26B0">
            <w:pPr>
              <w:keepNext/>
              <w:spacing w:after="120"/>
              <w:rPr>
                <w:noProof/>
                <w:sz w:val="20"/>
              </w:rPr>
            </w:pPr>
          </w:p>
        </w:tc>
        <w:tc>
          <w:tcPr>
            <w:tcW w:w="426" w:type="pct"/>
            <w:noWrap/>
          </w:tcPr>
          <w:p w:rsidR="001A26B0" w:rsidRDefault="00E33A99">
            <w:pPr>
              <w:keepNext/>
              <w:spacing w:after="120"/>
              <w:rPr>
                <w:noProof/>
                <w:sz w:val="20"/>
              </w:rPr>
            </w:pPr>
            <w:r>
              <w:rPr>
                <w:noProof/>
                <w:sz w:val="20"/>
              </w:rPr>
              <w:t>ICEV</w:t>
            </w:r>
          </w:p>
        </w:tc>
        <w:tc>
          <w:tcPr>
            <w:tcW w:w="429" w:type="pct"/>
            <w:noWrap/>
          </w:tcPr>
          <w:p w:rsidR="001A26B0" w:rsidRDefault="00E33A99">
            <w:pPr>
              <w:keepNext/>
              <w:spacing w:after="120"/>
              <w:jc w:val="center"/>
              <w:rPr>
                <w:noProof/>
                <w:sz w:val="20"/>
              </w:rPr>
            </w:pPr>
            <w:r>
              <w:rPr>
                <w:noProof/>
                <w:sz w:val="20"/>
              </w:rPr>
              <w:t>HEV</w:t>
            </w:r>
          </w:p>
        </w:tc>
        <w:tc>
          <w:tcPr>
            <w:tcW w:w="428" w:type="pct"/>
            <w:noWrap/>
          </w:tcPr>
          <w:p w:rsidR="001A26B0" w:rsidRDefault="00E33A99">
            <w:pPr>
              <w:keepNext/>
              <w:spacing w:after="120"/>
              <w:jc w:val="center"/>
              <w:rPr>
                <w:noProof/>
                <w:sz w:val="20"/>
              </w:rPr>
            </w:pPr>
            <w:r>
              <w:rPr>
                <w:noProof/>
                <w:sz w:val="20"/>
              </w:rPr>
              <w:t>ICEV</w:t>
            </w:r>
          </w:p>
        </w:tc>
        <w:tc>
          <w:tcPr>
            <w:tcW w:w="428" w:type="pct"/>
            <w:noWrap/>
          </w:tcPr>
          <w:p w:rsidR="001A26B0" w:rsidRDefault="00E33A99">
            <w:pPr>
              <w:keepNext/>
              <w:spacing w:after="120"/>
              <w:rPr>
                <w:noProof/>
                <w:sz w:val="20"/>
              </w:rPr>
            </w:pPr>
            <w:r>
              <w:rPr>
                <w:noProof/>
                <w:sz w:val="20"/>
              </w:rPr>
              <w:t>HEV</w:t>
            </w:r>
          </w:p>
        </w:tc>
        <w:tc>
          <w:tcPr>
            <w:tcW w:w="428" w:type="pct"/>
            <w:vMerge/>
            <w:noWrap/>
          </w:tcPr>
          <w:p w:rsidR="001A26B0" w:rsidRDefault="001A26B0">
            <w:pPr>
              <w:keepNext/>
              <w:spacing w:after="120"/>
              <w:jc w:val="center"/>
              <w:rPr>
                <w:noProof/>
                <w:sz w:val="20"/>
              </w:rPr>
            </w:pPr>
          </w:p>
        </w:tc>
        <w:tc>
          <w:tcPr>
            <w:tcW w:w="427" w:type="pct"/>
            <w:vMerge/>
            <w:noWrap/>
          </w:tcPr>
          <w:p w:rsidR="001A26B0" w:rsidRDefault="001A26B0">
            <w:pPr>
              <w:keepNext/>
              <w:spacing w:after="120"/>
              <w:jc w:val="center"/>
              <w:rPr>
                <w:noProof/>
                <w:sz w:val="20"/>
              </w:rPr>
            </w:pPr>
          </w:p>
        </w:tc>
        <w:tc>
          <w:tcPr>
            <w:tcW w:w="428" w:type="pct"/>
            <w:vMerge/>
            <w:noWrap/>
          </w:tcPr>
          <w:p w:rsidR="001A26B0" w:rsidRDefault="001A26B0">
            <w:pPr>
              <w:keepNext/>
              <w:spacing w:after="120"/>
              <w:jc w:val="center"/>
              <w:rPr>
                <w:noProof/>
                <w:sz w:val="20"/>
              </w:rPr>
            </w:pPr>
          </w:p>
        </w:tc>
        <w:tc>
          <w:tcPr>
            <w:tcW w:w="428" w:type="pct"/>
            <w:vMerge/>
            <w:noWrap/>
          </w:tcPr>
          <w:p w:rsidR="001A26B0" w:rsidRDefault="001A26B0">
            <w:pPr>
              <w:keepNext/>
              <w:spacing w:after="120"/>
              <w:jc w:val="center"/>
              <w:rPr>
                <w:noProof/>
                <w:sz w:val="20"/>
              </w:rPr>
            </w:pPr>
          </w:p>
        </w:tc>
        <w:tc>
          <w:tcPr>
            <w:tcW w:w="429" w:type="pct"/>
            <w:vMerge/>
            <w:noWrap/>
          </w:tcPr>
          <w:p w:rsidR="001A26B0" w:rsidRDefault="001A26B0">
            <w:pPr>
              <w:keepNext/>
              <w:spacing w:after="120"/>
              <w:jc w:val="center"/>
              <w:rPr>
                <w:noProof/>
                <w:sz w:val="20"/>
              </w:rPr>
            </w:pPr>
          </w:p>
        </w:tc>
        <w:tc>
          <w:tcPr>
            <w:tcW w:w="428" w:type="pct"/>
            <w:vMerge/>
            <w:noWrap/>
          </w:tcPr>
          <w:p w:rsidR="001A26B0" w:rsidRDefault="001A26B0">
            <w:pPr>
              <w:keepNext/>
              <w:spacing w:after="120"/>
              <w:jc w:val="center"/>
              <w:rPr>
                <w:noProof/>
                <w:sz w:val="20"/>
              </w:rPr>
            </w:pPr>
          </w:p>
        </w:tc>
      </w:tr>
      <w:tr w:rsidR="001A26B0">
        <w:trPr>
          <w:trHeight w:val="289"/>
        </w:trPr>
        <w:tc>
          <w:tcPr>
            <w:tcW w:w="720" w:type="pct"/>
            <w:noWrap/>
            <w:hideMark/>
          </w:tcPr>
          <w:p w:rsidR="001A26B0" w:rsidRDefault="00E33A99">
            <w:pPr>
              <w:keepNext/>
              <w:spacing w:after="120"/>
              <w:rPr>
                <w:noProof/>
                <w:sz w:val="20"/>
              </w:rPr>
            </w:pPr>
            <w:r>
              <w:rPr>
                <w:noProof/>
                <w:sz w:val="20"/>
              </w:rPr>
              <w:t>TLC0</w:t>
            </w:r>
          </w:p>
        </w:tc>
        <w:tc>
          <w:tcPr>
            <w:tcW w:w="426" w:type="pct"/>
            <w:noWrap/>
            <w:hideMark/>
          </w:tcPr>
          <w:p w:rsidR="001A26B0" w:rsidRDefault="00E33A99">
            <w:pPr>
              <w:keepNext/>
              <w:spacing w:after="120"/>
              <w:jc w:val="right"/>
              <w:rPr>
                <w:noProof/>
                <w:sz w:val="20"/>
              </w:rPr>
            </w:pPr>
            <w:r>
              <w:rPr>
                <w:noProof/>
                <w:sz w:val="20"/>
              </w:rPr>
              <w:t>23.8%</w:t>
            </w:r>
          </w:p>
        </w:tc>
        <w:tc>
          <w:tcPr>
            <w:tcW w:w="429" w:type="pct"/>
            <w:noWrap/>
            <w:hideMark/>
          </w:tcPr>
          <w:p w:rsidR="001A26B0" w:rsidRDefault="00E33A99">
            <w:pPr>
              <w:keepNext/>
              <w:spacing w:after="120"/>
              <w:jc w:val="right"/>
              <w:rPr>
                <w:noProof/>
                <w:sz w:val="20"/>
              </w:rPr>
            </w:pPr>
            <w:r>
              <w:rPr>
                <w:noProof/>
                <w:sz w:val="20"/>
              </w:rPr>
              <w:t>15.2%</w:t>
            </w:r>
          </w:p>
        </w:tc>
        <w:tc>
          <w:tcPr>
            <w:tcW w:w="428" w:type="pct"/>
            <w:noWrap/>
            <w:hideMark/>
          </w:tcPr>
          <w:p w:rsidR="001A26B0" w:rsidRDefault="00E33A99">
            <w:pPr>
              <w:keepNext/>
              <w:spacing w:after="120"/>
              <w:jc w:val="right"/>
              <w:rPr>
                <w:noProof/>
                <w:sz w:val="20"/>
              </w:rPr>
            </w:pPr>
            <w:r>
              <w:rPr>
                <w:noProof/>
                <w:sz w:val="20"/>
              </w:rPr>
              <w:t>33.5%</w:t>
            </w:r>
          </w:p>
        </w:tc>
        <w:tc>
          <w:tcPr>
            <w:tcW w:w="428" w:type="pct"/>
            <w:noWrap/>
            <w:hideMark/>
          </w:tcPr>
          <w:p w:rsidR="001A26B0" w:rsidRDefault="00E33A99">
            <w:pPr>
              <w:keepNext/>
              <w:spacing w:after="120"/>
              <w:jc w:val="right"/>
              <w:rPr>
                <w:noProof/>
                <w:sz w:val="20"/>
              </w:rPr>
            </w:pPr>
            <w:r>
              <w:rPr>
                <w:noProof/>
                <w:sz w:val="20"/>
              </w:rPr>
              <w:t>10.3%</w:t>
            </w:r>
          </w:p>
        </w:tc>
        <w:tc>
          <w:tcPr>
            <w:tcW w:w="428" w:type="pct"/>
            <w:noWrap/>
            <w:hideMark/>
          </w:tcPr>
          <w:p w:rsidR="001A26B0" w:rsidRDefault="00E33A99">
            <w:pPr>
              <w:keepNext/>
              <w:spacing w:after="120"/>
              <w:jc w:val="right"/>
              <w:rPr>
                <w:noProof/>
                <w:sz w:val="20"/>
              </w:rPr>
            </w:pPr>
            <w:r>
              <w:rPr>
                <w:noProof/>
                <w:sz w:val="20"/>
              </w:rPr>
              <w:t>1.8%</w:t>
            </w:r>
          </w:p>
        </w:tc>
        <w:tc>
          <w:tcPr>
            <w:tcW w:w="427" w:type="pct"/>
            <w:noWrap/>
            <w:hideMark/>
          </w:tcPr>
          <w:p w:rsidR="001A26B0" w:rsidRDefault="00E33A99">
            <w:pPr>
              <w:keepNext/>
              <w:spacing w:after="120"/>
              <w:jc w:val="right"/>
              <w:rPr>
                <w:noProof/>
                <w:sz w:val="20"/>
              </w:rPr>
            </w:pPr>
            <w:r>
              <w:rPr>
                <w:noProof/>
                <w:sz w:val="20"/>
              </w:rPr>
              <w:t>3.8%</w:t>
            </w:r>
          </w:p>
        </w:tc>
        <w:tc>
          <w:tcPr>
            <w:tcW w:w="428" w:type="pct"/>
            <w:noWrap/>
            <w:hideMark/>
          </w:tcPr>
          <w:p w:rsidR="001A26B0" w:rsidRDefault="00E33A99">
            <w:pPr>
              <w:keepNext/>
              <w:spacing w:after="120"/>
              <w:jc w:val="right"/>
              <w:rPr>
                <w:noProof/>
                <w:sz w:val="20"/>
              </w:rPr>
            </w:pPr>
            <w:r>
              <w:rPr>
                <w:noProof/>
                <w:sz w:val="20"/>
              </w:rPr>
              <w:t>6.7%</w:t>
            </w:r>
          </w:p>
        </w:tc>
        <w:tc>
          <w:tcPr>
            <w:tcW w:w="428" w:type="pct"/>
            <w:noWrap/>
            <w:hideMark/>
          </w:tcPr>
          <w:p w:rsidR="001A26B0" w:rsidRDefault="00E33A99">
            <w:pPr>
              <w:keepNext/>
              <w:spacing w:after="120"/>
              <w:jc w:val="right"/>
              <w:rPr>
                <w:noProof/>
                <w:sz w:val="20"/>
              </w:rPr>
            </w:pPr>
            <w:r>
              <w:rPr>
                <w:noProof/>
                <w:sz w:val="20"/>
              </w:rPr>
              <w:t>3.9%</w:t>
            </w:r>
          </w:p>
        </w:tc>
        <w:tc>
          <w:tcPr>
            <w:tcW w:w="429" w:type="pct"/>
            <w:noWrap/>
            <w:hideMark/>
          </w:tcPr>
          <w:p w:rsidR="001A26B0" w:rsidRDefault="00E33A99">
            <w:pPr>
              <w:keepNext/>
              <w:spacing w:after="120"/>
              <w:jc w:val="right"/>
              <w:rPr>
                <w:noProof/>
                <w:sz w:val="20"/>
              </w:rPr>
            </w:pPr>
            <w:r>
              <w:rPr>
                <w:noProof/>
                <w:sz w:val="20"/>
              </w:rPr>
              <w:t>0.7%</w:t>
            </w:r>
          </w:p>
        </w:tc>
        <w:tc>
          <w:tcPr>
            <w:tcW w:w="428" w:type="pct"/>
            <w:noWrap/>
            <w:hideMark/>
          </w:tcPr>
          <w:p w:rsidR="001A26B0" w:rsidRDefault="00E33A99">
            <w:pPr>
              <w:keepNext/>
              <w:spacing w:after="120"/>
              <w:jc w:val="right"/>
              <w:rPr>
                <w:noProof/>
                <w:sz w:val="20"/>
              </w:rPr>
            </w:pPr>
            <w:r>
              <w:rPr>
                <w:noProof/>
                <w:sz w:val="20"/>
              </w:rPr>
              <w:t>0.3%</w:t>
            </w:r>
          </w:p>
        </w:tc>
      </w:tr>
      <w:tr w:rsidR="001A26B0">
        <w:trPr>
          <w:trHeight w:val="300"/>
        </w:trPr>
        <w:tc>
          <w:tcPr>
            <w:tcW w:w="720" w:type="pct"/>
            <w:noWrap/>
            <w:hideMark/>
          </w:tcPr>
          <w:p w:rsidR="001A26B0" w:rsidRDefault="00E33A99">
            <w:pPr>
              <w:keepNext/>
              <w:spacing w:after="120"/>
              <w:rPr>
                <w:noProof/>
                <w:sz w:val="20"/>
              </w:rPr>
            </w:pPr>
            <w:r>
              <w:rPr>
                <w:noProof/>
                <w:sz w:val="20"/>
              </w:rPr>
              <w:t>TLC20</w:t>
            </w:r>
          </w:p>
        </w:tc>
        <w:tc>
          <w:tcPr>
            <w:tcW w:w="426" w:type="pct"/>
            <w:noWrap/>
            <w:hideMark/>
          </w:tcPr>
          <w:p w:rsidR="001A26B0" w:rsidRDefault="00E33A99">
            <w:pPr>
              <w:keepNext/>
              <w:spacing w:after="120"/>
              <w:jc w:val="right"/>
              <w:rPr>
                <w:noProof/>
                <w:sz w:val="20"/>
              </w:rPr>
            </w:pPr>
            <w:r>
              <w:rPr>
                <w:noProof/>
                <w:sz w:val="20"/>
              </w:rPr>
              <w:t>21.0%</w:t>
            </w:r>
          </w:p>
        </w:tc>
        <w:tc>
          <w:tcPr>
            <w:tcW w:w="429" w:type="pct"/>
            <w:noWrap/>
            <w:hideMark/>
          </w:tcPr>
          <w:p w:rsidR="001A26B0" w:rsidRDefault="00E33A99">
            <w:pPr>
              <w:keepNext/>
              <w:spacing w:after="120"/>
              <w:jc w:val="right"/>
              <w:rPr>
                <w:noProof/>
                <w:sz w:val="20"/>
              </w:rPr>
            </w:pPr>
            <w:r>
              <w:rPr>
                <w:noProof/>
                <w:sz w:val="20"/>
              </w:rPr>
              <w:t>15.6%</w:t>
            </w:r>
          </w:p>
        </w:tc>
        <w:tc>
          <w:tcPr>
            <w:tcW w:w="428" w:type="pct"/>
            <w:noWrap/>
            <w:hideMark/>
          </w:tcPr>
          <w:p w:rsidR="001A26B0" w:rsidRDefault="00E33A99">
            <w:pPr>
              <w:keepNext/>
              <w:spacing w:after="120"/>
              <w:jc w:val="right"/>
              <w:rPr>
                <w:noProof/>
                <w:sz w:val="20"/>
              </w:rPr>
            </w:pPr>
            <w:r>
              <w:rPr>
                <w:noProof/>
                <w:sz w:val="20"/>
              </w:rPr>
              <w:t>29.9%</w:t>
            </w:r>
          </w:p>
        </w:tc>
        <w:tc>
          <w:tcPr>
            <w:tcW w:w="428" w:type="pct"/>
            <w:noWrap/>
            <w:hideMark/>
          </w:tcPr>
          <w:p w:rsidR="001A26B0" w:rsidRDefault="00E33A99">
            <w:pPr>
              <w:keepNext/>
              <w:spacing w:after="120"/>
              <w:jc w:val="right"/>
              <w:rPr>
                <w:noProof/>
                <w:sz w:val="20"/>
              </w:rPr>
            </w:pPr>
            <w:r>
              <w:rPr>
                <w:noProof/>
                <w:sz w:val="20"/>
              </w:rPr>
              <w:t>9.9%</w:t>
            </w:r>
          </w:p>
        </w:tc>
        <w:tc>
          <w:tcPr>
            <w:tcW w:w="428" w:type="pct"/>
            <w:noWrap/>
            <w:hideMark/>
          </w:tcPr>
          <w:p w:rsidR="001A26B0" w:rsidRDefault="00E33A99">
            <w:pPr>
              <w:keepNext/>
              <w:spacing w:after="120"/>
              <w:jc w:val="right"/>
              <w:rPr>
                <w:noProof/>
                <w:sz w:val="20"/>
              </w:rPr>
            </w:pPr>
            <w:r>
              <w:rPr>
                <w:noProof/>
                <w:sz w:val="20"/>
              </w:rPr>
              <w:t>1.8%</w:t>
            </w:r>
          </w:p>
        </w:tc>
        <w:tc>
          <w:tcPr>
            <w:tcW w:w="427" w:type="pct"/>
            <w:noWrap/>
            <w:hideMark/>
          </w:tcPr>
          <w:p w:rsidR="001A26B0" w:rsidRDefault="00E33A99">
            <w:pPr>
              <w:keepNext/>
              <w:spacing w:after="120"/>
              <w:jc w:val="right"/>
              <w:rPr>
                <w:noProof/>
                <w:sz w:val="20"/>
              </w:rPr>
            </w:pPr>
            <w:r>
              <w:rPr>
                <w:noProof/>
                <w:sz w:val="20"/>
              </w:rPr>
              <w:t>3.9%</w:t>
            </w:r>
          </w:p>
        </w:tc>
        <w:tc>
          <w:tcPr>
            <w:tcW w:w="428" w:type="pct"/>
            <w:noWrap/>
            <w:hideMark/>
          </w:tcPr>
          <w:p w:rsidR="001A26B0" w:rsidRDefault="00E33A99">
            <w:pPr>
              <w:keepNext/>
              <w:spacing w:after="120"/>
              <w:jc w:val="right"/>
              <w:rPr>
                <w:noProof/>
                <w:sz w:val="20"/>
              </w:rPr>
            </w:pPr>
            <w:r>
              <w:rPr>
                <w:noProof/>
                <w:sz w:val="20"/>
              </w:rPr>
              <w:t>9.3%</w:t>
            </w:r>
          </w:p>
        </w:tc>
        <w:tc>
          <w:tcPr>
            <w:tcW w:w="428" w:type="pct"/>
            <w:noWrap/>
            <w:hideMark/>
          </w:tcPr>
          <w:p w:rsidR="001A26B0" w:rsidRDefault="00E33A99">
            <w:pPr>
              <w:keepNext/>
              <w:spacing w:after="120"/>
              <w:jc w:val="right"/>
              <w:rPr>
                <w:noProof/>
                <w:sz w:val="20"/>
              </w:rPr>
            </w:pPr>
            <w:r>
              <w:rPr>
                <w:noProof/>
                <w:sz w:val="20"/>
              </w:rPr>
              <w:t>6.4%</w:t>
            </w:r>
          </w:p>
        </w:tc>
        <w:tc>
          <w:tcPr>
            <w:tcW w:w="429" w:type="pct"/>
            <w:noWrap/>
            <w:hideMark/>
          </w:tcPr>
          <w:p w:rsidR="001A26B0" w:rsidRDefault="00E33A99">
            <w:pPr>
              <w:keepNext/>
              <w:spacing w:after="120"/>
              <w:jc w:val="right"/>
              <w:rPr>
                <w:noProof/>
                <w:sz w:val="20"/>
              </w:rPr>
            </w:pPr>
            <w:r>
              <w:rPr>
                <w:noProof/>
                <w:sz w:val="20"/>
              </w:rPr>
              <w:t>1.7%</w:t>
            </w:r>
          </w:p>
        </w:tc>
        <w:tc>
          <w:tcPr>
            <w:tcW w:w="428" w:type="pct"/>
            <w:noWrap/>
            <w:hideMark/>
          </w:tcPr>
          <w:p w:rsidR="001A26B0" w:rsidRDefault="00E33A99">
            <w:pPr>
              <w:keepNext/>
              <w:spacing w:after="120"/>
              <w:jc w:val="right"/>
              <w:rPr>
                <w:noProof/>
                <w:sz w:val="20"/>
              </w:rPr>
            </w:pPr>
            <w:r>
              <w:rPr>
                <w:noProof/>
                <w:sz w:val="20"/>
              </w:rPr>
              <w:t>0.6%</w:t>
            </w:r>
          </w:p>
        </w:tc>
      </w:tr>
      <w:tr w:rsidR="001A26B0">
        <w:trPr>
          <w:trHeight w:val="300"/>
        </w:trPr>
        <w:tc>
          <w:tcPr>
            <w:tcW w:w="720" w:type="pct"/>
            <w:noWrap/>
            <w:hideMark/>
          </w:tcPr>
          <w:p w:rsidR="001A26B0" w:rsidRDefault="00E33A99">
            <w:pPr>
              <w:keepNext/>
              <w:spacing w:after="120"/>
              <w:rPr>
                <w:noProof/>
                <w:sz w:val="20"/>
              </w:rPr>
            </w:pPr>
            <w:r>
              <w:rPr>
                <w:noProof/>
                <w:sz w:val="20"/>
              </w:rPr>
              <w:t>TLC25</w:t>
            </w:r>
          </w:p>
        </w:tc>
        <w:tc>
          <w:tcPr>
            <w:tcW w:w="426" w:type="pct"/>
            <w:noWrap/>
            <w:hideMark/>
          </w:tcPr>
          <w:p w:rsidR="001A26B0" w:rsidRDefault="00E33A99">
            <w:pPr>
              <w:keepNext/>
              <w:spacing w:after="120"/>
              <w:jc w:val="right"/>
              <w:rPr>
                <w:noProof/>
                <w:sz w:val="20"/>
              </w:rPr>
            </w:pPr>
            <w:r>
              <w:rPr>
                <w:noProof/>
                <w:sz w:val="20"/>
              </w:rPr>
              <w:t>20.4%</w:t>
            </w:r>
          </w:p>
        </w:tc>
        <w:tc>
          <w:tcPr>
            <w:tcW w:w="429" w:type="pct"/>
            <w:noWrap/>
            <w:hideMark/>
          </w:tcPr>
          <w:p w:rsidR="001A26B0" w:rsidRDefault="00E33A99">
            <w:pPr>
              <w:keepNext/>
              <w:spacing w:after="120"/>
              <w:jc w:val="right"/>
              <w:rPr>
                <w:noProof/>
                <w:sz w:val="20"/>
              </w:rPr>
            </w:pPr>
            <w:r>
              <w:rPr>
                <w:noProof/>
                <w:sz w:val="20"/>
              </w:rPr>
              <w:t>15.4%</w:t>
            </w:r>
          </w:p>
        </w:tc>
        <w:tc>
          <w:tcPr>
            <w:tcW w:w="428" w:type="pct"/>
            <w:noWrap/>
            <w:hideMark/>
          </w:tcPr>
          <w:p w:rsidR="001A26B0" w:rsidRDefault="00E33A99">
            <w:pPr>
              <w:keepNext/>
              <w:spacing w:after="120"/>
              <w:jc w:val="right"/>
              <w:rPr>
                <w:noProof/>
                <w:sz w:val="20"/>
              </w:rPr>
            </w:pPr>
            <w:r>
              <w:rPr>
                <w:noProof/>
                <w:sz w:val="20"/>
              </w:rPr>
              <w:t>29.1%</w:t>
            </w:r>
          </w:p>
        </w:tc>
        <w:tc>
          <w:tcPr>
            <w:tcW w:w="428" w:type="pct"/>
            <w:noWrap/>
            <w:hideMark/>
          </w:tcPr>
          <w:p w:rsidR="001A26B0" w:rsidRDefault="00E33A99">
            <w:pPr>
              <w:keepNext/>
              <w:spacing w:after="120"/>
              <w:jc w:val="right"/>
              <w:rPr>
                <w:noProof/>
                <w:sz w:val="20"/>
              </w:rPr>
            </w:pPr>
            <w:r>
              <w:rPr>
                <w:noProof/>
                <w:sz w:val="20"/>
              </w:rPr>
              <w:t>10.0%</w:t>
            </w:r>
          </w:p>
        </w:tc>
        <w:tc>
          <w:tcPr>
            <w:tcW w:w="428" w:type="pct"/>
            <w:noWrap/>
            <w:hideMark/>
          </w:tcPr>
          <w:p w:rsidR="001A26B0" w:rsidRDefault="00E33A99">
            <w:pPr>
              <w:keepNext/>
              <w:spacing w:after="120"/>
              <w:jc w:val="right"/>
              <w:rPr>
                <w:noProof/>
                <w:sz w:val="20"/>
              </w:rPr>
            </w:pPr>
            <w:r>
              <w:rPr>
                <w:noProof/>
                <w:sz w:val="20"/>
              </w:rPr>
              <w:t>1.8%</w:t>
            </w:r>
          </w:p>
        </w:tc>
        <w:tc>
          <w:tcPr>
            <w:tcW w:w="427" w:type="pct"/>
            <w:noWrap/>
            <w:hideMark/>
          </w:tcPr>
          <w:p w:rsidR="001A26B0" w:rsidRDefault="00E33A99">
            <w:pPr>
              <w:keepNext/>
              <w:spacing w:after="120"/>
              <w:jc w:val="right"/>
              <w:rPr>
                <w:noProof/>
                <w:sz w:val="20"/>
              </w:rPr>
            </w:pPr>
            <w:r>
              <w:rPr>
                <w:noProof/>
                <w:sz w:val="20"/>
              </w:rPr>
              <w:t>4.0%</w:t>
            </w:r>
          </w:p>
        </w:tc>
        <w:tc>
          <w:tcPr>
            <w:tcW w:w="428" w:type="pct"/>
            <w:noWrap/>
            <w:hideMark/>
          </w:tcPr>
          <w:p w:rsidR="001A26B0" w:rsidRDefault="00E33A99">
            <w:pPr>
              <w:keepNext/>
              <w:spacing w:after="120"/>
              <w:jc w:val="right"/>
              <w:rPr>
                <w:noProof/>
                <w:sz w:val="20"/>
              </w:rPr>
            </w:pPr>
            <w:r>
              <w:rPr>
                <w:noProof/>
                <w:sz w:val="20"/>
              </w:rPr>
              <w:t>10.0%</w:t>
            </w:r>
          </w:p>
        </w:tc>
        <w:tc>
          <w:tcPr>
            <w:tcW w:w="428" w:type="pct"/>
            <w:noWrap/>
            <w:hideMark/>
          </w:tcPr>
          <w:p w:rsidR="001A26B0" w:rsidRDefault="00E33A99">
            <w:pPr>
              <w:keepNext/>
              <w:spacing w:after="120"/>
              <w:jc w:val="right"/>
              <w:rPr>
                <w:noProof/>
                <w:sz w:val="20"/>
              </w:rPr>
            </w:pPr>
            <w:r>
              <w:rPr>
                <w:noProof/>
                <w:sz w:val="20"/>
              </w:rPr>
              <w:t>6.7%</w:t>
            </w:r>
          </w:p>
        </w:tc>
        <w:tc>
          <w:tcPr>
            <w:tcW w:w="429" w:type="pct"/>
            <w:noWrap/>
            <w:hideMark/>
          </w:tcPr>
          <w:p w:rsidR="001A26B0" w:rsidRDefault="00E33A99">
            <w:pPr>
              <w:keepNext/>
              <w:spacing w:after="120"/>
              <w:jc w:val="right"/>
              <w:rPr>
                <w:noProof/>
                <w:sz w:val="20"/>
              </w:rPr>
            </w:pPr>
            <w:r>
              <w:rPr>
                <w:noProof/>
                <w:sz w:val="20"/>
              </w:rPr>
              <w:t>1.8%</w:t>
            </w:r>
          </w:p>
        </w:tc>
        <w:tc>
          <w:tcPr>
            <w:tcW w:w="428" w:type="pct"/>
            <w:noWrap/>
            <w:hideMark/>
          </w:tcPr>
          <w:p w:rsidR="001A26B0" w:rsidRDefault="00E33A99">
            <w:pPr>
              <w:keepNext/>
              <w:spacing w:after="120"/>
              <w:jc w:val="right"/>
              <w:rPr>
                <w:noProof/>
                <w:sz w:val="20"/>
              </w:rPr>
            </w:pPr>
            <w:r>
              <w:rPr>
                <w:noProof/>
                <w:sz w:val="20"/>
              </w:rPr>
              <w:t>0.7%</w:t>
            </w:r>
          </w:p>
        </w:tc>
      </w:tr>
      <w:tr w:rsidR="001A26B0">
        <w:trPr>
          <w:trHeight w:val="300"/>
        </w:trPr>
        <w:tc>
          <w:tcPr>
            <w:tcW w:w="720" w:type="pct"/>
            <w:noWrap/>
            <w:hideMark/>
          </w:tcPr>
          <w:p w:rsidR="001A26B0" w:rsidRDefault="00E33A99">
            <w:pPr>
              <w:keepNext/>
              <w:spacing w:after="120"/>
              <w:rPr>
                <w:noProof/>
                <w:sz w:val="20"/>
              </w:rPr>
            </w:pPr>
            <w:r>
              <w:rPr>
                <w:noProof/>
                <w:sz w:val="20"/>
              </w:rPr>
              <w:t>TLC30</w:t>
            </w:r>
          </w:p>
        </w:tc>
        <w:tc>
          <w:tcPr>
            <w:tcW w:w="426" w:type="pct"/>
            <w:noWrap/>
            <w:hideMark/>
          </w:tcPr>
          <w:p w:rsidR="001A26B0" w:rsidRDefault="00E33A99">
            <w:pPr>
              <w:keepNext/>
              <w:spacing w:after="120"/>
              <w:jc w:val="right"/>
              <w:rPr>
                <w:noProof/>
                <w:sz w:val="20"/>
              </w:rPr>
            </w:pPr>
            <w:r>
              <w:rPr>
                <w:noProof/>
                <w:sz w:val="20"/>
              </w:rPr>
              <w:t>19.9%</w:t>
            </w:r>
          </w:p>
        </w:tc>
        <w:tc>
          <w:tcPr>
            <w:tcW w:w="429" w:type="pct"/>
            <w:noWrap/>
            <w:hideMark/>
          </w:tcPr>
          <w:p w:rsidR="001A26B0" w:rsidRDefault="00E33A99">
            <w:pPr>
              <w:keepNext/>
              <w:spacing w:after="120"/>
              <w:jc w:val="right"/>
              <w:rPr>
                <w:noProof/>
                <w:sz w:val="20"/>
              </w:rPr>
            </w:pPr>
            <w:r>
              <w:rPr>
                <w:noProof/>
                <w:sz w:val="20"/>
              </w:rPr>
              <w:t>15.3%</w:t>
            </w:r>
          </w:p>
        </w:tc>
        <w:tc>
          <w:tcPr>
            <w:tcW w:w="428" w:type="pct"/>
            <w:noWrap/>
            <w:hideMark/>
          </w:tcPr>
          <w:p w:rsidR="001A26B0" w:rsidRDefault="00E33A99">
            <w:pPr>
              <w:keepNext/>
              <w:spacing w:after="120"/>
              <w:jc w:val="right"/>
              <w:rPr>
                <w:noProof/>
                <w:sz w:val="20"/>
              </w:rPr>
            </w:pPr>
            <w:r>
              <w:rPr>
                <w:noProof/>
                <w:sz w:val="20"/>
              </w:rPr>
              <w:t>28.4%</w:t>
            </w:r>
          </w:p>
        </w:tc>
        <w:tc>
          <w:tcPr>
            <w:tcW w:w="428" w:type="pct"/>
            <w:noWrap/>
            <w:hideMark/>
          </w:tcPr>
          <w:p w:rsidR="001A26B0" w:rsidRDefault="00E33A99">
            <w:pPr>
              <w:keepNext/>
              <w:spacing w:after="120"/>
              <w:jc w:val="right"/>
              <w:rPr>
                <w:noProof/>
                <w:sz w:val="20"/>
              </w:rPr>
            </w:pPr>
            <w:r>
              <w:rPr>
                <w:noProof/>
                <w:sz w:val="20"/>
              </w:rPr>
              <w:t>10.1%</w:t>
            </w:r>
          </w:p>
        </w:tc>
        <w:tc>
          <w:tcPr>
            <w:tcW w:w="428" w:type="pct"/>
            <w:noWrap/>
            <w:hideMark/>
          </w:tcPr>
          <w:p w:rsidR="001A26B0" w:rsidRDefault="00E33A99">
            <w:pPr>
              <w:keepNext/>
              <w:spacing w:after="120"/>
              <w:jc w:val="right"/>
              <w:rPr>
                <w:noProof/>
                <w:sz w:val="20"/>
              </w:rPr>
            </w:pPr>
            <w:r>
              <w:rPr>
                <w:noProof/>
                <w:sz w:val="20"/>
              </w:rPr>
              <w:t>1.8%</w:t>
            </w:r>
          </w:p>
        </w:tc>
        <w:tc>
          <w:tcPr>
            <w:tcW w:w="427" w:type="pct"/>
            <w:noWrap/>
            <w:hideMark/>
          </w:tcPr>
          <w:p w:rsidR="001A26B0" w:rsidRDefault="00E33A99">
            <w:pPr>
              <w:keepNext/>
              <w:spacing w:after="120"/>
              <w:jc w:val="right"/>
              <w:rPr>
                <w:noProof/>
                <w:sz w:val="20"/>
              </w:rPr>
            </w:pPr>
            <w:r>
              <w:rPr>
                <w:noProof/>
                <w:sz w:val="20"/>
              </w:rPr>
              <w:t>4.1%</w:t>
            </w:r>
          </w:p>
        </w:tc>
        <w:tc>
          <w:tcPr>
            <w:tcW w:w="428" w:type="pct"/>
            <w:noWrap/>
            <w:hideMark/>
          </w:tcPr>
          <w:p w:rsidR="001A26B0" w:rsidRDefault="00E33A99">
            <w:pPr>
              <w:keepNext/>
              <w:spacing w:after="120"/>
              <w:jc w:val="right"/>
              <w:rPr>
                <w:noProof/>
                <w:sz w:val="20"/>
              </w:rPr>
            </w:pPr>
            <w:r>
              <w:rPr>
                <w:noProof/>
                <w:sz w:val="20"/>
              </w:rPr>
              <w:t>10.8%</w:t>
            </w:r>
          </w:p>
        </w:tc>
        <w:tc>
          <w:tcPr>
            <w:tcW w:w="428" w:type="pct"/>
            <w:noWrap/>
            <w:hideMark/>
          </w:tcPr>
          <w:p w:rsidR="001A26B0" w:rsidRDefault="00E33A99">
            <w:pPr>
              <w:keepNext/>
              <w:spacing w:after="120"/>
              <w:jc w:val="right"/>
              <w:rPr>
                <w:noProof/>
                <w:sz w:val="20"/>
              </w:rPr>
            </w:pPr>
            <w:r>
              <w:rPr>
                <w:noProof/>
                <w:sz w:val="20"/>
              </w:rPr>
              <w:t>7.1%</w:t>
            </w:r>
          </w:p>
        </w:tc>
        <w:tc>
          <w:tcPr>
            <w:tcW w:w="429" w:type="pct"/>
            <w:noWrap/>
            <w:hideMark/>
          </w:tcPr>
          <w:p w:rsidR="001A26B0" w:rsidRDefault="00E33A99">
            <w:pPr>
              <w:keepNext/>
              <w:spacing w:after="120"/>
              <w:jc w:val="right"/>
              <w:rPr>
                <w:noProof/>
                <w:sz w:val="20"/>
              </w:rPr>
            </w:pPr>
            <w:r>
              <w:rPr>
                <w:noProof/>
                <w:sz w:val="20"/>
              </w:rPr>
              <w:t>1.9%</w:t>
            </w:r>
          </w:p>
        </w:tc>
        <w:tc>
          <w:tcPr>
            <w:tcW w:w="428" w:type="pct"/>
            <w:noWrap/>
            <w:hideMark/>
          </w:tcPr>
          <w:p w:rsidR="001A26B0" w:rsidRDefault="00E33A99">
            <w:pPr>
              <w:keepNext/>
              <w:spacing w:after="120"/>
              <w:jc w:val="right"/>
              <w:rPr>
                <w:noProof/>
                <w:sz w:val="20"/>
              </w:rPr>
            </w:pPr>
            <w:r>
              <w:rPr>
                <w:noProof/>
                <w:sz w:val="20"/>
              </w:rPr>
              <w:t>0.7%</w:t>
            </w:r>
          </w:p>
        </w:tc>
      </w:tr>
      <w:tr w:rsidR="001A26B0">
        <w:trPr>
          <w:trHeight w:val="300"/>
        </w:trPr>
        <w:tc>
          <w:tcPr>
            <w:tcW w:w="720" w:type="pct"/>
            <w:noWrap/>
            <w:hideMark/>
          </w:tcPr>
          <w:p w:rsidR="001A26B0" w:rsidRDefault="00E33A99">
            <w:pPr>
              <w:keepNext/>
              <w:spacing w:after="120"/>
              <w:rPr>
                <w:noProof/>
                <w:sz w:val="20"/>
              </w:rPr>
            </w:pPr>
            <w:r>
              <w:rPr>
                <w:noProof/>
                <w:sz w:val="20"/>
              </w:rPr>
              <w:t>TLC40</w:t>
            </w:r>
          </w:p>
        </w:tc>
        <w:tc>
          <w:tcPr>
            <w:tcW w:w="426" w:type="pct"/>
            <w:noWrap/>
            <w:hideMark/>
          </w:tcPr>
          <w:p w:rsidR="001A26B0" w:rsidRDefault="00E33A99">
            <w:pPr>
              <w:keepNext/>
              <w:spacing w:after="120"/>
              <w:jc w:val="right"/>
              <w:rPr>
                <w:noProof/>
                <w:sz w:val="20"/>
              </w:rPr>
            </w:pPr>
            <w:r>
              <w:rPr>
                <w:noProof/>
                <w:sz w:val="20"/>
              </w:rPr>
              <w:t>16.7%</w:t>
            </w:r>
          </w:p>
        </w:tc>
        <w:tc>
          <w:tcPr>
            <w:tcW w:w="429" w:type="pct"/>
            <w:noWrap/>
            <w:hideMark/>
          </w:tcPr>
          <w:p w:rsidR="001A26B0" w:rsidRDefault="00E33A99">
            <w:pPr>
              <w:keepNext/>
              <w:spacing w:after="120"/>
              <w:jc w:val="right"/>
              <w:rPr>
                <w:noProof/>
                <w:sz w:val="20"/>
              </w:rPr>
            </w:pPr>
            <w:r>
              <w:rPr>
                <w:noProof/>
                <w:sz w:val="20"/>
              </w:rPr>
              <w:t>14.6%</w:t>
            </w:r>
          </w:p>
        </w:tc>
        <w:tc>
          <w:tcPr>
            <w:tcW w:w="428" w:type="pct"/>
            <w:noWrap/>
            <w:hideMark/>
          </w:tcPr>
          <w:p w:rsidR="001A26B0" w:rsidRDefault="00E33A99">
            <w:pPr>
              <w:keepNext/>
              <w:spacing w:after="120"/>
              <w:jc w:val="right"/>
              <w:rPr>
                <w:noProof/>
                <w:sz w:val="20"/>
              </w:rPr>
            </w:pPr>
            <w:r>
              <w:rPr>
                <w:noProof/>
                <w:sz w:val="20"/>
              </w:rPr>
              <w:t>24.4%</w:t>
            </w:r>
          </w:p>
        </w:tc>
        <w:tc>
          <w:tcPr>
            <w:tcW w:w="428" w:type="pct"/>
            <w:noWrap/>
            <w:hideMark/>
          </w:tcPr>
          <w:p w:rsidR="001A26B0" w:rsidRDefault="00E33A99">
            <w:pPr>
              <w:keepNext/>
              <w:spacing w:after="120"/>
              <w:jc w:val="right"/>
              <w:rPr>
                <w:noProof/>
                <w:sz w:val="20"/>
              </w:rPr>
            </w:pPr>
            <w:r>
              <w:rPr>
                <w:noProof/>
                <w:sz w:val="20"/>
              </w:rPr>
              <w:t>9.6%</w:t>
            </w:r>
          </w:p>
        </w:tc>
        <w:tc>
          <w:tcPr>
            <w:tcW w:w="428" w:type="pct"/>
            <w:noWrap/>
            <w:hideMark/>
          </w:tcPr>
          <w:p w:rsidR="001A26B0" w:rsidRDefault="00E33A99">
            <w:pPr>
              <w:keepNext/>
              <w:spacing w:after="120"/>
              <w:jc w:val="right"/>
              <w:rPr>
                <w:noProof/>
                <w:sz w:val="20"/>
              </w:rPr>
            </w:pPr>
            <w:r>
              <w:rPr>
                <w:noProof/>
                <w:sz w:val="20"/>
              </w:rPr>
              <w:t>1.6%</w:t>
            </w:r>
          </w:p>
        </w:tc>
        <w:tc>
          <w:tcPr>
            <w:tcW w:w="427" w:type="pct"/>
            <w:noWrap/>
            <w:hideMark/>
          </w:tcPr>
          <w:p w:rsidR="001A26B0" w:rsidRDefault="00E33A99">
            <w:pPr>
              <w:keepNext/>
              <w:spacing w:after="120"/>
              <w:jc w:val="right"/>
              <w:rPr>
                <w:noProof/>
                <w:sz w:val="20"/>
              </w:rPr>
            </w:pPr>
            <w:r>
              <w:rPr>
                <w:noProof/>
                <w:sz w:val="20"/>
              </w:rPr>
              <w:t>4.2%</w:t>
            </w:r>
          </w:p>
        </w:tc>
        <w:tc>
          <w:tcPr>
            <w:tcW w:w="428" w:type="pct"/>
            <w:noWrap/>
            <w:hideMark/>
          </w:tcPr>
          <w:p w:rsidR="001A26B0" w:rsidRDefault="00E33A99">
            <w:pPr>
              <w:keepNext/>
              <w:spacing w:after="120"/>
              <w:jc w:val="right"/>
              <w:rPr>
                <w:noProof/>
                <w:sz w:val="20"/>
              </w:rPr>
            </w:pPr>
            <w:r>
              <w:rPr>
                <w:noProof/>
                <w:sz w:val="20"/>
              </w:rPr>
              <w:t>15.7%</w:t>
            </w:r>
          </w:p>
        </w:tc>
        <w:tc>
          <w:tcPr>
            <w:tcW w:w="428" w:type="pct"/>
            <w:noWrap/>
            <w:hideMark/>
          </w:tcPr>
          <w:p w:rsidR="001A26B0" w:rsidRDefault="00E33A99">
            <w:pPr>
              <w:keepNext/>
              <w:spacing w:after="120"/>
              <w:jc w:val="right"/>
              <w:rPr>
                <w:noProof/>
                <w:sz w:val="20"/>
              </w:rPr>
            </w:pPr>
            <w:r>
              <w:rPr>
                <w:noProof/>
                <w:sz w:val="20"/>
              </w:rPr>
              <w:t>9.7%</w:t>
            </w:r>
          </w:p>
        </w:tc>
        <w:tc>
          <w:tcPr>
            <w:tcW w:w="429" w:type="pct"/>
            <w:noWrap/>
            <w:hideMark/>
          </w:tcPr>
          <w:p w:rsidR="001A26B0" w:rsidRDefault="00E33A99">
            <w:pPr>
              <w:keepNext/>
              <w:spacing w:after="120"/>
              <w:jc w:val="right"/>
              <w:rPr>
                <w:noProof/>
                <w:sz w:val="20"/>
              </w:rPr>
            </w:pPr>
            <w:r>
              <w:rPr>
                <w:noProof/>
                <w:sz w:val="20"/>
              </w:rPr>
              <w:t>2.6%</w:t>
            </w:r>
          </w:p>
        </w:tc>
        <w:tc>
          <w:tcPr>
            <w:tcW w:w="428" w:type="pct"/>
            <w:noWrap/>
            <w:hideMark/>
          </w:tcPr>
          <w:p w:rsidR="001A26B0" w:rsidRDefault="00E33A99">
            <w:pPr>
              <w:keepNext/>
              <w:spacing w:after="120"/>
              <w:jc w:val="right"/>
              <w:rPr>
                <w:noProof/>
                <w:sz w:val="20"/>
              </w:rPr>
            </w:pPr>
            <w:r>
              <w:rPr>
                <w:noProof/>
                <w:sz w:val="20"/>
              </w:rPr>
              <w:t>1.0%</w:t>
            </w:r>
          </w:p>
        </w:tc>
      </w:tr>
      <w:tr w:rsidR="001A26B0">
        <w:trPr>
          <w:trHeight w:val="300"/>
        </w:trPr>
        <w:tc>
          <w:tcPr>
            <w:tcW w:w="720" w:type="pct"/>
            <w:noWrap/>
            <w:hideMark/>
          </w:tcPr>
          <w:p w:rsidR="001A26B0" w:rsidRDefault="00E33A99">
            <w:pPr>
              <w:keepNext/>
              <w:spacing w:after="120"/>
              <w:rPr>
                <w:noProof/>
                <w:sz w:val="20"/>
              </w:rPr>
            </w:pPr>
            <w:r>
              <w:rPr>
                <w:noProof/>
                <w:sz w:val="20"/>
              </w:rPr>
              <w:t>TLC_EP40</w:t>
            </w:r>
          </w:p>
        </w:tc>
        <w:tc>
          <w:tcPr>
            <w:tcW w:w="426" w:type="pct"/>
            <w:noWrap/>
            <w:hideMark/>
          </w:tcPr>
          <w:p w:rsidR="001A26B0" w:rsidRDefault="00E33A99">
            <w:pPr>
              <w:keepNext/>
              <w:spacing w:after="120"/>
              <w:jc w:val="right"/>
              <w:rPr>
                <w:noProof/>
                <w:sz w:val="20"/>
              </w:rPr>
            </w:pPr>
            <w:r>
              <w:rPr>
                <w:noProof/>
                <w:sz w:val="20"/>
              </w:rPr>
              <w:t>15.7%</w:t>
            </w:r>
          </w:p>
        </w:tc>
        <w:tc>
          <w:tcPr>
            <w:tcW w:w="429" w:type="pct"/>
            <w:noWrap/>
            <w:hideMark/>
          </w:tcPr>
          <w:p w:rsidR="001A26B0" w:rsidRDefault="00E33A99">
            <w:pPr>
              <w:keepNext/>
              <w:spacing w:after="120"/>
              <w:jc w:val="right"/>
              <w:rPr>
                <w:noProof/>
                <w:sz w:val="20"/>
              </w:rPr>
            </w:pPr>
            <w:r>
              <w:rPr>
                <w:noProof/>
                <w:sz w:val="20"/>
              </w:rPr>
              <w:t>14.4%</w:t>
            </w:r>
          </w:p>
        </w:tc>
        <w:tc>
          <w:tcPr>
            <w:tcW w:w="428" w:type="pct"/>
            <w:noWrap/>
            <w:hideMark/>
          </w:tcPr>
          <w:p w:rsidR="001A26B0" w:rsidRDefault="00E33A99">
            <w:pPr>
              <w:keepNext/>
              <w:spacing w:after="120"/>
              <w:jc w:val="right"/>
              <w:rPr>
                <w:noProof/>
                <w:sz w:val="20"/>
              </w:rPr>
            </w:pPr>
            <w:r>
              <w:rPr>
                <w:noProof/>
                <w:sz w:val="20"/>
              </w:rPr>
              <w:t>22.9%</w:t>
            </w:r>
          </w:p>
        </w:tc>
        <w:tc>
          <w:tcPr>
            <w:tcW w:w="428" w:type="pct"/>
            <w:noWrap/>
            <w:hideMark/>
          </w:tcPr>
          <w:p w:rsidR="001A26B0" w:rsidRDefault="00E33A99">
            <w:pPr>
              <w:keepNext/>
              <w:spacing w:after="120"/>
              <w:jc w:val="right"/>
              <w:rPr>
                <w:noProof/>
                <w:sz w:val="20"/>
              </w:rPr>
            </w:pPr>
            <w:r>
              <w:rPr>
                <w:noProof/>
                <w:sz w:val="20"/>
              </w:rPr>
              <w:t>9.5%</w:t>
            </w:r>
          </w:p>
        </w:tc>
        <w:tc>
          <w:tcPr>
            <w:tcW w:w="428" w:type="pct"/>
            <w:noWrap/>
            <w:hideMark/>
          </w:tcPr>
          <w:p w:rsidR="001A26B0" w:rsidRDefault="00E33A99">
            <w:pPr>
              <w:keepNext/>
              <w:spacing w:after="120"/>
              <w:jc w:val="right"/>
              <w:rPr>
                <w:noProof/>
                <w:sz w:val="20"/>
              </w:rPr>
            </w:pPr>
            <w:r>
              <w:rPr>
                <w:noProof/>
                <w:sz w:val="20"/>
              </w:rPr>
              <w:t>1.5%</w:t>
            </w:r>
          </w:p>
        </w:tc>
        <w:tc>
          <w:tcPr>
            <w:tcW w:w="427" w:type="pct"/>
            <w:noWrap/>
            <w:hideMark/>
          </w:tcPr>
          <w:p w:rsidR="001A26B0" w:rsidRDefault="00E33A99">
            <w:pPr>
              <w:keepNext/>
              <w:spacing w:after="120"/>
              <w:jc w:val="right"/>
              <w:rPr>
                <w:noProof/>
                <w:sz w:val="20"/>
              </w:rPr>
            </w:pPr>
            <w:r>
              <w:rPr>
                <w:noProof/>
                <w:sz w:val="20"/>
              </w:rPr>
              <w:t>4.1%</w:t>
            </w:r>
          </w:p>
        </w:tc>
        <w:tc>
          <w:tcPr>
            <w:tcW w:w="428" w:type="pct"/>
            <w:noWrap/>
            <w:hideMark/>
          </w:tcPr>
          <w:p w:rsidR="001A26B0" w:rsidRDefault="00E33A99">
            <w:pPr>
              <w:keepNext/>
              <w:spacing w:after="120"/>
              <w:jc w:val="right"/>
              <w:rPr>
                <w:noProof/>
                <w:sz w:val="20"/>
              </w:rPr>
            </w:pPr>
            <w:r>
              <w:rPr>
                <w:noProof/>
                <w:sz w:val="20"/>
              </w:rPr>
              <w:t>17.4%</w:t>
            </w:r>
          </w:p>
        </w:tc>
        <w:tc>
          <w:tcPr>
            <w:tcW w:w="428" w:type="pct"/>
            <w:noWrap/>
            <w:hideMark/>
          </w:tcPr>
          <w:p w:rsidR="001A26B0" w:rsidRDefault="00E33A99">
            <w:pPr>
              <w:keepNext/>
              <w:spacing w:after="120"/>
              <w:jc w:val="right"/>
              <w:rPr>
                <w:noProof/>
                <w:sz w:val="20"/>
              </w:rPr>
            </w:pPr>
            <w:r>
              <w:rPr>
                <w:noProof/>
                <w:sz w:val="20"/>
              </w:rPr>
              <w:t>10.7%</w:t>
            </w:r>
          </w:p>
        </w:tc>
        <w:tc>
          <w:tcPr>
            <w:tcW w:w="429" w:type="pct"/>
            <w:noWrap/>
            <w:hideMark/>
          </w:tcPr>
          <w:p w:rsidR="001A26B0" w:rsidRDefault="00E33A99">
            <w:pPr>
              <w:keepNext/>
              <w:spacing w:after="120"/>
              <w:jc w:val="right"/>
              <w:rPr>
                <w:noProof/>
                <w:sz w:val="20"/>
              </w:rPr>
            </w:pPr>
            <w:r>
              <w:rPr>
                <w:noProof/>
                <w:sz w:val="20"/>
              </w:rPr>
              <w:t>2.8%</w:t>
            </w:r>
          </w:p>
        </w:tc>
        <w:tc>
          <w:tcPr>
            <w:tcW w:w="428" w:type="pct"/>
            <w:noWrap/>
            <w:hideMark/>
          </w:tcPr>
          <w:p w:rsidR="001A26B0" w:rsidRDefault="00E33A99">
            <w:pPr>
              <w:keepNext/>
              <w:spacing w:after="120"/>
              <w:jc w:val="right"/>
              <w:rPr>
                <w:noProof/>
                <w:sz w:val="20"/>
              </w:rPr>
            </w:pPr>
            <w:r>
              <w:rPr>
                <w:noProof/>
                <w:sz w:val="20"/>
              </w:rPr>
              <w:t>1.1%</w:t>
            </w:r>
          </w:p>
        </w:tc>
      </w:tr>
      <w:tr w:rsidR="001A26B0">
        <w:trPr>
          <w:trHeight w:val="300"/>
        </w:trPr>
        <w:tc>
          <w:tcPr>
            <w:tcW w:w="720" w:type="pct"/>
            <w:noWrap/>
            <w:hideMark/>
          </w:tcPr>
          <w:p w:rsidR="001A26B0" w:rsidRDefault="00E33A99">
            <w:pPr>
              <w:spacing w:after="120"/>
              <w:rPr>
                <w:noProof/>
                <w:sz w:val="20"/>
              </w:rPr>
            </w:pPr>
            <w:r>
              <w:rPr>
                <w:noProof/>
                <w:sz w:val="20"/>
              </w:rPr>
              <w:t>TLC_EP50</w:t>
            </w:r>
          </w:p>
        </w:tc>
        <w:tc>
          <w:tcPr>
            <w:tcW w:w="426" w:type="pct"/>
            <w:noWrap/>
            <w:hideMark/>
          </w:tcPr>
          <w:p w:rsidR="001A26B0" w:rsidRDefault="00E33A99">
            <w:pPr>
              <w:spacing w:after="120"/>
              <w:jc w:val="right"/>
              <w:rPr>
                <w:noProof/>
                <w:sz w:val="20"/>
              </w:rPr>
            </w:pPr>
            <w:r>
              <w:rPr>
                <w:noProof/>
                <w:sz w:val="20"/>
              </w:rPr>
              <w:t>13.3%</w:t>
            </w:r>
          </w:p>
        </w:tc>
        <w:tc>
          <w:tcPr>
            <w:tcW w:w="429" w:type="pct"/>
            <w:noWrap/>
            <w:hideMark/>
          </w:tcPr>
          <w:p w:rsidR="001A26B0" w:rsidRDefault="00E33A99">
            <w:pPr>
              <w:spacing w:after="120"/>
              <w:jc w:val="right"/>
              <w:rPr>
                <w:noProof/>
                <w:sz w:val="20"/>
              </w:rPr>
            </w:pPr>
            <w:r>
              <w:rPr>
                <w:noProof/>
                <w:sz w:val="20"/>
              </w:rPr>
              <w:t>12.8%</w:t>
            </w:r>
          </w:p>
        </w:tc>
        <w:tc>
          <w:tcPr>
            <w:tcW w:w="428" w:type="pct"/>
            <w:noWrap/>
            <w:hideMark/>
          </w:tcPr>
          <w:p w:rsidR="001A26B0" w:rsidRDefault="00E33A99">
            <w:pPr>
              <w:spacing w:after="120"/>
              <w:jc w:val="right"/>
              <w:rPr>
                <w:noProof/>
                <w:sz w:val="20"/>
              </w:rPr>
            </w:pPr>
            <w:r>
              <w:rPr>
                <w:noProof/>
                <w:sz w:val="20"/>
              </w:rPr>
              <w:t>20.1%</w:t>
            </w:r>
          </w:p>
        </w:tc>
        <w:tc>
          <w:tcPr>
            <w:tcW w:w="428" w:type="pct"/>
            <w:noWrap/>
            <w:hideMark/>
          </w:tcPr>
          <w:p w:rsidR="001A26B0" w:rsidRDefault="00E33A99">
            <w:pPr>
              <w:spacing w:after="120"/>
              <w:jc w:val="right"/>
              <w:rPr>
                <w:noProof/>
                <w:sz w:val="20"/>
              </w:rPr>
            </w:pPr>
            <w:r>
              <w:rPr>
                <w:noProof/>
                <w:sz w:val="20"/>
              </w:rPr>
              <w:t>9.1%</w:t>
            </w:r>
          </w:p>
        </w:tc>
        <w:tc>
          <w:tcPr>
            <w:tcW w:w="428" w:type="pct"/>
            <w:noWrap/>
            <w:hideMark/>
          </w:tcPr>
          <w:p w:rsidR="001A26B0" w:rsidRDefault="00E33A99">
            <w:pPr>
              <w:spacing w:after="120"/>
              <w:jc w:val="right"/>
              <w:rPr>
                <w:noProof/>
                <w:sz w:val="20"/>
              </w:rPr>
            </w:pPr>
            <w:r>
              <w:rPr>
                <w:noProof/>
                <w:sz w:val="20"/>
              </w:rPr>
              <w:t>1.4%</w:t>
            </w:r>
          </w:p>
        </w:tc>
        <w:tc>
          <w:tcPr>
            <w:tcW w:w="427" w:type="pct"/>
            <w:noWrap/>
            <w:hideMark/>
          </w:tcPr>
          <w:p w:rsidR="001A26B0" w:rsidRDefault="00E33A99">
            <w:pPr>
              <w:spacing w:after="120"/>
              <w:jc w:val="right"/>
              <w:rPr>
                <w:noProof/>
                <w:sz w:val="20"/>
              </w:rPr>
            </w:pPr>
            <w:r>
              <w:rPr>
                <w:noProof/>
                <w:sz w:val="20"/>
              </w:rPr>
              <w:t>3.9%</w:t>
            </w:r>
          </w:p>
        </w:tc>
        <w:tc>
          <w:tcPr>
            <w:tcW w:w="428" w:type="pct"/>
            <w:noWrap/>
            <w:hideMark/>
          </w:tcPr>
          <w:p w:rsidR="001A26B0" w:rsidRDefault="00E33A99">
            <w:pPr>
              <w:spacing w:after="120"/>
              <w:jc w:val="right"/>
              <w:rPr>
                <w:noProof/>
                <w:sz w:val="20"/>
              </w:rPr>
            </w:pPr>
            <w:r>
              <w:rPr>
                <w:noProof/>
                <w:sz w:val="20"/>
              </w:rPr>
              <w:t>22.1%</w:t>
            </w:r>
          </w:p>
        </w:tc>
        <w:tc>
          <w:tcPr>
            <w:tcW w:w="428" w:type="pct"/>
            <w:noWrap/>
            <w:hideMark/>
          </w:tcPr>
          <w:p w:rsidR="001A26B0" w:rsidRDefault="00E33A99">
            <w:pPr>
              <w:spacing w:after="120"/>
              <w:jc w:val="right"/>
              <w:rPr>
                <w:noProof/>
                <w:sz w:val="20"/>
              </w:rPr>
            </w:pPr>
            <w:r>
              <w:rPr>
                <w:noProof/>
                <w:sz w:val="20"/>
              </w:rPr>
              <w:t>13.0%</w:t>
            </w:r>
          </w:p>
        </w:tc>
        <w:tc>
          <w:tcPr>
            <w:tcW w:w="429" w:type="pct"/>
            <w:noWrap/>
            <w:hideMark/>
          </w:tcPr>
          <w:p w:rsidR="001A26B0" w:rsidRDefault="00E33A99">
            <w:pPr>
              <w:spacing w:after="120"/>
              <w:jc w:val="right"/>
              <w:rPr>
                <w:noProof/>
                <w:sz w:val="20"/>
              </w:rPr>
            </w:pPr>
            <w:r>
              <w:rPr>
                <w:noProof/>
                <w:sz w:val="20"/>
              </w:rPr>
              <w:t>3.3%</w:t>
            </w:r>
          </w:p>
        </w:tc>
        <w:tc>
          <w:tcPr>
            <w:tcW w:w="428" w:type="pct"/>
            <w:noWrap/>
            <w:hideMark/>
          </w:tcPr>
          <w:p w:rsidR="001A26B0" w:rsidRDefault="00E33A99">
            <w:pPr>
              <w:spacing w:after="120"/>
              <w:jc w:val="right"/>
              <w:rPr>
                <w:noProof/>
                <w:sz w:val="20"/>
              </w:rPr>
            </w:pPr>
            <w:r>
              <w:rPr>
                <w:noProof/>
                <w:sz w:val="20"/>
              </w:rPr>
              <w:t>1.0%</w:t>
            </w:r>
          </w:p>
        </w:tc>
      </w:tr>
    </w:tbl>
    <w:p w:rsidR="001A26B0" w:rsidRDefault="00E33A99">
      <w:pPr>
        <w:pStyle w:val="Caption"/>
        <w:keepNext/>
        <w:rPr>
          <w:noProof/>
        </w:rPr>
      </w:pPr>
      <w:bookmarkStart w:id="233" w:name="_Ref493772273"/>
      <w:bookmarkStart w:id="234" w:name="_Toc496688556"/>
      <w:r>
        <w:rPr>
          <w:noProof/>
          <w:szCs w:val="24"/>
        </w:rPr>
        <w:t xml:space="preserve">Figure </w:t>
      </w:r>
      <w:r>
        <w:rPr>
          <w:noProof/>
          <w:szCs w:val="24"/>
        </w:rPr>
        <w:fldChar w:fldCharType="begin"/>
      </w:r>
      <w:r>
        <w:rPr>
          <w:noProof/>
          <w:szCs w:val="24"/>
        </w:rPr>
        <w:instrText xml:space="preserve"> SEQ Figure \* ARABIC </w:instrText>
      </w:r>
      <w:r>
        <w:rPr>
          <w:noProof/>
          <w:szCs w:val="24"/>
        </w:rPr>
        <w:fldChar w:fldCharType="separate"/>
      </w:r>
      <w:r>
        <w:rPr>
          <w:noProof/>
          <w:szCs w:val="24"/>
        </w:rPr>
        <w:t>10</w:t>
      </w:r>
      <w:r>
        <w:rPr>
          <w:noProof/>
          <w:szCs w:val="24"/>
        </w:rPr>
        <w:fldChar w:fldCharType="end"/>
      </w:r>
      <w:bookmarkEnd w:id="233"/>
      <w:r>
        <w:rPr>
          <w:noProof/>
          <w:szCs w:val="24"/>
        </w:rPr>
        <w:t xml:space="preserve">: </w:t>
      </w:r>
      <w:r>
        <w:rPr>
          <w:noProof/>
        </w:rPr>
        <w:t>Passenger car</w:t>
      </w:r>
      <w:r>
        <w:rPr>
          <w:noProof/>
        </w:rPr>
        <w:t xml:space="preserve"> fleet powertrain composition (new cars) in 2025 and 2030 under different TLC options</w:t>
      </w:r>
      <w:bookmarkEnd w:id="234"/>
    </w:p>
    <w:p w:rsidR="001A26B0" w:rsidRDefault="00E33A99">
      <w:pPr>
        <w:spacing w:before="120" w:after="120"/>
        <w:jc w:val="center"/>
        <w:rPr>
          <w:noProof/>
        </w:rPr>
      </w:pPr>
      <w:r>
        <w:rPr>
          <w:noProof/>
          <w:lang w:eastAsia="en-GB"/>
        </w:rPr>
        <w:drawing>
          <wp:inline distT="0" distB="0" distL="0" distR="0">
            <wp:extent cx="5457825" cy="2714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61000" cy="2716204"/>
                    </a:xfrm>
                    <a:prstGeom prst="rect">
                      <a:avLst/>
                    </a:prstGeom>
                    <a:noFill/>
                  </pic:spPr>
                </pic:pic>
              </a:graphicData>
            </a:graphic>
          </wp:inline>
        </w:drawing>
      </w:r>
    </w:p>
    <w:p w:rsidR="001A26B0" w:rsidRDefault="00E33A99">
      <w:pPr>
        <w:spacing w:before="120" w:after="120"/>
        <w:rPr>
          <w:noProof/>
        </w:rPr>
      </w:pPr>
      <w:r>
        <w:rPr>
          <w:noProof/>
        </w:rPr>
        <w:fldChar w:fldCharType="begin"/>
      </w:r>
      <w:r>
        <w:rPr>
          <w:noProof/>
        </w:rPr>
        <w:instrText xml:space="preserve"> REF _Ref493669013 \h </w:instrText>
      </w:r>
      <w:r>
        <w:rPr>
          <w:noProof/>
        </w:rPr>
      </w:r>
      <w:r>
        <w:rPr>
          <w:noProof/>
        </w:rPr>
        <w:fldChar w:fldCharType="separate"/>
      </w:r>
      <w:r>
        <w:rPr>
          <w:noProof/>
        </w:rPr>
        <w:t>Table 7</w:t>
      </w:r>
      <w:r>
        <w:rPr>
          <w:noProof/>
        </w:rPr>
        <w:fldChar w:fldCharType="end"/>
      </w:r>
      <w:r>
        <w:rPr>
          <w:noProof/>
        </w:rPr>
        <w:t xml:space="preserve"> and </w:t>
      </w:r>
      <w:r>
        <w:rPr>
          <w:noProof/>
        </w:rPr>
        <w:fldChar w:fldCharType="begin"/>
      </w:r>
      <w:r>
        <w:rPr>
          <w:noProof/>
        </w:rPr>
        <w:instrText xml:space="preserve"> REF _Ref493772328 \h </w:instrText>
      </w:r>
      <w:r>
        <w:rPr>
          <w:noProof/>
        </w:rPr>
      </w:r>
      <w:r>
        <w:rPr>
          <w:noProof/>
        </w:rPr>
        <w:fldChar w:fldCharType="separate"/>
      </w:r>
      <w:r>
        <w:rPr>
          <w:noProof/>
          <w:szCs w:val="24"/>
        </w:rPr>
        <w:t>Figure 11</w:t>
      </w:r>
      <w:r>
        <w:rPr>
          <w:noProof/>
        </w:rPr>
        <w:fldChar w:fldCharType="end"/>
      </w:r>
      <w:r>
        <w:rPr>
          <w:noProof/>
        </w:rPr>
        <w:t xml:space="preserve"> show the impact of different target level options on the composition of the EU-wide fleet of new vans in 2025 and 2030. This shows that for vans the change would be a little less pronounced than for cars. Under the 30% targ</w:t>
      </w:r>
      <w:r>
        <w:rPr>
          <w:noProof/>
        </w:rPr>
        <w:t>et, in 2030 almost four fifths of the vans would still be equipped with a more efficient combustion engine. At the highest level of ambition considered, this share would fall to a little less than 55%.</w:t>
      </w:r>
    </w:p>
    <w:p w:rsidR="001A26B0" w:rsidRDefault="00E33A99">
      <w:pPr>
        <w:pStyle w:val="Caption"/>
        <w:rPr>
          <w:noProof/>
        </w:rPr>
      </w:pPr>
      <w:bookmarkStart w:id="235" w:name="_Ref493669013"/>
      <w:r>
        <w:rPr>
          <w:noProof/>
        </w:rPr>
        <w:t xml:space="preserve">Table </w:t>
      </w:r>
      <w:r>
        <w:rPr>
          <w:noProof/>
        </w:rPr>
        <w:fldChar w:fldCharType="begin"/>
      </w:r>
      <w:r>
        <w:rPr>
          <w:noProof/>
        </w:rPr>
        <w:instrText xml:space="preserve"> SEQ Table \* ARABIC </w:instrText>
      </w:r>
      <w:r>
        <w:rPr>
          <w:noProof/>
        </w:rPr>
        <w:fldChar w:fldCharType="separate"/>
      </w:r>
      <w:r>
        <w:rPr>
          <w:noProof/>
        </w:rPr>
        <w:t>7</w:t>
      </w:r>
      <w:r>
        <w:rPr>
          <w:noProof/>
        </w:rPr>
        <w:fldChar w:fldCharType="end"/>
      </w:r>
      <w:bookmarkEnd w:id="235"/>
      <w:r>
        <w:rPr>
          <w:noProof/>
        </w:rPr>
        <w:t xml:space="preserve">: Van fleet powertrain </w:t>
      </w:r>
      <w:r>
        <w:rPr>
          <w:noProof/>
        </w:rPr>
        <w:t xml:space="preserve">composition (new vans) in 2025 and 2030 under different TLV options </w:t>
      </w:r>
    </w:p>
    <w:tbl>
      <w:tblPr>
        <w:tblStyle w:val="TableGrid"/>
        <w:tblW w:w="5000" w:type="pct"/>
        <w:tblLayout w:type="fixed"/>
        <w:tblLook w:val="04A0" w:firstRow="1" w:lastRow="0" w:firstColumn="1" w:lastColumn="0" w:noHBand="0" w:noVBand="1"/>
      </w:tblPr>
      <w:tblGrid>
        <w:gridCol w:w="1394"/>
        <w:gridCol w:w="827"/>
        <w:gridCol w:w="828"/>
        <w:gridCol w:w="826"/>
        <w:gridCol w:w="826"/>
        <w:gridCol w:w="826"/>
        <w:gridCol w:w="825"/>
        <w:gridCol w:w="826"/>
        <w:gridCol w:w="826"/>
        <w:gridCol w:w="825"/>
      </w:tblGrid>
      <w:tr w:rsidR="001A26B0">
        <w:trPr>
          <w:trHeight w:val="289"/>
        </w:trPr>
        <w:tc>
          <w:tcPr>
            <w:tcW w:w="789" w:type="pct"/>
            <w:vMerge w:val="restart"/>
            <w:noWrap/>
            <w:vAlign w:val="center"/>
          </w:tcPr>
          <w:p w:rsidR="001A26B0" w:rsidRDefault="00E33A99">
            <w:pPr>
              <w:spacing w:after="120"/>
              <w:jc w:val="left"/>
              <w:rPr>
                <w:b/>
                <w:noProof/>
                <w:sz w:val="20"/>
              </w:rPr>
            </w:pPr>
            <w:r>
              <w:rPr>
                <w:b/>
                <w:noProof/>
                <w:sz w:val="22"/>
              </w:rPr>
              <w:t>2025</w:t>
            </w:r>
          </w:p>
        </w:tc>
        <w:tc>
          <w:tcPr>
            <w:tcW w:w="937" w:type="pct"/>
            <w:gridSpan w:val="2"/>
            <w:noWrap/>
          </w:tcPr>
          <w:p w:rsidR="001A26B0" w:rsidRDefault="00E33A99">
            <w:pPr>
              <w:spacing w:after="120"/>
              <w:jc w:val="center"/>
              <w:rPr>
                <w:noProof/>
                <w:sz w:val="20"/>
              </w:rPr>
            </w:pPr>
            <w:r>
              <w:rPr>
                <w:noProof/>
                <w:sz w:val="20"/>
              </w:rPr>
              <w:t>Gasoline</w:t>
            </w:r>
          </w:p>
        </w:tc>
        <w:tc>
          <w:tcPr>
            <w:tcW w:w="936" w:type="pct"/>
            <w:gridSpan w:val="2"/>
            <w:noWrap/>
          </w:tcPr>
          <w:p w:rsidR="001A26B0" w:rsidRDefault="00E33A99">
            <w:pPr>
              <w:spacing w:after="120"/>
              <w:jc w:val="center"/>
              <w:rPr>
                <w:noProof/>
                <w:sz w:val="20"/>
              </w:rPr>
            </w:pPr>
            <w:r>
              <w:rPr>
                <w:noProof/>
                <w:sz w:val="20"/>
              </w:rPr>
              <w:t>Diesel</w:t>
            </w:r>
          </w:p>
        </w:tc>
        <w:tc>
          <w:tcPr>
            <w:tcW w:w="468" w:type="pct"/>
            <w:vMerge w:val="restart"/>
            <w:noWrap/>
            <w:vAlign w:val="center"/>
          </w:tcPr>
          <w:p w:rsidR="001A26B0" w:rsidRDefault="00E33A99">
            <w:pPr>
              <w:spacing w:after="120"/>
              <w:jc w:val="center"/>
              <w:rPr>
                <w:noProof/>
                <w:sz w:val="20"/>
              </w:rPr>
            </w:pPr>
            <w:r>
              <w:rPr>
                <w:noProof/>
                <w:sz w:val="20"/>
              </w:rPr>
              <w:t>CNG</w:t>
            </w:r>
          </w:p>
        </w:tc>
        <w:tc>
          <w:tcPr>
            <w:tcW w:w="467" w:type="pct"/>
            <w:vMerge w:val="restart"/>
            <w:noWrap/>
            <w:vAlign w:val="center"/>
          </w:tcPr>
          <w:p w:rsidR="001A26B0" w:rsidRDefault="00E33A99">
            <w:pPr>
              <w:spacing w:after="120"/>
              <w:jc w:val="center"/>
              <w:rPr>
                <w:noProof/>
                <w:sz w:val="20"/>
              </w:rPr>
            </w:pPr>
            <w:r>
              <w:rPr>
                <w:noProof/>
                <w:sz w:val="20"/>
              </w:rPr>
              <w:t>LPG</w:t>
            </w:r>
          </w:p>
        </w:tc>
        <w:tc>
          <w:tcPr>
            <w:tcW w:w="468" w:type="pct"/>
            <w:vMerge w:val="restart"/>
            <w:noWrap/>
            <w:vAlign w:val="center"/>
          </w:tcPr>
          <w:p w:rsidR="001A26B0" w:rsidRDefault="00E33A99">
            <w:pPr>
              <w:spacing w:after="120"/>
              <w:jc w:val="center"/>
              <w:rPr>
                <w:noProof/>
                <w:sz w:val="20"/>
              </w:rPr>
            </w:pPr>
            <w:r>
              <w:rPr>
                <w:noProof/>
                <w:sz w:val="20"/>
              </w:rPr>
              <w:t>PHEV</w:t>
            </w:r>
          </w:p>
        </w:tc>
        <w:tc>
          <w:tcPr>
            <w:tcW w:w="468" w:type="pct"/>
            <w:vMerge w:val="restart"/>
            <w:noWrap/>
            <w:vAlign w:val="center"/>
          </w:tcPr>
          <w:p w:rsidR="001A26B0" w:rsidRDefault="00E33A99">
            <w:pPr>
              <w:spacing w:after="120"/>
              <w:jc w:val="center"/>
              <w:rPr>
                <w:noProof/>
                <w:sz w:val="20"/>
              </w:rPr>
            </w:pPr>
            <w:r>
              <w:rPr>
                <w:noProof/>
                <w:sz w:val="20"/>
              </w:rPr>
              <w:t>BEV</w:t>
            </w:r>
          </w:p>
        </w:tc>
        <w:tc>
          <w:tcPr>
            <w:tcW w:w="467" w:type="pct"/>
            <w:vMerge w:val="restart"/>
            <w:noWrap/>
            <w:vAlign w:val="center"/>
          </w:tcPr>
          <w:p w:rsidR="001A26B0" w:rsidRDefault="00E33A99">
            <w:pPr>
              <w:spacing w:after="120"/>
              <w:jc w:val="center"/>
              <w:rPr>
                <w:noProof/>
                <w:sz w:val="20"/>
              </w:rPr>
            </w:pPr>
            <w:r>
              <w:rPr>
                <w:noProof/>
                <w:sz w:val="20"/>
              </w:rPr>
              <w:t>FCEV</w:t>
            </w:r>
          </w:p>
        </w:tc>
      </w:tr>
      <w:tr w:rsidR="001A26B0">
        <w:trPr>
          <w:trHeight w:val="289"/>
        </w:trPr>
        <w:tc>
          <w:tcPr>
            <w:tcW w:w="789" w:type="pct"/>
            <w:vMerge/>
            <w:noWrap/>
          </w:tcPr>
          <w:p w:rsidR="001A26B0" w:rsidRDefault="001A26B0">
            <w:pPr>
              <w:spacing w:after="120"/>
              <w:rPr>
                <w:noProof/>
                <w:sz w:val="20"/>
              </w:rPr>
            </w:pPr>
          </w:p>
        </w:tc>
        <w:tc>
          <w:tcPr>
            <w:tcW w:w="468" w:type="pct"/>
            <w:noWrap/>
          </w:tcPr>
          <w:p w:rsidR="001A26B0" w:rsidRDefault="00E33A99">
            <w:pPr>
              <w:spacing w:after="120"/>
              <w:rPr>
                <w:noProof/>
                <w:sz w:val="20"/>
              </w:rPr>
            </w:pPr>
            <w:r>
              <w:rPr>
                <w:noProof/>
                <w:sz w:val="20"/>
              </w:rPr>
              <w:t>ICEV</w:t>
            </w:r>
          </w:p>
        </w:tc>
        <w:tc>
          <w:tcPr>
            <w:tcW w:w="469" w:type="pct"/>
            <w:noWrap/>
          </w:tcPr>
          <w:p w:rsidR="001A26B0" w:rsidRDefault="00E33A99">
            <w:pPr>
              <w:spacing w:after="120"/>
              <w:jc w:val="center"/>
              <w:rPr>
                <w:noProof/>
                <w:sz w:val="20"/>
              </w:rPr>
            </w:pPr>
            <w:r>
              <w:rPr>
                <w:noProof/>
                <w:sz w:val="20"/>
              </w:rPr>
              <w:t>HEV</w:t>
            </w:r>
          </w:p>
        </w:tc>
        <w:tc>
          <w:tcPr>
            <w:tcW w:w="468" w:type="pct"/>
            <w:noWrap/>
          </w:tcPr>
          <w:p w:rsidR="001A26B0" w:rsidRDefault="00E33A99">
            <w:pPr>
              <w:spacing w:after="120"/>
              <w:jc w:val="center"/>
              <w:rPr>
                <w:noProof/>
                <w:sz w:val="20"/>
              </w:rPr>
            </w:pPr>
            <w:r>
              <w:rPr>
                <w:noProof/>
                <w:sz w:val="20"/>
              </w:rPr>
              <w:t>ICEV</w:t>
            </w:r>
          </w:p>
        </w:tc>
        <w:tc>
          <w:tcPr>
            <w:tcW w:w="468" w:type="pct"/>
            <w:noWrap/>
          </w:tcPr>
          <w:p w:rsidR="001A26B0" w:rsidRDefault="00E33A99">
            <w:pPr>
              <w:spacing w:after="120"/>
              <w:rPr>
                <w:noProof/>
                <w:sz w:val="20"/>
              </w:rPr>
            </w:pPr>
            <w:r>
              <w:rPr>
                <w:noProof/>
                <w:sz w:val="20"/>
              </w:rPr>
              <w:t>HEV</w:t>
            </w:r>
          </w:p>
        </w:tc>
        <w:tc>
          <w:tcPr>
            <w:tcW w:w="468" w:type="pct"/>
            <w:vMerge/>
            <w:noWrap/>
          </w:tcPr>
          <w:p w:rsidR="001A26B0" w:rsidRDefault="001A26B0">
            <w:pPr>
              <w:spacing w:after="120"/>
              <w:jc w:val="center"/>
              <w:rPr>
                <w:noProof/>
                <w:sz w:val="20"/>
              </w:rPr>
            </w:pPr>
          </w:p>
        </w:tc>
        <w:tc>
          <w:tcPr>
            <w:tcW w:w="467" w:type="pct"/>
            <w:vMerge/>
            <w:noWrap/>
          </w:tcPr>
          <w:p w:rsidR="001A26B0" w:rsidRDefault="001A26B0">
            <w:pPr>
              <w:spacing w:after="120"/>
              <w:jc w:val="center"/>
              <w:rPr>
                <w:noProof/>
                <w:sz w:val="20"/>
              </w:rPr>
            </w:pPr>
          </w:p>
        </w:tc>
        <w:tc>
          <w:tcPr>
            <w:tcW w:w="468" w:type="pct"/>
            <w:vMerge/>
            <w:noWrap/>
          </w:tcPr>
          <w:p w:rsidR="001A26B0" w:rsidRDefault="001A26B0">
            <w:pPr>
              <w:spacing w:after="120"/>
              <w:jc w:val="center"/>
              <w:rPr>
                <w:noProof/>
                <w:sz w:val="20"/>
              </w:rPr>
            </w:pPr>
          </w:p>
        </w:tc>
        <w:tc>
          <w:tcPr>
            <w:tcW w:w="468" w:type="pct"/>
            <w:vMerge/>
            <w:noWrap/>
          </w:tcPr>
          <w:p w:rsidR="001A26B0" w:rsidRDefault="001A26B0">
            <w:pPr>
              <w:spacing w:after="120"/>
              <w:rPr>
                <w:noProof/>
                <w:sz w:val="20"/>
              </w:rPr>
            </w:pPr>
          </w:p>
        </w:tc>
        <w:tc>
          <w:tcPr>
            <w:tcW w:w="467" w:type="pct"/>
            <w:vMerge/>
            <w:noWrap/>
          </w:tcPr>
          <w:p w:rsidR="001A26B0" w:rsidRDefault="001A26B0">
            <w:pPr>
              <w:spacing w:after="120"/>
              <w:rPr>
                <w:noProof/>
                <w:sz w:val="20"/>
              </w:rPr>
            </w:pPr>
          </w:p>
        </w:tc>
      </w:tr>
      <w:tr w:rsidR="001A26B0">
        <w:trPr>
          <w:trHeight w:val="289"/>
        </w:trPr>
        <w:tc>
          <w:tcPr>
            <w:tcW w:w="789" w:type="pct"/>
            <w:noWrap/>
            <w:hideMark/>
          </w:tcPr>
          <w:p w:rsidR="001A26B0" w:rsidRDefault="00E33A99">
            <w:pPr>
              <w:spacing w:after="120"/>
              <w:rPr>
                <w:noProof/>
                <w:sz w:val="20"/>
              </w:rPr>
            </w:pPr>
            <w:r>
              <w:rPr>
                <w:noProof/>
                <w:sz w:val="20"/>
              </w:rPr>
              <w:t>TLV0</w:t>
            </w:r>
          </w:p>
        </w:tc>
        <w:tc>
          <w:tcPr>
            <w:tcW w:w="468" w:type="pct"/>
            <w:noWrap/>
          </w:tcPr>
          <w:p w:rsidR="001A26B0" w:rsidRDefault="00E33A99">
            <w:pPr>
              <w:spacing w:after="120"/>
              <w:jc w:val="right"/>
              <w:rPr>
                <w:noProof/>
                <w:sz w:val="20"/>
              </w:rPr>
            </w:pPr>
            <w:r>
              <w:rPr>
                <w:noProof/>
                <w:sz w:val="20"/>
              </w:rPr>
              <w:t>2.2%</w:t>
            </w:r>
          </w:p>
        </w:tc>
        <w:tc>
          <w:tcPr>
            <w:tcW w:w="469" w:type="pct"/>
            <w:noWrap/>
          </w:tcPr>
          <w:p w:rsidR="001A26B0" w:rsidRDefault="00E33A99">
            <w:pPr>
              <w:spacing w:after="120"/>
              <w:jc w:val="right"/>
              <w:rPr>
                <w:noProof/>
                <w:sz w:val="20"/>
              </w:rPr>
            </w:pPr>
            <w:r>
              <w:rPr>
                <w:noProof/>
                <w:sz w:val="20"/>
              </w:rPr>
              <w:t>1.5%</w:t>
            </w:r>
          </w:p>
        </w:tc>
        <w:tc>
          <w:tcPr>
            <w:tcW w:w="468" w:type="pct"/>
            <w:noWrap/>
          </w:tcPr>
          <w:p w:rsidR="001A26B0" w:rsidRDefault="00E33A99">
            <w:pPr>
              <w:spacing w:after="120"/>
              <w:jc w:val="right"/>
              <w:rPr>
                <w:noProof/>
                <w:sz w:val="20"/>
              </w:rPr>
            </w:pPr>
            <w:r>
              <w:rPr>
                <w:noProof/>
                <w:sz w:val="20"/>
              </w:rPr>
              <w:t>57.3%</w:t>
            </w:r>
          </w:p>
        </w:tc>
        <w:tc>
          <w:tcPr>
            <w:tcW w:w="468" w:type="pct"/>
            <w:noWrap/>
          </w:tcPr>
          <w:p w:rsidR="001A26B0" w:rsidRDefault="00E33A99">
            <w:pPr>
              <w:spacing w:after="120"/>
              <w:jc w:val="right"/>
              <w:rPr>
                <w:noProof/>
                <w:sz w:val="20"/>
              </w:rPr>
            </w:pPr>
            <w:r>
              <w:rPr>
                <w:noProof/>
                <w:sz w:val="20"/>
              </w:rPr>
              <w:t>32.2%</w:t>
            </w:r>
          </w:p>
        </w:tc>
        <w:tc>
          <w:tcPr>
            <w:tcW w:w="468" w:type="pct"/>
            <w:noWrap/>
          </w:tcPr>
          <w:p w:rsidR="001A26B0" w:rsidRDefault="00E33A99">
            <w:pPr>
              <w:spacing w:after="120"/>
              <w:jc w:val="right"/>
              <w:rPr>
                <w:noProof/>
                <w:sz w:val="20"/>
              </w:rPr>
            </w:pPr>
            <w:r>
              <w:rPr>
                <w:noProof/>
                <w:sz w:val="20"/>
              </w:rPr>
              <w:t>0.2%</w:t>
            </w:r>
          </w:p>
        </w:tc>
        <w:tc>
          <w:tcPr>
            <w:tcW w:w="467" w:type="pct"/>
            <w:noWrap/>
          </w:tcPr>
          <w:p w:rsidR="001A26B0" w:rsidRDefault="00E33A99">
            <w:pPr>
              <w:spacing w:after="120"/>
              <w:jc w:val="right"/>
              <w:rPr>
                <w:noProof/>
                <w:sz w:val="20"/>
              </w:rPr>
            </w:pPr>
            <w:r>
              <w:rPr>
                <w:noProof/>
                <w:sz w:val="20"/>
              </w:rPr>
              <w:t>0.1%</w:t>
            </w:r>
          </w:p>
        </w:tc>
        <w:tc>
          <w:tcPr>
            <w:tcW w:w="468" w:type="pct"/>
            <w:noWrap/>
          </w:tcPr>
          <w:p w:rsidR="001A26B0" w:rsidRDefault="00E33A99">
            <w:pPr>
              <w:spacing w:after="120"/>
              <w:jc w:val="right"/>
              <w:rPr>
                <w:noProof/>
                <w:sz w:val="20"/>
              </w:rPr>
            </w:pPr>
            <w:r>
              <w:rPr>
                <w:noProof/>
                <w:sz w:val="20"/>
              </w:rPr>
              <w:t>4.7%</w:t>
            </w:r>
          </w:p>
        </w:tc>
        <w:tc>
          <w:tcPr>
            <w:tcW w:w="468" w:type="pct"/>
            <w:noWrap/>
          </w:tcPr>
          <w:p w:rsidR="001A26B0" w:rsidRDefault="00E33A99">
            <w:pPr>
              <w:spacing w:after="120"/>
              <w:jc w:val="right"/>
              <w:rPr>
                <w:noProof/>
                <w:sz w:val="20"/>
              </w:rPr>
            </w:pPr>
            <w:r>
              <w:rPr>
                <w:noProof/>
                <w:sz w:val="20"/>
              </w:rPr>
              <w:t>1.7%</w:t>
            </w:r>
          </w:p>
        </w:tc>
        <w:tc>
          <w:tcPr>
            <w:tcW w:w="467" w:type="pct"/>
            <w:noWrap/>
          </w:tcPr>
          <w:p w:rsidR="001A26B0" w:rsidRDefault="00E33A99">
            <w:pPr>
              <w:spacing w:after="120"/>
              <w:jc w:val="right"/>
              <w:rPr>
                <w:noProof/>
                <w:sz w:val="20"/>
              </w:rPr>
            </w:pPr>
            <w:r>
              <w:rPr>
                <w:noProof/>
                <w:sz w:val="20"/>
              </w:rPr>
              <w:t>0.1%</w:t>
            </w:r>
          </w:p>
        </w:tc>
      </w:tr>
      <w:tr w:rsidR="001A26B0">
        <w:trPr>
          <w:trHeight w:val="300"/>
        </w:trPr>
        <w:tc>
          <w:tcPr>
            <w:tcW w:w="789" w:type="pct"/>
            <w:noWrap/>
            <w:hideMark/>
          </w:tcPr>
          <w:p w:rsidR="001A26B0" w:rsidRDefault="00E33A99">
            <w:pPr>
              <w:spacing w:after="120"/>
              <w:rPr>
                <w:noProof/>
                <w:sz w:val="20"/>
              </w:rPr>
            </w:pPr>
            <w:r>
              <w:rPr>
                <w:noProof/>
                <w:sz w:val="20"/>
              </w:rPr>
              <w:t>TLV20</w:t>
            </w:r>
          </w:p>
        </w:tc>
        <w:tc>
          <w:tcPr>
            <w:tcW w:w="468" w:type="pct"/>
            <w:noWrap/>
          </w:tcPr>
          <w:p w:rsidR="001A26B0" w:rsidRDefault="00E33A99">
            <w:pPr>
              <w:spacing w:after="120"/>
              <w:jc w:val="right"/>
              <w:rPr>
                <w:noProof/>
                <w:sz w:val="20"/>
              </w:rPr>
            </w:pPr>
            <w:r>
              <w:rPr>
                <w:noProof/>
                <w:sz w:val="20"/>
              </w:rPr>
              <w:t>2.1%</w:t>
            </w:r>
          </w:p>
        </w:tc>
        <w:tc>
          <w:tcPr>
            <w:tcW w:w="469" w:type="pct"/>
            <w:noWrap/>
          </w:tcPr>
          <w:p w:rsidR="001A26B0" w:rsidRDefault="00E33A99">
            <w:pPr>
              <w:spacing w:after="120"/>
              <w:jc w:val="right"/>
              <w:rPr>
                <w:noProof/>
                <w:sz w:val="20"/>
              </w:rPr>
            </w:pPr>
            <w:r>
              <w:rPr>
                <w:noProof/>
                <w:sz w:val="20"/>
              </w:rPr>
              <w:t>1.7%</w:t>
            </w:r>
          </w:p>
        </w:tc>
        <w:tc>
          <w:tcPr>
            <w:tcW w:w="468" w:type="pct"/>
            <w:noWrap/>
          </w:tcPr>
          <w:p w:rsidR="001A26B0" w:rsidRDefault="00E33A99">
            <w:pPr>
              <w:spacing w:after="120"/>
              <w:jc w:val="right"/>
              <w:rPr>
                <w:noProof/>
                <w:sz w:val="20"/>
              </w:rPr>
            </w:pPr>
            <w:r>
              <w:rPr>
                <w:noProof/>
                <w:sz w:val="20"/>
              </w:rPr>
              <w:t>53.4%</w:t>
            </w:r>
          </w:p>
        </w:tc>
        <w:tc>
          <w:tcPr>
            <w:tcW w:w="468" w:type="pct"/>
            <w:noWrap/>
          </w:tcPr>
          <w:p w:rsidR="001A26B0" w:rsidRDefault="00E33A99">
            <w:pPr>
              <w:spacing w:after="120"/>
              <w:jc w:val="right"/>
              <w:rPr>
                <w:noProof/>
                <w:sz w:val="20"/>
              </w:rPr>
            </w:pPr>
            <w:r>
              <w:rPr>
                <w:noProof/>
                <w:sz w:val="20"/>
              </w:rPr>
              <w:t>31.9%</w:t>
            </w:r>
          </w:p>
        </w:tc>
        <w:tc>
          <w:tcPr>
            <w:tcW w:w="468" w:type="pct"/>
            <w:noWrap/>
          </w:tcPr>
          <w:p w:rsidR="001A26B0" w:rsidRDefault="00E33A99">
            <w:pPr>
              <w:spacing w:after="120"/>
              <w:jc w:val="right"/>
              <w:rPr>
                <w:noProof/>
                <w:sz w:val="20"/>
              </w:rPr>
            </w:pPr>
            <w:r>
              <w:rPr>
                <w:noProof/>
                <w:sz w:val="20"/>
              </w:rPr>
              <w:t>0.2%</w:t>
            </w:r>
          </w:p>
        </w:tc>
        <w:tc>
          <w:tcPr>
            <w:tcW w:w="467" w:type="pct"/>
            <w:noWrap/>
          </w:tcPr>
          <w:p w:rsidR="001A26B0" w:rsidRDefault="00E33A99">
            <w:pPr>
              <w:spacing w:after="120"/>
              <w:jc w:val="right"/>
              <w:rPr>
                <w:noProof/>
                <w:sz w:val="20"/>
              </w:rPr>
            </w:pPr>
            <w:r>
              <w:rPr>
                <w:noProof/>
                <w:sz w:val="20"/>
              </w:rPr>
              <w:t>0.1%</w:t>
            </w:r>
          </w:p>
        </w:tc>
        <w:tc>
          <w:tcPr>
            <w:tcW w:w="468" w:type="pct"/>
            <w:noWrap/>
          </w:tcPr>
          <w:p w:rsidR="001A26B0" w:rsidRDefault="00E33A99">
            <w:pPr>
              <w:spacing w:after="120"/>
              <w:jc w:val="right"/>
              <w:rPr>
                <w:noProof/>
                <w:sz w:val="20"/>
              </w:rPr>
            </w:pPr>
            <w:r>
              <w:rPr>
                <w:noProof/>
                <w:sz w:val="20"/>
              </w:rPr>
              <w:t>8.1%</w:t>
            </w:r>
          </w:p>
        </w:tc>
        <w:tc>
          <w:tcPr>
            <w:tcW w:w="468" w:type="pct"/>
            <w:noWrap/>
          </w:tcPr>
          <w:p w:rsidR="001A26B0" w:rsidRDefault="00E33A99">
            <w:pPr>
              <w:spacing w:after="120"/>
              <w:jc w:val="right"/>
              <w:rPr>
                <w:noProof/>
                <w:sz w:val="20"/>
              </w:rPr>
            </w:pPr>
            <w:r>
              <w:rPr>
                <w:noProof/>
                <w:sz w:val="20"/>
              </w:rPr>
              <w:t>2.0%</w:t>
            </w:r>
          </w:p>
        </w:tc>
        <w:tc>
          <w:tcPr>
            <w:tcW w:w="467" w:type="pct"/>
            <w:noWrap/>
          </w:tcPr>
          <w:p w:rsidR="001A26B0" w:rsidRDefault="00E33A99">
            <w:pPr>
              <w:spacing w:after="120"/>
              <w:jc w:val="right"/>
              <w:rPr>
                <w:noProof/>
                <w:sz w:val="20"/>
              </w:rPr>
            </w:pPr>
            <w:r>
              <w:rPr>
                <w:noProof/>
                <w:sz w:val="20"/>
              </w:rPr>
              <w:t>0.5%</w:t>
            </w:r>
          </w:p>
        </w:tc>
      </w:tr>
      <w:tr w:rsidR="001A26B0">
        <w:trPr>
          <w:trHeight w:val="300"/>
        </w:trPr>
        <w:tc>
          <w:tcPr>
            <w:tcW w:w="789" w:type="pct"/>
            <w:noWrap/>
            <w:hideMark/>
          </w:tcPr>
          <w:p w:rsidR="001A26B0" w:rsidRDefault="00E33A99">
            <w:pPr>
              <w:spacing w:after="120"/>
              <w:rPr>
                <w:noProof/>
                <w:sz w:val="20"/>
              </w:rPr>
            </w:pPr>
            <w:r>
              <w:rPr>
                <w:noProof/>
                <w:sz w:val="20"/>
              </w:rPr>
              <w:t>TLV25</w:t>
            </w:r>
          </w:p>
        </w:tc>
        <w:tc>
          <w:tcPr>
            <w:tcW w:w="468" w:type="pct"/>
            <w:noWrap/>
          </w:tcPr>
          <w:p w:rsidR="001A26B0" w:rsidRDefault="00E33A99">
            <w:pPr>
              <w:spacing w:after="120"/>
              <w:jc w:val="right"/>
              <w:rPr>
                <w:noProof/>
                <w:sz w:val="20"/>
              </w:rPr>
            </w:pPr>
            <w:r>
              <w:rPr>
                <w:noProof/>
                <w:sz w:val="20"/>
              </w:rPr>
              <w:t>2.1%</w:t>
            </w:r>
          </w:p>
        </w:tc>
        <w:tc>
          <w:tcPr>
            <w:tcW w:w="469" w:type="pct"/>
            <w:noWrap/>
          </w:tcPr>
          <w:p w:rsidR="001A26B0" w:rsidRDefault="00E33A99">
            <w:pPr>
              <w:spacing w:after="120"/>
              <w:jc w:val="right"/>
              <w:rPr>
                <w:noProof/>
                <w:sz w:val="20"/>
              </w:rPr>
            </w:pPr>
            <w:r>
              <w:rPr>
                <w:noProof/>
                <w:sz w:val="20"/>
              </w:rPr>
              <w:t>1.7%</w:t>
            </w:r>
          </w:p>
        </w:tc>
        <w:tc>
          <w:tcPr>
            <w:tcW w:w="468" w:type="pct"/>
            <w:noWrap/>
          </w:tcPr>
          <w:p w:rsidR="001A26B0" w:rsidRDefault="00E33A99">
            <w:pPr>
              <w:spacing w:after="120"/>
              <w:jc w:val="right"/>
              <w:rPr>
                <w:noProof/>
                <w:sz w:val="20"/>
              </w:rPr>
            </w:pPr>
            <w:r>
              <w:rPr>
                <w:noProof/>
                <w:sz w:val="20"/>
              </w:rPr>
              <w:t>53.7%</w:t>
            </w:r>
          </w:p>
        </w:tc>
        <w:tc>
          <w:tcPr>
            <w:tcW w:w="468" w:type="pct"/>
            <w:noWrap/>
          </w:tcPr>
          <w:p w:rsidR="001A26B0" w:rsidRDefault="00E33A99">
            <w:pPr>
              <w:spacing w:after="120"/>
              <w:jc w:val="right"/>
              <w:rPr>
                <w:noProof/>
                <w:sz w:val="20"/>
              </w:rPr>
            </w:pPr>
            <w:r>
              <w:rPr>
                <w:noProof/>
                <w:sz w:val="20"/>
              </w:rPr>
              <w:t>30.7%</w:t>
            </w:r>
          </w:p>
        </w:tc>
        <w:tc>
          <w:tcPr>
            <w:tcW w:w="468" w:type="pct"/>
            <w:noWrap/>
          </w:tcPr>
          <w:p w:rsidR="001A26B0" w:rsidRDefault="00E33A99">
            <w:pPr>
              <w:spacing w:after="120"/>
              <w:jc w:val="right"/>
              <w:rPr>
                <w:noProof/>
                <w:sz w:val="20"/>
              </w:rPr>
            </w:pPr>
            <w:r>
              <w:rPr>
                <w:noProof/>
                <w:sz w:val="20"/>
              </w:rPr>
              <w:t>0.2%</w:t>
            </w:r>
          </w:p>
        </w:tc>
        <w:tc>
          <w:tcPr>
            <w:tcW w:w="467" w:type="pct"/>
            <w:noWrap/>
          </w:tcPr>
          <w:p w:rsidR="001A26B0" w:rsidRDefault="00E33A99">
            <w:pPr>
              <w:spacing w:after="120"/>
              <w:jc w:val="right"/>
              <w:rPr>
                <w:noProof/>
                <w:sz w:val="20"/>
              </w:rPr>
            </w:pPr>
            <w:r>
              <w:rPr>
                <w:noProof/>
                <w:sz w:val="20"/>
              </w:rPr>
              <w:t>0.1%</w:t>
            </w:r>
          </w:p>
        </w:tc>
        <w:tc>
          <w:tcPr>
            <w:tcW w:w="468" w:type="pct"/>
            <w:noWrap/>
          </w:tcPr>
          <w:p w:rsidR="001A26B0" w:rsidRDefault="00E33A99">
            <w:pPr>
              <w:spacing w:after="120"/>
              <w:jc w:val="right"/>
              <w:rPr>
                <w:noProof/>
                <w:sz w:val="20"/>
              </w:rPr>
            </w:pPr>
            <w:r>
              <w:rPr>
                <w:noProof/>
                <w:sz w:val="20"/>
              </w:rPr>
              <w:t>8.8%</w:t>
            </w:r>
          </w:p>
        </w:tc>
        <w:tc>
          <w:tcPr>
            <w:tcW w:w="468" w:type="pct"/>
            <w:noWrap/>
          </w:tcPr>
          <w:p w:rsidR="001A26B0" w:rsidRDefault="00E33A99">
            <w:pPr>
              <w:spacing w:after="120"/>
              <w:jc w:val="right"/>
              <w:rPr>
                <w:noProof/>
                <w:sz w:val="20"/>
              </w:rPr>
            </w:pPr>
            <w:r>
              <w:rPr>
                <w:noProof/>
                <w:sz w:val="20"/>
              </w:rPr>
              <w:t>2.2%</w:t>
            </w:r>
          </w:p>
        </w:tc>
        <w:tc>
          <w:tcPr>
            <w:tcW w:w="467" w:type="pct"/>
            <w:noWrap/>
          </w:tcPr>
          <w:p w:rsidR="001A26B0" w:rsidRDefault="00E33A99">
            <w:pPr>
              <w:spacing w:after="120"/>
              <w:jc w:val="right"/>
              <w:rPr>
                <w:noProof/>
                <w:sz w:val="20"/>
              </w:rPr>
            </w:pPr>
            <w:r>
              <w:rPr>
                <w:noProof/>
                <w:sz w:val="20"/>
              </w:rPr>
              <w:t>0.5%</w:t>
            </w:r>
          </w:p>
        </w:tc>
      </w:tr>
      <w:tr w:rsidR="001A26B0">
        <w:trPr>
          <w:trHeight w:val="300"/>
        </w:trPr>
        <w:tc>
          <w:tcPr>
            <w:tcW w:w="789" w:type="pct"/>
            <w:noWrap/>
            <w:hideMark/>
          </w:tcPr>
          <w:p w:rsidR="001A26B0" w:rsidRDefault="00E33A99">
            <w:pPr>
              <w:spacing w:after="120"/>
              <w:rPr>
                <w:noProof/>
                <w:sz w:val="20"/>
              </w:rPr>
            </w:pPr>
            <w:r>
              <w:rPr>
                <w:noProof/>
                <w:sz w:val="20"/>
              </w:rPr>
              <w:t>TLV30</w:t>
            </w:r>
          </w:p>
        </w:tc>
        <w:tc>
          <w:tcPr>
            <w:tcW w:w="468" w:type="pct"/>
            <w:noWrap/>
          </w:tcPr>
          <w:p w:rsidR="001A26B0" w:rsidRDefault="00E33A99">
            <w:pPr>
              <w:spacing w:after="120"/>
              <w:jc w:val="right"/>
              <w:rPr>
                <w:noProof/>
                <w:sz w:val="20"/>
              </w:rPr>
            </w:pPr>
            <w:r>
              <w:rPr>
                <w:noProof/>
                <w:sz w:val="20"/>
              </w:rPr>
              <w:t>2.1%</w:t>
            </w:r>
          </w:p>
        </w:tc>
        <w:tc>
          <w:tcPr>
            <w:tcW w:w="469" w:type="pct"/>
            <w:noWrap/>
          </w:tcPr>
          <w:p w:rsidR="001A26B0" w:rsidRDefault="00E33A99">
            <w:pPr>
              <w:spacing w:after="120"/>
              <w:jc w:val="right"/>
              <w:rPr>
                <w:noProof/>
                <w:sz w:val="20"/>
              </w:rPr>
            </w:pPr>
            <w:r>
              <w:rPr>
                <w:noProof/>
                <w:sz w:val="20"/>
              </w:rPr>
              <w:t>2.0%</w:t>
            </w:r>
          </w:p>
        </w:tc>
        <w:tc>
          <w:tcPr>
            <w:tcW w:w="468" w:type="pct"/>
            <w:noWrap/>
          </w:tcPr>
          <w:p w:rsidR="001A26B0" w:rsidRDefault="00E33A99">
            <w:pPr>
              <w:spacing w:after="120"/>
              <w:jc w:val="right"/>
              <w:rPr>
                <w:noProof/>
                <w:sz w:val="20"/>
              </w:rPr>
            </w:pPr>
            <w:r>
              <w:rPr>
                <w:noProof/>
                <w:sz w:val="20"/>
              </w:rPr>
              <w:t>54.4%</w:t>
            </w:r>
          </w:p>
        </w:tc>
        <w:tc>
          <w:tcPr>
            <w:tcW w:w="468" w:type="pct"/>
            <w:noWrap/>
          </w:tcPr>
          <w:p w:rsidR="001A26B0" w:rsidRDefault="00E33A99">
            <w:pPr>
              <w:spacing w:after="120"/>
              <w:jc w:val="right"/>
              <w:rPr>
                <w:noProof/>
                <w:sz w:val="20"/>
              </w:rPr>
            </w:pPr>
            <w:r>
              <w:rPr>
                <w:noProof/>
                <w:sz w:val="20"/>
              </w:rPr>
              <w:t>31.0%</w:t>
            </w:r>
          </w:p>
        </w:tc>
        <w:tc>
          <w:tcPr>
            <w:tcW w:w="468" w:type="pct"/>
            <w:noWrap/>
          </w:tcPr>
          <w:p w:rsidR="001A26B0" w:rsidRDefault="00E33A99">
            <w:pPr>
              <w:spacing w:after="120"/>
              <w:jc w:val="right"/>
              <w:rPr>
                <w:noProof/>
                <w:sz w:val="20"/>
              </w:rPr>
            </w:pPr>
            <w:r>
              <w:rPr>
                <w:noProof/>
                <w:sz w:val="20"/>
              </w:rPr>
              <w:t>0.2%</w:t>
            </w:r>
          </w:p>
        </w:tc>
        <w:tc>
          <w:tcPr>
            <w:tcW w:w="467" w:type="pct"/>
            <w:noWrap/>
          </w:tcPr>
          <w:p w:rsidR="001A26B0" w:rsidRDefault="00E33A99">
            <w:pPr>
              <w:spacing w:after="120"/>
              <w:jc w:val="right"/>
              <w:rPr>
                <w:noProof/>
                <w:sz w:val="20"/>
              </w:rPr>
            </w:pPr>
            <w:r>
              <w:rPr>
                <w:noProof/>
                <w:sz w:val="20"/>
              </w:rPr>
              <w:t>0.2%</w:t>
            </w:r>
          </w:p>
        </w:tc>
        <w:tc>
          <w:tcPr>
            <w:tcW w:w="468" w:type="pct"/>
            <w:noWrap/>
          </w:tcPr>
          <w:p w:rsidR="001A26B0" w:rsidRDefault="00E33A99">
            <w:pPr>
              <w:spacing w:after="120"/>
              <w:jc w:val="right"/>
              <w:rPr>
                <w:noProof/>
                <w:sz w:val="20"/>
              </w:rPr>
            </w:pPr>
            <w:r>
              <w:rPr>
                <w:noProof/>
                <w:sz w:val="20"/>
              </w:rPr>
              <w:t>7.7%</w:t>
            </w:r>
          </w:p>
        </w:tc>
        <w:tc>
          <w:tcPr>
            <w:tcW w:w="468" w:type="pct"/>
            <w:noWrap/>
          </w:tcPr>
          <w:p w:rsidR="001A26B0" w:rsidRDefault="00E33A99">
            <w:pPr>
              <w:spacing w:after="120"/>
              <w:jc w:val="right"/>
              <w:rPr>
                <w:noProof/>
                <w:sz w:val="20"/>
              </w:rPr>
            </w:pPr>
            <w:r>
              <w:rPr>
                <w:noProof/>
                <w:sz w:val="20"/>
              </w:rPr>
              <w:t>2.2%</w:t>
            </w:r>
          </w:p>
        </w:tc>
        <w:tc>
          <w:tcPr>
            <w:tcW w:w="467" w:type="pct"/>
            <w:noWrap/>
          </w:tcPr>
          <w:p w:rsidR="001A26B0" w:rsidRDefault="00E33A99">
            <w:pPr>
              <w:spacing w:after="120"/>
              <w:jc w:val="right"/>
              <w:rPr>
                <w:noProof/>
                <w:sz w:val="20"/>
              </w:rPr>
            </w:pPr>
            <w:r>
              <w:rPr>
                <w:noProof/>
                <w:sz w:val="20"/>
              </w:rPr>
              <w:t>0.4%</w:t>
            </w:r>
          </w:p>
        </w:tc>
      </w:tr>
      <w:tr w:rsidR="001A26B0">
        <w:trPr>
          <w:trHeight w:val="300"/>
        </w:trPr>
        <w:tc>
          <w:tcPr>
            <w:tcW w:w="789" w:type="pct"/>
            <w:noWrap/>
            <w:hideMark/>
          </w:tcPr>
          <w:p w:rsidR="001A26B0" w:rsidRDefault="00E33A99">
            <w:pPr>
              <w:spacing w:after="120"/>
              <w:rPr>
                <w:noProof/>
                <w:sz w:val="20"/>
              </w:rPr>
            </w:pPr>
            <w:r>
              <w:rPr>
                <w:noProof/>
                <w:sz w:val="20"/>
              </w:rPr>
              <w:t>TLV40</w:t>
            </w:r>
          </w:p>
        </w:tc>
        <w:tc>
          <w:tcPr>
            <w:tcW w:w="468" w:type="pct"/>
            <w:noWrap/>
          </w:tcPr>
          <w:p w:rsidR="001A26B0" w:rsidRDefault="00E33A99">
            <w:pPr>
              <w:spacing w:after="120"/>
              <w:jc w:val="right"/>
              <w:rPr>
                <w:noProof/>
                <w:sz w:val="20"/>
              </w:rPr>
            </w:pPr>
            <w:r>
              <w:rPr>
                <w:noProof/>
                <w:sz w:val="20"/>
              </w:rPr>
              <w:t>1.9%</w:t>
            </w:r>
          </w:p>
        </w:tc>
        <w:tc>
          <w:tcPr>
            <w:tcW w:w="469" w:type="pct"/>
            <w:noWrap/>
          </w:tcPr>
          <w:p w:rsidR="001A26B0" w:rsidRDefault="00E33A99">
            <w:pPr>
              <w:spacing w:after="120"/>
              <w:jc w:val="right"/>
              <w:rPr>
                <w:noProof/>
                <w:sz w:val="20"/>
              </w:rPr>
            </w:pPr>
            <w:r>
              <w:rPr>
                <w:noProof/>
                <w:sz w:val="20"/>
              </w:rPr>
              <w:t>2.0%</w:t>
            </w:r>
          </w:p>
        </w:tc>
        <w:tc>
          <w:tcPr>
            <w:tcW w:w="468" w:type="pct"/>
            <w:noWrap/>
          </w:tcPr>
          <w:p w:rsidR="001A26B0" w:rsidRDefault="00E33A99">
            <w:pPr>
              <w:spacing w:after="120"/>
              <w:jc w:val="right"/>
              <w:rPr>
                <w:noProof/>
                <w:sz w:val="20"/>
              </w:rPr>
            </w:pPr>
            <w:r>
              <w:rPr>
                <w:noProof/>
                <w:sz w:val="20"/>
              </w:rPr>
              <w:t>49.3%</w:t>
            </w:r>
          </w:p>
        </w:tc>
        <w:tc>
          <w:tcPr>
            <w:tcW w:w="468" w:type="pct"/>
            <w:noWrap/>
          </w:tcPr>
          <w:p w:rsidR="001A26B0" w:rsidRDefault="00E33A99">
            <w:pPr>
              <w:spacing w:after="120"/>
              <w:jc w:val="right"/>
              <w:rPr>
                <w:noProof/>
                <w:sz w:val="20"/>
              </w:rPr>
            </w:pPr>
            <w:r>
              <w:rPr>
                <w:noProof/>
                <w:sz w:val="20"/>
              </w:rPr>
              <w:t>30.0%</w:t>
            </w:r>
          </w:p>
        </w:tc>
        <w:tc>
          <w:tcPr>
            <w:tcW w:w="468" w:type="pct"/>
            <w:noWrap/>
          </w:tcPr>
          <w:p w:rsidR="001A26B0" w:rsidRDefault="00E33A99">
            <w:pPr>
              <w:spacing w:after="120"/>
              <w:jc w:val="right"/>
              <w:rPr>
                <w:noProof/>
                <w:sz w:val="20"/>
              </w:rPr>
            </w:pPr>
            <w:r>
              <w:rPr>
                <w:noProof/>
                <w:sz w:val="20"/>
              </w:rPr>
              <w:t>0.2%</w:t>
            </w:r>
          </w:p>
        </w:tc>
        <w:tc>
          <w:tcPr>
            <w:tcW w:w="467" w:type="pct"/>
            <w:noWrap/>
          </w:tcPr>
          <w:p w:rsidR="001A26B0" w:rsidRDefault="00E33A99">
            <w:pPr>
              <w:spacing w:after="120"/>
              <w:jc w:val="right"/>
              <w:rPr>
                <w:noProof/>
                <w:sz w:val="20"/>
              </w:rPr>
            </w:pPr>
            <w:r>
              <w:rPr>
                <w:noProof/>
                <w:sz w:val="20"/>
              </w:rPr>
              <w:t>0.2%</w:t>
            </w:r>
          </w:p>
        </w:tc>
        <w:tc>
          <w:tcPr>
            <w:tcW w:w="468" w:type="pct"/>
            <w:noWrap/>
          </w:tcPr>
          <w:p w:rsidR="001A26B0" w:rsidRDefault="00E33A99">
            <w:pPr>
              <w:spacing w:after="120"/>
              <w:jc w:val="right"/>
              <w:rPr>
                <w:noProof/>
                <w:sz w:val="20"/>
              </w:rPr>
            </w:pPr>
            <w:r>
              <w:rPr>
                <w:noProof/>
                <w:sz w:val="20"/>
              </w:rPr>
              <w:t>12.8%</w:t>
            </w:r>
          </w:p>
        </w:tc>
        <w:tc>
          <w:tcPr>
            <w:tcW w:w="468" w:type="pct"/>
            <w:noWrap/>
          </w:tcPr>
          <w:p w:rsidR="001A26B0" w:rsidRDefault="00E33A99">
            <w:pPr>
              <w:spacing w:after="120"/>
              <w:jc w:val="right"/>
              <w:rPr>
                <w:noProof/>
                <w:sz w:val="20"/>
              </w:rPr>
            </w:pPr>
            <w:r>
              <w:rPr>
                <w:noProof/>
                <w:sz w:val="20"/>
              </w:rPr>
              <w:t>3.0%</w:t>
            </w:r>
          </w:p>
        </w:tc>
        <w:tc>
          <w:tcPr>
            <w:tcW w:w="467" w:type="pct"/>
            <w:noWrap/>
          </w:tcPr>
          <w:p w:rsidR="001A26B0" w:rsidRDefault="00E33A99">
            <w:pPr>
              <w:spacing w:after="120"/>
              <w:jc w:val="right"/>
              <w:rPr>
                <w:noProof/>
                <w:sz w:val="20"/>
              </w:rPr>
            </w:pPr>
            <w:r>
              <w:rPr>
                <w:noProof/>
                <w:sz w:val="20"/>
              </w:rPr>
              <w:t>0.7%</w:t>
            </w:r>
          </w:p>
        </w:tc>
      </w:tr>
      <w:tr w:rsidR="001A26B0">
        <w:trPr>
          <w:trHeight w:val="300"/>
        </w:trPr>
        <w:tc>
          <w:tcPr>
            <w:tcW w:w="789" w:type="pct"/>
            <w:noWrap/>
            <w:hideMark/>
          </w:tcPr>
          <w:p w:rsidR="001A26B0" w:rsidRDefault="00E33A99">
            <w:pPr>
              <w:spacing w:after="120"/>
              <w:rPr>
                <w:noProof/>
                <w:sz w:val="20"/>
              </w:rPr>
            </w:pPr>
            <w:r>
              <w:rPr>
                <w:noProof/>
                <w:sz w:val="20"/>
              </w:rPr>
              <w:t>TLV_EP40</w:t>
            </w:r>
          </w:p>
        </w:tc>
        <w:tc>
          <w:tcPr>
            <w:tcW w:w="468" w:type="pct"/>
            <w:noWrap/>
          </w:tcPr>
          <w:p w:rsidR="001A26B0" w:rsidRDefault="00E33A99">
            <w:pPr>
              <w:spacing w:after="120"/>
              <w:jc w:val="right"/>
              <w:rPr>
                <w:noProof/>
                <w:sz w:val="20"/>
              </w:rPr>
            </w:pPr>
            <w:r>
              <w:rPr>
                <w:noProof/>
                <w:sz w:val="20"/>
              </w:rPr>
              <w:t>1.8%</w:t>
            </w:r>
          </w:p>
        </w:tc>
        <w:tc>
          <w:tcPr>
            <w:tcW w:w="469" w:type="pct"/>
            <w:noWrap/>
          </w:tcPr>
          <w:p w:rsidR="001A26B0" w:rsidRDefault="00E33A99">
            <w:pPr>
              <w:spacing w:after="120"/>
              <w:jc w:val="right"/>
              <w:rPr>
                <w:noProof/>
                <w:sz w:val="20"/>
              </w:rPr>
            </w:pPr>
            <w:r>
              <w:rPr>
                <w:noProof/>
                <w:sz w:val="20"/>
              </w:rPr>
              <w:t>1.3%</w:t>
            </w:r>
          </w:p>
        </w:tc>
        <w:tc>
          <w:tcPr>
            <w:tcW w:w="468" w:type="pct"/>
            <w:noWrap/>
          </w:tcPr>
          <w:p w:rsidR="001A26B0" w:rsidRDefault="00E33A99">
            <w:pPr>
              <w:spacing w:after="120"/>
              <w:jc w:val="right"/>
              <w:rPr>
                <w:noProof/>
                <w:sz w:val="20"/>
              </w:rPr>
            </w:pPr>
            <w:r>
              <w:rPr>
                <w:noProof/>
                <w:sz w:val="20"/>
              </w:rPr>
              <w:t>47.6%</w:t>
            </w:r>
          </w:p>
        </w:tc>
        <w:tc>
          <w:tcPr>
            <w:tcW w:w="468" w:type="pct"/>
            <w:noWrap/>
          </w:tcPr>
          <w:p w:rsidR="001A26B0" w:rsidRDefault="00E33A99">
            <w:pPr>
              <w:spacing w:after="120"/>
              <w:jc w:val="right"/>
              <w:rPr>
                <w:noProof/>
                <w:sz w:val="20"/>
              </w:rPr>
            </w:pPr>
            <w:r>
              <w:rPr>
                <w:noProof/>
                <w:sz w:val="20"/>
              </w:rPr>
              <w:t>29.1%</w:t>
            </w:r>
          </w:p>
        </w:tc>
        <w:tc>
          <w:tcPr>
            <w:tcW w:w="468" w:type="pct"/>
            <w:noWrap/>
          </w:tcPr>
          <w:p w:rsidR="001A26B0" w:rsidRDefault="00E33A99">
            <w:pPr>
              <w:spacing w:after="120"/>
              <w:jc w:val="right"/>
              <w:rPr>
                <w:noProof/>
                <w:sz w:val="20"/>
              </w:rPr>
            </w:pPr>
            <w:r>
              <w:rPr>
                <w:noProof/>
                <w:sz w:val="20"/>
              </w:rPr>
              <w:t>0.1%</w:t>
            </w:r>
          </w:p>
        </w:tc>
        <w:tc>
          <w:tcPr>
            <w:tcW w:w="467" w:type="pct"/>
            <w:noWrap/>
          </w:tcPr>
          <w:p w:rsidR="001A26B0" w:rsidRDefault="00E33A99">
            <w:pPr>
              <w:spacing w:after="120"/>
              <w:jc w:val="right"/>
              <w:rPr>
                <w:noProof/>
                <w:sz w:val="20"/>
              </w:rPr>
            </w:pPr>
            <w:r>
              <w:rPr>
                <w:noProof/>
                <w:sz w:val="20"/>
              </w:rPr>
              <w:t>0.3%</w:t>
            </w:r>
          </w:p>
        </w:tc>
        <w:tc>
          <w:tcPr>
            <w:tcW w:w="468" w:type="pct"/>
            <w:noWrap/>
          </w:tcPr>
          <w:p w:rsidR="001A26B0" w:rsidRDefault="00E33A99">
            <w:pPr>
              <w:spacing w:after="120"/>
              <w:jc w:val="right"/>
              <w:rPr>
                <w:noProof/>
                <w:sz w:val="20"/>
              </w:rPr>
            </w:pPr>
            <w:r>
              <w:rPr>
                <w:noProof/>
                <w:sz w:val="20"/>
              </w:rPr>
              <w:t>15.5%</w:t>
            </w:r>
          </w:p>
        </w:tc>
        <w:tc>
          <w:tcPr>
            <w:tcW w:w="468" w:type="pct"/>
            <w:noWrap/>
          </w:tcPr>
          <w:p w:rsidR="001A26B0" w:rsidRDefault="00E33A99">
            <w:pPr>
              <w:spacing w:after="120"/>
              <w:jc w:val="right"/>
              <w:rPr>
                <w:noProof/>
                <w:sz w:val="20"/>
              </w:rPr>
            </w:pPr>
            <w:r>
              <w:rPr>
                <w:noProof/>
                <w:sz w:val="20"/>
              </w:rPr>
              <w:t>3.5%</w:t>
            </w:r>
          </w:p>
        </w:tc>
        <w:tc>
          <w:tcPr>
            <w:tcW w:w="467" w:type="pct"/>
            <w:noWrap/>
          </w:tcPr>
          <w:p w:rsidR="001A26B0" w:rsidRDefault="00E33A99">
            <w:pPr>
              <w:spacing w:after="120"/>
              <w:jc w:val="right"/>
              <w:rPr>
                <w:noProof/>
                <w:sz w:val="20"/>
              </w:rPr>
            </w:pPr>
            <w:r>
              <w:rPr>
                <w:noProof/>
                <w:sz w:val="20"/>
              </w:rPr>
              <w:t>0.8%</w:t>
            </w:r>
          </w:p>
        </w:tc>
      </w:tr>
      <w:tr w:rsidR="001A26B0">
        <w:trPr>
          <w:trHeight w:val="300"/>
        </w:trPr>
        <w:tc>
          <w:tcPr>
            <w:tcW w:w="789" w:type="pct"/>
            <w:noWrap/>
            <w:hideMark/>
          </w:tcPr>
          <w:p w:rsidR="001A26B0" w:rsidRDefault="00E33A99">
            <w:pPr>
              <w:spacing w:after="120"/>
              <w:rPr>
                <w:noProof/>
                <w:sz w:val="20"/>
              </w:rPr>
            </w:pPr>
            <w:r>
              <w:rPr>
                <w:noProof/>
                <w:sz w:val="20"/>
              </w:rPr>
              <w:t>TLV_EP50</w:t>
            </w:r>
          </w:p>
        </w:tc>
        <w:tc>
          <w:tcPr>
            <w:tcW w:w="468" w:type="pct"/>
            <w:noWrap/>
          </w:tcPr>
          <w:p w:rsidR="001A26B0" w:rsidRDefault="00E33A99">
            <w:pPr>
              <w:spacing w:after="120"/>
              <w:jc w:val="right"/>
              <w:rPr>
                <w:noProof/>
                <w:sz w:val="20"/>
              </w:rPr>
            </w:pPr>
            <w:r>
              <w:rPr>
                <w:noProof/>
                <w:sz w:val="20"/>
              </w:rPr>
              <w:t>1.7%</w:t>
            </w:r>
          </w:p>
        </w:tc>
        <w:tc>
          <w:tcPr>
            <w:tcW w:w="469" w:type="pct"/>
            <w:noWrap/>
          </w:tcPr>
          <w:p w:rsidR="001A26B0" w:rsidRDefault="00E33A99">
            <w:pPr>
              <w:spacing w:after="120"/>
              <w:jc w:val="right"/>
              <w:rPr>
                <w:noProof/>
                <w:sz w:val="20"/>
              </w:rPr>
            </w:pPr>
            <w:r>
              <w:rPr>
                <w:noProof/>
                <w:sz w:val="20"/>
              </w:rPr>
              <w:t>1.3%</w:t>
            </w:r>
          </w:p>
        </w:tc>
        <w:tc>
          <w:tcPr>
            <w:tcW w:w="468" w:type="pct"/>
            <w:noWrap/>
          </w:tcPr>
          <w:p w:rsidR="001A26B0" w:rsidRDefault="00E33A99">
            <w:pPr>
              <w:spacing w:after="120"/>
              <w:jc w:val="right"/>
              <w:rPr>
                <w:noProof/>
                <w:sz w:val="20"/>
              </w:rPr>
            </w:pPr>
            <w:r>
              <w:rPr>
                <w:noProof/>
                <w:sz w:val="20"/>
              </w:rPr>
              <w:t>44.1%</w:t>
            </w:r>
          </w:p>
        </w:tc>
        <w:tc>
          <w:tcPr>
            <w:tcW w:w="468" w:type="pct"/>
            <w:noWrap/>
          </w:tcPr>
          <w:p w:rsidR="001A26B0" w:rsidRDefault="00E33A99">
            <w:pPr>
              <w:spacing w:after="120"/>
              <w:jc w:val="right"/>
              <w:rPr>
                <w:noProof/>
                <w:sz w:val="20"/>
              </w:rPr>
            </w:pPr>
            <w:r>
              <w:rPr>
                <w:noProof/>
                <w:sz w:val="20"/>
              </w:rPr>
              <w:t>27.5%</w:t>
            </w:r>
          </w:p>
        </w:tc>
        <w:tc>
          <w:tcPr>
            <w:tcW w:w="468" w:type="pct"/>
            <w:noWrap/>
          </w:tcPr>
          <w:p w:rsidR="001A26B0" w:rsidRDefault="00E33A99">
            <w:pPr>
              <w:spacing w:after="120"/>
              <w:jc w:val="right"/>
              <w:rPr>
                <w:noProof/>
                <w:sz w:val="20"/>
              </w:rPr>
            </w:pPr>
            <w:r>
              <w:rPr>
                <w:noProof/>
                <w:sz w:val="20"/>
              </w:rPr>
              <w:t>0.1%</w:t>
            </w:r>
          </w:p>
        </w:tc>
        <w:tc>
          <w:tcPr>
            <w:tcW w:w="467" w:type="pct"/>
            <w:noWrap/>
          </w:tcPr>
          <w:p w:rsidR="001A26B0" w:rsidRDefault="00E33A99">
            <w:pPr>
              <w:spacing w:after="120"/>
              <w:jc w:val="right"/>
              <w:rPr>
                <w:noProof/>
                <w:sz w:val="20"/>
              </w:rPr>
            </w:pPr>
            <w:r>
              <w:rPr>
                <w:noProof/>
                <w:sz w:val="20"/>
              </w:rPr>
              <w:t>0.3%</w:t>
            </w:r>
          </w:p>
        </w:tc>
        <w:tc>
          <w:tcPr>
            <w:tcW w:w="468" w:type="pct"/>
            <w:noWrap/>
          </w:tcPr>
          <w:p w:rsidR="001A26B0" w:rsidRDefault="00E33A99">
            <w:pPr>
              <w:spacing w:after="120"/>
              <w:jc w:val="right"/>
              <w:rPr>
                <w:noProof/>
                <w:sz w:val="20"/>
              </w:rPr>
            </w:pPr>
            <w:r>
              <w:rPr>
                <w:noProof/>
                <w:sz w:val="20"/>
              </w:rPr>
              <w:t>19.9%</w:t>
            </w:r>
          </w:p>
        </w:tc>
        <w:tc>
          <w:tcPr>
            <w:tcW w:w="468" w:type="pct"/>
            <w:noWrap/>
          </w:tcPr>
          <w:p w:rsidR="001A26B0" w:rsidRDefault="00E33A99">
            <w:pPr>
              <w:spacing w:after="120"/>
              <w:jc w:val="right"/>
              <w:rPr>
                <w:noProof/>
                <w:sz w:val="20"/>
              </w:rPr>
            </w:pPr>
            <w:r>
              <w:rPr>
                <w:noProof/>
                <w:sz w:val="20"/>
              </w:rPr>
              <w:t>4.1%</w:t>
            </w:r>
          </w:p>
        </w:tc>
        <w:tc>
          <w:tcPr>
            <w:tcW w:w="467" w:type="pct"/>
            <w:noWrap/>
          </w:tcPr>
          <w:p w:rsidR="001A26B0" w:rsidRDefault="00E33A99">
            <w:pPr>
              <w:spacing w:after="120"/>
              <w:jc w:val="right"/>
              <w:rPr>
                <w:noProof/>
                <w:sz w:val="20"/>
              </w:rPr>
            </w:pPr>
            <w:r>
              <w:rPr>
                <w:noProof/>
                <w:sz w:val="20"/>
              </w:rPr>
              <w:t>1.0%</w:t>
            </w:r>
          </w:p>
        </w:tc>
      </w:tr>
    </w:tbl>
    <w:p w:rsidR="001A26B0" w:rsidRDefault="001A26B0">
      <w:pPr>
        <w:spacing w:after="0"/>
        <w:rPr>
          <w:noProof/>
        </w:rPr>
      </w:pPr>
    </w:p>
    <w:tbl>
      <w:tblPr>
        <w:tblStyle w:val="TableGrid"/>
        <w:tblW w:w="5000" w:type="pct"/>
        <w:tblLayout w:type="fixed"/>
        <w:tblLook w:val="04A0" w:firstRow="1" w:lastRow="0" w:firstColumn="1" w:lastColumn="0" w:noHBand="0" w:noVBand="1"/>
      </w:tblPr>
      <w:tblGrid>
        <w:gridCol w:w="1394"/>
        <w:gridCol w:w="827"/>
        <w:gridCol w:w="828"/>
        <w:gridCol w:w="826"/>
        <w:gridCol w:w="826"/>
        <w:gridCol w:w="826"/>
        <w:gridCol w:w="825"/>
        <w:gridCol w:w="826"/>
        <w:gridCol w:w="826"/>
        <w:gridCol w:w="825"/>
      </w:tblGrid>
      <w:tr w:rsidR="001A26B0">
        <w:trPr>
          <w:trHeight w:val="289"/>
        </w:trPr>
        <w:tc>
          <w:tcPr>
            <w:tcW w:w="789" w:type="pct"/>
            <w:vMerge w:val="restart"/>
            <w:noWrap/>
            <w:vAlign w:val="center"/>
          </w:tcPr>
          <w:p w:rsidR="001A26B0" w:rsidRDefault="00E33A99">
            <w:pPr>
              <w:keepNext/>
              <w:spacing w:after="120"/>
              <w:jc w:val="left"/>
              <w:rPr>
                <w:b/>
                <w:noProof/>
                <w:sz w:val="20"/>
              </w:rPr>
            </w:pPr>
            <w:r>
              <w:rPr>
                <w:b/>
                <w:noProof/>
                <w:sz w:val="22"/>
              </w:rPr>
              <w:t>2030</w:t>
            </w:r>
          </w:p>
        </w:tc>
        <w:tc>
          <w:tcPr>
            <w:tcW w:w="937" w:type="pct"/>
            <w:gridSpan w:val="2"/>
            <w:noWrap/>
          </w:tcPr>
          <w:p w:rsidR="001A26B0" w:rsidRDefault="00E33A99">
            <w:pPr>
              <w:keepNext/>
              <w:spacing w:after="120"/>
              <w:jc w:val="center"/>
              <w:rPr>
                <w:noProof/>
                <w:sz w:val="20"/>
              </w:rPr>
            </w:pPr>
            <w:r>
              <w:rPr>
                <w:noProof/>
                <w:sz w:val="20"/>
              </w:rPr>
              <w:t>Gasoline</w:t>
            </w:r>
          </w:p>
        </w:tc>
        <w:tc>
          <w:tcPr>
            <w:tcW w:w="936" w:type="pct"/>
            <w:gridSpan w:val="2"/>
            <w:noWrap/>
          </w:tcPr>
          <w:p w:rsidR="001A26B0" w:rsidRDefault="00E33A99">
            <w:pPr>
              <w:keepNext/>
              <w:spacing w:after="120"/>
              <w:jc w:val="center"/>
              <w:rPr>
                <w:noProof/>
                <w:sz w:val="20"/>
              </w:rPr>
            </w:pPr>
            <w:r>
              <w:rPr>
                <w:noProof/>
                <w:sz w:val="20"/>
              </w:rPr>
              <w:t>Diesel</w:t>
            </w:r>
          </w:p>
        </w:tc>
        <w:tc>
          <w:tcPr>
            <w:tcW w:w="468" w:type="pct"/>
            <w:vMerge w:val="restart"/>
            <w:noWrap/>
            <w:vAlign w:val="center"/>
          </w:tcPr>
          <w:p w:rsidR="001A26B0" w:rsidRDefault="00E33A99">
            <w:pPr>
              <w:keepNext/>
              <w:spacing w:after="120"/>
              <w:jc w:val="center"/>
              <w:rPr>
                <w:noProof/>
                <w:sz w:val="20"/>
              </w:rPr>
            </w:pPr>
            <w:r>
              <w:rPr>
                <w:noProof/>
                <w:sz w:val="20"/>
              </w:rPr>
              <w:t>CNG</w:t>
            </w:r>
          </w:p>
        </w:tc>
        <w:tc>
          <w:tcPr>
            <w:tcW w:w="467" w:type="pct"/>
            <w:vMerge w:val="restart"/>
            <w:noWrap/>
            <w:vAlign w:val="center"/>
          </w:tcPr>
          <w:p w:rsidR="001A26B0" w:rsidRDefault="00E33A99">
            <w:pPr>
              <w:keepNext/>
              <w:spacing w:after="120"/>
              <w:jc w:val="center"/>
              <w:rPr>
                <w:noProof/>
                <w:sz w:val="20"/>
              </w:rPr>
            </w:pPr>
            <w:r>
              <w:rPr>
                <w:noProof/>
                <w:sz w:val="20"/>
              </w:rPr>
              <w:t>LPG</w:t>
            </w:r>
          </w:p>
        </w:tc>
        <w:tc>
          <w:tcPr>
            <w:tcW w:w="468" w:type="pct"/>
            <w:vMerge w:val="restart"/>
            <w:noWrap/>
            <w:vAlign w:val="center"/>
          </w:tcPr>
          <w:p w:rsidR="001A26B0" w:rsidRDefault="00E33A99">
            <w:pPr>
              <w:keepNext/>
              <w:spacing w:after="120"/>
              <w:jc w:val="center"/>
              <w:rPr>
                <w:noProof/>
                <w:sz w:val="20"/>
              </w:rPr>
            </w:pPr>
            <w:r>
              <w:rPr>
                <w:noProof/>
                <w:sz w:val="20"/>
              </w:rPr>
              <w:t>PHEV</w:t>
            </w:r>
          </w:p>
        </w:tc>
        <w:tc>
          <w:tcPr>
            <w:tcW w:w="468" w:type="pct"/>
            <w:vMerge w:val="restart"/>
            <w:noWrap/>
            <w:vAlign w:val="center"/>
          </w:tcPr>
          <w:p w:rsidR="001A26B0" w:rsidRDefault="00E33A99">
            <w:pPr>
              <w:keepNext/>
              <w:spacing w:after="120"/>
              <w:jc w:val="center"/>
              <w:rPr>
                <w:noProof/>
                <w:sz w:val="20"/>
              </w:rPr>
            </w:pPr>
            <w:r>
              <w:rPr>
                <w:noProof/>
                <w:sz w:val="20"/>
              </w:rPr>
              <w:t>BEV</w:t>
            </w:r>
          </w:p>
        </w:tc>
        <w:tc>
          <w:tcPr>
            <w:tcW w:w="467" w:type="pct"/>
            <w:vMerge w:val="restart"/>
            <w:noWrap/>
            <w:vAlign w:val="center"/>
          </w:tcPr>
          <w:p w:rsidR="001A26B0" w:rsidRDefault="00E33A99">
            <w:pPr>
              <w:keepNext/>
              <w:spacing w:after="120"/>
              <w:jc w:val="center"/>
              <w:rPr>
                <w:noProof/>
                <w:sz w:val="20"/>
              </w:rPr>
            </w:pPr>
            <w:r>
              <w:rPr>
                <w:noProof/>
                <w:sz w:val="20"/>
              </w:rPr>
              <w:t>FCEV</w:t>
            </w:r>
          </w:p>
        </w:tc>
      </w:tr>
      <w:tr w:rsidR="001A26B0">
        <w:trPr>
          <w:trHeight w:val="289"/>
        </w:trPr>
        <w:tc>
          <w:tcPr>
            <w:tcW w:w="789" w:type="pct"/>
            <w:vMerge/>
            <w:noWrap/>
          </w:tcPr>
          <w:p w:rsidR="001A26B0" w:rsidRDefault="001A26B0">
            <w:pPr>
              <w:keepNext/>
              <w:spacing w:after="120"/>
              <w:rPr>
                <w:noProof/>
                <w:sz w:val="20"/>
              </w:rPr>
            </w:pPr>
          </w:p>
        </w:tc>
        <w:tc>
          <w:tcPr>
            <w:tcW w:w="468" w:type="pct"/>
            <w:noWrap/>
          </w:tcPr>
          <w:p w:rsidR="001A26B0" w:rsidRDefault="00E33A99">
            <w:pPr>
              <w:keepNext/>
              <w:spacing w:after="120"/>
              <w:rPr>
                <w:noProof/>
                <w:sz w:val="20"/>
              </w:rPr>
            </w:pPr>
            <w:r>
              <w:rPr>
                <w:noProof/>
                <w:sz w:val="20"/>
              </w:rPr>
              <w:t>ICEV</w:t>
            </w:r>
          </w:p>
        </w:tc>
        <w:tc>
          <w:tcPr>
            <w:tcW w:w="469" w:type="pct"/>
            <w:noWrap/>
          </w:tcPr>
          <w:p w:rsidR="001A26B0" w:rsidRDefault="00E33A99">
            <w:pPr>
              <w:keepNext/>
              <w:spacing w:after="120"/>
              <w:jc w:val="center"/>
              <w:rPr>
                <w:noProof/>
                <w:sz w:val="20"/>
              </w:rPr>
            </w:pPr>
            <w:r>
              <w:rPr>
                <w:noProof/>
                <w:sz w:val="20"/>
              </w:rPr>
              <w:t>HEV</w:t>
            </w:r>
          </w:p>
        </w:tc>
        <w:tc>
          <w:tcPr>
            <w:tcW w:w="468" w:type="pct"/>
            <w:noWrap/>
          </w:tcPr>
          <w:p w:rsidR="001A26B0" w:rsidRDefault="00E33A99">
            <w:pPr>
              <w:keepNext/>
              <w:spacing w:after="120"/>
              <w:jc w:val="center"/>
              <w:rPr>
                <w:noProof/>
                <w:sz w:val="20"/>
              </w:rPr>
            </w:pPr>
            <w:r>
              <w:rPr>
                <w:noProof/>
                <w:sz w:val="20"/>
              </w:rPr>
              <w:t>ICEV</w:t>
            </w:r>
          </w:p>
        </w:tc>
        <w:tc>
          <w:tcPr>
            <w:tcW w:w="468" w:type="pct"/>
            <w:noWrap/>
          </w:tcPr>
          <w:p w:rsidR="001A26B0" w:rsidRDefault="00E33A99">
            <w:pPr>
              <w:keepNext/>
              <w:spacing w:after="120"/>
              <w:rPr>
                <w:noProof/>
                <w:sz w:val="20"/>
              </w:rPr>
            </w:pPr>
            <w:r>
              <w:rPr>
                <w:noProof/>
                <w:sz w:val="20"/>
              </w:rPr>
              <w:t>HEV</w:t>
            </w:r>
          </w:p>
        </w:tc>
        <w:tc>
          <w:tcPr>
            <w:tcW w:w="468" w:type="pct"/>
            <w:vMerge/>
            <w:noWrap/>
          </w:tcPr>
          <w:p w:rsidR="001A26B0" w:rsidRDefault="001A26B0">
            <w:pPr>
              <w:keepNext/>
              <w:spacing w:after="120"/>
              <w:jc w:val="center"/>
              <w:rPr>
                <w:noProof/>
                <w:sz w:val="20"/>
              </w:rPr>
            </w:pPr>
          </w:p>
        </w:tc>
        <w:tc>
          <w:tcPr>
            <w:tcW w:w="467" w:type="pct"/>
            <w:vMerge/>
            <w:noWrap/>
          </w:tcPr>
          <w:p w:rsidR="001A26B0" w:rsidRDefault="001A26B0">
            <w:pPr>
              <w:keepNext/>
              <w:spacing w:after="120"/>
              <w:jc w:val="center"/>
              <w:rPr>
                <w:noProof/>
                <w:sz w:val="20"/>
              </w:rPr>
            </w:pPr>
          </w:p>
        </w:tc>
        <w:tc>
          <w:tcPr>
            <w:tcW w:w="468" w:type="pct"/>
            <w:vMerge/>
            <w:noWrap/>
          </w:tcPr>
          <w:p w:rsidR="001A26B0" w:rsidRDefault="001A26B0">
            <w:pPr>
              <w:keepNext/>
              <w:spacing w:after="120"/>
              <w:jc w:val="center"/>
              <w:rPr>
                <w:noProof/>
                <w:sz w:val="20"/>
              </w:rPr>
            </w:pPr>
          </w:p>
        </w:tc>
        <w:tc>
          <w:tcPr>
            <w:tcW w:w="468" w:type="pct"/>
            <w:vMerge/>
            <w:noWrap/>
          </w:tcPr>
          <w:p w:rsidR="001A26B0" w:rsidRDefault="001A26B0">
            <w:pPr>
              <w:keepNext/>
              <w:spacing w:after="120"/>
              <w:rPr>
                <w:noProof/>
                <w:sz w:val="20"/>
              </w:rPr>
            </w:pPr>
          </w:p>
        </w:tc>
        <w:tc>
          <w:tcPr>
            <w:tcW w:w="467" w:type="pct"/>
            <w:vMerge/>
            <w:noWrap/>
          </w:tcPr>
          <w:p w:rsidR="001A26B0" w:rsidRDefault="001A26B0">
            <w:pPr>
              <w:keepNext/>
              <w:spacing w:after="120"/>
              <w:rPr>
                <w:noProof/>
                <w:sz w:val="20"/>
              </w:rPr>
            </w:pPr>
          </w:p>
        </w:tc>
      </w:tr>
      <w:tr w:rsidR="001A26B0">
        <w:trPr>
          <w:trHeight w:val="289"/>
        </w:trPr>
        <w:tc>
          <w:tcPr>
            <w:tcW w:w="789" w:type="pct"/>
            <w:noWrap/>
            <w:hideMark/>
          </w:tcPr>
          <w:p w:rsidR="001A26B0" w:rsidRDefault="00E33A99">
            <w:pPr>
              <w:keepNext/>
              <w:spacing w:after="120"/>
              <w:rPr>
                <w:noProof/>
                <w:sz w:val="20"/>
              </w:rPr>
            </w:pPr>
            <w:r>
              <w:rPr>
                <w:noProof/>
                <w:sz w:val="20"/>
              </w:rPr>
              <w:t>TLV0</w:t>
            </w:r>
          </w:p>
        </w:tc>
        <w:tc>
          <w:tcPr>
            <w:tcW w:w="468" w:type="pct"/>
            <w:noWrap/>
          </w:tcPr>
          <w:p w:rsidR="001A26B0" w:rsidRDefault="00E33A99">
            <w:pPr>
              <w:keepNext/>
              <w:spacing w:after="120"/>
              <w:jc w:val="right"/>
              <w:rPr>
                <w:noProof/>
                <w:sz w:val="20"/>
              </w:rPr>
            </w:pPr>
            <w:r>
              <w:rPr>
                <w:noProof/>
                <w:sz w:val="20"/>
              </w:rPr>
              <w:t>2.0%</w:t>
            </w:r>
          </w:p>
        </w:tc>
        <w:tc>
          <w:tcPr>
            <w:tcW w:w="469" w:type="pct"/>
            <w:noWrap/>
          </w:tcPr>
          <w:p w:rsidR="001A26B0" w:rsidRDefault="00E33A99">
            <w:pPr>
              <w:keepNext/>
              <w:spacing w:after="120"/>
              <w:jc w:val="right"/>
              <w:rPr>
                <w:noProof/>
                <w:sz w:val="20"/>
              </w:rPr>
            </w:pPr>
            <w:r>
              <w:rPr>
                <w:noProof/>
                <w:sz w:val="20"/>
              </w:rPr>
              <w:t>1.5%</w:t>
            </w:r>
          </w:p>
        </w:tc>
        <w:tc>
          <w:tcPr>
            <w:tcW w:w="468" w:type="pct"/>
            <w:noWrap/>
          </w:tcPr>
          <w:p w:rsidR="001A26B0" w:rsidRDefault="00E33A99">
            <w:pPr>
              <w:keepNext/>
              <w:spacing w:after="120"/>
              <w:jc w:val="right"/>
              <w:rPr>
                <w:noProof/>
                <w:sz w:val="20"/>
              </w:rPr>
            </w:pPr>
            <w:r>
              <w:rPr>
                <w:noProof/>
                <w:sz w:val="20"/>
              </w:rPr>
              <w:t>53.2%</w:t>
            </w:r>
          </w:p>
        </w:tc>
        <w:tc>
          <w:tcPr>
            <w:tcW w:w="468" w:type="pct"/>
            <w:noWrap/>
          </w:tcPr>
          <w:p w:rsidR="001A26B0" w:rsidRDefault="00E33A99">
            <w:pPr>
              <w:keepNext/>
              <w:spacing w:after="120"/>
              <w:jc w:val="right"/>
              <w:rPr>
                <w:noProof/>
                <w:sz w:val="20"/>
              </w:rPr>
            </w:pPr>
            <w:r>
              <w:rPr>
                <w:noProof/>
                <w:sz w:val="20"/>
              </w:rPr>
              <w:t>32.1%</w:t>
            </w:r>
          </w:p>
        </w:tc>
        <w:tc>
          <w:tcPr>
            <w:tcW w:w="468" w:type="pct"/>
            <w:noWrap/>
          </w:tcPr>
          <w:p w:rsidR="001A26B0" w:rsidRDefault="00E33A99">
            <w:pPr>
              <w:keepNext/>
              <w:spacing w:after="120"/>
              <w:jc w:val="right"/>
              <w:rPr>
                <w:noProof/>
                <w:sz w:val="20"/>
              </w:rPr>
            </w:pPr>
            <w:r>
              <w:rPr>
                <w:noProof/>
                <w:sz w:val="20"/>
              </w:rPr>
              <w:t>0.2%</w:t>
            </w:r>
          </w:p>
        </w:tc>
        <w:tc>
          <w:tcPr>
            <w:tcW w:w="467" w:type="pct"/>
            <w:noWrap/>
          </w:tcPr>
          <w:p w:rsidR="001A26B0" w:rsidRDefault="00E33A99">
            <w:pPr>
              <w:keepNext/>
              <w:spacing w:after="120"/>
              <w:jc w:val="right"/>
              <w:rPr>
                <w:noProof/>
                <w:sz w:val="20"/>
              </w:rPr>
            </w:pPr>
            <w:r>
              <w:rPr>
                <w:noProof/>
                <w:sz w:val="20"/>
              </w:rPr>
              <w:t>0.2%</w:t>
            </w:r>
          </w:p>
        </w:tc>
        <w:tc>
          <w:tcPr>
            <w:tcW w:w="468" w:type="pct"/>
            <w:noWrap/>
          </w:tcPr>
          <w:p w:rsidR="001A26B0" w:rsidRDefault="00E33A99">
            <w:pPr>
              <w:keepNext/>
              <w:spacing w:after="120"/>
              <w:jc w:val="right"/>
              <w:rPr>
                <w:noProof/>
                <w:sz w:val="20"/>
              </w:rPr>
            </w:pPr>
            <w:r>
              <w:rPr>
                <w:noProof/>
                <w:sz w:val="20"/>
              </w:rPr>
              <w:t>7.9%</w:t>
            </w:r>
          </w:p>
        </w:tc>
        <w:tc>
          <w:tcPr>
            <w:tcW w:w="468" w:type="pct"/>
            <w:noWrap/>
          </w:tcPr>
          <w:p w:rsidR="001A26B0" w:rsidRDefault="00E33A99">
            <w:pPr>
              <w:keepNext/>
              <w:spacing w:after="120"/>
              <w:jc w:val="right"/>
              <w:rPr>
                <w:noProof/>
                <w:sz w:val="20"/>
              </w:rPr>
            </w:pPr>
            <w:r>
              <w:rPr>
                <w:noProof/>
                <w:sz w:val="20"/>
              </w:rPr>
              <w:t>2.7%</w:t>
            </w:r>
          </w:p>
        </w:tc>
        <w:tc>
          <w:tcPr>
            <w:tcW w:w="467" w:type="pct"/>
            <w:noWrap/>
          </w:tcPr>
          <w:p w:rsidR="001A26B0" w:rsidRDefault="00E33A99">
            <w:pPr>
              <w:keepNext/>
              <w:spacing w:after="120"/>
              <w:jc w:val="right"/>
              <w:rPr>
                <w:noProof/>
                <w:sz w:val="20"/>
              </w:rPr>
            </w:pPr>
            <w:r>
              <w:rPr>
                <w:noProof/>
                <w:sz w:val="20"/>
              </w:rPr>
              <w:t>0.2%</w:t>
            </w:r>
          </w:p>
        </w:tc>
      </w:tr>
      <w:tr w:rsidR="001A26B0">
        <w:trPr>
          <w:trHeight w:val="300"/>
        </w:trPr>
        <w:tc>
          <w:tcPr>
            <w:tcW w:w="789" w:type="pct"/>
            <w:noWrap/>
            <w:hideMark/>
          </w:tcPr>
          <w:p w:rsidR="001A26B0" w:rsidRDefault="00E33A99">
            <w:pPr>
              <w:keepNext/>
              <w:spacing w:after="120"/>
              <w:rPr>
                <w:noProof/>
                <w:sz w:val="20"/>
              </w:rPr>
            </w:pPr>
            <w:r>
              <w:rPr>
                <w:noProof/>
                <w:sz w:val="20"/>
              </w:rPr>
              <w:t>TLV20</w:t>
            </w:r>
          </w:p>
        </w:tc>
        <w:tc>
          <w:tcPr>
            <w:tcW w:w="468" w:type="pct"/>
            <w:noWrap/>
          </w:tcPr>
          <w:p w:rsidR="001A26B0" w:rsidRDefault="00E33A99">
            <w:pPr>
              <w:keepNext/>
              <w:spacing w:after="120"/>
              <w:jc w:val="right"/>
              <w:rPr>
                <w:noProof/>
                <w:sz w:val="20"/>
              </w:rPr>
            </w:pPr>
            <w:r>
              <w:rPr>
                <w:noProof/>
                <w:sz w:val="20"/>
              </w:rPr>
              <w:t>1.9%</w:t>
            </w:r>
          </w:p>
        </w:tc>
        <w:tc>
          <w:tcPr>
            <w:tcW w:w="469" w:type="pct"/>
            <w:noWrap/>
          </w:tcPr>
          <w:p w:rsidR="001A26B0" w:rsidRDefault="00E33A99">
            <w:pPr>
              <w:keepNext/>
              <w:spacing w:after="120"/>
              <w:jc w:val="right"/>
              <w:rPr>
                <w:noProof/>
                <w:sz w:val="20"/>
              </w:rPr>
            </w:pPr>
            <w:r>
              <w:rPr>
                <w:noProof/>
                <w:sz w:val="20"/>
              </w:rPr>
              <w:t>1.5%</w:t>
            </w:r>
          </w:p>
        </w:tc>
        <w:tc>
          <w:tcPr>
            <w:tcW w:w="468" w:type="pct"/>
            <w:noWrap/>
          </w:tcPr>
          <w:p w:rsidR="001A26B0" w:rsidRDefault="00E33A99">
            <w:pPr>
              <w:keepNext/>
              <w:spacing w:after="120"/>
              <w:jc w:val="right"/>
              <w:rPr>
                <w:noProof/>
                <w:sz w:val="20"/>
              </w:rPr>
            </w:pPr>
            <w:r>
              <w:rPr>
                <w:noProof/>
                <w:sz w:val="20"/>
              </w:rPr>
              <w:t>48.6%</w:t>
            </w:r>
          </w:p>
        </w:tc>
        <w:tc>
          <w:tcPr>
            <w:tcW w:w="468" w:type="pct"/>
            <w:noWrap/>
          </w:tcPr>
          <w:p w:rsidR="001A26B0" w:rsidRDefault="00E33A99">
            <w:pPr>
              <w:keepNext/>
              <w:spacing w:after="120"/>
              <w:jc w:val="right"/>
              <w:rPr>
                <w:noProof/>
                <w:sz w:val="20"/>
              </w:rPr>
            </w:pPr>
            <w:r>
              <w:rPr>
                <w:noProof/>
                <w:sz w:val="20"/>
              </w:rPr>
              <w:t>30.1%</w:t>
            </w:r>
          </w:p>
        </w:tc>
        <w:tc>
          <w:tcPr>
            <w:tcW w:w="468" w:type="pct"/>
            <w:noWrap/>
          </w:tcPr>
          <w:p w:rsidR="001A26B0" w:rsidRDefault="00E33A99">
            <w:pPr>
              <w:keepNext/>
              <w:spacing w:after="120"/>
              <w:jc w:val="right"/>
              <w:rPr>
                <w:noProof/>
                <w:sz w:val="20"/>
              </w:rPr>
            </w:pPr>
            <w:r>
              <w:rPr>
                <w:noProof/>
                <w:sz w:val="20"/>
              </w:rPr>
              <w:t>0.2%</w:t>
            </w:r>
          </w:p>
        </w:tc>
        <w:tc>
          <w:tcPr>
            <w:tcW w:w="467" w:type="pct"/>
            <w:noWrap/>
          </w:tcPr>
          <w:p w:rsidR="001A26B0" w:rsidRDefault="00E33A99">
            <w:pPr>
              <w:keepNext/>
              <w:spacing w:after="120"/>
              <w:jc w:val="right"/>
              <w:rPr>
                <w:noProof/>
                <w:sz w:val="20"/>
              </w:rPr>
            </w:pPr>
            <w:r>
              <w:rPr>
                <w:noProof/>
                <w:sz w:val="20"/>
              </w:rPr>
              <w:t>0.2%</w:t>
            </w:r>
          </w:p>
        </w:tc>
        <w:tc>
          <w:tcPr>
            <w:tcW w:w="468" w:type="pct"/>
            <w:noWrap/>
          </w:tcPr>
          <w:p w:rsidR="001A26B0" w:rsidRDefault="00E33A99">
            <w:pPr>
              <w:keepNext/>
              <w:spacing w:after="120"/>
              <w:jc w:val="right"/>
              <w:rPr>
                <w:noProof/>
                <w:sz w:val="20"/>
              </w:rPr>
            </w:pPr>
            <w:r>
              <w:rPr>
                <w:noProof/>
                <w:sz w:val="20"/>
              </w:rPr>
              <w:t>14.0%</w:t>
            </w:r>
          </w:p>
        </w:tc>
        <w:tc>
          <w:tcPr>
            <w:tcW w:w="468" w:type="pct"/>
            <w:noWrap/>
          </w:tcPr>
          <w:p w:rsidR="001A26B0" w:rsidRDefault="00E33A99">
            <w:pPr>
              <w:keepNext/>
              <w:spacing w:after="120"/>
              <w:jc w:val="right"/>
              <w:rPr>
                <w:noProof/>
                <w:sz w:val="20"/>
              </w:rPr>
            </w:pPr>
            <w:r>
              <w:rPr>
                <w:noProof/>
                <w:sz w:val="20"/>
              </w:rPr>
              <w:t>2.7%</w:t>
            </w:r>
          </w:p>
        </w:tc>
        <w:tc>
          <w:tcPr>
            <w:tcW w:w="467" w:type="pct"/>
            <w:noWrap/>
          </w:tcPr>
          <w:p w:rsidR="001A26B0" w:rsidRDefault="00E33A99">
            <w:pPr>
              <w:keepNext/>
              <w:spacing w:after="120"/>
              <w:jc w:val="right"/>
              <w:rPr>
                <w:noProof/>
                <w:sz w:val="20"/>
              </w:rPr>
            </w:pPr>
            <w:r>
              <w:rPr>
                <w:noProof/>
                <w:sz w:val="20"/>
              </w:rPr>
              <w:t>0.8%</w:t>
            </w:r>
          </w:p>
        </w:tc>
      </w:tr>
      <w:tr w:rsidR="001A26B0">
        <w:trPr>
          <w:trHeight w:val="300"/>
        </w:trPr>
        <w:tc>
          <w:tcPr>
            <w:tcW w:w="789" w:type="pct"/>
            <w:noWrap/>
            <w:hideMark/>
          </w:tcPr>
          <w:p w:rsidR="001A26B0" w:rsidRDefault="00E33A99">
            <w:pPr>
              <w:keepNext/>
              <w:spacing w:after="120"/>
              <w:rPr>
                <w:noProof/>
                <w:sz w:val="20"/>
              </w:rPr>
            </w:pPr>
            <w:r>
              <w:rPr>
                <w:noProof/>
                <w:sz w:val="20"/>
              </w:rPr>
              <w:t>TLV25</w:t>
            </w:r>
          </w:p>
        </w:tc>
        <w:tc>
          <w:tcPr>
            <w:tcW w:w="468" w:type="pct"/>
            <w:noWrap/>
          </w:tcPr>
          <w:p w:rsidR="001A26B0" w:rsidRDefault="00E33A99">
            <w:pPr>
              <w:keepNext/>
              <w:spacing w:after="120"/>
              <w:jc w:val="right"/>
              <w:rPr>
                <w:noProof/>
                <w:sz w:val="20"/>
              </w:rPr>
            </w:pPr>
            <w:r>
              <w:rPr>
                <w:noProof/>
                <w:sz w:val="20"/>
              </w:rPr>
              <w:t>1.9%</w:t>
            </w:r>
          </w:p>
        </w:tc>
        <w:tc>
          <w:tcPr>
            <w:tcW w:w="469" w:type="pct"/>
            <w:noWrap/>
          </w:tcPr>
          <w:p w:rsidR="001A26B0" w:rsidRDefault="00E33A99">
            <w:pPr>
              <w:keepNext/>
              <w:spacing w:after="120"/>
              <w:jc w:val="right"/>
              <w:rPr>
                <w:noProof/>
                <w:sz w:val="20"/>
              </w:rPr>
            </w:pPr>
            <w:r>
              <w:rPr>
                <w:noProof/>
                <w:sz w:val="20"/>
              </w:rPr>
              <w:t>1.4%</w:t>
            </w:r>
          </w:p>
        </w:tc>
        <w:tc>
          <w:tcPr>
            <w:tcW w:w="468" w:type="pct"/>
            <w:noWrap/>
          </w:tcPr>
          <w:p w:rsidR="001A26B0" w:rsidRDefault="00E33A99">
            <w:pPr>
              <w:keepNext/>
              <w:spacing w:after="120"/>
              <w:jc w:val="right"/>
              <w:rPr>
                <w:noProof/>
                <w:sz w:val="20"/>
              </w:rPr>
            </w:pPr>
            <w:r>
              <w:rPr>
                <w:noProof/>
                <w:sz w:val="20"/>
              </w:rPr>
              <w:t>47.5%</w:t>
            </w:r>
          </w:p>
        </w:tc>
        <w:tc>
          <w:tcPr>
            <w:tcW w:w="468" w:type="pct"/>
            <w:noWrap/>
          </w:tcPr>
          <w:p w:rsidR="001A26B0" w:rsidRDefault="00E33A99">
            <w:pPr>
              <w:keepNext/>
              <w:spacing w:after="120"/>
              <w:jc w:val="right"/>
              <w:rPr>
                <w:noProof/>
                <w:sz w:val="20"/>
              </w:rPr>
            </w:pPr>
            <w:r>
              <w:rPr>
                <w:noProof/>
                <w:sz w:val="20"/>
              </w:rPr>
              <w:t>30.0%</w:t>
            </w:r>
          </w:p>
        </w:tc>
        <w:tc>
          <w:tcPr>
            <w:tcW w:w="468" w:type="pct"/>
            <w:noWrap/>
          </w:tcPr>
          <w:p w:rsidR="001A26B0" w:rsidRDefault="00E33A99">
            <w:pPr>
              <w:keepNext/>
              <w:spacing w:after="120"/>
              <w:jc w:val="right"/>
              <w:rPr>
                <w:noProof/>
                <w:sz w:val="20"/>
              </w:rPr>
            </w:pPr>
            <w:r>
              <w:rPr>
                <w:noProof/>
                <w:sz w:val="20"/>
              </w:rPr>
              <w:t>0.2%</w:t>
            </w:r>
          </w:p>
        </w:tc>
        <w:tc>
          <w:tcPr>
            <w:tcW w:w="467" w:type="pct"/>
            <w:noWrap/>
          </w:tcPr>
          <w:p w:rsidR="001A26B0" w:rsidRDefault="00E33A99">
            <w:pPr>
              <w:keepNext/>
              <w:spacing w:after="120"/>
              <w:jc w:val="right"/>
              <w:rPr>
                <w:noProof/>
                <w:sz w:val="20"/>
              </w:rPr>
            </w:pPr>
            <w:r>
              <w:rPr>
                <w:noProof/>
                <w:sz w:val="20"/>
              </w:rPr>
              <w:t>0.2%</w:t>
            </w:r>
          </w:p>
        </w:tc>
        <w:tc>
          <w:tcPr>
            <w:tcW w:w="468" w:type="pct"/>
            <w:noWrap/>
          </w:tcPr>
          <w:p w:rsidR="001A26B0" w:rsidRDefault="00E33A99">
            <w:pPr>
              <w:keepNext/>
              <w:spacing w:after="120"/>
              <w:jc w:val="right"/>
              <w:rPr>
                <w:noProof/>
                <w:sz w:val="20"/>
              </w:rPr>
            </w:pPr>
            <w:r>
              <w:rPr>
                <w:noProof/>
                <w:sz w:val="20"/>
              </w:rPr>
              <w:t>15.0%</w:t>
            </w:r>
          </w:p>
        </w:tc>
        <w:tc>
          <w:tcPr>
            <w:tcW w:w="468" w:type="pct"/>
            <w:noWrap/>
          </w:tcPr>
          <w:p w:rsidR="001A26B0" w:rsidRDefault="00E33A99">
            <w:pPr>
              <w:keepNext/>
              <w:spacing w:after="120"/>
              <w:jc w:val="right"/>
              <w:rPr>
                <w:noProof/>
                <w:sz w:val="20"/>
              </w:rPr>
            </w:pPr>
            <w:r>
              <w:rPr>
                <w:noProof/>
                <w:sz w:val="20"/>
              </w:rPr>
              <w:t>2.9%</w:t>
            </w:r>
          </w:p>
        </w:tc>
        <w:tc>
          <w:tcPr>
            <w:tcW w:w="467" w:type="pct"/>
            <w:noWrap/>
          </w:tcPr>
          <w:p w:rsidR="001A26B0" w:rsidRDefault="00E33A99">
            <w:pPr>
              <w:keepNext/>
              <w:spacing w:after="120"/>
              <w:jc w:val="right"/>
              <w:rPr>
                <w:noProof/>
                <w:sz w:val="20"/>
              </w:rPr>
            </w:pPr>
            <w:r>
              <w:rPr>
                <w:noProof/>
                <w:sz w:val="20"/>
              </w:rPr>
              <w:t>0.9%</w:t>
            </w:r>
          </w:p>
        </w:tc>
      </w:tr>
      <w:tr w:rsidR="001A26B0">
        <w:trPr>
          <w:trHeight w:val="300"/>
        </w:trPr>
        <w:tc>
          <w:tcPr>
            <w:tcW w:w="789" w:type="pct"/>
            <w:noWrap/>
            <w:hideMark/>
          </w:tcPr>
          <w:p w:rsidR="001A26B0" w:rsidRDefault="00E33A99">
            <w:pPr>
              <w:keepNext/>
              <w:spacing w:after="120"/>
              <w:rPr>
                <w:noProof/>
                <w:sz w:val="20"/>
              </w:rPr>
            </w:pPr>
            <w:r>
              <w:rPr>
                <w:noProof/>
                <w:sz w:val="20"/>
              </w:rPr>
              <w:t>TLV30</w:t>
            </w:r>
          </w:p>
        </w:tc>
        <w:tc>
          <w:tcPr>
            <w:tcW w:w="468" w:type="pct"/>
            <w:noWrap/>
          </w:tcPr>
          <w:p w:rsidR="001A26B0" w:rsidRDefault="00E33A99">
            <w:pPr>
              <w:keepNext/>
              <w:spacing w:after="120"/>
              <w:jc w:val="right"/>
              <w:rPr>
                <w:noProof/>
                <w:sz w:val="20"/>
              </w:rPr>
            </w:pPr>
            <w:r>
              <w:rPr>
                <w:noProof/>
                <w:sz w:val="20"/>
              </w:rPr>
              <w:t>1.8%</w:t>
            </w:r>
          </w:p>
        </w:tc>
        <w:tc>
          <w:tcPr>
            <w:tcW w:w="469" w:type="pct"/>
            <w:noWrap/>
          </w:tcPr>
          <w:p w:rsidR="001A26B0" w:rsidRDefault="00E33A99">
            <w:pPr>
              <w:keepNext/>
              <w:spacing w:after="120"/>
              <w:jc w:val="right"/>
              <w:rPr>
                <w:noProof/>
                <w:sz w:val="20"/>
              </w:rPr>
            </w:pPr>
            <w:r>
              <w:rPr>
                <w:noProof/>
                <w:sz w:val="20"/>
              </w:rPr>
              <w:t>1.4%</w:t>
            </w:r>
          </w:p>
        </w:tc>
        <w:tc>
          <w:tcPr>
            <w:tcW w:w="468" w:type="pct"/>
            <w:noWrap/>
          </w:tcPr>
          <w:p w:rsidR="001A26B0" w:rsidRDefault="00E33A99">
            <w:pPr>
              <w:keepNext/>
              <w:spacing w:after="120"/>
              <w:jc w:val="right"/>
              <w:rPr>
                <w:noProof/>
                <w:sz w:val="20"/>
              </w:rPr>
            </w:pPr>
            <w:r>
              <w:rPr>
                <w:noProof/>
                <w:sz w:val="20"/>
              </w:rPr>
              <w:t>45.6%</w:t>
            </w:r>
          </w:p>
        </w:tc>
        <w:tc>
          <w:tcPr>
            <w:tcW w:w="468" w:type="pct"/>
            <w:noWrap/>
          </w:tcPr>
          <w:p w:rsidR="001A26B0" w:rsidRDefault="00E33A99">
            <w:pPr>
              <w:keepNext/>
              <w:spacing w:after="120"/>
              <w:jc w:val="right"/>
              <w:rPr>
                <w:noProof/>
                <w:sz w:val="20"/>
              </w:rPr>
            </w:pPr>
            <w:r>
              <w:rPr>
                <w:noProof/>
                <w:sz w:val="20"/>
              </w:rPr>
              <w:t>29.3%</w:t>
            </w:r>
          </w:p>
        </w:tc>
        <w:tc>
          <w:tcPr>
            <w:tcW w:w="468" w:type="pct"/>
            <w:noWrap/>
          </w:tcPr>
          <w:p w:rsidR="001A26B0" w:rsidRDefault="00E33A99">
            <w:pPr>
              <w:keepNext/>
              <w:spacing w:after="120"/>
              <w:jc w:val="right"/>
              <w:rPr>
                <w:noProof/>
                <w:sz w:val="20"/>
              </w:rPr>
            </w:pPr>
            <w:r>
              <w:rPr>
                <w:noProof/>
                <w:sz w:val="20"/>
              </w:rPr>
              <w:t>0.2%</w:t>
            </w:r>
          </w:p>
        </w:tc>
        <w:tc>
          <w:tcPr>
            <w:tcW w:w="467" w:type="pct"/>
            <w:noWrap/>
          </w:tcPr>
          <w:p w:rsidR="001A26B0" w:rsidRDefault="00E33A99">
            <w:pPr>
              <w:keepNext/>
              <w:spacing w:after="120"/>
              <w:jc w:val="right"/>
              <w:rPr>
                <w:noProof/>
                <w:sz w:val="20"/>
              </w:rPr>
            </w:pPr>
            <w:r>
              <w:rPr>
                <w:noProof/>
                <w:sz w:val="20"/>
              </w:rPr>
              <w:t>0.2%</w:t>
            </w:r>
          </w:p>
        </w:tc>
        <w:tc>
          <w:tcPr>
            <w:tcW w:w="468" w:type="pct"/>
            <w:noWrap/>
          </w:tcPr>
          <w:p w:rsidR="001A26B0" w:rsidRDefault="00E33A99">
            <w:pPr>
              <w:keepNext/>
              <w:spacing w:after="120"/>
              <w:jc w:val="right"/>
              <w:rPr>
                <w:noProof/>
                <w:sz w:val="20"/>
              </w:rPr>
            </w:pPr>
            <w:r>
              <w:rPr>
                <w:noProof/>
                <w:sz w:val="20"/>
              </w:rPr>
              <w:t>17.3%</w:t>
            </w:r>
          </w:p>
        </w:tc>
        <w:tc>
          <w:tcPr>
            <w:tcW w:w="468" w:type="pct"/>
            <w:noWrap/>
          </w:tcPr>
          <w:p w:rsidR="001A26B0" w:rsidRDefault="00E33A99">
            <w:pPr>
              <w:keepNext/>
              <w:spacing w:after="120"/>
              <w:jc w:val="right"/>
              <w:rPr>
                <w:noProof/>
                <w:sz w:val="20"/>
              </w:rPr>
            </w:pPr>
            <w:r>
              <w:rPr>
                <w:noProof/>
                <w:sz w:val="20"/>
              </w:rPr>
              <w:t>3.2%</w:t>
            </w:r>
          </w:p>
        </w:tc>
        <w:tc>
          <w:tcPr>
            <w:tcW w:w="467" w:type="pct"/>
            <w:noWrap/>
          </w:tcPr>
          <w:p w:rsidR="001A26B0" w:rsidRDefault="00E33A99">
            <w:pPr>
              <w:keepNext/>
              <w:spacing w:after="120"/>
              <w:jc w:val="right"/>
              <w:rPr>
                <w:noProof/>
                <w:sz w:val="20"/>
              </w:rPr>
            </w:pPr>
            <w:r>
              <w:rPr>
                <w:noProof/>
                <w:sz w:val="20"/>
              </w:rPr>
              <w:t>1.0%</w:t>
            </w:r>
          </w:p>
        </w:tc>
      </w:tr>
      <w:tr w:rsidR="001A26B0">
        <w:trPr>
          <w:trHeight w:val="300"/>
        </w:trPr>
        <w:tc>
          <w:tcPr>
            <w:tcW w:w="789" w:type="pct"/>
            <w:noWrap/>
            <w:hideMark/>
          </w:tcPr>
          <w:p w:rsidR="001A26B0" w:rsidRDefault="00E33A99">
            <w:pPr>
              <w:keepNext/>
              <w:spacing w:after="120"/>
              <w:rPr>
                <w:noProof/>
                <w:sz w:val="20"/>
              </w:rPr>
            </w:pPr>
            <w:r>
              <w:rPr>
                <w:noProof/>
                <w:sz w:val="20"/>
              </w:rPr>
              <w:t>TLV40</w:t>
            </w:r>
          </w:p>
        </w:tc>
        <w:tc>
          <w:tcPr>
            <w:tcW w:w="468" w:type="pct"/>
            <w:noWrap/>
          </w:tcPr>
          <w:p w:rsidR="001A26B0" w:rsidRDefault="00E33A99">
            <w:pPr>
              <w:keepNext/>
              <w:spacing w:after="120"/>
              <w:jc w:val="right"/>
              <w:rPr>
                <w:noProof/>
                <w:sz w:val="20"/>
              </w:rPr>
            </w:pPr>
            <w:r>
              <w:rPr>
                <w:noProof/>
                <w:sz w:val="20"/>
              </w:rPr>
              <w:t>1.6%</w:t>
            </w:r>
          </w:p>
        </w:tc>
        <w:tc>
          <w:tcPr>
            <w:tcW w:w="469" w:type="pct"/>
            <w:noWrap/>
          </w:tcPr>
          <w:p w:rsidR="001A26B0" w:rsidRDefault="00E33A99">
            <w:pPr>
              <w:keepNext/>
              <w:spacing w:after="120"/>
              <w:jc w:val="right"/>
              <w:rPr>
                <w:noProof/>
                <w:sz w:val="20"/>
              </w:rPr>
            </w:pPr>
            <w:r>
              <w:rPr>
                <w:noProof/>
                <w:sz w:val="20"/>
              </w:rPr>
              <w:t>1.2%</w:t>
            </w:r>
          </w:p>
        </w:tc>
        <w:tc>
          <w:tcPr>
            <w:tcW w:w="468" w:type="pct"/>
            <w:noWrap/>
          </w:tcPr>
          <w:p w:rsidR="001A26B0" w:rsidRDefault="00E33A99">
            <w:pPr>
              <w:keepNext/>
              <w:spacing w:after="120"/>
              <w:jc w:val="right"/>
              <w:rPr>
                <w:noProof/>
                <w:sz w:val="20"/>
              </w:rPr>
            </w:pPr>
            <w:r>
              <w:rPr>
                <w:noProof/>
                <w:sz w:val="20"/>
              </w:rPr>
              <w:t>40.4%</w:t>
            </w:r>
          </w:p>
        </w:tc>
        <w:tc>
          <w:tcPr>
            <w:tcW w:w="468" w:type="pct"/>
            <w:noWrap/>
          </w:tcPr>
          <w:p w:rsidR="001A26B0" w:rsidRDefault="00E33A99">
            <w:pPr>
              <w:keepNext/>
              <w:spacing w:after="120"/>
              <w:jc w:val="right"/>
              <w:rPr>
                <w:noProof/>
                <w:sz w:val="20"/>
              </w:rPr>
            </w:pPr>
            <w:r>
              <w:rPr>
                <w:noProof/>
                <w:sz w:val="20"/>
              </w:rPr>
              <w:t>26.0%</w:t>
            </w:r>
          </w:p>
        </w:tc>
        <w:tc>
          <w:tcPr>
            <w:tcW w:w="468" w:type="pct"/>
            <w:noWrap/>
          </w:tcPr>
          <w:p w:rsidR="001A26B0" w:rsidRDefault="00E33A99">
            <w:pPr>
              <w:keepNext/>
              <w:spacing w:after="120"/>
              <w:jc w:val="right"/>
              <w:rPr>
                <w:noProof/>
                <w:sz w:val="20"/>
              </w:rPr>
            </w:pPr>
            <w:r>
              <w:rPr>
                <w:noProof/>
                <w:sz w:val="20"/>
              </w:rPr>
              <w:t>0.2%</w:t>
            </w:r>
          </w:p>
        </w:tc>
        <w:tc>
          <w:tcPr>
            <w:tcW w:w="467" w:type="pct"/>
            <w:noWrap/>
          </w:tcPr>
          <w:p w:rsidR="001A26B0" w:rsidRDefault="00E33A99">
            <w:pPr>
              <w:keepNext/>
              <w:spacing w:after="120"/>
              <w:jc w:val="right"/>
              <w:rPr>
                <w:noProof/>
                <w:sz w:val="20"/>
              </w:rPr>
            </w:pPr>
            <w:r>
              <w:rPr>
                <w:noProof/>
                <w:sz w:val="20"/>
              </w:rPr>
              <w:t>0.3%</w:t>
            </w:r>
          </w:p>
        </w:tc>
        <w:tc>
          <w:tcPr>
            <w:tcW w:w="468" w:type="pct"/>
            <w:noWrap/>
          </w:tcPr>
          <w:p w:rsidR="001A26B0" w:rsidRDefault="00E33A99">
            <w:pPr>
              <w:keepNext/>
              <w:spacing w:after="120"/>
              <w:jc w:val="right"/>
              <w:rPr>
                <w:noProof/>
                <w:sz w:val="20"/>
              </w:rPr>
            </w:pPr>
            <w:r>
              <w:rPr>
                <w:noProof/>
                <w:sz w:val="20"/>
              </w:rPr>
              <w:t>24.8%</w:t>
            </w:r>
          </w:p>
        </w:tc>
        <w:tc>
          <w:tcPr>
            <w:tcW w:w="468" w:type="pct"/>
            <w:noWrap/>
          </w:tcPr>
          <w:p w:rsidR="001A26B0" w:rsidRDefault="00E33A99">
            <w:pPr>
              <w:keepNext/>
              <w:spacing w:after="120"/>
              <w:jc w:val="right"/>
              <w:rPr>
                <w:noProof/>
                <w:sz w:val="20"/>
              </w:rPr>
            </w:pPr>
            <w:r>
              <w:rPr>
                <w:noProof/>
                <w:sz w:val="20"/>
              </w:rPr>
              <w:t>4.2%</w:t>
            </w:r>
          </w:p>
        </w:tc>
        <w:tc>
          <w:tcPr>
            <w:tcW w:w="467" w:type="pct"/>
            <w:noWrap/>
          </w:tcPr>
          <w:p w:rsidR="001A26B0" w:rsidRDefault="00E33A99">
            <w:pPr>
              <w:keepNext/>
              <w:spacing w:after="120"/>
              <w:jc w:val="right"/>
              <w:rPr>
                <w:noProof/>
                <w:sz w:val="20"/>
              </w:rPr>
            </w:pPr>
            <w:r>
              <w:rPr>
                <w:noProof/>
                <w:sz w:val="20"/>
              </w:rPr>
              <w:t>1.3%</w:t>
            </w:r>
          </w:p>
        </w:tc>
      </w:tr>
      <w:tr w:rsidR="001A26B0">
        <w:trPr>
          <w:trHeight w:val="300"/>
        </w:trPr>
        <w:tc>
          <w:tcPr>
            <w:tcW w:w="789" w:type="pct"/>
            <w:noWrap/>
            <w:hideMark/>
          </w:tcPr>
          <w:p w:rsidR="001A26B0" w:rsidRDefault="00E33A99">
            <w:pPr>
              <w:keepNext/>
              <w:spacing w:after="120"/>
              <w:rPr>
                <w:noProof/>
                <w:sz w:val="20"/>
              </w:rPr>
            </w:pPr>
            <w:r>
              <w:rPr>
                <w:noProof/>
                <w:sz w:val="20"/>
              </w:rPr>
              <w:t>TLV_EP40</w:t>
            </w:r>
          </w:p>
        </w:tc>
        <w:tc>
          <w:tcPr>
            <w:tcW w:w="468" w:type="pct"/>
            <w:noWrap/>
          </w:tcPr>
          <w:p w:rsidR="001A26B0" w:rsidRDefault="00E33A99">
            <w:pPr>
              <w:keepNext/>
              <w:spacing w:after="120"/>
              <w:jc w:val="right"/>
              <w:rPr>
                <w:noProof/>
                <w:sz w:val="20"/>
              </w:rPr>
            </w:pPr>
            <w:r>
              <w:rPr>
                <w:noProof/>
                <w:sz w:val="20"/>
              </w:rPr>
              <w:t>1.6%</w:t>
            </w:r>
          </w:p>
        </w:tc>
        <w:tc>
          <w:tcPr>
            <w:tcW w:w="469" w:type="pct"/>
            <w:noWrap/>
          </w:tcPr>
          <w:p w:rsidR="001A26B0" w:rsidRDefault="00E33A99">
            <w:pPr>
              <w:keepNext/>
              <w:spacing w:after="120"/>
              <w:jc w:val="right"/>
              <w:rPr>
                <w:noProof/>
                <w:sz w:val="20"/>
              </w:rPr>
            </w:pPr>
            <w:r>
              <w:rPr>
                <w:noProof/>
                <w:sz w:val="20"/>
              </w:rPr>
              <w:t>1.2%</w:t>
            </w:r>
          </w:p>
        </w:tc>
        <w:tc>
          <w:tcPr>
            <w:tcW w:w="468" w:type="pct"/>
            <w:noWrap/>
          </w:tcPr>
          <w:p w:rsidR="001A26B0" w:rsidRDefault="00E33A99">
            <w:pPr>
              <w:keepNext/>
              <w:spacing w:after="120"/>
              <w:jc w:val="right"/>
              <w:rPr>
                <w:noProof/>
                <w:sz w:val="20"/>
              </w:rPr>
            </w:pPr>
            <w:r>
              <w:rPr>
                <w:noProof/>
                <w:sz w:val="20"/>
              </w:rPr>
              <w:t>41.7%</w:t>
            </w:r>
          </w:p>
        </w:tc>
        <w:tc>
          <w:tcPr>
            <w:tcW w:w="468" w:type="pct"/>
            <w:noWrap/>
          </w:tcPr>
          <w:p w:rsidR="001A26B0" w:rsidRDefault="00E33A99">
            <w:pPr>
              <w:keepNext/>
              <w:spacing w:after="120"/>
              <w:jc w:val="right"/>
              <w:rPr>
                <w:noProof/>
                <w:sz w:val="20"/>
              </w:rPr>
            </w:pPr>
            <w:r>
              <w:rPr>
                <w:noProof/>
                <w:sz w:val="20"/>
              </w:rPr>
              <w:t>24.9%</w:t>
            </w:r>
          </w:p>
        </w:tc>
        <w:tc>
          <w:tcPr>
            <w:tcW w:w="468" w:type="pct"/>
            <w:noWrap/>
          </w:tcPr>
          <w:p w:rsidR="001A26B0" w:rsidRDefault="00E33A99">
            <w:pPr>
              <w:keepNext/>
              <w:spacing w:after="120"/>
              <w:jc w:val="right"/>
              <w:rPr>
                <w:noProof/>
                <w:sz w:val="20"/>
              </w:rPr>
            </w:pPr>
            <w:r>
              <w:rPr>
                <w:noProof/>
                <w:sz w:val="20"/>
              </w:rPr>
              <w:t>0.2%</w:t>
            </w:r>
          </w:p>
        </w:tc>
        <w:tc>
          <w:tcPr>
            <w:tcW w:w="467" w:type="pct"/>
            <w:noWrap/>
          </w:tcPr>
          <w:p w:rsidR="001A26B0" w:rsidRDefault="00E33A99">
            <w:pPr>
              <w:keepNext/>
              <w:spacing w:after="120"/>
              <w:jc w:val="right"/>
              <w:rPr>
                <w:noProof/>
                <w:sz w:val="20"/>
              </w:rPr>
            </w:pPr>
            <w:r>
              <w:rPr>
                <w:noProof/>
                <w:sz w:val="20"/>
              </w:rPr>
              <w:t>0.3%</w:t>
            </w:r>
          </w:p>
        </w:tc>
        <w:tc>
          <w:tcPr>
            <w:tcW w:w="468" w:type="pct"/>
            <w:noWrap/>
          </w:tcPr>
          <w:p w:rsidR="001A26B0" w:rsidRDefault="00E33A99">
            <w:pPr>
              <w:keepNext/>
              <w:spacing w:after="120"/>
              <w:jc w:val="right"/>
              <w:rPr>
                <w:noProof/>
                <w:sz w:val="20"/>
              </w:rPr>
            </w:pPr>
            <w:r>
              <w:rPr>
                <w:noProof/>
                <w:sz w:val="20"/>
              </w:rPr>
              <w:t>24.6%</w:t>
            </w:r>
          </w:p>
        </w:tc>
        <w:tc>
          <w:tcPr>
            <w:tcW w:w="468" w:type="pct"/>
            <w:noWrap/>
          </w:tcPr>
          <w:p w:rsidR="001A26B0" w:rsidRDefault="00E33A99">
            <w:pPr>
              <w:keepNext/>
              <w:spacing w:after="120"/>
              <w:jc w:val="right"/>
              <w:rPr>
                <w:noProof/>
                <w:sz w:val="20"/>
              </w:rPr>
            </w:pPr>
            <w:r>
              <w:rPr>
                <w:noProof/>
                <w:sz w:val="20"/>
              </w:rPr>
              <w:t>4.2%</w:t>
            </w:r>
          </w:p>
        </w:tc>
        <w:tc>
          <w:tcPr>
            <w:tcW w:w="467" w:type="pct"/>
            <w:noWrap/>
          </w:tcPr>
          <w:p w:rsidR="001A26B0" w:rsidRDefault="00E33A99">
            <w:pPr>
              <w:keepNext/>
              <w:spacing w:after="120"/>
              <w:jc w:val="right"/>
              <w:rPr>
                <w:noProof/>
                <w:sz w:val="20"/>
              </w:rPr>
            </w:pPr>
            <w:r>
              <w:rPr>
                <w:noProof/>
                <w:sz w:val="20"/>
              </w:rPr>
              <w:t>1.3%</w:t>
            </w:r>
          </w:p>
        </w:tc>
      </w:tr>
      <w:tr w:rsidR="001A26B0">
        <w:trPr>
          <w:trHeight w:val="300"/>
        </w:trPr>
        <w:tc>
          <w:tcPr>
            <w:tcW w:w="789" w:type="pct"/>
            <w:noWrap/>
            <w:hideMark/>
          </w:tcPr>
          <w:p w:rsidR="001A26B0" w:rsidRDefault="00E33A99">
            <w:pPr>
              <w:spacing w:after="120"/>
              <w:rPr>
                <w:noProof/>
                <w:sz w:val="20"/>
              </w:rPr>
            </w:pPr>
            <w:r>
              <w:rPr>
                <w:noProof/>
                <w:sz w:val="20"/>
              </w:rPr>
              <w:t>TLV_EP50</w:t>
            </w:r>
          </w:p>
        </w:tc>
        <w:tc>
          <w:tcPr>
            <w:tcW w:w="468" w:type="pct"/>
            <w:noWrap/>
          </w:tcPr>
          <w:p w:rsidR="001A26B0" w:rsidRDefault="00E33A99">
            <w:pPr>
              <w:spacing w:after="120"/>
              <w:jc w:val="right"/>
              <w:rPr>
                <w:noProof/>
                <w:sz w:val="20"/>
              </w:rPr>
            </w:pPr>
            <w:r>
              <w:rPr>
                <w:noProof/>
                <w:sz w:val="20"/>
              </w:rPr>
              <w:t>1.3%</w:t>
            </w:r>
          </w:p>
        </w:tc>
        <w:tc>
          <w:tcPr>
            <w:tcW w:w="469" w:type="pct"/>
            <w:noWrap/>
          </w:tcPr>
          <w:p w:rsidR="001A26B0" w:rsidRDefault="00E33A99">
            <w:pPr>
              <w:spacing w:after="120"/>
              <w:jc w:val="right"/>
              <w:rPr>
                <w:noProof/>
                <w:sz w:val="20"/>
              </w:rPr>
            </w:pPr>
            <w:r>
              <w:rPr>
                <w:noProof/>
                <w:sz w:val="20"/>
              </w:rPr>
              <w:t>1.0%</w:t>
            </w:r>
          </w:p>
        </w:tc>
        <w:tc>
          <w:tcPr>
            <w:tcW w:w="468" w:type="pct"/>
            <w:noWrap/>
          </w:tcPr>
          <w:p w:rsidR="001A26B0" w:rsidRDefault="00E33A99">
            <w:pPr>
              <w:spacing w:after="120"/>
              <w:jc w:val="right"/>
              <w:rPr>
                <w:noProof/>
                <w:sz w:val="20"/>
              </w:rPr>
            </w:pPr>
            <w:r>
              <w:rPr>
                <w:noProof/>
                <w:sz w:val="20"/>
              </w:rPr>
              <w:t>32.5%</w:t>
            </w:r>
          </w:p>
        </w:tc>
        <w:tc>
          <w:tcPr>
            <w:tcW w:w="468" w:type="pct"/>
            <w:noWrap/>
          </w:tcPr>
          <w:p w:rsidR="001A26B0" w:rsidRDefault="00E33A99">
            <w:pPr>
              <w:spacing w:after="120"/>
              <w:jc w:val="right"/>
              <w:rPr>
                <w:noProof/>
                <w:sz w:val="20"/>
              </w:rPr>
            </w:pPr>
            <w:r>
              <w:rPr>
                <w:noProof/>
                <w:sz w:val="20"/>
              </w:rPr>
              <w:t>19.9%</w:t>
            </w:r>
          </w:p>
        </w:tc>
        <w:tc>
          <w:tcPr>
            <w:tcW w:w="468" w:type="pct"/>
            <w:noWrap/>
          </w:tcPr>
          <w:p w:rsidR="001A26B0" w:rsidRDefault="00E33A99">
            <w:pPr>
              <w:spacing w:after="120"/>
              <w:jc w:val="right"/>
              <w:rPr>
                <w:noProof/>
                <w:sz w:val="20"/>
              </w:rPr>
            </w:pPr>
            <w:r>
              <w:rPr>
                <w:noProof/>
                <w:sz w:val="20"/>
              </w:rPr>
              <w:t>0.1%</w:t>
            </w:r>
          </w:p>
        </w:tc>
        <w:tc>
          <w:tcPr>
            <w:tcW w:w="467" w:type="pct"/>
            <w:noWrap/>
          </w:tcPr>
          <w:p w:rsidR="001A26B0" w:rsidRDefault="00E33A99">
            <w:pPr>
              <w:spacing w:after="120"/>
              <w:jc w:val="right"/>
              <w:rPr>
                <w:noProof/>
                <w:sz w:val="20"/>
              </w:rPr>
            </w:pPr>
            <w:r>
              <w:rPr>
                <w:noProof/>
                <w:sz w:val="20"/>
              </w:rPr>
              <w:t>0.2%</w:t>
            </w:r>
          </w:p>
        </w:tc>
        <w:tc>
          <w:tcPr>
            <w:tcW w:w="468" w:type="pct"/>
            <w:noWrap/>
          </w:tcPr>
          <w:p w:rsidR="001A26B0" w:rsidRDefault="00E33A99">
            <w:pPr>
              <w:spacing w:after="120"/>
              <w:jc w:val="right"/>
              <w:rPr>
                <w:noProof/>
                <w:sz w:val="20"/>
              </w:rPr>
            </w:pPr>
            <w:r>
              <w:rPr>
                <w:noProof/>
                <w:sz w:val="20"/>
              </w:rPr>
              <w:t>37.6%</w:t>
            </w:r>
          </w:p>
        </w:tc>
        <w:tc>
          <w:tcPr>
            <w:tcW w:w="468" w:type="pct"/>
            <w:noWrap/>
          </w:tcPr>
          <w:p w:rsidR="001A26B0" w:rsidRDefault="00E33A99">
            <w:pPr>
              <w:spacing w:after="120"/>
              <w:jc w:val="right"/>
              <w:rPr>
                <w:noProof/>
                <w:sz w:val="20"/>
              </w:rPr>
            </w:pPr>
            <w:r>
              <w:rPr>
                <w:noProof/>
                <w:sz w:val="20"/>
              </w:rPr>
              <w:t>5.6%</w:t>
            </w:r>
          </w:p>
        </w:tc>
        <w:tc>
          <w:tcPr>
            <w:tcW w:w="467" w:type="pct"/>
            <w:noWrap/>
          </w:tcPr>
          <w:p w:rsidR="001A26B0" w:rsidRDefault="00E33A99">
            <w:pPr>
              <w:spacing w:after="120"/>
              <w:jc w:val="right"/>
              <w:rPr>
                <w:noProof/>
                <w:sz w:val="20"/>
              </w:rPr>
            </w:pPr>
            <w:r>
              <w:rPr>
                <w:noProof/>
                <w:sz w:val="20"/>
              </w:rPr>
              <w:t>1.9%</w:t>
            </w:r>
          </w:p>
        </w:tc>
      </w:tr>
    </w:tbl>
    <w:p w:rsidR="001A26B0" w:rsidRDefault="00E33A99">
      <w:pPr>
        <w:pStyle w:val="Caption"/>
        <w:keepNext/>
        <w:rPr>
          <w:noProof/>
        </w:rPr>
      </w:pPr>
      <w:bookmarkStart w:id="236" w:name="_Toc492577369"/>
      <w:bookmarkStart w:id="237" w:name="_Toc492577465"/>
      <w:bookmarkStart w:id="238" w:name="_Toc492580564"/>
      <w:bookmarkStart w:id="239" w:name="_Toc492577370"/>
      <w:bookmarkStart w:id="240" w:name="_Toc492577466"/>
      <w:bookmarkStart w:id="241" w:name="_Toc492580565"/>
      <w:bookmarkStart w:id="242" w:name="_Toc492577371"/>
      <w:bookmarkStart w:id="243" w:name="_Toc492577467"/>
      <w:bookmarkStart w:id="244" w:name="_Toc492580566"/>
      <w:bookmarkStart w:id="245" w:name="_Toc492577372"/>
      <w:bookmarkStart w:id="246" w:name="_Toc492577468"/>
      <w:bookmarkStart w:id="247" w:name="_Toc492580567"/>
      <w:bookmarkStart w:id="248" w:name="_Ref493772328"/>
      <w:bookmarkStart w:id="249" w:name="_Toc496688557"/>
      <w:bookmarkStart w:id="250" w:name="_Ref491940481"/>
      <w:bookmarkEnd w:id="236"/>
      <w:bookmarkEnd w:id="237"/>
      <w:bookmarkEnd w:id="238"/>
      <w:bookmarkEnd w:id="239"/>
      <w:bookmarkEnd w:id="240"/>
      <w:bookmarkEnd w:id="241"/>
      <w:bookmarkEnd w:id="242"/>
      <w:bookmarkEnd w:id="243"/>
      <w:bookmarkEnd w:id="244"/>
      <w:bookmarkEnd w:id="245"/>
      <w:bookmarkEnd w:id="246"/>
      <w:bookmarkEnd w:id="247"/>
      <w:r>
        <w:rPr>
          <w:noProof/>
          <w:szCs w:val="24"/>
        </w:rPr>
        <w:t xml:space="preserve">Figure </w:t>
      </w:r>
      <w:r>
        <w:rPr>
          <w:noProof/>
          <w:szCs w:val="24"/>
        </w:rPr>
        <w:fldChar w:fldCharType="begin"/>
      </w:r>
      <w:r>
        <w:rPr>
          <w:noProof/>
          <w:szCs w:val="24"/>
        </w:rPr>
        <w:instrText xml:space="preserve"> SEQ Figure \* ARABIC </w:instrText>
      </w:r>
      <w:r>
        <w:rPr>
          <w:noProof/>
          <w:szCs w:val="24"/>
        </w:rPr>
        <w:fldChar w:fldCharType="separate"/>
      </w:r>
      <w:r>
        <w:rPr>
          <w:noProof/>
          <w:szCs w:val="24"/>
        </w:rPr>
        <w:t>11</w:t>
      </w:r>
      <w:r>
        <w:rPr>
          <w:noProof/>
          <w:szCs w:val="24"/>
        </w:rPr>
        <w:fldChar w:fldCharType="end"/>
      </w:r>
      <w:bookmarkEnd w:id="248"/>
      <w:r>
        <w:rPr>
          <w:noProof/>
          <w:szCs w:val="24"/>
        </w:rPr>
        <w:t xml:space="preserve">: </w:t>
      </w:r>
      <w:r>
        <w:rPr>
          <w:noProof/>
        </w:rPr>
        <w:t xml:space="preserve">Van </w:t>
      </w:r>
      <w:r>
        <w:rPr>
          <w:noProof/>
        </w:rPr>
        <w:t>fleet powertrain composition (new vans) in 2025 and 2030 under different TLV options</w:t>
      </w:r>
      <w:bookmarkEnd w:id="249"/>
    </w:p>
    <w:p w:rsidR="001A26B0" w:rsidRDefault="00E33A99">
      <w:pPr>
        <w:jc w:val="center"/>
        <w:rPr>
          <w:noProof/>
        </w:rPr>
      </w:pPr>
      <w:r>
        <w:rPr>
          <w:noProof/>
          <w:lang w:eastAsia="en-GB"/>
        </w:rPr>
        <w:drawing>
          <wp:inline distT="0" distB="0" distL="0" distR="0">
            <wp:extent cx="5457825" cy="27146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61000" cy="2716204"/>
                    </a:xfrm>
                    <a:prstGeom prst="rect">
                      <a:avLst/>
                    </a:prstGeom>
                    <a:noFill/>
                  </pic:spPr>
                </pic:pic>
              </a:graphicData>
            </a:graphic>
          </wp:inline>
        </w:drawing>
      </w:r>
    </w:p>
    <w:p w:rsidR="001A26B0" w:rsidRDefault="00E33A99">
      <w:pPr>
        <w:pStyle w:val="Heading4"/>
        <w:keepNext/>
        <w:ind w:left="862" w:hanging="862"/>
        <w:rPr>
          <w:noProof/>
        </w:rPr>
      </w:pPr>
      <w:bookmarkStart w:id="251" w:name="_Ref493777884"/>
      <w:bookmarkStart w:id="252" w:name="_Toc496635614"/>
      <w:r>
        <w:rPr>
          <w:noProof/>
        </w:rPr>
        <w:t>Economic impacts</w:t>
      </w:r>
      <w:bookmarkEnd w:id="250"/>
      <w:r>
        <w:rPr>
          <w:noProof/>
        </w:rPr>
        <w:t xml:space="preserve"> (including employment)</w:t>
      </w:r>
      <w:bookmarkEnd w:id="251"/>
      <w:bookmarkEnd w:id="252"/>
    </w:p>
    <w:p w:rsidR="001A26B0" w:rsidRDefault="00E33A99">
      <w:pPr>
        <w:pStyle w:val="Text4"/>
        <w:spacing w:after="120"/>
        <w:ind w:left="0"/>
        <w:contextualSpacing/>
        <w:rPr>
          <w:noProof/>
        </w:rPr>
      </w:pPr>
      <w:r>
        <w:rPr>
          <w:noProof/>
        </w:rPr>
        <w:t>In this section the following impacts are considered:</w:t>
      </w:r>
    </w:p>
    <w:p w:rsidR="001A26B0" w:rsidRDefault="00E33A99">
      <w:pPr>
        <w:pStyle w:val="ListParagraph"/>
        <w:numPr>
          <w:ilvl w:val="0"/>
          <w:numId w:val="39"/>
        </w:numPr>
        <w:spacing w:after="120"/>
        <w:ind w:left="840" w:hanging="480"/>
        <w:contextualSpacing w:val="0"/>
        <w:rPr>
          <w:noProof/>
        </w:rPr>
      </w:pPr>
      <w:r>
        <w:rPr>
          <w:noProof/>
        </w:rPr>
        <w:t xml:space="preserve">Net economic savings from different perspectives </w:t>
      </w:r>
    </w:p>
    <w:p w:rsidR="001A26B0" w:rsidRDefault="00E33A99">
      <w:pPr>
        <w:pStyle w:val="ListParagraph"/>
        <w:numPr>
          <w:ilvl w:val="0"/>
          <w:numId w:val="39"/>
        </w:numPr>
        <w:spacing w:after="120"/>
        <w:ind w:left="840" w:hanging="480"/>
        <w:contextualSpacing w:val="0"/>
        <w:rPr>
          <w:noProof/>
        </w:rPr>
      </w:pPr>
      <w:r>
        <w:rPr>
          <w:noProof/>
        </w:rPr>
        <w:t>Energy system impacts</w:t>
      </w:r>
    </w:p>
    <w:p w:rsidR="001A26B0" w:rsidRDefault="00E33A99">
      <w:pPr>
        <w:pStyle w:val="ListParagraph"/>
        <w:numPr>
          <w:ilvl w:val="0"/>
          <w:numId w:val="39"/>
        </w:numPr>
        <w:spacing w:after="120"/>
        <w:ind w:left="840" w:hanging="480"/>
        <w:contextualSpacing w:val="0"/>
        <w:rPr>
          <w:noProof/>
        </w:rPr>
      </w:pPr>
      <w:r>
        <w:rPr>
          <w:noProof/>
        </w:rPr>
        <w:t>Macro-economic impacts, including employment</w:t>
      </w:r>
    </w:p>
    <w:p w:rsidR="001A26B0" w:rsidRDefault="00E33A99">
      <w:pPr>
        <w:spacing w:after="120"/>
        <w:rPr>
          <w:i/>
          <w:noProof/>
        </w:rPr>
      </w:pPr>
      <w:r>
        <w:rPr>
          <w:i/>
          <w:noProof/>
        </w:rPr>
        <w:t>Net economic savings taking different perspectives</w:t>
      </w:r>
    </w:p>
    <w:p w:rsidR="001A26B0" w:rsidRDefault="00E33A99">
      <w:pPr>
        <w:spacing w:after="120"/>
        <w:rPr>
          <w:noProof/>
        </w:rPr>
      </w:pPr>
      <w:r>
        <w:rPr>
          <w:noProof/>
        </w:rPr>
        <w:t>The direct economic impacts of the abovementioned options have been assessed by considering the changes (compared to the baseline) in capital costs, fuel costs</w:t>
      </w:r>
      <w:r>
        <w:rPr>
          <w:rStyle w:val="FootnoteReference"/>
          <w:noProof/>
        </w:rPr>
        <w:footnoteReference w:id="159"/>
      </w:r>
      <w:r>
        <w:rPr>
          <w:noProof/>
        </w:rPr>
        <w:t xml:space="preserve">, and operating and maintenance (O&amp;M) costs for an "average" new vehicle (car or van), registered in 2025 or in 2030. </w:t>
      </w:r>
    </w:p>
    <w:p w:rsidR="001A26B0" w:rsidRDefault="00E33A99">
      <w:pPr>
        <w:spacing w:after="120"/>
        <w:rPr>
          <w:noProof/>
          <w:lang w:val="en-US"/>
        </w:rPr>
      </w:pPr>
      <w:r>
        <w:rPr>
          <w:noProof/>
        </w:rPr>
        <w:t>An "average" new vehicle of a given year is defined by averaging the contributions of the different segments of small, medium, large vehi</w:t>
      </w:r>
      <w:r>
        <w:rPr>
          <w:noProof/>
        </w:rPr>
        <w:t xml:space="preserve">cles and powertrains by weighting them according to their market penetration as estimated. The </w:t>
      </w:r>
      <w:r>
        <w:rPr>
          <w:noProof/>
          <w:lang w:val="en-US"/>
        </w:rPr>
        <w:t>PRIMES-TREMOVE</w:t>
      </w:r>
      <w:r>
        <w:rPr>
          <w:noProof/>
        </w:rPr>
        <w:t xml:space="preserve"> model projects the new fleet composition in a given year as a result of the need to comply with the requirements of the new policy. Therefore, the</w:t>
      </w:r>
      <w:r>
        <w:rPr>
          <w:noProof/>
        </w:rPr>
        <w:t xml:space="preserve"> different policy options lead to different projected fleet compositions, characterised by different shares of powertrain types (diesel, gasoline, battery electric, plug-in hybrids, etc.) in the different market segments. The net savings for an "average" v</w:t>
      </w:r>
      <w:r>
        <w:rPr>
          <w:noProof/>
        </w:rPr>
        <w:t xml:space="preserve">ehicle are calculated by averaging the costs and savings of the different powertrain types and segments, using the projected shares as weights. Since these shares change among the different scenarios, and they change for the new vehicles of 2025 and those </w:t>
      </w:r>
      <w:r>
        <w:rPr>
          <w:noProof/>
        </w:rPr>
        <w:t xml:space="preserve">of 2030, the cost indicators are used to represent the economic impacts for the new fleet of 2025 and 2030. </w:t>
      </w:r>
    </w:p>
    <w:p w:rsidR="001A26B0" w:rsidRDefault="00E33A99">
      <w:pPr>
        <w:spacing w:after="120"/>
        <w:rPr>
          <w:noProof/>
        </w:rPr>
      </w:pPr>
      <w:r>
        <w:rPr>
          <w:noProof/>
        </w:rPr>
        <w:t>For this analysis, the following indicators have been used:</w:t>
      </w:r>
    </w:p>
    <w:p w:rsidR="001A26B0" w:rsidRDefault="00E33A99">
      <w:pPr>
        <w:pStyle w:val="ListParagraph"/>
        <w:numPr>
          <w:ilvl w:val="0"/>
          <w:numId w:val="31"/>
        </w:numPr>
        <w:spacing w:after="120"/>
        <w:contextualSpacing w:val="0"/>
        <w:rPr>
          <w:noProof/>
        </w:rPr>
      </w:pPr>
      <w:r>
        <w:rPr>
          <w:noProof/>
        </w:rPr>
        <w:t>Net economic savings over the vehicle lifetime from a societal perspective</w:t>
      </w:r>
    </w:p>
    <w:p w:rsidR="001A26B0" w:rsidRDefault="00E33A99">
      <w:pPr>
        <w:spacing w:after="120"/>
        <w:ind w:left="360"/>
        <w:rPr>
          <w:noProof/>
        </w:rPr>
      </w:pPr>
      <w:r>
        <w:rPr>
          <w:noProof/>
        </w:rPr>
        <w:t>This paramet</w:t>
      </w:r>
      <w:r>
        <w:rPr>
          <w:noProof/>
        </w:rPr>
        <w:t xml:space="preserve">er reflects the change in costs over the lifetime of 15 years of an "average" new vehicle without considering </w:t>
      </w:r>
      <w:r>
        <w:rPr>
          <w:noProof/>
          <w:szCs w:val="24"/>
        </w:rPr>
        <w:t>taxes and using a discount rate of 4%.</w:t>
      </w:r>
    </w:p>
    <w:p w:rsidR="001A26B0" w:rsidRDefault="00E33A99">
      <w:pPr>
        <w:pStyle w:val="ListParagraph"/>
        <w:numPr>
          <w:ilvl w:val="0"/>
          <w:numId w:val="31"/>
        </w:numPr>
        <w:spacing w:after="120"/>
        <w:contextualSpacing w:val="0"/>
        <w:rPr>
          <w:noProof/>
        </w:rPr>
      </w:pPr>
      <w:r>
        <w:rPr>
          <w:noProof/>
        </w:rPr>
        <w:t>Net savings from an end-user perspective, using two different indicators:</w:t>
      </w:r>
    </w:p>
    <w:p w:rsidR="001A26B0" w:rsidRDefault="00E33A99">
      <w:pPr>
        <w:pStyle w:val="ListParagraph"/>
        <w:numPr>
          <w:ilvl w:val="1"/>
          <w:numId w:val="31"/>
        </w:numPr>
        <w:spacing w:after="120"/>
        <w:contextualSpacing w:val="0"/>
        <w:rPr>
          <w:noProof/>
        </w:rPr>
      </w:pPr>
      <w:r>
        <w:rPr>
          <w:noProof/>
        </w:rPr>
        <w:t>Total Cost of Ownership (TCO) ove</w:t>
      </w:r>
      <w:r>
        <w:rPr>
          <w:noProof/>
        </w:rPr>
        <w:t>r the vehicle lifetime (TCO-15 years)</w:t>
      </w:r>
    </w:p>
    <w:p w:rsidR="001A26B0" w:rsidRDefault="00E33A99">
      <w:pPr>
        <w:spacing w:after="120"/>
        <w:ind w:left="360"/>
        <w:rPr>
          <w:noProof/>
        </w:rPr>
      </w:pPr>
      <w:r>
        <w:rPr>
          <w:noProof/>
        </w:rPr>
        <w:t>This parameter reflects the change in costs over the lifetime of 15 years of an "average" new vehicle. In this case, given the end-user perspective, taxes are included and a discount rate of 11% for cars or 9.5% for va</w:t>
      </w:r>
      <w:r>
        <w:rPr>
          <w:noProof/>
        </w:rPr>
        <w:t>ns</w:t>
      </w:r>
      <w:r>
        <w:rPr>
          <w:rStyle w:val="FootnoteReference"/>
          <w:noProof/>
        </w:rPr>
        <w:footnoteReference w:id="160"/>
      </w:r>
      <w:r>
        <w:rPr>
          <w:noProof/>
        </w:rPr>
        <w:t xml:space="preserve"> is used.</w:t>
      </w:r>
    </w:p>
    <w:p w:rsidR="001A26B0" w:rsidRDefault="00E33A99">
      <w:pPr>
        <w:pStyle w:val="ListParagraph"/>
        <w:numPr>
          <w:ilvl w:val="1"/>
          <w:numId w:val="31"/>
        </w:numPr>
        <w:spacing w:after="120"/>
        <w:contextualSpacing w:val="0"/>
        <w:rPr>
          <w:noProof/>
        </w:rPr>
      </w:pPr>
      <w:r>
        <w:rPr>
          <w:noProof/>
        </w:rPr>
        <w:t>TCO for the first user, i.e. net savings during the first five years after registration (TCO-first user):</w:t>
      </w:r>
    </w:p>
    <w:p w:rsidR="001A26B0" w:rsidRDefault="00E33A99">
      <w:pPr>
        <w:spacing w:after="120"/>
        <w:ind w:left="360"/>
        <w:rPr>
          <w:noProof/>
        </w:rPr>
      </w:pPr>
      <w:r>
        <w:rPr>
          <w:noProof/>
        </w:rPr>
        <w:t>This parameter reflects the change in costs, during the first five years of use, i.e. the average time the first buyer is using the vehic</w:t>
      </w:r>
      <w:r>
        <w:rPr>
          <w:noProof/>
        </w:rPr>
        <w:t xml:space="preserve">le. </w:t>
      </w:r>
      <w:r>
        <w:rPr>
          <w:noProof/>
          <w:szCs w:val="24"/>
        </w:rPr>
        <w:t>Again</w:t>
      </w:r>
      <w:r>
        <w:rPr>
          <w:noProof/>
        </w:rPr>
        <w:t>, taxes are included and a discount rate of 11% for cars or 9.5% for vans is used. The calculation also takes account of the residual value of the vehicle and the technology added with depreciation.</w:t>
      </w:r>
    </w:p>
    <w:p w:rsidR="001A26B0" w:rsidRDefault="00E33A99">
      <w:pPr>
        <w:pStyle w:val="Heading6"/>
        <w:numPr>
          <w:ilvl w:val="0"/>
          <w:numId w:val="0"/>
        </w:numPr>
        <w:rPr>
          <w:noProof/>
        </w:rPr>
      </w:pPr>
      <w:r>
        <w:rPr>
          <w:noProof/>
        </w:rPr>
        <w:t xml:space="preserve">Sensitivities </w:t>
      </w:r>
    </w:p>
    <w:p w:rsidR="001A26B0" w:rsidRDefault="00E33A99">
      <w:pPr>
        <w:spacing w:after="120"/>
        <w:rPr>
          <w:noProof/>
        </w:rPr>
      </w:pPr>
      <w:r>
        <w:rPr>
          <w:noProof/>
        </w:rPr>
        <w:t>As explained in Section 6.1, apar</w:t>
      </w:r>
      <w:r>
        <w:rPr>
          <w:noProof/>
        </w:rPr>
        <w:t xml:space="preserve">t from the cost curves based on the "Medium" technology cost estimates, </w:t>
      </w:r>
      <w:r>
        <w:rPr>
          <w:noProof/>
          <w:szCs w:val="24"/>
        </w:rPr>
        <w:t xml:space="preserve">a number of other cost-curves were developed as part of a sensitivity analysis. </w:t>
      </w:r>
      <w:r>
        <w:rPr>
          <w:noProof/>
        </w:rPr>
        <w:t xml:space="preserve">While the overall economic analysis of the policy options (TLC and TLV) relies on the use of the Medium </w:t>
      </w:r>
      <w:r>
        <w:rPr>
          <w:noProof/>
        </w:rPr>
        <w:t xml:space="preserve">costs, some sensitivities were run to investigate the effect on the net costs (savings) in case technology costs would decrease faster than anticipated under the Medium cost case. This additional assessment also allows looking into a situation where costs </w:t>
      </w:r>
      <w:r>
        <w:rPr>
          <w:noProof/>
        </w:rPr>
        <w:t>evolve differently for different powertrain types. This is particularly relevant for EV in view of the importance of the battery cell costs and the higher uncertainty over how these costs will evolve in the future very much depending on market penetration.</w:t>
      </w:r>
      <w:r>
        <w:rPr>
          <w:noProof/>
        </w:rPr>
        <w:t xml:space="preserve"> </w:t>
      </w:r>
    </w:p>
    <w:p w:rsidR="001A26B0" w:rsidRDefault="00E33A99">
      <w:pPr>
        <w:spacing w:after="120"/>
        <w:rPr>
          <w:noProof/>
        </w:rPr>
      </w:pPr>
      <w:r>
        <w:rPr>
          <w:noProof/>
        </w:rPr>
        <w:t>Two other sensitivities explored are related to the future oil price and to the evolution of the share of diesel cars in the fleet.</w:t>
      </w:r>
    </w:p>
    <w:p w:rsidR="001A26B0" w:rsidRDefault="001A26B0">
      <w:pPr>
        <w:spacing w:after="120"/>
        <w:rPr>
          <w:i/>
          <w:noProof/>
        </w:rPr>
      </w:pPr>
    </w:p>
    <w:p w:rsidR="001A26B0" w:rsidRDefault="00E33A99">
      <w:pPr>
        <w:spacing w:after="120"/>
        <w:rPr>
          <w:i/>
          <w:noProof/>
        </w:rPr>
      </w:pPr>
      <w:r>
        <w:rPr>
          <w:i/>
          <w:noProof/>
        </w:rPr>
        <w:t>Energy system impacts</w:t>
      </w:r>
    </w:p>
    <w:p w:rsidR="001A26B0" w:rsidRDefault="00E33A99">
      <w:pPr>
        <w:spacing w:after="120"/>
        <w:rPr>
          <w:noProof/>
          <w:color w:val="000000" w:themeColor="text1"/>
        </w:rPr>
      </w:pPr>
      <w:r>
        <w:rPr>
          <w:noProof/>
          <w:color w:val="000000" w:themeColor="text1"/>
        </w:rPr>
        <w:t>In view of the close link between the LDV CO</w:t>
      </w:r>
      <w:r>
        <w:rPr>
          <w:noProof/>
          <w:color w:val="000000" w:themeColor="text1"/>
          <w:vertAlign w:val="subscript"/>
        </w:rPr>
        <w:t>2</w:t>
      </w:r>
      <w:r>
        <w:rPr>
          <w:noProof/>
          <w:color w:val="000000" w:themeColor="text1"/>
        </w:rPr>
        <w:t xml:space="preserve"> standards and energy use in the transport and fuel se</w:t>
      </w:r>
      <w:r>
        <w:rPr>
          <w:noProof/>
          <w:color w:val="000000" w:themeColor="text1"/>
        </w:rPr>
        <w:t xml:space="preserve">ctors, the energy system impacts have been analysed, considering the final energy demand, the final energy demand by energy source and the impact on the electricity system. </w:t>
      </w:r>
    </w:p>
    <w:p w:rsidR="001A26B0" w:rsidRDefault="00E33A99">
      <w:pPr>
        <w:spacing w:after="120"/>
        <w:rPr>
          <w:i/>
          <w:noProof/>
        </w:rPr>
      </w:pPr>
      <w:r>
        <w:rPr>
          <w:i/>
          <w:noProof/>
        </w:rPr>
        <w:t>Macro-economic impacts</w:t>
      </w:r>
    </w:p>
    <w:p w:rsidR="001A26B0" w:rsidRDefault="00E33A99">
      <w:pPr>
        <w:spacing w:after="120"/>
        <w:rPr>
          <w:noProof/>
          <w:color w:val="000000" w:themeColor="text1"/>
        </w:rPr>
      </w:pPr>
      <w:r>
        <w:rPr>
          <w:noProof/>
        </w:rPr>
        <w:t>The broader macro-economic impacts of the different TL opti</w:t>
      </w:r>
      <w:r>
        <w:rPr>
          <w:noProof/>
        </w:rPr>
        <w:t xml:space="preserve">ons have been analysed for the LDV sector (passenger cars and vans) as a whole. Therefore, the results are presented for cars and vans together in </w:t>
      </w:r>
      <w:r>
        <w:rPr>
          <w:noProof/>
          <w:color w:val="000000" w:themeColor="text1"/>
        </w:rPr>
        <w:t>Section 6.3.2.2.3.</w:t>
      </w:r>
    </w:p>
    <w:p w:rsidR="001A26B0" w:rsidRDefault="00E33A99">
      <w:pPr>
        <w:spacing w:after="120"/>
        <w:rPr>
          <w:noProof/>
        </w:rPr>
      </w:pPr>
      <w:r>
        <w:rPr>
          <w:noProof/>
          <w:color w:val="000000" w:themeColor="text1"/>
        </w:rPr>
        <w:t>While the below Sections provide an overview of the main findings of the assessment and so</w:t>
      </w:r>
      <w:r>
        <w:rPr>
          <w:noProof/>
          <w:color w:val="000000" w:themeColor="text1"/>
        </w:rPr>
        <w:t xml:space="preserve">me illustrative tables and figures, the </w:t>
      </w:r>
      <w:r>
        <w:rPr>
          <w:noProof/>
        </w:rPr>
        <w:t>detailed results of the calculations of the net savings and their components are given in Annex 8.</w:t>
      </w:r>
    </w:p>
    <w:p w:rsidR="001A26B0" w:rsidRDefault="00E33A99">
      <w:pPr>
        <w:pStyle w:val="Heading5"/>
        <w:spacing w:before="0"/>
        <w:rPr>
          <w:noProof/>
        </w:rPr>
      </w:pPr>
      <w:bookmarkStart w:id="253" w:name="_Toc487211785"/>
      <w:bookmarkStart w:id="254" w:name="_Ref491162303"/>
      <w:bookmarkStart w:id="255" w:name="_Ref491163520"/>
      <w:bookmarkStart w:id="256" w:name="_Ref491444761"/>
      <w:bookmarkStart w:id="257" w:name="_Ref491940221"/>
      <w:r>
        <w:rPr>
          <w:noProof/>
        </w:rPr>
        <w:t>Passenger cars (TLC)</w:t>
      </w:r>
      <w:bookmarkEnd w:id="253"/>
      <w:bookmarkEnd w:id="254"/>
      <w:bookmarkEnd w:id="255"/>
      <w:bookmarkEnd w:id="256"/>
      <w:bookmarkEnd w:id="257"/>
      <w:r>
        <w:rPr>
          <w:noProof/>
        </w:rPr>
        <w:t xml:space="preserve"> </w:t>
      </w:r>
    </w:p>
    <w:p w:rsidR="001A26B0" w:rsidRDefault="00E33A99">
      <w:pPr>
        <w:pStyle w:val="Heading6"/>
        <w:rPr>
          <w:noProof/>
        </w:rPr>
      </w:pPr>
      <w:r>
        <w:rPr>
          <w:noProof/>
        </w:rPr>
        <w:t xml:space="preserve">Net economic savings over the vehicle lifetime from a societal perspective </w:t>
      </w:r>
    </w:p>
    <w:p w:rsidR="001A26B0" w:rsidRDefault="00E33A99">
      <w:pPr>
        <w:pStyle w:val="Caption"/>
        <w:rPr>
          <w:b w:val="0"/>
          <w:noProof/>
        </w:rPr>
      </w:pPr>
      <w:r>
        <w:rPr>
          <w:b w:val="0"/>
          <w:noProof/>
        </w:rPr>
        <w:fldChar w:fldCharType="begin"/>
      </w:r>
      <w:r>
        <w:rPr>
          <w:b w:val="0"/>
          <w:noProof/>
        </w:rPr>
        <w:instrText xml:space="preserve"> REF _Ref493267684 \h  \* MERGEFORMAT </w:instrText>
      </w:r>
      <w:r>
        <w:rPr>
          <w:b w:val="0"/>
          <w:noProof/>
        </w:rPr>
      </w:r>
      <w:r>
        <w:rPr>
          <w:b w:val="0"/>
          <w:noProof/>
        </w:rPr>
        <w:fldChar w:fldCharType="separate"/>
      </w:r>
      <w:r>
        <w:rPr>
          <w:b w:val="0"/>
          <w:noProof/>
          <w:szCs w:val="24"/>
        </w:rPr>
        <w:t>Table</w:t>
      </w:r>
      <w:r>
        <w:rPr>
          <w:noProof/>
          <w:szCs w:val="24"/>
        </w:rPr>
        <w:t xml:space="preserve"> 8</w:t>
      </w:r>
      <w:r>
        <w:rPr>
          <w:b w:val="0"/>
          <w:noProof/>
        </w:rPr>
        <w:fldChar w:fldCharType="end"/>
      </w:r>
      <w:r>
        <w:rPr>
          <w:b w:val="0"/>
          <w:noProof/>
        </w:rPr>
        <w:t xml:space="preserve"> and </w:t>
      </w:r>
      <w:r>
        <w:rPr>
          <w:b w:val="0"/>
          <w:noProof/>
        </w:rPr>
        <w:fldChar w:fldCharType="begin"/>
      </w:r>
      <w:r>
        <w:rPr>
          <w:b w:val="0"/>
          <w:noProof/>
        </w:rPr>
        <w:instrText xml:space="preserve"> REF _Ref493772876 \h  \* MERGEFORMAT </w:instrText>
      </w:r>
      <w:r>
        <w:rPr>
          <w:b w:val="0"/>
          <w:noProof/>
        </w:rPr>
      </w:r>
      <w:r>
        <w:rPr>
          <w:b w:val="0"/>
          <w:noProof/>
        </w:rPr>
        <w:fldChar w:fldCharType="separate"/>
      </w:r>
      <w:r>
        <w:rPr>
          <w:b w:val="0"/>
          <w:noProof/>
          <w:szCs w:val="24"/>
        </w:rPr>
        <w:t>Figure 12</w:t>
      </w:r>
      <w:r>
        <w:rPr>
          <w:b w:val="0"/>
          <w:noProof/>
        </w:rPr>
        <w:fldChar w:fldCharType="end"/>
      </w:r>
      <w:r>
        <w:rPr>
          <w:b w:val="0"/>
          <w:noProof/>
        </w:rPr>
        <w:t xml:space="preserve"> show the net savings (EUR per vehicle, expressed as the difference with the baseline) over the vehicle lifetime from a societal perspective for an average new passenger car registered in 2025</w:t>
      </w:r>
      <w:r>
        <w:rPr>
          <w:b w:val="0"/>
          <w:noProof/>
        </w:rPr>
        <w:t xml:space="preserve"> and in 2030 under the different TLC options. The net savings observed are the result of differences in capital costs, fuel cost savings and O&amp;M costs.</w:t>
      </w:r>
    </w:p>
    <w:p w:rsidR="001A26B0" w:rsidRDefault="00E33A99">
      <w:pPr>
        <w:spacing w:after="120"/>
        <w:rPr>
          <w:noProof/>
        </w:rPr>
      </w:pPr>
      <w:r>
        <w:rPr>
          <w:noProof/>
        </w:rPr>
        <w:t xml:space="preserve">Capital costs – which in this case are equal to manufacturing costs - increase with stricter fleet-wide </w:t>
      </w:r>
      <w:r>
        <w:rPr>
          <w:noProof/>
        </w:rPr>
        <w:t>CO</w:t>
      </w:r>
      <w:r>
        <w:rPr>
          <w:noProof/>
          <w:vertAlign w:val="subscript"/>
        </w:rPr>
        <w:t>2</w:t>
      </w:r>
      <w:r>
        <w:rPr>
          <w:noProof/>
        </w:rPr>
        <w:t xml:space="preserve"> target levels as reducing CO</w:t>
      </w:r>
      <w:r>
        <w:rPr>
          <w:noProof/>
          <w:vertAlign w:val="subscript"/>
        </w:rPr>
        <w:t>2</w:t>
      </w:r>
      <w:r>
        <w:rPr>
          <w:noProof/>
        </w:rPr>
        <w:t xml:space="preserve"> emissions will require additional more expensive technologies to be implemented. For a car registered in 2025, the average additional capital cost ranges from 115 EUR (TLC20) to 1,411 EUR (TLC_EP40). In 2030, it ranges fro</w:t>
      </w:r>
      <w:r>
        <w:rPr>
          <w:noProof/>
        </w:rPr>
        <w:t>m 419 EUR (TLC20) to 2,752 EUR (TLC_EP50) per car.</w:t>
      </w:r>
    </w:p>
    <w:p w:rsidR="001A26B0" w:rsidRDefault="00E33A99">
      <w:pPr>
        <w:spacing w:after="120"/>
        <w:rPr>
          <w:noProof/>
        </w:rPr>
      </w:pPr>
      <w:r>
        <w:rPr>
          <w:noProof/>
        </w:rPr>
        <w:t xml:space="preserve">At the same time, stricter targets will lower fuel costs as the fuel efficiency of the cars improves and more alternative powertrains are deployed, both measures reducing the amount of fuel consumed. Fuel </w:t>
      </w:r>
      <w:r>
        <w:rPr>
          <w:noProof/>
        </w:rPr>
        <w:t>cost savings per car range from 354 EUR (TLC20) to 1,394 EUR (TLC_EP40) in 2025 and from 1,159 EUR (TLC20) to 2,558 EUR (TLC_EP50) in 2030.</w:t>
      </w:r>
    </w:p>
    <w:p w:rsidR="001A26B0" w:rsidRDefault="00E33A99">
      <w:pPr>
        <w:spacing w:after="120"/>
        <w:rPr>
          <w:noProof/>
        </w:rPr>
      </w:pPr>
      <w:r>
        <w:rPr>
          <w:noProof/>
        </w:rPr>
        <w:t>O&amp;M costs show little variation between the different options, as they depend on the insurance and maintenance costs</w:t>
      </w:r>
      <w:r>
        <w:rPr>
          <w:noProof/>
        </w:rPr>
        <w:t xml:space="preserve"> for the different segments and powertrains which compose the PRIMES-TREMOVE optimised fleet.</w:t>
      </w:r>
    </w:p>
    <w:p w:rsidR="001A26B0" w:rsidRDefault="00E33A99">
      <w:pPr>
        <w:spacing w:after="120"/>
        <w:rPr>
          <w:noProof/>
        </w:rPr>
      </w:pPr>
      <w:r>
        <w:rPr>
          <w:noProof/>
        </w:rPr>
        <w:t>Both in 2025 and in 2030, net savings occur for options TLC20, TLC25, TLC30 and TLC40, ranging from 78 EUR (TLC40) to 152 EUR (TLC30) per car in 2025 and from 565</w:t>
      </w:r>
      <w:r>
        <w:rPr>
          <w:noProof/>
        </w:rPr>
        <w:t xml:space="preserve"> EUR (TLC40) to 902 EUR (TLC25) per car in 2030. Option TLC_EP40 results in net savings in 2030 (512 EUR per car), but not in 2025 (net costs of 42 EUR per car) while under option TLC_EP50 net savings are just below zero in both 2025 and 2030. </w:t>
      </w:r>
    </w:p>
    <w:p w:rsidR="001A26B0" w:rsidRDefault="00E33A99">
      <w:pPr>
        <w:spacing w:after="120"/>
        <w:rPr>
          <w:noProof/>
        </w:rPr>
      </w:pPr>
      <w:r>
        <w:rPr>
          <w:noProof/>
        </w:rPr>
        <w:t>As can be s</w:t>
      </w:r>
      <w:r>
        <w:rPr>
          <w:noProof/>
        </w:rPr>
        <w:t xml:space="preserve">een from </w:t>
      </w:r>
      <w:r>
        <w:rPr>
          <w:b/>
          <w:noProof/>
        </w:rPr>
        <w:fldChar w:fldCharType="begin"/>
      </w:r>
      <w:r>
        <w:rPr>
          <w:noProof/>
        </w:rPr>
        <w:instrText xml:space="preserve"> REF _Ref493267684 \h  \* MERGEFORMAT </w:instrText>
      </w:r>
      <w:r>
        <w:rPr>
          <w:b/>
          <w:noProof/>
        </w:rPr>
      </w:r>
      <w:r>
        <w:rPr>
          <w:b/>
          <w:noProof/>
        </w:rPr>
        <w:fldChar w:fldCharType="separate"/>
      </w:r>
      <w:r>
        <w:rPr>
          <w:noProof/>
          <w:szCs w:val="24"/>
        </w:rPr>
        <w:t>Table 8</w:t>
      </w:r>
      <w:r>
        <w:rPr>
          <w:b/>
          <w:noProof/>
        </w:rPr>
        <w:fldChar w:fldCharType="end"/>
      </w:r>
      <w:r>
        <w:rPr>
          <w:noProof/>
        </w:rPr>
        <w:t xml:space="preserve"> and </w:t>
      </w:r>
      <w:r>
        <w:rPr>
          <w:b/>
          <w:noProof/>
        </w:rPr>
        <w:fldChar w:fldCharType="begin"/>
      </w:r>
      <w:r>
        <w:rPr>
          <w:noProof/>
        </w:rPr>
        <w:instrText xml:space="preserve"> REF _Ref493772876 \h  \* MERGEFORMAT </w:instrText>
      </w:r>
      <w:r>
        <w:rPr>
          <w:b/>
          <w:noProof/>
        </w:rPr>
      </w:r>
      <w:r>
        <w:rPr>
          <w:b/>
          <w:noProof/>
        </w:rPr>
        <w:fldChar w:fldCharType="separate"/>
      </w:r>
      <w:r>
        <w:rPr>
          <w:noProof/>
          <w:szCs w:val="24"/>
        </w:rPr>
        <w:t>Figure 12</w:t>
      </w:r>
      <w:r>
        <w:rPr>
          <w:b/>
          <w:noProof/>
        </w:rPr>
        <w:fldChar w:fldCharType="end"/>
      </w:r>
      <w:r>
        <w:rPr>
          <w:noProof/>
        </w:rPr>
        <w:t xml:space="preserve">, the highest </w:t>
      </w:r>
      <w:r>
        <w:rPr>
          <w:noProof/>
        </w:rPr>
        <w:t>net savings can be realised with options TLC25 and TLC30 in both 2025 and 2030.</w:t>
      </w:r>
    </w:p>
    <w:p w:rsidR="001A26B0" w:rsidRDefault="00E33A99">
      <w:pPr>
        <w:spacing w:after="200" w:line="276" w:lineRule="auto"/>
        <w:jc w:val="left"/>
        <w:rPr>
          <w:b/>
          <w:noProof/>
          <w:szCs w:val="24"/>
        </w:rPr>
      </w:pPr>
      <w:bookmarkStart w:id="258" w:name="_Ref493267684"/>
      <w:r>
        <w:rPr>
          <w:noProof/>
          <w:szCs w:val="24"/>
        </w:rPr>
        <w:br w:type="page"/>
      </w:r>
    </w:p>
    <w:p w:rsidR="001A26B0" w:rsidRDefault="00E33A99">
      <w:pPr>
        <w:pStyle w:val="Caption"/>
        <w:keepNext/>
        <w:rPr>
          <w:noProof/>
          <w:szCs w:val="24"/>
        </w:rPr>
      </w:pPr>
      <w:r>
        <w:rPr>
          <w:noProof/>
          <w:szCs w:val="24"/>
        </w:rPr>
        <w:t xml:space="preserve">Table </w:t>
      </w:r>
      <w:r>
        <w:rPr>
          <w:noProof/>
          <w:szCs w:val="24"/>
        </w:rPr>
        <w:fldChar w:fldCharType="begin"/>
      </w:r>
      <w:r>
        <w:rPr>
          <w:noProof/>
          <w:szCs w:val="24"/>
        </w:rPr>
        <w:instrText xml:space="preserve"> SEQ Table \* ARABIC </w:instrText>
      </w:r>
      <w:r>
        <w:rPr>
          <w:noProof/>
          <w:szCs w:val="24"/>
        </w:rPr>
        <w:fldChar w:fldCharType="separate"/>
      </w:r>
      <w:r>
        <w:rPr>
          <w:noProof/>
          <w:szCs w:val="24"/>
        </w:rPr>
        <w:t>8</w:t>
      </w:r>
      <w:r>
        <w:rPr>
          <w:noProof/>
          <w:szCs w:val="24"/>
        </w:rPr>
        <w:fldChar w:fldCharType="end"/>
      </w:r>
      <w:bookmarkEnd w:id="258"/>
      <w:r>
        <w:rPr>
          <w:noProof/>
          <w:szCs w:val="24"/>
        </w:rPr>
        <w:t>: Net economic savings over the vehicle lifetime from a societal perspective in 2025 and 2030 (EUR/car)</w:t>
      </w:r>
    </w:p>
    <w:tbl>
      <w:tblPr>
        <w:tblStyle w:val="TableGrid"/>
        <w:tblW w:w="5000" w:type="pct"/>
        <w:tblLook w:val="04A0" w:firstRow="1" w:lastRow="0" w:firstColumn="1" w:lastColumn="0" w:noHBand="0" w:noVBand="1"/>
      </w:tblPr>
      <w:tblGrid>
        <w:gridCol w:w="2211"/>
        <w:gridCol w:w="910"/>
        <w:gridCol w:w="948"/>
        <w:gridCol w:w="976"/>
        <w:gridCol w:w="1044"/>
        <w:gridCol w:w="1310"/>
        <w:gridCol w:w="1430"/>
      </w:tblGrid>
      <w:tr w:rsidR="001A26B0">
        <w:trPr>
          <w:trHeight w:val="255"/>
        </w:trPr>
        <w:tc>
          <w:tcPr>
            <w:tcW w:w="1252" w:type="pct"/>
            <w:noWrap/>
            <w:hideMark/>
          </w:tcPr>
          <w:p w:rsidR="001A26B0" w:rsidRDefault="00E33A99">
            <w:pPr>
              <w:spacing w:after="60" w:line="276" w:lineRule="auto"/>
              <w:rPr>
                <w:b/>
                <w:noProof/>
                <w:szCs w:val="24"/>
              </w:rPr>
            </w:pPr>
            <w:r>
              <w:rPr>
                <w:b/>
                <w:noProof/>
                <w:szCs w:val="24"/>
              </w:rPr>
              <w:t>2025 (EUR/car)</w:t>
            </w:r>
          </w:p>
        </w:tc>
        <w:tc>
          <w:tcPr>
            <w:tcW w:w="515" w:type="pct"/>
            <w:noWrap/>
          </w:tcPr>
          <w:p w:rsidR="001A26B0" w:rsidRDefault="00E33A99">
            <w:pPr>
              <w:spacing w:after="60" w:line="276" w:lineRule="auto"/>
              <w:jc w:val="center"/>
              <w:rPr>
                <w:noProof/>
                <w:szCs w:val="24"/>
              </w:rPr>
            </w:pPr>
            <w:r>
              <w:rPr>
                <w:noProof/>
                <w:szCs w:val="24"/>
              </w:rPr>
              <w:t>TLC20</w:t>
            </w:r>
          </w:p>
        </w:tc>
        <w:tc>
          <w:tcPr>
            <w:tcW w:w="537" w:type="pct"/>
            <w:noWrap/>
          </w:tcPr>
          <w:p w:rsidR="001A26B0" w:rsidRDefault="00E33A99">
            <w:pPr>
              <w:spacing w:after="60" w:line="276" w:lineRule="auto"/>
              <w:jc w:val="center"/>
              <w:rPr>
                <w:noProof/>
                <w:szCs w:val="24"/>
              </w:rPr>
            </w:pPr>
            <w:r>
              <w:rPr>
                <w:noProof/>
                <w:szCs w:val="24"/>
              </w:rPr>
              <w:t>TLC25</w:t>
            </w:r>
          </w:p>
        </w:tc>
        <w:tc>
          <w:tcPr>
            <w:tcW w:w="553" w:type="pct"/>
            <w:noWrap/>
          </w:tcPr>
          <w:p w:rsidR="001A26B0" w:rsidRDefault="00E33A99">
            <w:pPr>
              <w:spacing w:after="60" w:line="276" w:lineRule="auto"/>
              <w:jc w:val="center"/>
              <w:rPr>
                <w:noProof/>
                <w:szCs w:val="24"/>
              </w:rPr>
            </w:pPr>
            <w:r>
              <w:rPr>
                <w:noProof/>
                <w:szCs w:val="24"/>
              </w:rPr>
              <w:t>TLC30</w:t>
            </w:r>
          </w:p>
        </w:tc>
        <w:tc>
          <w:tcPr>
            <w:tcW w:w="591" w:type="pct"/>
            <w:noWrap/>
          </w:tcPr>
          <w:p w:rsidR="001A26B0" w:rsidRDefault="00E33A99">
            <w:pPr>
              <w:spacing w:after="60" w:line="276" w:lineRule="auto"/>
              <w:jc w:val="center"/>
              <w:rPr>
                <w:noProof/>
                <w:szCs w:val="24"/>
              </w:rPr>
            </w:pPr>
            <w:r>
              <w:rPr>
                <w:noProof/>
                <w:szCs w:val="24"/>
              </w:rPr>
              <w:t>TLC40</w:t>
            </w:r>
          </w:p>
        </w:tc>
        <w:tc>
          <w:tcPr>
            <w:tcW w:w="742" w:type="pct"/>
            <w:noWrap/>
          </w:tcPr>
          <w:p w:rsidR="001A26B0" w:rsidRDefault="00E33A99">
            <w:pPr>
              <w:spacing w:after="60" w:line="276" w:lineRule="auto"/>
              <w:jc w:val="center"/>
              <w:rPr>
                <w:noProof/>
                <w:szCs w:val="24"/>
              </w:rPr>
            </w:pPr>
            <w:r>
              <w:rPr>
                <w:noProof/>
                <w:szCs w:val="24"/>
              </w:rPr>
              <w:t>TLC_EP40</w:t>
            </w:r>
          </w:p>
        </w:tc>
        <w:tc>
          <w:tcPr>
            <w:tcW w:w="810" w:type="pct"/>
            <w:noWrap/>
          </w:tcPr>
          <w:p w:rsidR="001A26B0" w:rsidRDefault="00E33A99">
            <w:pPr>
              <w:spacing w:after="60" w:line="276" w:lineRule="auto"/>
              <w:jc w:val="center"/>
              <w:rPr>
                <w:noProof/>
                <w:szCs w:val="24"/>
              </w:rPr>
            </w:pPr>
            <w:r>
              <w:rPr>
                <w:noProof/>
                <w:szCs w:val="24"/>
              </w:rPr>
              <w:t>TLC_EP50</w:t>
            </w:r>
          </w:p>
        </w:tc>
      </w:tr>
      <w:tr w:rsidR="001A26B0">
        <w:trPr>
          <w:trHeight w:val="255"/>
        </w:trPr>
        <w:tc>
          <w:tcPr>
            <w:tcW w:w="1252" w:type="pct"/>
            <w:noWrap/>
            <w:hideMark/>
          </w:tcPr>
          <w:p w:rsidR="001A26B0" w:rsidRDefault="00E33A99">
            <w:pPr>
              <w:spacing w:after="60" w:line="276" w:lineRule="auto"/>
              <w:rPr>
                <w:noProof/>
                <w:szCs w:val="24"/>
              </w:rPr>
            </w:pPr>
            <w:r>
              <w:rPr>
                <w:noProof/>
                <w:szCs w:val="24"/>
              </w:rPr>
              <w:t>Capital cost [1]</w:t>
            </w:r>
          </w:p>
        </w:tc>
        <w:tc>
          <w:tcPr>
            <w:tcW w:w="515" w:type="pct"/>
            <w:noWrap/>
            <w:hideMark/>
          </w:tcPr>
          <w:p w:rsidR="001A26B0" w:rsidRDefault="00E33A99">
            <w:pPr>
              <w:spacing w:after="60" w:line="276" w:lineRule="auto"/>
              <w:jc w:val="center"/>
              <w:rPr>
                <w:noProof/>
                <w:szCs w:val="24"/>
              </w:rPr>
            </w:pPr>
            <w:r>
              <w:rPr>
                <w:noProof/>
                <w:szCs w:val="24"/>
              </w:rPr>
              <w:t>115</w:t>
            </w:r>
          </w:p>
        </w:tc>
        <w:tc>
          <w:tcPr>
            <w:tcW w:w="537" w:type="pct"/>
            <w:noWrap/>
          </w:tcPr>
          <w:p w:rsidR="001A26B0" w:rsidRDefault="00E33A99">
            <w:pPr>
              <w:spacing w:after="60" w:line="276" w:lineRule="auto"/>
              <w:jc w:val="center"/>
              <w:rPr>
                <w:noProof/>
                <w:szCs w:val="24"/>
              </w:rPr>
            </w:pPr>
            <w:r>
              <w:rPr>
                <w:noProof/>
                <w:szCs w:val="24"/>
              </w:rPr>
              <w:t>229</w:t>
            </w:r>
          </w:p>
        </w:tc>
        <w:tc>
          <w:tcPr>
            <w:tcW w:w="553" w:type="pct"/>
            <w:noWrap/>
            <w:hideMark/>
          </w:tcPr>
          <w:p w:rsidR="001A26B0" w:rsidRDefault="00E33A99">
            <w:pPr>
              <w:spacing w:after="60" w:line="276" w:lineRule="auto"/>
              <w:jc w:val="center"/>
              <w:rPr>
                <w:noProof/>
                <w:szCs w:val="24"/>
              </w:rPr>
            </w:pPr>
            <w:r>
              <w:rPr>
                <w:noProof/>
                <w:szCs w:val="24"/>
              </w:rPr>
              <w:t>380</w:t>
            </w:r>
          </w:p>
        </w:tc>
        <w:tc>
          <w:tcPr>
            <w:tcW w:w="591" w:type="pct"/>
            <w:noWrap/>
            <w:hideMark/>
          </w:tcPr>
          <w:p w:rsidR="001A26B0" w:rsidRDefault="00E33A99">
            <w:pPr>
              <w:spacing w:after="60" w:line="276" w:lineRule="auto"/>
              <w:jc w:val="center"/>
              <w:rPr>
                <w:noProof/>
                <w:szCs w:val="24"/>
              </w:rPr>
            </w:pPr>
            <w:r>
              <w:rPr>
                <w:noProof/>
                <w:szCs w:val="24"/>
              </w:rPr>
              <w:t>747</w:t>
            </w:r>
          </w:p>
        </w:tc>
        <w:tc>
          <w:tcPr>
            <w:tcW w:w="742" w:type="pct"/>
            <w:noWrap/>
            <w:hideMark/>
          </w:tcPr>
          <w:p w:rsidR="001A26B0" w:rsidRDefault="00E33A99">
            <w:pPr>
              <w:spacing w:after="60" w:line="276" w:lineRule="auto"/>
              <w:jc w:val="center"/>
              <w:rPr>
                <w:noProof/>
                <w:szCs w:val="24"/>
              </w:rPr>
            </w:pPr>
            <w:r>
              <w:rPr>
                <w:noProof/>
                <w:szCs w:val="24"/>
              </w:rPr>
              <w:t>1,411</w:t>
            </w:r>
          </w:p>
        </w:tc>
        <w:tc>
          <w:tcPr>
            <w:tcW w:w="810" w:type="pct"/>
            <w:noWrap/>
          </w:tcPr>
          <w:p w:rsidR="001A26B0" w:rsidRDefault="00E33A99">
            <w:pPr>
              <w:spacing w:after="60" w:line="276" w:lineRule="auto"/>
              <w:jc w:val="center"/>
              <w:rPr>
                <w:noProof/>
                <w:szCs w:val="24"/>
              </w:rPr>
            </w:pPr>
            <w:r>
              <w:rPr>
                <w:noProof/>
                <w:szCs w:val="24"/>
              </w:rPr>
              <w:t>1,193</w:t>
            </w:r>
          </w:p>
        </w:tc>
      </w:tr>
      <w:tr w:rsidR="001A26B0">
        <w:trPr>
          <w:trHeight w:val="255"/>
        </w:trPr>
        <w:tc>
          <w:tcPr>
            <w:tcW w:w="1252" w:type="pct"/>
            <w:noWrap/>
          </w:tcPr>
          <w:p w:rsidR="001A26B0" w:rsidRDefault="00E33A99">
            <w:pPr>
              <w:spacing w:after="60" w:line="276" w:lineRule="auto"/>
              <w:rPr>
                <w:noProof/>
                <w:szCs w:val="24"/>
              </w:rPr>
            </w:pPr>
            <w:r>
              <w:rPr>
                <w:noProof/>
                <w:szCs w:val="24"/>
              </w:rPr>
              <w:t xml:space="preserve">O&amp;M cost [2] </w:t>
            </w:r>
          </w:p>
        </w:tc>
        <w:tc>
          <w:tcPr>
            <w:tcW w:w="515" w:type="pct"/>
            <w:noWrap/>
          </w:tcPr>
          <w:p w:rsidR="001A26B0" w:rsidRDefault="00E33A99">
            <w:pPr>
              <w:spacing w:after="60" w:line="276" w:lineRule="auto"/>
              <w:jc w:val="center"/>
              <w:rPr>
                <w:noProof/>
                <w:szCs w:val="24"/>
              </w:rPr>
            </w:pPr>
            <w:r>
              <w:rPr>
                <w:noProof/>
                <w:szCs w:val="24"/>
              </w:rPr>
              <w:t>139</w:t>
            </w:r>
          </w:p>
        </w:tc>
        <w:tc>
          <w:tcPr>
            <w:tcW w:w="537" w:type="pct"/>
            <w:noWrap/>
          </w:tcPr>
          <w:p w:rsidR="001A26B0" w:rsidRDefault="00E33A99">
            <w:pPr>
              <w:spacing w:after="60" w:line="276" w:lineRule="auto"/>
              <w:jc w:val="center"/>
              <w:rPr>
                <w:noProof/>
                <w:szCs w:val="24"/>
              </w:rPr>
            </w:pPr>
            <w:r>
              <w:rPr>
                <w:noProof/>
                <w:szCs w:val="24"/>
              </w:rPr>
              <w:t>139</w:t>
            </w:r>
          </w:p>
        </w:tc>
        <w:tc>
          <w:tcPr>
            <w:tcW w:w="553" w:type="pct"/>
            <w:noWrap/>
          </w:tcPr>
          <w:p w:rsidR="001A26B0" w:rsidRDefault="00E33A99">
            <w:pPr>
              <w:spacing w:after="60" w:line="276" w:lineRule="auto"/>
              <w:jc w:val="center"/>
              <w:rPr>
                <w:noProof/>
                <w:szCs w:val="24"/>
              </w:rPr>
            </w:pPr>
            <w:r>
              <w:rPr>
                <w:noProof/>
                <w:szCs w:val="24"/>
              </w:rPr>
              <w:t>130</w:t>
            </w:r>
          </w:p>
        </w:tc>
        <w:tc>
          <w:tcPr>
            <w:tcW w:w="591" w:type="pct"/>
            <w:noWrap/>
          </w:tcPr>
          <w:p w:rsidR="001A26B0" w:rsidRDefault="00E33A99">
            <w:pPr>
              <w:spacing w:after="60" w:line="276" w:lineRule="auto"/>
              <w:jc w:val="center"/>
              <w:rPr>
                <w:noProof/>
                <w:szCs w:val="24"/>
              </w:rPr>
            </w:pPr>
            <w:r>
              <w:rPr>
                <w:noProof/>
                <w:szCs w:val="24"/>
              </w:rPr>
              <w:t>96</w:t>
            </w:r>
          </w:p>
        </w:tc>
        <w:tc>
          <w:tcPr>
            <w:tcW w:w="742" w:type="pct"/>
            <w:noWrap/>
          </w:tcPr>
          <w:p w:rsidR="001A26B0" w:rsidRDefault="00E33A99">
            <w:pPr>
              <w:spacing w:after="60" w:line="276" w:lineRule="auto"/>
              <w:jc w:val="center"/>
              <w:rPr>
                <w:noProof/>
                <w:szCs w:val="24"/>
              </w:rPr>
            </w:pPr>
            <w:r>
              <w:rPr>
                <w:noProof/>
                <w:szCs w:val="24"/>
              </w:rPr>
              <w:t>25</w:t>
            </w:r>
          </w:p>
        </w:tc>
        <w:tc>
          <w:tcPr>
            <w:tcW w:w="810" w:type="pct"/>
            <w:noWrap/>
          </w:tcPr>
          <w:p w:rsidR="001A26B0" w:rsidRDefault="00E33A99">
            <w:pPr>
              <w:spacing w:after="60" w:line="276" w:lineRule="auto"/>
              <w:jc w:val="center"/>
              <w:rPr>
                <w:noProof/>
                <w:szCs w:val="24"/>
              </w:rPr>
            </w:pPr>
            <w:r>
              <w:rPr>
                <w:noProof/>
                <w:szCs w:val="24"/>
              </w:rPr>
              <w:t>22</w:t>
            </w:r>
          </w:p>
        </w:tc>
      </w:tr>
      <w:tr w:rsidR="001A26B0">
        <w:trPr>
          <w:trHeight w:val="255"/>
        </w:trPr>
        <w:tc>
          <w:tcPr>
            <w:tcW w:w="1252" w:type="pct"/>
            <w:tcBorders>
              <w:bottom w:val="single" w:sz="24" w:space="0" w:color="auto"/>
            </w:tcBorders>
            <w:noWrap/>
          </w:tcPr>
          <w:p w:rsidR="001A26B0" w:rsidRDefault="00E33A99">
            <w:pPr>
              <w:spacing w:after="60" w:line="276" w:lineRule="auto"/>
              <w:rPr>
                <w:noProof/>
                <w:szCs w:val="24"/>
              </w:rPr>
            </w:pPr>
            <w:r>
              <w:rPr>
                <w:noProof/>
                <w:szCs w:val="24"/>
              </w:rPr>
              <w:t>Fuel cost savings [3]</w:t>
            </w:r>
          </w:p>
        </w:tc>
        <w:tc>
          <w:tcPr>
            <w:tcW w:w="515" w:type="pct"/>
            <w:tcBorders>
              <w:bottom w:val="single" w:sz="24" w:space="0" w:color="auto"/>
            </w:tcBorders>
            <w:noWrap/>
          </w:tcPr>
          <w:p w:rsidR="001A26B0" w:rsidRDefault="00E33A99">
            <w:pPr>
              <w:spacing w:after="60" w:line="276" w:lineRule="auto"/>
              <w:jc w:val="center"/>
              <w:rPr>
                <w:noProof/>
                <w:szCs w:val="24"/>
              </w:rPr>
            </w:pPr>
            <w:r>
              <w:rPr>
                <w:noProof/>
                <w:szCs w:val="24"/>
              </w:rPr>
              <w:t>354</w:t>
            </w:r>
          </w:p>
        </w:tc>
        <w:tc>
          <w:tcPr>
            <w:tcW w:w="537" w:type="pct"/>
            <w:tcBorders>
              <w:bottom w:val="single" w:sz="24" w:space="0" w:color="auto"/>
            </w:tcBorders>
            <w:noWrap/>
          </w:tcPr>
          <w:p w:rsidR="001A26B0" w:rsidRDefault="00E33A99">
            <w:pPr>
              <w:spacing w:after="60" w:line="276" w:lineRule="auto"/>
              <w:jc w:val="center"/>
              <w:rPr>
                <w:noProof/>
                <w:szCs w:val="24"/>
              </w:rPr>
            </w:pPr>
            <w:r>
              <w:rPr>
                <w:noProof/>
                <w:szCs w:val="24"/>
              </w:rPr>
              <w:t>514</w:t>
            </w:r>
          </w:p>
        </w:tc>
        <w:tc>
          <w:tcPr>
            <w:tcW w:w="553" w:type="pct"/>
            <w:tcBorders>
              <w:bottom w:val="single" w:sz="24" w:space="0" w:color="auto"/>
            </w:tcBorders>
            <w:noWrap/>
          </w:tcPr>
          <w:p w:rsidR="001A26B0" w:rsidRDefault="00E33A99">
            <w:pPr>
              <w:spacing w:after="60" w:line="276" w:lineRule="auto"/>
              <w:jc w:val="center"/>
              <w:rPr>
                <w:noProof/>
                <w:szCs w:val="24"/>
              </w:rPr>
            </w:pPr>
            <w:r>
              <w:rPr>
                <w:noProof/>
                <w:szCs w:val="24"/>
              </w:rPr>
              <w:t>661</w:t>
            </w:r>
          </w:p>
        </w:tc>
        <w:tc>
          <w:tcPr>
            <w:tcW w:w="591" w:type="pct"/>
            <w:tcBorders>
              <w:bottom w:val="single" w:sz="24" w:space="0" w:color="auto"/>
            </w:tcBorders>
            <w:noWrap/>
          </w:tcPr>
          <w:p w:rsidR="001A26B0" w:rsidRDefault="00E33A99">
            <w:pPr>
              <w:spacing w:after="60" w:line="276" w:lineRule="auto"/>
              <w:jc w:val="center"/>
              <w:rPr>
                <w:noProof/>
                <w:szCs w:val="24"/>
              </w:rPr>
            </w:pPr>
            <w:r>
              <w:rPr>
                <w:noProof/>
                <w:szCs w:val="24"/>
              </w:rPr>
              <w:t>922</w:t>
            </w:r>
          </w:p>
        </w:tc>
        <w:tc>
          <w:tcPr>
            <w:tcW w:w="742" w:type="pct"/>
            <w:tcBorders>
              <w:bottom w:val="single" w:sz="24" w:space="0" w:color="auto"/>
            </w:tcBorders>
            <w:noWrap/>
          </w:tcPr>
          <w:p w:rsidR="001A26B0" w:rsidRDefault="00E33A99">
            <w:pPr>
              <w:spacing w:after="60" w:line="276" w:lineRule="auto"/>
              <w:jc w:val="center"/>
              <w:rPr>
                <w:noProof/>
                <w:szCs w:val="24"/>
              </w:rPr>
            </w:pPr>
            <w:r>
              <w:rPr>
                <w:noProof/>
                <w:szCs w:val="24"/>
              </w:rPr>
              <w:t>1,394</w:t>
            </w:r>
          </w:p>
        </w:tc>
        <w:tc>
          <w:tcPr>
            <w:tcW w:w="810" w:type="pct"/>
            <w:tcBorders>
              <w:bottom w:val="single" w:sz="24" w:space="0" w:color="auto"/>
            </w:tcBorders>
            <w:noWrap/>
          </w:tcPr>
          <w:p w:rsidR="001A26B0" w:rsidRDefault="00E33A99">
            <w:pPr>
              <w:spacing w:after="60" w:line="276" w:lineRule="auto"/>
              <w:jc w:val="center"/>
              <w:rPr>
                <w:noProof/>
                <w:szCs w:val="24"/>
              </w:rPr>
            </w:pPr>
            <w:r>
              <w:rPr>
                <w:noProof/>
                <w:szCs w:val="24"/>
              </w:rPr>
              <w:t>1,198</w:t>
            </w:r>
          </w:p>
        </w:tc>
      </w:tr>
      <w:tr w:rsidR="001A26B0">
        <w:trPr>
          <w:trHeight w:val="255"/>
        </w:trPr>
        <w:tc>
          <w:tcPr>
            <w:tcW w:w="1252" w:type="pct"/>
            <w:noWrap/>
            <w:hideMark/>
          </w:tcPr>
          <w:p w:rsidR="001A26B0" w:rsidRDefault="00E33A99">
            <w:pPr>
              <w:spacing w:after="60" w:line="276" w:lineRule="auto"/>
              <w:jc w:val="left"/>
              <w:rPr>
                <w:i/>
                <w:noProof/>
                <w:szCs w:val="24"/>
              </w:rPr>
            </w:pPr>
            <w:r>
              <w:rPr>
                <w:i/>
                <w:noProof/>
                <w:szCs w:val="24"/>
              </w:rPr>
              <w:t xml:space="preserve">Net savings </w:t>
            </w:r>
            <w:r>
              <w:rPr>
                <w:i/>
                <w:noProof/>
                <w:szCs w:val="24"/>
              </w:rPr>
              <w:br/>
              <w:t>[3]-[1]-[2]</w:t>
            </w:r>
          </w:p>
        </w:tc>
        <w:tc>
          <w:tcPr>
            <w:tcW w:w="515" w:type="pct"/>
            <w:noWrap/>
            <w:hideMark/>
          </w:tcPr>
          <w:p w:rsidR="001A26B0" w:rsidRDefault="00E33A99">
            <w:pPr>
              <w:spacing w:after="60" w:line="276" w:lineRule="auto"/>
              <w:jc w:val="center"/>
              <w:rPr>
                <w:i/>
                <w:noProof/>
                <w:szCs w:val="24"/>
              </w:rPr>
            </w:pPr>
            <w:r>
              <w:rPr>
                <w:i/>
                <w:noProof/>
                <w:szCs w:val="24"/>
              </w:rPr>
              <w:t>100</w:t>
            </w:r>
          </w:p>
        </w:tc>
        <w:tc>
          <w:tcPr>
            <w:tcW w:w="537" w:type="pct"/>
            <w:noWrap/>
          </w:tcPr>
          <w:p w:rsidR="001A26B0" w:rsidRDefault="00E33A99">
            <w:pPr>
              <w:spacing w:after="60" w:line="276" w:lineRule="auto"/>
              <w:jc w:val="center"/>
              <w:rPr>
                <w:i/>
                <w:noProof/>
                <w:szCs w:val="24"/>
              </w:rPr>
            </w:pPr>
            <w:r>
              <w:rPr>
                <w:i/>
                <w:noProof/>
                <w:szCs w:val="24"/>
              </w:rPr>
              <w:t>147</w:t>
            </w:r>
          </w:p>
        </w:tc>
        <w:tc>
          <w:tcPr>
            <w:tcW w:w="553" w:type="pct"/>
            <w:noWrap/>
            <w:hideMark/>
          </w:tcPr>
          <w:p w:rsidR="001A26B0" w:rsidRDefault="00E33A99">
            <w:pPr>
              <w:spacing w:after="60" w:line="276" w:lineRule="auto"/>
              <w:jc w:val="center"/>
              <w:rPr>
                <w:i/>
                <w:noProof/>
                <w:szCs w:val="24"/>
              </w:rPr>
            </w:pPr>
            <w:r>
              <w:rPr>
                <w:i/>
                <w:noProof/>
                <w:szCs w:val="24"/>
              </w:rPr>
              <w:t>152</w:t>
            </w:r>
          </w:p>
        </w:tc>
        <w:tc>
          <w:tcPr>
            <w:tcW w:w="591" w:type="pct"/>
            <w:noWrap/>
            <w:hideMark/>
          </w:tcPr>
          <w:p w:rsidR="001A26B0" w:rsidRDefault="00E33A99">
            <w:pPr>
              <w:spacing w:after="60" w:line="276" w:lineRule="auto"/>
              <w:jc w:val="center"/>
              <w:rPr>
                <w:i/>
                <w:noProof/>
                <w:szCs w:val="24"/>
              </w:rPr>
            </w:pPr>
            <w:r>
              <w:rPr>
                <w:i/>
                <w:noProof/>
                <w:szCs w:val="24"/>
              </w:rPr>
              <w:t>78</w:t>
            </w:r>
          </w:p>
        </w:tc>
        <w:tc>
          <w:tcPr>
            <w:tcW w:w="742" w:type="pct"/>
            <w:noWrap/>
            <w:hideMark/>
          </w:tcPr>
          <w:p w:rsidR="001A26B0" w:rsidRDefault="00E33A99">
            <w:pPr>
              <w:spacing w:after="60" w:line="276" w:lineRule="auto"/>
              <w:jc w:val="center"/>
              <w:rPr>
                <w:i/>
                <w:noProof/>
                <w:szCs w:val="24"/>
              </w:rPr>
            </w:pPr>
            <w:r>
              <w:rPr>
                <w:i/>
                <w:noProof/>
                <w:szCs w:val="24"/>
              </w:rPr>
              <w:t>-42</w:t>
            </w:r>
          </w:p>
        </w:tc>
        <w:tc>
          <w:tcPr>
            <w:tcW w:w="810" w:type="pct"/>
            <w:noWrap/>
          </w:tcPr>
          <w:p w:rsidR="001A26B0" w:rsidRDefault="00E33A99">
            <w:pPr>
              <w:spacing w:after="60" w:line="276" w:lineRule="auto"/>
              <w:jc w:val="center"/>
              <w:rPr>
                <w:i/>
                <w:noProof/>
                <w:szCs w:val="24"/>
              </w:rPr>
            </w:pPr>
            <w:r>
              <w:rPr>
                <w:i/>
                <w:noProof/>
                <w:szCs w:val="24"/>
              </w:rPr>
              <w:t>-17</w:t>
            </w:r>
          </w:p>
        </w:tc>
      </w:tr>
    </w:tbl>
    <w:p w:rsidR="001A26B0" w:rsidRDefault="001A26B0">
      <w:pPr>
        <w:pStyle w:val="Heading6"/>
        <w:numPr>
          <w:ilvl w:val="0"/>
          <w:numId w:val="0"/>
        </w:numPr>
        <w:spacing w:after="0"/>
        <w:ind w:left="1152" w:hanging="1152"/>
        <w:rPr>
          <w:noProof/>
          <w:szCs w:val="24"/>
        </w:rPr>
      </w:pPr>
    </w:p>
    <w:tbl>
      <w:tblPr>
        <w:tblStyle w:val="TableGrid"/>
        <w:tblW w:w="5000" w:type="pct"/>
        <w:tblLook w:val="04A0" w:firstRow="1" w:lastRow="0" w:firstColumn="1" w:lastColumn="0" w:noHBand="0" w:noVBand="1"/>
      </w:tblPr>
      <w:tblGrid>
        <w:gridCol w:w="2210"/>
        <w:gridCol w:w="910"/>
        <w:gridCol w:w="946"/>
        <w:gridCol w:w="961"/>
        <w:gridCol w:w="1081"/>
        <w:gridCol w:w="1321"/>
        <w:gridCol w:w="1400"/>
      </w:tblGrid>
      <w:tr w:rsidR="001A26B0">
        <w:trPr>
          <w:trHeight w:val="255"/>
        </w:trPr>
        <w:tc>
          <w:tcPr>
            <w:tcW w:w="1252" w:type="pct"/>
            <w:noWrap/>
            <w:hideMark/>
          </w:tcPr>
          <w:p w:rsidR="001A26B0" w:rsidRDefault="00E33A99">
            <w:pPr>
              <w:spacing w:after="60" w:line="276" w:lineRule="auto"/>
              <w:rPr>
                <w:noProof/>
                <w:szCs w:val="24"/>
              </w:rPr>
            </w:pPr>
            <w:r>
              <w:rPr>
                <w:b/>
                <w:noProof/>
                <w:szCs w:val="24"/>
              </w:rPr>
              <w:t>2030 (EUR/car</w:t>
            </w:r>
            <w:r>
              <w:rPr>
                <w:noProof/>
                <w:szCs w:val="24"/>
              </w:rPr>
              <w:t>)</w:t>
            </w:r>
          </w:p>
        </w:tc>
        <w:tc>
          <w:tcPr>
            <w:tcW w:w="515" w:type="pct"/>
            <w:noWrap/>
          </w:tcPr>
          <w:p w:rsidR="001A26B0" w:rsidRDefault="00E33A99">
            <w:pPr>
              <w:spacing w:after="60" w:line="276" w:lineRule="auto"/>
              <w:jc w:val="center"/>
              <w:rPr>
                <w:noProof/>
                <w:szCs w:val="24"/>
              </w:rPr>
            </w:pPr>
            <w:r>
              <w:rPr>
                <w:noProof/>
                <w:szCs w:val="24"/>
              </w:rPr>
              <w:t>TLC20</w:t>
            </w:r>
          </w:p>
        </w:tc>
        <w:tc>
          <w:tcPr>
            <w:tcW w:w="536" w:type="pct"/>
            <w:noWrap/>
          </w:tcPr>
          <w:p w:rsidR="001A26B0" w:rsidRDefault="00E33A99">
            <w:pPr>
              <w:spacing w:after="60" w:line="276" w:lineRule="auto"/>
              <w:jc w:val="center"/>
              <w:rPr>
                <w:noProof/>
                <w:szCs w:val="24"/>
              </w:rPr>
            </w:pPr>
            <w:r>
              <w:rPr>
                <w:noProof/>
                <w:szCs w:val="24"/>
              </w:rPr>
              <w:t>TLC25</w:t>
            </w:r>
          </w:p>
        </w:tc>
        <w:tc>
          <w:tcPr>
            <w:tcW w:w="544" w:type="pct"/>
            <w:noWrap/>
          </w:tcPr>
          <w:p w:rsidR="001A26B0" w:rsidRDefault="00E33A99">
            <w:pPr>
              <w:spacing w:after="60" w:line="276" w:lineRule="auto"/>
              <w:jc w:val="center"/>
              <w:rPr>
                <w:noProof/>
                <w:szCs w:val="24"/>
              </w:rPr>
            </w:pPr>
            <w:r>
              <w:rPr>
                <w:noProof/>
                <w:szCs w:val="24"/>
              </w:rPr>
              <w:t>TLC30</w:t>
            </w:r>
          </w:p>
        </w:tc>
        <w:tc>
          <w:tcPr>
            <w:tcW w:w="612" w:type="pct"/>
            <w:noWrap/>
          </w:tcPr>
          <w:p w:rsidR="001A26B0" w:rsidRDefault="00E33A99">
            <w:pPr>
              <w:spacing w:after="60" w:line="276" w:lineRule="auto"/>
              <w:jc w:val="center"/>
              <w:rPr>
                <w:noProof/>
                <w:szCs w:val="24"/>
              </w:rPr>
            </w:pPr>
            <w:r>
              <w:rPr>
                <w:noProof/>
                <w:szCs w:val="24"/>
              </w:rPr>
              <w:t>TLC40</w:t>
            </w:r>
          </w:p>
        </w:tc>
        <w:tc>
          <w:tcPr>
            <w:tcW w:w="748" w:type="pct"/>
            <w:noWrap/>
          </w:tcPr>
          <w:p w:rsidR="001A26B0" w:rsidRDefault="00E33A99">
            <w:pPr>
              <w:spacing w:after="60" w:line="276" w:lineRule="auto"/>
              <w:jc w:val="center"/>
              <w:rPr>
                <w:noProof/>
                <w:szCs w:val="24"/>
              </w:rPr>
            </w:pPr>
            <w:r>
              <w:rPr>
                <w:noProof/>
                <w:szCs w:val="24"/>
              </w:rPr>
              <w:t>TLC_EP40</w:t>
            </w:r>
          </w:p>
        </w:tc>
        <w:tc>
          <w:tcPr>
            <w:tcW w:w="793" w:type="pct"/>
            <w:noWrap/>
          </w:tcPr>
          <w:p w:rsidR="001A26B0" w:rsidRDefault="00E33A99">
            <w:pPr>
              <w:spacing w:after="60" w:line="276" w:lineRule="auto"/>
              <w:jc w:val="center"/>
              <w:rPr>
                <w:noProof/>
                <w:szCs w:val="24"/>
              </w:rPr>
            </w:pPr>
            <w:r>
              <w:rPr>
                <w:noProof/>
                <w:szCs w:val="24"/>
              </w:rPr>
              <w:t>TLC_EP50</w:t>
            </w:r>
          </w:p>
        </w:tc>
      </w:tr>
      <w:tr w:rsidR="001A26B0">
        <w:trPr>
          <w:trHeight w:val="255"/>
        </w:trPr>
        <w:tc>
          <w:tcPr>
            <w:tcW w:w="1252" w:type="pct"/>
            <w:noWrap/>
          </w:tcPr>
          <w:p w:rsidR="001A26B0" w:rsidRDefault="00E33A99">
            <w:pPr>
              <w:spacing w:after="60" w:line="276" w:lineRule="auto"/>
              <w:rPr>
                <w:noProof/>
                <w:szCs w:val="24"/>
              </w:rPr>
            </w:pPr>
            <w:r>
              <w:rPr>
                <w:noProof/>
                <w:szCs w:val="24"/>
              </w:rPr>
              <w:t>Capital cost [1]</w:t>
            </w:r>
          </w:p>
        </w:tc>
        <w:tc>
          <w:tcPr>
            <w:tcW w:w="515" w:type="pct"/>
            <w:noWrap/>
          </w:tcPr>
          <w:p w:rsidR="001A26B0" w:rsidRDefault="00E33A99">
            <w:pPr>
              <w:spacing w:after="60" w:line="276" w:lineRule="auto"/>
              <w:jc w:val="center"/>
              <w:rPr>
                <w:noProof/>
                <w:szCs w:val="24"/>
              </w:rPr>
            </w:pPr>
            <w:r>
              <w:rPr>
                <w:noProof/>
                <w:szCs w:val="24"/>
              </w:rPr>
              <w:t>419</w:t>
            </w:r>
          </w:p>
        </w:tc>
        <w:tc>
          <w:tcPr>
            <w:tcW w:w="536" w:type="pct"/>
            <w:noWrap/>
          </w:tcPr>
          <w:p w:rsidR="001A26B0" w:rsidRDefault="00E33A99">
            <w:pPr>
              <w:spacing w:after="60" w:line="276" w:lineRule="auto"/>
              <w:jc w:val="center"/>
              <w:rPr>
                <w:noProof/>
                <w:szCs w:val="24"/>
              </w:rPr>
            </w:pPr>
            <w:r>
              <w:rPr>
                <w:noProof/>
                <w:szCs w:val="24"/>
              </w:rPr>
              <w:t>679</w:t>
            </w:r>
          </w:p>
        </w:tc>
        <w:tc>
          <w:tcPr>
            <w:tcW w:w="544" w:type="pct"/>
            <w:noWrap/>
          </w:tcPr>
          <w:p w:rsidR="001A26B0" w:rsidRDefault="00E33A99">
            <w:pPr>
              <w:spacing w:after="60" w:line="276" w:lineRule="auto"/>
              <w:jc w:val="center"/>
              <w:rPr>
                <w:noProof/>
                <w:szCs w:val="24"/>
              </w:rPr>
            </w:pPr>
            <w:r>
              <w:rPr>
                <w:noProof/>
                <w:szCs w:val="24"/>
              </w:rPr>
              <w:t>1,020</w:t>
            </w:r>
          </w:p>
        </w:tc>
        <w:tc>
          <w:tcPr>
            <w:tcW w:w="612" w:type="pct"/>
            <w:noWrap/>
          </w:tcPr>
          <w:p w:rsidR="001A26B0" w:rsidRDefault="00E33A99">
            <w:pPr>
              <w:spacing w:after="60" w:line="276" w:lineRule="auto"/>
              <w:jc w:val="center"/>
              <w:rPr>
                <w:noProof/>
                <w:szCs w:val="24"/>
              </w:rPr>
            </w:pPr>
            <w:r>
              <w:rPr>
                <w:noProof/>
                <w:szCs w:val="24"/>
              </w:rPr>
              <w:t>1,812</w:t>
            </w:r>
          </w:p>
        </w:tc>
        <w:tc>
          <w:tcPr>
            <w:tcW w:w="748" w:type="pct"/>
            <w:noWrap/>
          </w:tcPr>
          <w:p w:rsidR="001A26B0" w:rsidRDefault="00E33A99">
            <w:pPr>
              <w:spacing w:after="60" w:line="276" w:lineRule="auto"/>
              <w:jc w:val="center"/>
              <w:rPr>
                <w:noProof/>
                <w:szCs w:val="24"/>
              </w:rPr>
            </w:pPr>
            <w:r>
              <w:rPr>
                <w:noProof/>
                <w:szCs w:val="24"/>
              </w:rPr>
              <w:t>1,861</w:t>
            </w:r>
          </w:p>
        </w:tc>
        <w:tc>
          <w:tcPr>
            <w:tcW w:w="793" w:type="pct"/>
            <w:noWrap/>
          </w:tcPr>
          <w:p w:rsidR="001A26B0" w:rsidRDefault="00E33A99">
            <w:pPr>
              <w:spacing w:after="60" w:line="276" w:lineRule="auto"/>
              <w:jc w:val="center"/>
              <w:rPr>
                <w:noProof/>
                <w:szCs w:val="24"/>
              </w:rPr>
            </w:pPr>
            <w:r>
              <w:rPr>
                <w:noProof/>
                <w:szCs w:val="24"/>
              </w:rPr>
              <w:t>2,752</w:t>
            </w:r>
          </w:p>
        </w:tc>
      </w:tr>
      <w:tr w:rsidR="001A26B0">
        <w:trPr>
          <w:trHeight w:val="255"/>
        </w:trPr>
        <w:tc>
          <w:tcPr>
            <w:tcW w:w="1252" w:type="pct"/>
            <w:tcBorders>
              <w:bottom w:val="single" w:sz="4" w:space="0" w:color="auto"/>
            </w:tcBorders>
            <w:noWrap/>
          </w:tcPr>
          <w:p w:rsidR="001A26B0" w:rsidRDefault="00E33A99">
            <w:pPr>
              <w:spacing w:after="60" w:line="276" w:lineRule="auto"/>
              <w:rPr>
                <w:noProof/>
                <w:szCs w:val="24"/>
              </w:rPr>
            </w:pPr>
            <w:r>
              <w:rPr>
                <w:noProof/>
                <w:szCs w:val="24"/>
              </w:rPr>
              <w:t xml:space="preserve">O&amp;M cost [2] </w:t>
            </w:r>
          </w:p>
        </w:tc>
        <w:tc>
          <w:tcPr>
            <w:tcW w:w="515" w:type="pct"/>
            <w:tcBorders>
              <w:bottom w:val="single" w:sz="4" w:space="0" w:color="auto"/>
            </w:tcBorders>
            <w:noWrap/>
          </w:tcPr>
          <w:p w:rsidR="001A26B0" w:rsidRDefault="00E33A99">
            <w:pPr>
              <w:spacing w:after="60" w:line="276" w:lineRule="auto"/>
              <w:jc w:val="center"/>
              <w:rPr>
                <w:noProof/>
                <w:szCs w:val="24"/>
              </w:rPr>
            </w:pPr>
            <w:r>
              <w:rPr>
                <w:noProof/>
                <w:szCs w:val="24"/>
              </w:rPr>
              <w:t>-62</w:t>
            </w:r>
          </w:p>
        </w:tc>
        <w:tc>
          <w:tcPr>
            <w:tcW w:w="536" w:type="pct"/>
            <w:tcBorders>
              <w:bottom w:val="single" w:sz="4" w:space="0" w:color="auto"/>
            </w:tcBorders>
            <w:noWrap/>
          </w:tcPr>
          <w:p w:rsidR="001A26B0" w:rsidRDefault="00E33A99">
            <w:pPr>
              <w:spacing w:after="60" w:line="276" w:lineRule="auto"/>
              <w:jc w:val="center"/>
              <w:rPr>
                <w:noProof/>
                <w:szCs w:val="24"/>
              </w:rPr>
            </w:pPr>
            <w:r>
              <w:rPr>
                <w:noProof/>
                <w:szCs w:val="24"/>
              </w:rPr>
              <w:t>-62</w:t>
            </w:r>
          </w:p>
        </w:tc>
        <w:tc>
          <w:tcPr>
            <w:tcW w:w="544" w:type="pct"/>
            <w:tcBorders>
              <w:bottom w:val="single" w:sz="4" w:space="0" w:color="auto"/>
            </w:tcBorders>
            <w:noWrap/>
          </w:tcPr>
          <w:p w:rsidR="001A26B0" w:rsidRDefault="00E33A99">
            <w:pPr>
              <w:spacing w:after="60" w:line="276" w:lineRule="auto"/>
              <w:jc w:val="center"/>
              <w:rPr>
                <w:noProof/>
                <w:szCs w:val="24"/>
              </w:rPr>
            </w:pPr>
            <w:r>
              <w:rPr>
                <w:noProof/>
                <w:szCs w:val="24"/>
              </w:rPr>
              <w:t>-96</w:t>
            </w:r>
          </w:p>
        </w:tc>
        <w:tc>
          <w:tcPr>
            <w:tcW w:w="612" w:type="pct"/>
            <w:tcBorders>
              <w:bottom w:val="single" w:sz="4" w:space="0" w:color="auto"/>
            </w:tcBorders>
            <w:noWrap/>
          </w:tcPr>
          <w:p w:rsidR="001A26B0" w:rsidRDefault="00E33A99">
            <w:pPr>
              <w:spacing w:after="60" w:line="276" w:lineRule="auto"/>
              <w:jc w:val="center"/>
              <w:rPr>
                <w:noProof/>
                <w:szCs w:val="24"/>
              </w:rPr>
            </w:pPr>
            <w:r>
              <w:rPr>
                <w:noProof/>
                <w:szCs w:val="24"/>
              </w:rPr>
              <w:t>-157</w:t>
            </w:r>
          </w:p>
        </w:tc>
        <w:tc>
          <w:tcPr>
            <w:tcW w:w="748" w:type="pct"/>
            <w:tcBorders>
              <w:bottom w:val="single" w:sz="4" w:space="0" w:color="auto"/>
            </w:tcBorders>
            <w:noWrap/>
          </w:tcPr>
          <w:p w:rsidR="001A26B0" w:rsidRDefault="00E33A99">
            <w:pPr>
              <w:spacing w:after="60" w:line="276" w:lineRule="auto"/>
              <w:jc w:val="center"/>
              <w:rPr>
                <w:noProof/>
                <w:szCs w:val="24"/>
              </w:rPr>
            </w:pPr>
            <w:r>
              <w:rPr>
                <w:noProof/>
                <w:szCs w:val="24"/>
              </w:rPr>
              <w:t>-168</w:t>
            </w:r>
          </w:p>
        </w:tc>
        <w:tc>
          <w:tcPr>
            <w:tcW w:w="793" w:type="pct"/>
            <w:tcBorders>
              <w:bottom w:val="single" w:sz="4" w:space="0" w:color="auto"/>
            </w:tcBorders>
            <w:noWrap/>
          </w:tcPr>
          <w:p w:rsidR="001A26B0" w:rsidRDefault="00E33A99">
            <w:pPr>
              <w:spacing w:after="60" w:line="276" w:lineRule="auto"/>
              <w:jc w:val="center"/>
              <w:rPr>
                <w:noProof/>
                <w:szCs w:val="24"/>
              </w:rPr>
            </w:pPr>
            <w:r>
              <w:rPr>
                <w:noProof/>
                <w:szCs w:val="24"/>
              </w:rPr>
              <w:t>-192</w:t>
            </w:r>
          </w:p>
        </w:tc>
      </w:tr>
      <w:tr w:rsidR="001A26B0">
        <w:trPr>
          <w:trHeight w:val="255"/>
        </w:trPr>
        <w:tc>
          <w:tcPr>
            <w:tcW w:w="1252" w:type="pct"/>
            <w:tcBorders>
              <w:bottom w:val="single" w:sz="24" w:space="0" w:color="auto"/>
            </w:tcBorders>
            <w:noWrap/>
          </w:tcPr>
          <w:p w:rsidR="001A26B0" w:rsidRDefault="00E33A99">
            <w:pPr>
              <w:spacing w:after="60" w:line="276" w:lineRule="auto"/>
              <w:rPr>
                <w:noProof/>
                <w:szCs w:val="24"/>
              </w:rPr>
            </w:pPr>
            <w:r>
              <w:rPr>
                <w:noProof/>
                <w:szCs w:val="24"/>
              </w:rPr>
              <w:t>Fuel cost savings [3]</w:t>
            </w:r>
          </w:p>
        </w:tc>
        <w:tc>
          <w:tcPr>
            <w:tcW w:w="515" w:type="pct"/>
            <w:tcBorders>
              <w:bottom w:val="single" w:sz="24" w:space="0" w:color="auto"/>
            </w:tcBorders>
            <w:noWrap/>
          </w:tcPr>
          <w:p w:rsidR="001A26B0" w:rsidRDefault="00E33A99">
            <w:pPr>
              <w:spacing w:after="60" w:line="276" w:lineRule="auto"/>
              <w:jc w:val="center"/>
              <w:rPr>
                <w:noProof/>
                <w:szCs w:val="24"/>
              </w:rPr>
            </w:pPr>
            <w:r>
              <w:rPr>
                <w:noProof/>
                <w:szCs w:val="24"/>
              </w:rPr>
              <w:t>1,159</w:t>
            </w:r>
          </w:p>
        </w:tc>
        <w:tc>
          <w:tcPr>
            <w:tcW w:w="536" w:type="pct"/>
            <w:tcBorders>
              <w:bottom w:val="single" w:sz="24" w:space="0" w:color="auto"/>
            </w:tcBorders>
            <w:noWrap/>
          </w:tcPr>
          <w:p w:rsidR="001A26B0" w:rsidRDefault="00E33A99">
            <w:pPr>
              <w:spacing w:after="60" w:line="276" w:lineRule="auto"/>
              <w:jc w:val="center"/>
              <w:rPr>
                <w:noProof/>
                <w:szCs w:val="24"/>
              </w:rPr>
            </w:pPr>
            <w:r>
              <w:rPr>
                <w:noProof/>
                <w:szCs w:val="24"/>
              </w:rPr>
              <w:t>1,520</w:t>
            </w:r>
          </w:p>
        </w:tc>
        <w:tc>
          <w:tcPr>
            <w:tcW w:w="544" w:type="pct"/>
            <w:tcBorders>
              <w:bottom w:val="single" w:sz="24" w:space="0" w:color="auto"/>
            </w:tcBorders>
            <w:noWrap/>
          </w:tcPr>
          <w:p w:rsidR="001A26B0" w:rsidRDefault="00E33A99">
            <w:pPr>
              <w:spacing w:after="60" w:line="276" w:lineRule="auto"/>
              <w:jc w:val="center"/>
              <w:rPr>
                <w:noProof/>
                <w:szCs w:val="24"/>
              </w:rPr>
            </w:pPr>
            <w:r>
              <w:rPr>
                <w:noProof/>
                <w:szCs w:val="24"/>
              </w:rPr>
              <w:t>1,802</w:t>
            </w:r>
          </w:p>
        </w:tc>
        <w:tc>
          <w:tcPr>
            <w:tcW w:w="612" w:type="pct"/>
            <w:tcBorders>
              <w:bottom w:val="single" w:sz="24" w:space="0" w:color="auto"/>
            </w:tcBorders>
            <w:noWrap/>
          </w:tcPr>
          <w:p w:rsidR="001A26B0" w:rsidRDefault="00E33A99">
            <w:pPr>
              <w:spacing w:after="60" w:line="276" w:lineRule="auto"/>
              <w:jc w:val="center"/>
              <w:rPr>
                <w:noProof/>
                <w:szCs w:val="24"/>
              </w:rPr>
            </w:pPr>
            <w:r>
              <w:rPr>
                <w:noProof/>
                <w:szCs w:val="24"/>
              </w:rPr>
              <w:t>2,220</w:t>
            </w:r>
          </w:p>
        </w:tc>
        <w:tc>
          <w:tcPr>
            <w:tcW w:w="748" w:type="pct"/>
            <w:tcBorders>
              <w:bottom w:val="single" w:sz="24" w:space="0" w:color="auto"/>
            </w:tcBorders>
            <w:noWrap/>
          </w:tcPr>
          <w:p w:rsidR="001A26B0" w:rsidRDefault="00E33A99">
            <w:pPr>
              <w:spacing w:after="60" w:line="276" w:lineRule="auto"/>
              <w:jc w:val="center"/>
              <w:rPr>
                <w:noProof/>
                <w:szCs w:val="24"/>
              </w:rPr>
            </w:pPr>
            <w:r>
              <w:rPr>
                <w:noProof/>
                <w:szCs w:val="24"/>
              </w:rPr>
              <w:t>2,214</w:t>
            </w:r>
          </w:p>
        </w:tc>
        <w:tc>
          <w:tcPr>
            <w:tcW w:w="793" w:type="pct"/>
            <w:tcBorders>
              <w:bottom w:val="single" w:sz="24" w:space="0" w:color="auto"/>
            </w:tcBorders>
            <w:noWrap/>
          </w:tcPr>
          <w:p w:rsidR="001A26B0" w:rsidRDefault="00E33A99">
            <w:pPr>
              <w:spacing w:after="60" w:line="276" w:lineRule="auto"/>
              <w:jc w:val="center"/>
              <w:rPr>
                <w:noProof/>
                <w:szCs w:val="24"/>
              </w:rPr>
            </w:pPr>
            <w:r>
              <w:rPr>
                <w:noProof/>
                <w:szCs w:val="24"/>
              </w:rPr>
              <w:t>2,558</w:t>
            </w:r>
          </w:p>
        </w:tc>
      </w:tr>
      <w:tr w:rsidR="001A26B0">
        <w:trPr>
          <w:trHeight w:val="255"/>
        </w:trPr>
        <w:tc>
          <w:tcPr>
            <w:tcW w:w="1252" w:type="pct"/>
            <w:noWrap/>
          </w:tcPr>
          <w:p w:rsidR="001A26B0" w:rsidRDefault="00E33A99">
            <w:pPr>
              <w:spacing w:after="60" w:line="276" w:lineRule="auto"/>
              <w:jc w:val="left"/>
              <w:rPr>
                <w:noProof/>
                <w:szCs w:val="24"/>
              </w:rPr>
            </w:pPr>
            <w:r>
              <w:rPr>
                <w:i/>
                <w:noProof/>
                <w:szCs w:val="24"/>
              </w:rPr>
              <w:t xml:space="preserve">Net savings </w:t>
            </w:r>
            <w:r>
              <w:rPr>
                <w:i/>
                <w:noProof/>
                <w:szCs w:val="24"/>
              </w:rPr>
              <w:br/>
              <w:t>[3]-[1]-[2]</w:t>
            </w:r>
          </w:p>
        </w:tc>
        <w:tc>
          <w:tcPr>
            <w:tcW w:w="515" w:type="pct"/>
            <w:noWrap/>
          </w:tcPr>
          <w:p w:rsidR="001A26B0" w:rsidRDefault="00E33A99">
            <w:pPr>
              <w:spacing w:after="60" w:line="276" w:lineRule="auto"/>
              <w:jc w:val="center"/>
              <w:rPr>
                <w:i/>
                <w:noProof/>
                <w:szCs w:val="24"/>
              </w:rPr>
            </w:pPr>
            <w:r>
              <w:rPr>
                <w:i/>
                <w:noProof/>
                <w:szCs w:val="24"/>
              </w:rPr>
              <w:t>802</w:t>
            </w:r>
          </w:p>
        </w:tc>
        <w:tc>
          <w:tcPr>
            <w:tcW w:w="536" w:type="pct"/>
            <w:noWrap/>
          </w:tcPr>
          <w:p w:rsidR="001A26B0" w:rsidRDefault="00E33A99">
            <w:pPr>
              <w:spacing w:after="60" w:line="276" w:lineRule="auto"/>
              <w:jc w:val="center"/>
              <w:rPr>
                <w:i/>
                <w:noProof/>
                <w:szCs w:val="24"/>
              </w:rPr>
            </w:pPr>
            <w:r>
              <w:rPr>
                <w:i/>
                <w:noProof/>
                <w:szCs w:val="24"/>
              </w:rPr>
              <w:t>902</w:t>
            </w:r>
          </w:p>
        </w:tc>
        <w:tc>
          <w:tcPr>
            <w:tcW w:w="544" w:type="pct"/>
            <w:noWrap/>
          </w:tcPr>
          <w:p w:rsidR="001A26B0" w:rsidRDefault="00E33A99">
            <w:pPr>
              <w:spacing w:after="60" w:line="276" w:lineRule="auto"/>
              <w:jc w:val="center"/>
              <w:rPr>
                <w:i/>
                <w:noProof/>
                <w:szCs w:val="24"/>
              </w:rPr>
            </w:pPr>
            <w:r>
              <w:rPr>
                <w:i/>
                <w:noProof/>
                <w:szCs w:val="24"/>
              </w:rPr>
              <w:t>878</w:t>
            </w:r>
          </w:p>
        </w:tc>
        <w:tc>
          <w:tcPr>
            <w:tcW w:w="612" w:type="pct"/>
            <w:noWrap/>
          </w:tcPr>
          <w:p w:rsidR="001A26B0" w:rsidRDefault="00E33A99">
            <w:pPr>
              <w:spacing w:after="60" w:line="276" w:lineRule="auto"/>
              <w:jc w:val="center"/>
              <w:rPr>
                <w:i/>
                <w:noProof/>
                <w:szCs w:val="24"/>
              </w:rPr>
            </w:pPr>
            <w:r>
              <w:rPr>
                <w:i/>
                <w:noProof/>
                <w:szCs w:val="24"/>
              </w:rPr>
              <w:t>565</w:t>
            </w:r>
          </w:p>
        </w:tc>
        <w:tc>
          <w:tcPr>
            <w:tcW w:w="748" w:type="pct"/>
            <w:noWrap/>
          </w:tcPr>
          <w:p w:rsidR="001A26B0" w:rsidRDefault="00E33A99">
            <w:pPr>
              <w:spacing w:after="60" w:line="276" w:lineRule="auto"/>
              <w:jc w:val="center"/>
              <w:rPr>
                <w:i/>
                <w:noProof/>
                <w:szCs w:val="24"/>
              </w:rPr>
            </w:pPr>
            <w:r>
              <w:rPr>
                <w:i/>
                <w:noProof/>
                <w:szCs w:val="24"/>
              </w:rPr>
              <w:t>521</w:t>
            </w:r>
          </w:p>
        </w:tc>
        <w:tc>
          <w:tcPr>
            <w:tcW w:w="793" w:type="pct"/>
            <w:noWrap/>
          </w:tcPr>
          <w:p w:rsidR="001A26B0" w:rsidRDefault="00E33A99">
            <w:pPr>
              <w:spacing w:after="60" w:line="276" w:lineRule="auto"/>
              <w:jc w:val="center"/>
              <w:rPr>
                <w:i/>
                <w:noProof/>
                <w:szCs w:val="24"/>
              </w:rPr>
            </w:pPr>
            <w:r>
              <w:rPr>
                <w:i/>
                <w:noProof/>
                <w:szCs w:val="24"/>
              </w:rPr>
              <w:t>-2</w:t>
            </w:r>
          </w:p>
        </w:tc>
      </w:tr>
    </w:tbl>
    <w:p w:rsidR="001A26B0" w:rsidRDefault="00E33A99">
      <w:pPr>
        <w:pStyle w:val="Caption"/>
        <w:keepNext/>
        <w:rPr>
          <w:noProof/>
          <w:szCs w:val="24"/>
        </w:rPr>
      </w:pPr>
      <w:bookmarkStart w:id="259" w:name="_Ref493260399"/>
      <w:bookmarkStart w:id="260" w:name="_Ref493684768"/>
      <w:bookmarkStart w:id="261" w:name="_Ref493772876"/>
      <w:bookmarkStart w:id="262" w:name="_Toc496688558"/>
      <w:r>
        <w:rPr>
          <w:noProof/>
          <w:szCs w:val="24"/>
        </w:rPr>
        <w:t xml:space="preserve">Figure </w:t>
      </w:r>
      <w:r>
        <w:rPr>
          <w:noProof/>
          <w:szCs w:val="24"/>
        </w:rPr>
        <w:fldChar w:fldCharType="begin"/>
      </w:r>
      <w:r>
        <w:rPr>
          <w:noProof/>
          <w:szCs w:val="24"/>
        </w:rPr>
        <w:instrText xml:space="preserve"> SEQ Figure \* ARABIC </w:instrText>
      </w:r>
      <w:r>
        <w:rPr>
          <w:noProof/>
          <w:szCs w:val="24"/>
        </w:rPr>
        <w:fldChar w:fldCharType="separate"/>
      </w:r>
      <w:r>
        <w:rPr>
          <w:noProof/>
          <w:szCs w:val="24"/>
        </w:rPr>
        <w:t>12</w:t>
      </w:r>
      <w:r>
        <w:rPr>
          <w:noProof/>
          <w:szCs w:val="24"/>
        </w:rPr>
        <w:fldChar w:fldCharType="end"/>
      </w:r>
      <w:bookmarkEnd w:id="259"/>
      <w:bookmarkEnd w:id="260"/>
      <w:bookmarkEnd w:id="261"/>
      <w:r>
        <w:rPr>
          <w:noProof/>
          <w:szCs w:val="24"/>
        </w:rPr>
        <w:t xml:space="preserve">: Net </w:t>
      </w:r>
      <w:r>
        <w:rPr>
          <w:noProof/>
          <w:szCs w:val="24"/>
        </w:rPr>
        <w:t>economic savings over the vehicle lifetime from a societal perspective in 2025 and 2030 (EUR/car)</w:t>
      </w:r>
      <w:bookmarkEnd w:id="262"/>
    </w:p>
    <w:p w:rsidR="001A26B0" w:rsidRDefault="00E33A99">
      <w:pPr>
        <w:jc w:val="center"/>
        <w:rPr>
          <w:noProof/>
        </w:rPr>
      </w:pPr>
      <w:r>
        <w:rPr>
          <w:noProof/>
          <w:lang w:eastAsia="en-GB"/>
        </w:rPr>
        <w:drawing>
          <wp:inline distT="0" distB="0" distL="0" distR="0">
            <wp:extent cx="3810000" cy="2999562"/>
            <wp:effectExtent l="0" t="0" r="0" b="0"/>
            <wp:docPr id="9221" name="Picture 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0000" cy="2999562"/>
                    </a:xfrm>
                    <a:prstGeom prst="rect">
                      <a:avLst/>
                    </a:prstGeom>
                    <a:noFill/>
                  </pic:spPr>
                </pic:pic>
              </a:graphicData>
            </a:graphic>
          </wp:inline>
        </w:drawing>
      </w:r>
    </w:p>
    <w:p w:rsidR="001A26B0" w:rsidRDefault="00E33A99">
      <w:pPr>
        <w:pStyle w:val="Heading6"/>
        <w:numPr>
          <w:ilvl w:val="0"/>
          <w:numId w:val="0"/>
        </w:numPr>
        <w:ind w:hanging="18"/>
        <w:rPr>
          <w:i w:val="0"/>
          <w:noProof/>
        </w:rPr>
      </w:pPr>
      <w:r>
        <w:rPr>
          <w:i w:val="0"/>
          <w:noProof/>
        </w:rPr>
        <w:t>In principle, in order to estimate the net economic savings over the vehicle lifetime from a societal perspective, one should include also the external bene</w:t>
      </w:r>
      <w:r>
        <w:rPr>
          <w:i w:val="0"/>
          <w:noProof/>
        </w:rPr>
        <w:t>fits (or avoided external costs). For the options assessed here, the most important effect concerns additional benefits in terms of avoided CO</w:t>
      </w:r>
      <w:r>
        <w:rPr>
          <w:i w:val="0"/>
          <w:noProof/>
          <w:vertAlign w:val="subscript"/>
        </w:rPr>
        <w:t>2</w:t>
      </w:r>
      <w:r>
        <w:rPr>
          <w:i w:val="0"/>
          <w:noProof/>
        </w:rPr>
        <w:t xml:space="preserve"> costs over the lifetime of a vehicle as compared to a baseline vehicle. </w:t>
      </w:r>
    </w:p>
    <w:p w:rsidR="001A26B0" w:rsidRDefault="00E33A99">
      <w:pPr>
        <w:pStyle w:val="Heading6"/>
        <w:numPr>
          <w:ilvl w:val="0"/>
          <w:numId w:val="0"/>
        </w:numPr>
        <w:ind w:hanging="18"/>
        <w:rPr>
          <w:i w:val="0"/>
          <w:noProof/>
        </w:rPr>
      </w:pPr>
      <w:r>
        <w:rPr>
          <w:i w:val="0"/>
          <w:noProof/>
        </w:rPr>
        <w:t xml:space="preserve">Table 10 gives an overview of the </w:t>
      </w:r>
      <w:r>
        <w:rPr>
          <w:i w:val="0"/>
          <w:noProof/>
        </w:rPr>
        <w:t>estimated additional avoided CO</w:t>
      </w:r>
      <w:r>
        <w:rPr>
          <w:i w:val="0"/>
          <w:noProof/>
          <w:vertAlign w:val="subscript"/>
        </w:rPr>
        <w:t>2</w:t>
      </w:r>
      <w:r>
        <w:rPr>
          <w:i w:val="0"/>
          <w:noProof/>
        </w:rPr>
        <w:t xml:space="preserve"> costs for cars in 2030 for the different options assessed</w:t>
      </w:r>
      <w:r>
        <w:rPr>
          <w:rStyle w:val="FootnoteReference"/>
          <w:i w:val="0"/>
          <w:noProof/>
        </w:rPr>
        <w:footnoteReference w:id="161"/>
      </w:r>
      <w:r>
        <w:rPr>
          <w:i w:val="0"/>
          <w:noProof/>
        </w:rPr>
        <w:t>. It shows that these external benefits increase as the CO</w:t>
      </w:r>
      <w:r>
        <w:rPr>
          <w:i w:val="0"/>
          <w:noProof/>
          <w:vertAlign w:val="subscript"/>
        </w:rPr>
        <w:t>2</w:t>
      </w:r>
      <w:r>
        <w:rPr>
          <w:i w:val="0"/>
          <w:noProof/>
        </w:rPr>
        <w:t xml:space="preserve"> target gets stricter. </w:t>
      </w:r>
    </w:p>
    <w:p w:rsidR="001A26B0" w:rsidRDefault="00E33A99">
      <w:pPr>
        <w:pStyle w:val="Caption"/>
        <w:keepNext/>
        <w:rPr>
          <w:noProof/>
          <w:szCs w:val="24"/>
        </w:rPr>
      </w:pPr>
      <w:r>
        <w:rPr>
          <w:noProof/>
          <w:szCs w:val="24"/>
        </w:rPr>
        <w:t>Table 10: Avoided CO</w:t>
      </w:r>
      <w:r>
        <w:rPr>
          <w:noProof/>
          <w:szCs w:val="24"/>
          <w:vertAlign w:val="subscript"/>
        </w:rPr>
        <w:t>2</w:t>
      </w:r>
      <w:r>
        <w:rPr>
          <w:noProof/>
          <w:szCs w:val="24"/>
        </w:rPr>
        <w:t xml:space="preserve"> cost (EUR/car) over a car's lifetime </w:t>
      </w:r>
    </w:p>
    <w:tbl>
      <w:tblPr>
        <w:tblStyle w:val="TableGrid"/>
        <w:tblW w:w="4874" w:type="pct"/>
        <w:tblLook w:val="04A0" w:firstRow="1" w:lastRow="0" w:firstColumn="1" w:lastColumn="0" w:noHBand="0" w:noVBand="1"/>
      </w:tblPr>
      <w:tblGrid>
        <w:gridCol w:w="1963"/>
        <w:gridCol w:w="910"/>
        <w:gridCol w:w="911"/>
        <w:gridCol w:w="1005"/>
        <w:gridCol w:w="1079"/>
        <w:gridCol w:w="1429"/>
        <w:gridCol w:w="1310"/>
      </w:tblGrid>
      <w:tr w:rsidR="001A26B0">
        <w:trPr>
          <w:trHeight w:val="255"/>
        </w:trPr>
        <w:tc>
          <w:tcPr>
            <w:tcW w:w="1140" w:type="pct"/>
            <w:noWrap/>
            <w:hideMark/>
          </w:tcPr>
          <w:p w:rsidR="001A26B0" w:rsidRDefault="00E33A99">
            <w:pPr>
              <w:spacing w:after="120"/>
              <w:rPr>
                <w:noProof/>
                <w:szCs w:val="24"/>
              </w:rPr>
            </w:pPr>
            <w:r>
              <w:rPr>
                <w:noProof/>
                <w:szCs w:val="24"/>
              </w:rPr>
              <w:t>(EUR/car)</w:t>
            </w:r>
          </w:p>
        </w:tc>
        <w:tc>
          <w:tcPr>
            <w:tcW w:w="529" w:type="pct"/>
            <w:noWrap/>
          </w:tcPr>
          <w:p w:rsidR="001A26B0" w:rsidRDefault="00E33A99">
            <w:pPr>
              <w:spacing w:after="120"/>
              <w:jc w:val="center"/>
              <w:rPr>
                <w:noProof/>
                <w:szCs w:val="24"/>
              </w:rPr>
            </w:pPr>
            <w:r>
              <w:rPr>
                <w:noProof/>
                <w:szCs w:val="24"/>
              </w:rPr>
              <w:t>TLC20</w:t>
            </w:r>
          </w:p>
        </w:tc>
        <w:tc>
          <w:tcPr>
            <w:tcW w:w="529" w:type="pct"/>
            <w:noWrap/>
          </w:tcPr>
          <w:p w:rsidR="001A26B0" w:rsidRDefault="00E33A99">
            <w:pPr>
              <w:spacing w:after="120"/>
              <w:jc w:val="center"/>
              <w:rPr>
                <w:noProof/>
                <w:szCs w:val="24"/>
              </w:rPr>
            </w:pPr>
            <w:r>
              <w:rPr>
                <w:noProof/>
                <w:szCs w:val="24"/>
              </w:rPr>
              <w:t>TLC25</w:t>
            </w:r>
          </w:p>
        </w:tc>
        <w:tc>
          <w:tcPr>
            <w:tcW w:w="584" w:type="pct"/>
            <w:noWrap/>
          </w:tcPr>
          <w:p w:rsidR="001A26B0" w:rsidRDefault="00E33A99">
            <w:pPr>
              <w:spacing w:after="120"/>
              <w:jc w:val="center"/>
              <w:rPr>
                <w:noProof/>
                <w:szCs w:val="24"/>
              </w:rPr>
            </w:pPr>
            <w:r>
              <w:rPr>
                <w:noProof/>
                <w:szCs w:val="24"/>
              </w:rPr>
              <w:t>TLC30</w:t>
            </w:r>
          </w:p>
        </w:tc>
        <w:tc>
          <w:tcPr>
            <w:tcW w:w="627" w:type="pct"/>
            <w:noWrap/>
          </w:tcPr>
          <w:p w:rsidR="001A26B0" w:rsidRDefault="00E33A99">
            <w:pPr>
              <w:spacing w:after="120"/>
              <w:jc w:val="center"/>
              <w:rPr>
                <w:noProof/>
                <w:szCs w:val="24"/>
              </w:rPr>
            </w:pPr>
            <w:r>
              <w:rPr>
                <w:noProof/>
                <w:szCs w:val="24"/>
              </w:rPr>
              <w:t>TLC40</w:t>
            </w:r>
          </w:p>
        </w:tc>
        <w:tc>
          <w:tcPr>
            <w:tcW w:w="830" w:type="pct"/>
            <w:noWrap/>
          </w:tcPr>
          <w:p w:rsidR="001A26B0" w:rsidRDefault="00E33A99">
            <w:pPr>
              <w:spacing w:after="120"/>
              <w:jc w:val="center"/>
              <w:rPr>
                <w:noProof/>
                <w:szCs w:val="24"/>
              </w:rPr>
            </w:pPr>
            <w:r>
              <w:rPr>
                <w:noProof/>
                <w:szCs w:val="24"/>
              </w:rPr>
              <w:t>TLC_EP40</w:t>
            </w:r>
          </w:p>
        </w:tc>
        <w:tc>
          <w:tcPr>
            <w:tcW w:w="761" w:type="pct"/>
          </w:tcPr>
          <w:p w:rsidR="001A26B0" w:rsidRDefault="00E33A99">
            <w:pPr>
              <w:spacing w:after="120"/>
              <w:jc w:val="center"/>
              <w:rPr>
                <w:noProof/>
                <w:szCs w:val="24"/>
              </w:rPr>
            </w:pPr>
            <w:r>
              <w:rPr>
                <w:noProof/>
              </w:rPr>
              <w:t>TLC_EP50</w:t>
            </w:r>
          </w:p>
        </w:tc>
      </w:tr>
      <w:tr w:rsidR="001A26B0">
        <w:trPr>
          <w:trHeight w:val="255"/>
        </w:trPr>
        <w:tc>
          <w:tcPr>
            <w:tcW w:w="1140" w:type="pct"/>
            <w:noWrap/>
          </w:tcPr>
          <w:p w:rsidR="001A26B0" w:rsidRDefault="00E33A99">
            <w:pPr>
              <w:spacing w:after="120"/>
              <w:rPr>
                <w:noProof/>
                <w:szCs w:val="24"/>
              </w:rPr>
            </w:pPr>
            <w:r>
              <w:rPr>
                <w:noProof/>
                <w:szCs w:val="24"/>
              </w:rPr>
              <w:t>Avoided CO</w:t>
            </w:r>
            <w:r>
              <w:rPr>
                <w:noProof/>
                <w:szCs w:val="24"/>
                <w:vertAlign w:val="subscript"/>
              </w:rPr>
              <w:t>2</w:t>
            </w:r>
            <w:r>
              <w:rPr>
                <w:noProof/>
                <w:szCs w:val="24"/>
              </w:rPr>
              <w:t xml:space="preserve"> cost </w:t>
            </w:r>
          </w:p>
        </w:tc>
        <w:tc>
          <w:tcPr>
            <w:tcW w:w="529" w:type="pct"/>
            <w:noWrap/>
          </w:tcPr>
          <w:p w:rsidR="001A26B0" w:rsidRDefault="00E33A99">
            <w:pPr>
              <w:spacing w:after="120"/>
              <w:jc w:val="center"/>
              <w:rPr>
                <w:noProof/>
                <w:szCs w:val="24"/>
              </w:rPr>
            </w:pPr>
            <w:r>
              <w:rPr>
                <w:noProof/>
              </w:rPr>
              <w:t>303</w:t>
            </w:r>
          </w:p>
        </w:tc>
        <w:tc>
          <w:tcPr>
            <w:tcW w:w="529" w:type="pct"/>
            <w:noWrap/>
          </w:tcPr>
          <w:p w:rsidR="001A26B0" w:rsidRDefault="00E33A99">
            <w:pPr>
              <w:spacing w:after="120"/>
              <w:jc w:val="center"/>
              <w:rPr>
                <w:noProof/>
                <w:szCs w:val="24"/>
              </w:rPr>
            </w:pPr>
            <w:r>
              <w:rPr>
                <w:noProof/>
              </w:rPr>
              <w:t>375</w:t>
            </w:r>
          </w:p>
        </w:tc>
        <w:tc>
          <w:tcPr>
            <w:tcW w:w="584" w:type="pct"/>
            <w:noWrap/>
          </w:tcPr>
          <w:p w:rsidR="001A26B0" w:rsidRDefault="00E33A99">
            <w:pPr>
              <w:spacing w:after="120"/>
              <w:jc w:val="center"/>
              <w:rPr>
                <w:noProof/>
                <w:szCs w:val="24"/>
              </w:rPr>
            </w:pPr>
            <w:r>
              <w:rPr>
                <w:noProof/>
              </w:rPr>
              <w:t>451</w:t>
            </w:r>
          </w:p>
        </w:tc>
        <w:tc>
          <w:tcPr>
            <w:tcW w:w="627" w:type="pct"/>
            <w:noWrap/>
          </w:tcPr>
          <w:p w:rsidR="001A26B0" w:rsidRDefault="00E33A99">
            <w:pPr>
              <w:spacing w:after="120"/>
              <w:jc w:val="center"/>
              <w:rPr>
                <w:noProof/>
                <w:szCs w:val="24"/>
              </w:rPr>
            </w:pPr>
            <w:r>
              <w:rPr>
                <w:noProof/>
              </w:rPr>
              <w:t>593</w:t>
            </w:r>
          </w:p>
        </w:tc>
        <w:tc>
          <w:tcPr>
            <w:tcW w:w="830" w:type="pct"/>
            <w:noWrap/>
          </w:tcPr>
          <w:p w:rsidR="001A26B0" w:rsidRDefault="00E33A99">
            <w:pPr>
              <w:spacing w:after="120"/>
              <w:jc w:val="center"/>
              <w:rPr>
                <w:noProof/>
                <w:szCs w:val="24"/>
              </w:rPr>
            </w:pPr>
            <w:r>
              <w:rPr>
                <w:noProof/>
              </w:rPr>
              <w:t>609</w:t>
            </w:r>
          </w:p>
        </w:tc>
        <w:tc>
          <w:tcPr>
            <w:tcW w:w="761" w:type="pct"/>
          </w:tcPr>
          <w:p w:rsidR="001A26B0" w:rsidRDefault="00E33A99">
            <w:pPr>
              <w:spacing w:after="120"/>
              <w:jc w:val="center"/>
              <w:rPr>
                <w:noProof/>
              </w:rPr>
            </w:pPr>
            <w:r>
              <w:rPr>
                <w:noProof/>
              </w:rPr>
              <w:t>728</w:t>
            </w:r>
          </w:p>
        </w:tc>
      </w:tr>
    </w:tbl>
    <w:p w:rsidR="001A26B0" w:rsidRDefault="00E33A99">
      <w:pPr>
        <w:pStyle w:val="Heading6"/>
        <w:keepNext/>
        <w:spacing w:before="240"/>
        <w:rPr>
          <w:noProof/>
        </w:rPr>
      </w:pPr>
      <w:r>
        <w:rPr>
          <w:noProof/>
        </w:rPr>
        <w:t>TCO-15 years (vehicle lifetime)</w:t>
      </w:r>
    </w:p>
    <w:p w:rsidR="001A26B0" w:rsidRDefault="00E33A99">
      <w:pPr>
        <w:spacing w:after="120"/>
        <w:rPr>
          <w:noProof/>
        </w:rPr>
      </w:pPr>
      <w:r>
        <w:rPr>
          <w:noProof/>
        </w:rPr>
        <w:fldChar w:fldCharType="begin"/>
      </w:r>
      <w:r>
        <w:rPr>
          <w:noProof/>
        </w:rPr>
        <w:instrText xml:space="preserve"> REF _Ref493264573 \h </w:instrText>
      </w:r>
      <w:r>
        <w:rPr>
          <w:noProof/>
        </w:rPr>
      </w:r>
      <w:r>
        <w:rPr>
          <w:noProof/>
        </w:rPr>
        <w:fldChar w:fldCharType="separate"/>
      </w:r>
      <w:r>
        <w:rPr>
          <w:noProof/>
        </w:rPr>
        <w:t>Figure 13</w:t>
      </w:r>
      <w:r>
        <w:rPr>
          <w:noProof/>
        </w:rPr>
        <w:fldChar w:fldCharType="end"/>
      </w:r>
      <w:r>
        <w:rPr>
          <w:noProof/>
        </w:rPr>
        <w:t xml:space="preserve"> shows the TCO over 15 years (EUR per car) of an average new passenger car registered in 2025 and in 2030 under the different TLC options (expressed as the difference with the baseline). </w:t>
      </w:r>
    </w:p>
    <w:p w:rsidR="001A26B0" w:rsidRDefault="00E33A99">
      <w:pPr>
        <w:spacing w:after="120"/>
        <w:rPr>
          <w:noProof/>
        </w:rPr>
      </w:pPr>
      <w:r>
        <w:rPr>
          <w:noProof/>
        </w:rPr>
        <w:t>It s</w:t>
      </w:r>
      <w:r>
        <w:rPr>
          <w:noProof/>
        </w:rPr>
        <w:t>hows that in both years and under all options considered there are net savings for the end-users over 15 years. The savings per car in 2025 range from 253 EUR (TLC_EP40) to 436 EUR (TLC30) and they increase in 2030, ranging from 389 EUR (TLC_EP50) to 1,374</w:t>
      </w:r>
      <w:r>
        <w:rPr>
          <w:noProof/>
        </w:rPr>
        <w:t xml:space="preserve"> EUR (TLC25). </w:t>
      </w:r>
    </w:p>
    <w:p w:rsidR="001A26B0" w:rsidRDefault="00E33A99">
      <w:pPr>
        <w:spacing w:after="120"/>
        <w:rPr>
          <w:noProof/>
        </w:rPr>
      </w:pPr>
      <w:r>
        <w:rPr>
          <w:noProof/>
        </w:rPr>
        <w:t>The highest net savings for the total cost of ownership over 15 years can be realised with a CO</w:t>
      </w:r>
      <w:r>
        <w:rPr>
          <w:noProof/>
          <w:vertAlign w:val="subscript"/>
        </w:rPr>
        <w:t>2</w:t>
      </w:r>
      <w:r>
        <w:rPr>
          <w:noProof/>
        </w:rPr>
        <w:t xml:space="preserve"> target as in options TLC25 or TLC30.</w:t>
      </w:r>
    </w:p>
    <w:p w:rsidR="001A26B0" w:rsidRDefault="00E33A99">
      <w:pPr>
        <w:pStyle w:val="Caption"/>
        <w:keepNext/>
        <w:rPr>
          <w:noProof/>
        </w:rPr>
      </w:pPr>
      <w:bookmarkStart w:id="263" w:name="_Ref493264573"/>
      <w:bookmarkStart w:id="264" w:name="_Toc496688559"/>
      <w:r>
        <w:rPr>
          <w:noProof/>
        </w:rPr>
        <w:t xml:space="preserve">Figure </w:t>
      </w:r>
      <w:r>
        <w:rPr>
          <w:noProof/>
        </w:rPr>
        <w:fldChar w:fldCharType="begin"/>
      </w:r>
      <w:r>
        <w:rPr>
          <w:noProof/>
        </w:rPr>
        <w:instrText xml:space="preserve"> SEQ Figure \* ARABIC </w:instrText>
      </w:r>
      <w:r>
        <w:rPr>
          <w:noProof/>
        </w:rPr>
        <w:fldChar w:fldCharType="separate"/>
      </w:r>
      <w:r>
        <w:rPr>
          <w:noProof/>
        </w:rPr>
        <w:t>13</w:t>
      </w:r>
      <w:r>
        <w:rPr>
          <w:noProof/>
        </w:rPr>
        <w:fldChar w:fldCharType="end"/>
      </w:r>
      <w:bookmarkEnd w:id="263"/>
      <w:r>
        <w:rPr>
          <w:noProof/>
        </w:rPr>
        <w:t>: TCO-15 years (vehicle lifetime) (net savings in EUR/car in 2025 and 203</w:t>
      </w:r>
      <w:r>
        <w:rPr>
          <w:noProof/>
        </w:rPr>
        <w:t>0)</w:t>
      </w:r>
      <w:bookmarkEnd w:id="264"/>
    </w:p>
    <w:p w:rsidR="001A26B0" w:rsidRDefault="00E33A99">
      <w:pPr>
        <w:pStyle w:val="Heading6"/>
        <w:numPr>
          <w:ilvl w:val="0"/>
          <w:numId w:val="0"/>
        </w:numPr>
        <w:spacing w:before="120"/>
        <w:jc w:val="center"/>
        <w:rPr>
          <w:noProof/>
        </w:rPr>
      </w:pPr>
      <w:r>
        <w:rPr>
          <w:noProof/>
          <w:lang w:eastAsia="en-GB"/>
        </w:rPr>
        <w:drawing>
          <wp:inline distT="0" distB="0" distL="0" distR="0">
            <wp:extent cx="3810000" cy="299956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0000" cy="2999562"/>
                    </a:xfrm>
                    <a:prstGeom prst="rect">
                      <a:avLst/>
                    </a:prstGeom>
                    <a:noFill/>
                  </pic:spPr>
                </pic:pic>
              </a:graphicData>
            </a:graphic>
          </wp:inline>
        </w:drawing>
      </w:r>
    </w:p>
    <w:p w:rsidR="001A26B0" w:rsidRDefault="00E33A99">
      <w:pPr>
        <w:pStyle w:val="Heading6"/>
        <w:keepNext/>
        <w:spacing w:before="120"/>
        <w:rPr>
          <w:noProof/>
        </w:rPr>
      </w:pPr>
      <w:r>
        <w:rPr>
          <w:noProof/>
        </w:rPr>
        <w:t>TCO-first user (5 years)</w:t>
      </w:r>
    </w:p>
    <w:p w:rsidR="001A26B0" w:rsidRDefault="00E33A99">
      <w:pPr>
        <w:spacing w:after="120"/>
        <w:rPr>
          <w:noProof/>
        </w:rPr>
      </w:pPr>
      <w:r>
        <w:rPr>
          <w:noProof/>
        </w:rPr>
        <w:fldChar w:fldCharType="begin"/>
      </w:r>
      <w:r>
        <w:rPr>
          <w:noProof/>
        </w:rPr>
        <w:instrText xml:space="preserve"> REF _Ref493265462 \h </w:instrText>
      </w:r>
      <w:r>
        <w:rPr>
          <w:noProof/>
        </w:rPr>
      </w:r>
      <w:r>
        <w:rPr>
          <w:noProof/>
        </w:rPr>
        <w:fldChar w:fldCharType="separate"/>
      </w:r>
      <w:r>
        <w:rPr>
          <w:noProof/>
        </w:rPr>
        <w:t>Figure 14</w:t>
      </w:r>
      <w:r>
        <w:rPr>
          <w:noProof/>
        </w:rPr>
        <w:fldChar w:fldCharType="end"/>
      </w:r>
      <w:r>
        <w:rPr>
          <w:noProof/>
        </w:rPr>
        <w:t xml:space="preserve"> shows the net savings (EUR per car) from a first end-user perspective for an average new passenger car registered in 2025 and in 2030 under the different TLC options (expressed as the differe</w:t>
      </w:r>
      <w:r>
        <w:rPr>
          <w:noProof/>
        </w:rPr>
        <w:t xml:space="preserve">nce with the baseline). </w:t>
      </w:r>
    </w:p>
    <w:p w:rsidR="001A26B0" w:rsidRDefault="00E33A99">
      <w:pPr>
        <w:spacing w:after="120"/>
        <w:rPr>
          <w:noProof/>
        </w:rPr>
      </w:pPr>
      <w:r>
        <w:rPr>
          <w:noProof/>
        </w:rPr>
        <w:t>The trends seen are very similar to those found for the analysis from a societal perspective (see above).</w:t>
      </w:r>
    </w:p>
    <w:p w:rsidR="001A26B0" w:rsidRDefault="00E33A99">
      <w:pPr>
        <w:spacing w:after="120"/>
        <w:rPr>
          <w:noProof/>
        </w:rPr>
      </w:pPr>
      <w:r>
        <w:rPr>
          <w:noProof/>
        </w:rPr>
        <w:t>Capital costs increase as the fleet-wide CO</w:t>
      </w:r>
      <w:r>
        <w:rPr>
          <w:noProof/>
          <w:vertAlign w:val="subscript"/>
        </w:rPr>
        <w:t>2</w:t>
      </w:r>
      <w:r>
        <w:rPr>
          <w:noProof/>
        </w:rPr>
        <w:t xml:space="preserve"> target levels get stricter and range from 90 EUR (TLC20) to 1,104 EUR (TLC_EP40)</w:t>
      </w:r>
      <w:r>
        <w:rPr>
          <w:noProof/>
        </w:rPr>
        <w:t xml:space="preserve"> for the average car registered in 2025. In 2030, they range from 328 EUR (TLC20) to 2,154 EUR (TLC_EP50) per car.</w:t>
      </w:r>
    </w:p>
    <w:p w:rsidR="001A26B0" w:rsidRDefault="00E33A99">
      <w:pPr>
        <w:spacing w:after="120"/>
        <w:rPr>
          <w:noProof/>
        </w:rPr>
      </w:pPr>
      <w:r>
        <w:rPr>
          <w:noProof/>
        </w:rPr>
        <w:t xml:space="preserve">At the same time, stricter targets will lower fuel costs and fuel cost savings per car range from 348 EUR (TLC20) to 1,286 EUR (TLC_EP40) in </w:t>
      </w:r>
      <w:r>
        <w:rPr>
          <w:noProof/>
        </w:rPr>
        <w:t>2025 and from 1,025 EUR (TLC20) to 2,354 EUR (TLC_EP50) in 2030.</w:t>
      </w:r>
    </w:p>
    <w:p w:rsidR="001A26B0" w:rsidRDefault="00E33A99">
      <w:pPr>
        <w:spacing w:after="120"/>
        <w:rPr>
          <w:noProof/>
        </w:rPr>
      </w:pPr>
      <w:r>
        <w:rPr>
          <w:noProof/>
        </w:rPr>
        <w:t>O&amp;M costs show little variation between the different options and are generally positive in 2025 and negative (i.e. lower than under the baseline) in 2030.</w:t>
      </w:r>
    </w:p>
    <w:p w:rsidR="001A26B0" w:rsidRDefault="00E33A99">
      <w:pPr>
        <w:spacing w:after="120"/>
        <w:rPr>
          <w:noProof/>
        </w:rPr>
      </w:pPr>
      <w:r>
        <w:rPr>
          <w:noProof/>
        </w:rPr>
        <w:t>For the first user, both in 2025 an</w:t>
      </w:r>
      <w:r>
        <w:rPr>
          <w:noProof/>
        </w:rPr>
        <w:t xml:space="preserve">d in 2030, net savings occur under all options considered, ranging from 171 EUR (TLC_EP40) to 263 EUR (TLC30) per car in 2025 and from 282 EUR (TLC_EP50) to 818 EUR (TLC30) per car in 2030. </w:t>
      </w:r>
    </w:p>
    <w:p w:rsidR="001A26B0" w:rsidRDefault="00E33A99">
      <w:pPr>
        <w:spacing w:before="240" w:after="120"/>
        <w:rPr>
          <w:noProof/>
        </w:rPr>
      </w:pPr>
      <w:r>
        <w:rPr>
          <w:noProof/>
        </w:rPr>
        <w:t>The results of the following two sensitivities are given in Annex</w:t>
      </w:r>
      <w:r>
        <w:rPr>
          <w:noProof/>
        </w:rPr>
        <w:t xml:space="preserve"> 8.2:</w:t>
      </w:r>
    </w:p>
    <w:p w:rsidR="001A26B0" w:rsidRDefault="00E33A99">
      <w:pPr>
        <w:pStyle w:val="Heading6"/>
        <w:numPr>
          <w:ilvl w:val="0"/>
          <w:numId w:val="85"/>
        </w:numPr>
        <w:rPr>
          <w:i w:val="0"/>
          <w:noProof/>
        </w:rPr>
      </w:pPr>
      <w:r>
        <w:rPr>
          <w:i w:val="0"/>
          <w:noProof/>
        </w:rPr>
        <w:t>sensitivity regarding the effect of varying cost assumptions;</w:t>
      </w:r>
    </w:p>
    <w:p w:rsidR="001A26B0" w:rsidRDefault="00E33A99">
      <w:pPr>
        <w:pStyle w:val="Heading6"/>
        <w:numPr>
          <w:ilvl w:val="0"/>
          <w:numId w:val="85"/>
        </w:numPr>
        <w:rPr>
          <w:i w:val="0"/>
          <w:noProof/>
        </w:rPr>
      </w:pPr>
      <w:r>
        <w:rPr>
          <w:i w:val="0"/>
          <w:noProof/>
        </w:rPr>
        <w:t>sensitivity regarding the effect of a varying international oil price.</w:t>
      </w:r>
    </w:p>
    <w:p w:rsidR="001A26B0" w:rsidRDefault="00E33A99">
      <w:pPr>
        <w:pStyle w:val="Caption"/>
        <w:keepNext/>
        <w:rPr>
          <w:noProof/>
        </w:rPr>
      </w:pPr>
      <w:bookmarkStart w:id="265" w:name="_Ref493265462"/>
      <w:bookmarkStart w:id="266" w:name="_Toc496688560"/>
      <w:r>
        <w:rPr>
          <w:noProof/>
        </w:rPr>
        <w:t xml:space="preserve">Figure </w:t>
      </w:r>
      <w:r>
        <w:rPr>
          <w:noProof/>
        </w:rPr>
        <w:fldChar w:fldCharType="begin"/>
      </w:r>
      <w:r>
        <w:rPr>
          <w:noProof/>
        </w:rPr>
        <w:instrText xml:space="preserve"> SEQ Figure \* ARABIC </w:instrText>
      </w:r>
      <w:r>
        <w:rPr>
          <w:noProof/>
        </w:rPr>
        <w:fldChar w:fldCharType="separate"/>
      </w:r>
      <w:r>
        <w:rPr>
          <w:noProof/>
        </w:rPr>
        <w:t>14</w:t>
      </w:r>
      <w:r>
        <w:rPr>
          <w:noProof/>
        </w:rPr>
        <w:fldChar w:fldCharType="end"/>
      </w:r>
      <w:bookmarkEnd w:id="265"/>
      <w:r>
        <w:rPr>
          <w:noProof/>
        </w:rPr>
        <w:t>: TCO-first user (5 years) (net savings in EUR/car in 2025 and 2030)</w:t>
      </w:r>
      <w:bookmarkEnd w:id="266"/>
    </w:p>
    <w:p w:rsidR="001A26B0" w:rsidRDefault="00E33A99">
      <w:pPr>
        <w:spacing w:before="240" w:after="120"/>
        <w:jc w:val="center"/>
        <w:rPr>
          <w:noProof/>
        </w:rPr>
      </w:pPr>
      <w:r>
        <w:rPr>
          <w:noProof/>
          <w:lang w:eastAsia="en-GB"/>
        </w:rPr>
        <w:drawing>
          <wp:inline distT="0" distB="0" distL="0" distR="0">
            <wp:extent cx="3810000" cy="2994320"/>
            <wp:effectExtent l="0" t="0" r="0" b="0"/>
            <wp:docPr id="9223" name="Picture 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0000" cy="2994320"/>
                    </a:xfrm>
                    <a:prstGeom prst="rect">
                      <a:avLst/>
                    </a:prstGeom>
                    <a:noFill/>
                  </pic:spPr>
                </pic:pic>
              </a:graphicData>
            </a:graphic>
          </wp:inline>
        </w:drawing>
      </w:r>
    </w:p>
    <w:p w:rsidR="001A26B0" w:rsidRDefault="00E33A99">
      <w:pPr>
        <w:pStyle w:val="Heading6"/>
        <w:rPr>
          <w:noProof/>
        </w:rPr>
      </w:pPr>
      <w:bookmarkStart w:id="267" w:name="_Ref493675656"/>
      <w:bookmarkStart w:id="268" w:name="_Toc485119153"/>
      <w:bookmarkStart w:id="269" w:name="_Toc487211787"/>
      <w:r>
        <w:rPr>
          <w:noProof/>
        </w:rPr>
        <w:t xml:space="preserve">Energy </w:t>
      </w:r>
      <w:r>
        <w:rPr>
          <w:noProof/>
        </w:rPr>
        <w:t>system impacts</w:t>
      </w:r>
      <w:bookmarkEnd w:id="267"/>
      <w:r>
        <w:rPr>
          <w:noProof/>
        </w:rPr>
        <w:t xml:space="preserve"> </w:t>
      </w:r>
    </w:p>
    <w:p w:rsidR="001A26B0" w:rsidRDefault="00E33A99">
      <w:pPr>
        <w:spacing w:after="120"/>
        <w:rPr>
          <w:noProof/>
        </w:rPr>
      </w:pPr>
      <w:r>
        <w:rPr>
          <w:noProof/>
        </w:rPr>
        <w:fldChar w:fldCharType="begin"/>
      </w:r>
      <w:r>
        <w:rPr>
          <w:noProof/>
        </w:rPr>
        <w:instrText xml:space="preserve"> REF _Ref493586825 \h  \* MERGEFORMAT </w:instrText>
      </w:r>
      <w:r>
        <w:rPr>
          <w:noProof/>
        </w:rPr>
      </w:r>
      <w:r>
        <w:rPr>
          <w:noProof/>
        </w:rPr>
        <w:fldChar w:fldCharType="separate"/>
      </w:r>
      <w:r>
        <w:rPr>
          <w:noProof/>
        </w:rPr>
        <w:t>Figure 15</w:t>
      </w:r>
      <w:r>
        <w:rPr>
          <w:noProof/>
        </w:rPr>
        <w:fldChar w:fldCharType="end"/>
      </w:r>
      <w:r>
        <w:rPr>
          <w:noProof/>
        </w:rPr>
        <w:t xml:space="preserve"> shows the impact of the different TLC options on the final energy demand for passenger cars over the period 2020-2040. </w:t>
      </w:r>
    </w:p>
    <w:p w:rsidR="001A26B0" w:rsidRDefault="00E33A99">
      <w:pPr>
        <w:spacing w:after="120"/>
        <w:rPr>
          <w:noProof/>
        </w:rPr>
      </w:pPr>
      <w:r>
        <w:rPr>
          <w:noProof/>
        </w:rPr>
        <w:t>Under</w:t>
      </w:r>
      <w:r>
        <w:rPr>
          <w:noProof/>
        </w:rPr>
        <w:t xml:space="preserve"> the baseline (TLC 0), the final energy demand for passenger cars is 170,300 ktoe in 2020 and it decreases over time as cars being subject to the CO</w:t>
      </w:r>
      <w:r>
        <w:rPr>
          <w:noProof/>
          <w:vertAlign w:val="subscript"/>
        </w:rPr>
        <w:t>2</w:t>
      </w:r>
      <w:r>
        <w:rPr>
          <w:noProof/>
        </w:rPr>
        <w:t xml:space="preserve"> targets set in the current Cars Regulation enter the fleet. In 2030, the final energy demand for passenger</w:t>
      </w:r>
      <w:r>
        <w:rPr>
          <w:noProof/>
        </w:rPr>
        <w:t xml:space="preserve"> cars is 13% lower than in 2020, and the effect of the current targets continues afterwards, i.e. in 2040 final energy demand is 16% lower than in 2020).</w:t>
      </w:r>
    </w:p>
    <w:p w:rsidR="001A26B0" w:rsidRDefault="00E33A99">
      <w:pPr>
        <w:spacing w:after="120"/>
        <w:rPr>
          <w:noProof/>
        </w:rPr>
      </w:pPr>
      <w:r>
        <w:rPr>
          <w:noProof/>
        </w:rPr>
        <w:t>Under the different policy options regarding the CO</w:t>
      </w:r>
      <w:r>
        <w:rPr>
          <w:noProof/>
          <w:vertAlign w:val="subscript"/>
        </w:rPr>
        <w:t>2</w:t>
      </w:r>
      <w:r>
        <w:rPr>
          <w:noProof/>
        </w:rPr>
        <w:t xml:space="preserve"> target level, the final energy demand for cars re</w:t>
      </w:r>
      <w:r>
        <w:rPr>
          <w:noProof/>
        </w:rPr>
        <w:t>duces further, and the effects of more stringent CO</w:t>
      </w:r>
      <w:r>
        <w:rPr>
          <w:noProof/>
          <w:vertAlign w:val="subscript"/>
        </w:rPr>
        <w:t>2</w:t>
      </w:r>
      <w:r>
        <w:rPr>
          <w:noProof/>
        </w:rPr>
        <w:t xml:space="preserve"> targets become more outspoken from 2030 on as more and more cars which are subject to those targets enter the fleet. </w:t>
      </w:r>
    </w:p>
    <w:p w:rsidR="001A26B0" w:rsidRDefault="00E33A99">
      <w:pPr>
        <w:spacing w:after="120"/>
        <w:rPr>
          <w:noProof/>
        </w:rPr>
      </w:pPr>
      <w:r>
        <w:rPr>
          <w:noProof/>
        </w:rPr>
        <w:t>The EU-wide fleet targets for CO</w:t>
      </w:r>
      <w:r>
        <w:rPr>
          <w:noProof/>
          <w:vertAlign w:val="subscript"/>
        </w:rPr>
        <w:t xml:space="preserve">2 </w:t>
      </w:r>
      <w:r>
        <w:rPr>
          <w:noProof/>
        </w:rPr>
        <w:t>also affect the composition of the car fleet in ter</w:t>
      </w:r>
      <w:r>
        <w:rPr>
          <w:noProof/>
        </w:rPr>
        <w:t>ms of the powertrains used and hence have an impact on the demand per type of energy source in the transport sector.</w:t>
      </w:r>
    </w:p>
    <w:p w:rsidR="001A26B0" w:rsidRDefault="00E33A99">
      <w:pPr>
        <w:spacing w:after="120"/>
        <w:rPr>
          <w:noProof/>
        </w:rPr>
      </w:pPr>
      <w:r>
        <w:rPr>
          <w:noProof/>
        </w:rPr>
        <w:fldChar w:fldCharType="begin"/>
      </w:r>
      <w:r>
        <w:rPr>
          <w:noProof/>
        </w:rPr>
        <w:instrText xml:space="preserve"> REF _Ref493266123 \h </w:instrText>
      </w:r>
      <w:r>
        <w:rPr>
          <w:noProof/>
        </w:rPr>
      </w:r>
      <w:r>
        <w:rPr>
          <w:noProof/>
        </w:rPr>
        <w:fldChar w:fldCharType="separate"/>
      </w:r>
      <w:r>
        <w:rPr>
          <w:noProof/>
        </w:rPr>
        <w:t>Figure 16</w:t>
      </w:r>
      <w:r>
        <w:rPr>
          <w:noProof/>
        </w:rPr>
        <w:fldChar w:fldCharType="end"/>
      </w:r>
      <w:r>
        <w:rPr>
          <w:noProof/>
        </w:rPr>
        <w:t xml:space="preserve"> shows the share of different fuel types</w:t>
      </w:r>
      <w:r>
        <w:rPr>
          <w:noProof/>
        </w:rPr>
        <w:t xml:space="preserve"> used in the entire passenger car fleet (i.e. not only the newly registered cars) in 2025 and 2030. Diesel and gasoline by far remain the main fuels used in 2025 and 2030. Even for the most ambitious target level, there is only a gradual shift away from fo</w:t>
      </w:r>
      <w:r>
        <w:rPr>
          <w:noProof/>
        </w:rPr>
        <w:t>ssil to alternative fuels, in particular electricity and hydrogen. The shift is more outspoken in 2030 and for the options with more stringent CO</w:t>
      </w:r>
      <w:r>
        <w:rPr>
          <w:noProof/>
          <w:vertAlign w:val="subscript"/>
        </w:rPr>
        <w:t>2</w:t>
      </w:r>
      <w:r>
        <w:rPr>
          <w:noProof/>
        </w:rPr>
        <w:t xml:space="preserve"> targets. For the other fuel types (biogasoline, biodiesel, gaseous fuel), there are very limited changes amon</w:t>
      </w:r>
      <w:r>
        <w:rPr>
          <w:noProof/>
        </w:rPr>
        <w:t>gst the different options considered.</w:t>
      </w:r>
    </w:p>
    <w:p w:rsidR="001A26B0" w:rsidRDefault="00E33A99">
      <w:pPr>
        <w:pStyle w:val="Caption"/>
        <w:keepNext/>
        <w:rPr>
          <w:i/>
          <w:noProof/>
          <w:szCs w:val="24"/>
        </w:rPr>
      </w:pPr>
      <w:bookmarkStart w:id="270" w:name="_Ref493586825"/>
      <w:bookmarkStart w:id="271" w:name="_Toc496688561"/>
      <w:r>
        <w:rPr>
          <w:noProof/>
        </w:rPr>
        <w:t xml:space="preserve">Figure </w:t>
      </w:r>
      <w:r>
        <w:rPr>
          <w:noProof/>
        </w:rPr>
        <w:fldChar w:fldCharType="begin"/>
      </w:r>
      <w:r>
        <w:rPr>
          <w:noProof/>
        </w:rPr>
        <w:instrText xml:space="preserve"> SEQ Figure \* ARABIC </w:instrText>
      </w:r>
      <w:r>
        <w:rPr>
          <w:noProof/>
        </w:rPr>
        <w:fldChar w:fldCharType="separate"/>
      </w:r>
      <w:r>
        <w:rPr>
          <w:noProof/>
        </w:rPr>
        <w:t>15</w:t>
      </w:r>
      <w:r>
        <w:rPr>
          <w:noProof/>
        </w:rPr>
        <w:fldChar w:fldCharType="end"/>
      </w:r>
      <w:bookmarkEnd w:id="270"/>
      <w:r>
        <w:rPr>
          <w:noProof/>
        </w:rPr>
        <w:t>: Final energy demand (ktoe) for passenger cars over the period 2020-2040 under different TLC options</w:t>
      </w:r>
      <w:bookmarkEnd w:id="271"/>
    </w:p>
    <w:p w:rsidR="001A26B0" w:rsidRDefault="00E33A99">
      <w:pPr>
        <w:spacing w:after="120"/>
        <w:jc w:val="center"/>
        <w:rPr>
          <w:i/>
          <w:noProof/>
          <w:szCs w:val="24"/>
        </w:rPr>
      </w:pPr>
      <w:r>
        <w:rPr>
          <w:i/>
          <w:noProof/>
          <w:szCs w:val="24"/>
          <w:lang w:eastAsia="en-GB"/>
        </w:rPr>
        <w:drawing>
          <wp:inline distT="0" distB="0" distL="0" distR="0">
            <wp:extent cx="5080000" cy="3315842"/>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 b="-1"/>
                    <a:stretch/>
                  </pic:blipFill>
                  <pic:spPr bwMode="auto">
                    <a:xfrm>
                      <a:off x="0" y="0"/>
                      <a:ext cx="5080000" cy="3315842"/>
                    </a:xfrm>
                    <a:prstGeom prst="rect">
                      <a:avLst/>
                    </a:prstGeom>
                    <a:noFill/>
                  </pic:spPr>
                </pic:pic>
              </a:graphicData>
            </a:graphic>
          </wp:inline>
        </w:drawing>
      </w:r>
    </w:p>
    <w:p w:rsidR="001A26B0" w:rsidRDefault="00E33A99">
      <w:pPr>
        <w:pStyle w:val="Caption"/>
        <w:keepNext/>
        <w:spacing w:before="240"/>
        <w:rPr>
          <w:i/>
          <w:noProof/>
          <w:color w:val="000000" w:themeColor="text1"/>
          <w:szCs w:val="24"/>
        </w:rPr>
      </w:pPr>
      <w:bookmarkStart w:id="272" w:name="_Ref493266123"/>
      <w:bookmarkStart w:id="273" w:name="_Toc496688562"/>
      <w:r>
        <w:rPr>
          <w:noProof/>
        </w:rPr>
        <w:t xml:space="preserve">Figure </w:t>
      </w:r>
      <w:r>
        <w:rPr>
          <w:noProof/>
        </w:rPr>
        <w:fldChar w:fldCharType="begin"/>
      </w:r>
      <w:r>
        <w:rPr>
          <w:noProof/>
        </w:rPr>
        <w:instrText xml:space="preserve"> SEQ Figure \* ARABIC </w:instrText>
      </w:r>
      <w:r>
        <w:rPr>
          <w:noProof/>
        </w:rPr>
        <w:fldChar w:fldCharType="separate"/>
      </w:r>
      <w:r>
        <w:rPr>
          <w:noProof/>
        </w:rPr>
        <w:t>16</w:t>
      </w:r>
      <w:r>
        <w:rPr>
          <w:noProof/>
        </w:rPr>
        <w:fldChar w:fldCharType="end"/>
      </w:r>
      <w:bookmarkEnd w:id="272"/>
      <w:r>
        <w:rPr>
          <w:noProof/>
        </w:rPr>
        <w:t>: S</w:t>
      </w:r>
      <w:r>
        <w:rPr>
          <w:noProof/>
          <w:color w:val="000000" w:themeColor="text1"/>
          <w:szCs w:val="24"/>
        </w:rPr>
        <w:t xml:space="preserve">hare (%) of different fuel types in the final energy demand for cars (entire fleet) </w:t>
      </w:r>
      <w:r>
        <w:rPr>
          <w:noProof/>
        </w:rPr>
        <w:t>under different TLC options</w:t>
      </w:r>
      <w:r>
        <w:rPr>
          <w:noProof/>
          <w:color w:val="000000" w:themeColor="text1"/>
          <w:szCs w:val="24"/>
        </w:rPr>
        <w:t xml:space="preserve"> - 2025 and 2030</w:t>
      </w:r>
      <w:bookmarkEnd w:id="273"/>
      <w:r>
        <w:rPr>
          <w:noProof/>
          <w:color w:val="000000" w:themeColor="text1"/>
          <w:szCs w:val="24"/>
        </w:rPr>
        <w:t xml:space="preserve"> </w:t>
      </w:r>
    </w:p>
    <w:p w:rsidR="001A26B0" w:rsidRDefault="00E33A99">
      <w:pPr>
        <w:spacing w:after="200" w:line="276" w:lineRule="auto"/>
        <w:jc w:val="center"/>
        <w:rPr>
          <w:noProof/>
          <w:color w:val="000000" w:themeColor="text1"/>
          <w:sz w:val="20"/>
        </w:rPr>
      </w:pPr>
      <w:r>
        <w:rPr>
          <w:noProof/>
          <w:color w:val="000000" w:themeColor="text1"/>
          <w:sz w:val="20"/>
          <w:lang w:eastAsia="en-GB"/>
        </w:rPr>
        <w:drawing>
          <wp:inline distT="0" distB="0" distL="0" distR="0">
            <wp:extent cx="5080000" cy="3315842"/>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80000" cy="3315842"/>
                    </a:xfrm>
                    <a:prstGeom prst="rect">
                      <a:avLst/>
                    </a:prstGeom>
                    <a:noFill/>
                  </pic:spPr>
                </pic:pic>
              </a:graphicData>
            </a:graphic>
          </wp:inline>
        </w:drawing>
      </w:r>
    </w:p>
    <w:p w:rsidR="001A26B0" w:rsidRDefault="00E33A99">
      <w:pPr>
        <w:spacing w:after="200" w:line="276" w:lineRule="auto"/>
        <w:jc w:val="center"/>
        <w:rPr>
          <w:noProof/>
          <w:color w:val="000000" w:themeColor="text1"/>
          <w:sz w:val="20"/>
        </w:rPr>
      </w:pPr>
      <w:r>
        <w:rPr>
          <w:noProof/>
          <w:color w:val="000000" w:themeColor="text1"/>
          <w:sz w:val="20"/>
          <w:lang w:eastAsia="en-GB"/>
        </w:rPr>
        <w:drawing>
          <wp:inline distT="0" distB="0" distL="0" distR="0">
            <wp:extent cx="5080000" cy="331895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80000" cy="3318956"/>
                    </a:xfrm>
                    <a:prstGeom prst="rect">
                      <a:avLst/>
                    </a:prstGeom>
                    <a:noFill/>
                  </pic:spPr>
                </pic:pic>
              </a:graphicData>
            </a:graphic>
          </wp:inline>
        </w:drawing>
      </w:r>
    </w:p>
    <w:p w:rsidR="001A26B0" w:rsidRDefault="00E33A99">
      <w:pPr>
        <w:rPr>
          <w:noProof/>
          <w:color w:val="000000" w:themeColor="text1"/>
          <w:sz w:val="20"/>
        </w:rPr>
      </w:pPr>
      <w:r>
        <w:rPr>
          <w:i/>
          <w:noProof/>
          <w:color w:val="000000" w:themeColor="text1"/>
        </w:rPr>
        <w:t>Electricity consumption</w:t>
      </w:r>
    </w:p>
    <w:p w:rsidR="001A26B0" w:rsidRDefault="00E33A99">
      <w:pPr>
        <w:rPr>
          <w:noProof/>
        </w:rPr>
      </w:pPr>
      <w:r>
        <w:rPr>
          <w:noProof/>
        </w:rPr>
        <w:fldChar w:fldCharType="begin"/>
      </w:r>
      <w:r>
        <w:rPr>
          <w:noProof/>
        </w:rPr>
        <w:instrText xml:space="preserve"> REF _Ref493682220 \h  \* MERGEFORMAT </w:instrText>
      </w:r>
      <w:r>
        <w:rPr>
          <w:noProof/>
        </w:rPr>
      </w:r>
      <w:r>
        <w:rPr>
          <w:noProof/>
        </w:rPr>
        <w:fldChar w:fldCharType="separate"/>
      </w:r>
      <w:r>
        <w:rPr>
          <w:noProof/>
        </w:rPr>
        <w:t>Table 9</w:t>
      </w:r>
      <w:r>
        <w:rPr>
          <w:noProof/>
        </w:rPr>
        <w:fldChar w:fldCharType="end"/>
      </w:r>
      <w:r>
        <w:rPr>
          <w:noProof/>
        </w:rPr>
        <w:t xml:space="preserve"> shows the share of the total EU-28 electricity consumption used by cars and vans (together) in 2025 and 2030 for different CO</w:t>
      </w:r>
      <w:r>
        <w:rPr>
          <w:noProof/>
          <w:vertAlign w:val="subscript"/>
        </w:rPr>
        <w:t>2</w:t>
      </w:r>
      <w:r>
        <w:rPr>
          <w:noProof/>
        </w:rPr>
        <w:t xml:space="preserve"> target level options. It illustrates that, even with the strictest targets considered, the share of electricity us</w:t>
      </w:r>
      <w:r>
        <w:rPr>
          <w:noProof/>
        </w:rPr>
        <w:t xml:space="preserve">ed by light-duty vehicles up to 2030 is not more than a few percent. </w:t>
      </w:r>
    </w:p>
    <w:p w:rsidR="001A26B0" w:rsidRDefault="00E33A99">
      <w:pPr>
        <w:keepNext/>
        <w:spacing w:after="120"/>
        <w:rPr>
          <w:noProof/>
        </w:rPr>
      </w:pPr>
      <w:bookmarkStart w:id="274" w:name="_Ref493682220"/>
      <w:r>
        <w:rPr>
          <w:b/>
          <w:noProof/>
        </w:rPr>
        <w:t xml:space="preserve">Table </w:t>
      </w:r>
      <w:r>
        <w:rPr>
          <w:b/>
          <w:noProof/>
        </w:rPr>
        <w:fldChar w:fldCharType="begin"/>
      </w:r>
      <w:r>
        <w:rPr>
          <w:b/>
          <w:noProof/>
        </w:rPr>
        <w:instrText xml:space="preserve"> SEQ Table \* ARABIC </w:instrText>
      </w:r>
      <w:r>
        <w:rPr>
          <w:b/>
          <w:noProof/>
        </w:rPr>
        <w:fldChar w:fldCharType="separate"/>
      </w:r>
      <w:r>
        <w:rPr>
          <w:b/>
          <w:noProof/>
        </w:rPr>
        <w:t>9</w:t>
      </w:r>
      <w:r>
        <w:rPr>
          <w:b/>
          <w:noProof/>
        </w:rPr>
        <w:fldChar w:fldCharType="end"/>
      </w:r>
      <w:bookmarkEnd w:id="274"/>
      <w:r>
        <w:rPr>
          <w:b/>
          <w:noProof/>
        </w:rPr>
        <w:t>: Electricity consumption by cars and vans with respect to total electricity consumption (EU-28) under different options for the EU-wide CO</w:t>
      </w:r>
      <w:r>
        <w:rPr>
          <w:b/>
          <w:noProof/>
          <w:vertAlign w:val="subscript"/>
        </w:rPr>
        <w:t>2</w:t>
      </w:r>
      <w:r>
        <w:rPr>
          <w:b/>
          <w:noProof/>
        </w:rPr>
        <w:t xml:space="preserve"> target levels</w:t>
      </w:r>
    </w:p>
    <w:tbl>
      <w:tblPr>
        <w:tblW w:w="8742" w:type="dxa"/>
        <w:tblInd w:w="-21" w:type="dxa"/>
        <w:tblLayout w:type="fixed"/>
        <w:tblCellMar>
          <w:left w:w="0" w:type="dxa"/>
          <w:right w:w="0" w:type="dxa"/>
        </w:tblCellMar>
        <w:tblLook w:val="04A0" w:firstRow="1" w:lastRow="0" w:firstColumn="1" w:lastColumn="0" w:noHBand="0" w:noVBand="1"/>
      </w:tblPr>
      <w:tblGrid>
        <w:gridCol w:w="2310"/>
        <w:gridCol w:w="2310"/>
        <w:gridCol w:w="2061"/>
        <w:gridCol w:w="2061"/>
      </w:tblGrid>
      <w:tr w:rsidR="001A26B0">
        <w:trPr>
          <w:trHeight w:val="532"/>
        </w:trPr>
        <w:tc>
          <w:tcPr>
            <w:tcW w:w="4620" w:type="dxa"/>
            <w:gridSpan w:val="2"/>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1A26B0" w:rsidRDefault="00E33A99">
            <w:pPr>
              <w:spacing w:after="120"/>
              <w:jc w:val="center"/>
              <w:rPr>
                <w:rFonts w:eastAsiaTheme="minorHAnsi"/>
                <w:noProof/>
                <w:color w:val="000000"/>
                <w:szCs w:val="24"/>
                <w:lang w:eastAsia="en-GB"/>
              </w:rPr>
            </w:pPr>
            <w:r>
              <w:rPr>
                <w:rFonts w:eastAsiaTheme="minorHAnsi"/>
                <w:noProof/>
                <w:color w:val="000000"/>
                <w:szCs w:val="24"/>
                <w:lang w:eastAsia="en-GB"/>
              </w:rPr>
              <w:t>Options for the EU-wide CO</w:t>
            </w:r>
            <w:r>
              <w:rPr>
                <w:rFonts w:eastAsiaTheme="minorHAnsi"/>
                <w:noProof/>
                <w:color w:val="000000"/>
                <w:szCs w:val="24"/>
                <w:vertAlign w:val="subscript"/>
                <w:lang w:eastAsia="en-GB"/>
              </w:rPr>
              <w:t>2</w:t>
            </w:r>
            <w:r>
              <w:rPr>
                <w:rFonts w:eastAsiaTheme="minorHAnsi"/>
                <w:noProof/>
                <w:color w:val="000000"/>
                <w:szCs w:val="24"/>
                <w:lang w:eastAsia="en-GB"/>
              </w:rPr>
              <w:t xml:space="preserve"> target level</w:t>
            </w:r>
          </w:p>
        </w:tc>
        <w:tc>
          <w:tcPr>
            <w:tcW w:w="4122" w:type="dxa"/>
            <w:gridSpan w:val="2"/>
            <w:tcBorders>
              <w:top w:val="single" w:sz="8" w:space="0" w:color="auto"/>
              <w:left w:val="nil"/>
              <w:bottom w:val="single" w:sz="8" w:space="0" w:color="auto"/>
              <w:right w:val="single" w:sz="8" w:space="0" w:color="000000"/>
            </w:tcBorders>
            <w:tcMar>
              <w:top w:w="0" w:type="dxa"/>
              <w:left w:w="108" w:type="dxa"/>
              <w:bottom w:w="0" w:type="dxa"/>
              <w:right w:w="108" w:type="dxa"/>
            </w:tcMar>
            <w:vAlign w:val="bottom"/>
            <w:hideMark/>
          </w:tcPr>
          <w:p w:rsidR="001A26B0" w:rsidRDefault="00E33A99">
            <w:pPr>
              <w:spacing w:after="120"/>
              <w:jc w:val="center"/>
              <w:rPr>
                <w:rFonts w:eastAsiaTheme="minorHAnsi"/>
                <w:noProof/>
                <w:color w:val="000000"/>
                <w:szCs w:val="24"/>
                <w:lang w:eastAsia="en-GB"/>
              </w:rPr>
            </w:pPr>
            <w:r>
              <w:rPr>
                <w:rFonts w:eastAsiaTheme="minorHAnsi"/>
                <w:noProof/>
                <w:color w:val="000000"/>
                <w:szCs w:val="24"/>
                <w:lang w:eastAsia="en-GB"/>
              </w:rPr>
              <w:t>Share of cars and vans in total electricity consumption</w:t>
            </w:r>
          </w:p>
        </w:tc>
      </w:tr>
      <w:tr w:rsidR="001A26B0">
        <w:trPr>
          <w:trHeight w:val="288"/>
        </w:trPr>
        <w:tc>
          <w:tcPr>
            <w:tcW w:w="23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1A26B0" w:rsidRDefault="00E33A99">
            <w:pPr>
              <w:spacing w:after="120"/>
              <w:jc w:val="center"/>
              <w:rPr>
                <w:rFonts w:eastAsiaTheme="minorHAnsi"/>
                <w:noProof/>
                <w:color w:val="000000"/>
                <w:szCs w:val="24"/>
                <w:lang w:eastAsia="en-GB"/>
              </w:rPr>
            </w:pPr>
            <w:r>
              <w:rPr>
                <w:noProof/>
                <w:color w:val="000000"/>
                <w:szCs w:val="24"/>
                <w:lang w:eastAsia="en-GB"/>
              </w:rPr>
              <w:t>cars</w:t>
            </w:r>
          </w:p>
        </w:tc>
        <w:tc>
          <w:tcPr>
            <w:tcW w:w="23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A26B0" w:rsidRDefault="00E33A99">
            <w:pPr>
              <w:spacing w:after="120"/>
              <w:jc w:val="center"/>
              <w:rPr>
                <w:rFonts w:eastAsiaTheme="minorHAnsi"/>
                <w:noProof/>
                <w:color w:val="000000"/>
                <w:szCs w:val="24"/>
                <w:lang w:eastAsia="en-GB"/>
              </w:rPr>
            </w:pPr>
            <w:r>
              <w:rPr>
                <w:noProof/>
                <w:color w:val="000000"/>
                <w:szCs w:val="24"/>
                <w:lang w:eastAsia="en-GB"/>
              </w:rPr>
              <w:t>vans</w:t>
            </w:r>
          </w:p>
        </w:tc>
        <w:tc>
          <w:tcPr>
            <w:tcW w:w="20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A26B0" w:rsidRDefault="00E33A99">
            <w:pPr>
              <w:spacing w:after="120"/>
              <w:jc w:val="center"/>
              <w:rPr>
                <w:rFonts w:eastAsiaTheme="minorHAnsi"/>
                <w:b/>
                <w:noProof/>
                <w:color w:val="000000"/>
                <w:szCs w:val="24"/>
                <w:lang w:eastAsia="en-GB"/>
              </w:rPr>
            </w:pPr>
            <w:r>
              <w:rPr>
                <w:b/>
                <w:noProof/>
                <w:color w:val="000000"/>
                <w:szCs w:val="24"/>
                <w:lang w:eastAsia="en-GB"/>
              </w:rPr>
              <w:t>2025</w:t>
            </w:r>
          </w:p>
        </w:tc>
        <w:tc>
          <w:tcPr>
            <w:tcW w:w="20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A26B0" w:rsidRDefault="00E33A99">
            <w:pPr>
              <w:spacing w:after="120"/>
              <w:jc w:val="center"/>
              <w:rPr>
                <w:rFonts w:eastAsiaTheme="minorHAnsi"/>
                <w:b/>
                <w:noProof/>
                <w:color w:val="000000"/>
                <w:szCs w:val="24"/>
                <w:lang w:eastAsia="en-GB"/>
              </w:rPr>
            </w:pPr>
            <w:r>
              <w:rPr>
                <w:b/>
                <w:noProof/>
                <w:color w:val="000000"/>
                <w:szCs w:val="24"/>
                <w:lang w:eastAsia="en-GB"/>
              </w:rPr>
              <w:t>2030</w:t>
            </w:r>
          </w:p>
        </w:tc>
      </w:tr>
      <w:tr w:rsidR="001A26B0">
        <w:trPr>
          <w:trHeight w:val="288"/>
        </w:trPr>
        <w:tc>
          <w:tcPr>
            <w:tcW w:w="23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1A26B0" w:rsidRDefault="00E33A99">
            <w:pPr>
              <w:spacing w:after="120"/>
              <w:jc w:val="center"/>
              <w:rPr>
                <w:rFonts w:eastAsiaTheme="minorHAnsi"/>
                <w:noProof/>
                <w:color w:val="000000"/>
                <w:szCs w:val="24"/>
                <w:lang w:eastAsia="en-GB"/>
              </w:rPr>
            </w:pPr>
            <w:r>
              <w:rPr>
                <w:noProof/>
                <w:color w:val="000000"/>
                <w:szCs w:val="24"/>
                <w:lang w:eastAsia="en-GB"/>
              </w:rPr>
              <w:t>TLC20</w:t>
            </w:r>
          </w:p>
        </w:tc>
        <w:tc>
          <w:tcPr>
            <w:tcW w:w="23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A26B0" w:rsidRDefault="00E33A99">
            <w:pPr>
              <w:spacing w:after="120"/>
              <w:jc w:val="center"/>
              <w:rPr>
                <w:rFonts w:eastAsiaTheme="minorHAnsi"/>
                <w:noProof/>
                <w:color w:val="000000"/>
                <w:szCs w:val="24"/>
                <w:lang w:eastAsia="en-GB"/>
              </w:rPr>
            </w:pPr>
            <w:r>
              <w:rPr>
                <w:noProof/>
                <w:color w:val="000000"/>
                <w:szCs w:val="24"/>
                <w:lang w:eastAsia="en-GB"/>
              </w:rPr>
              <w:t>TLV20</w:t>
            </w:r>
          </w:p>
        </w:tc>
        <w:tc>
          <w:tcPr>
            <w:tcW w:w="20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A26B0" w:rsidRDefault="00E33A99">
            <w:pPr>
              <w:spacing w:after="120"/>
              <w:jc w:val="center"/>
              <w:rPr>
                <w:rFonts w:eastAsiaTheme="minorHAnsi"/>
                <w:noProof/>
                <w:color w:val="000000"/>
                <w:szCs w:val="24"/>
                <w:lang w:eastAsia="en-GB"/>
              </w:rPr>
            </w:pPr>
            <w:r>
              <w:rPr>
                <w:noProof/>
                <w:color w:val="000000"/>
                <w:szCs w:val="24"/>
                <w:lang w:eastAsia="en-GB"/>
              </w:rPr>
              <w:t>0.5%</w:t>
            </w:r>
          </w:p>
        </w:tc>
        <w:tc>
          <w:tcPr>
            <w:tcW w:w="20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A26B0" w:rsidRDefault="00E33A99">
            <w:pPr>
              <w:spacing w:after="120"/>
              <w:jc w:val="center"/>
              <w:rPr>
                <w:rFonts w:eastAsiaTheme="minorHAnsi"/>
                <w:noProof/>
                <w:color w:val="000000"/>
                <w:szCs w:val="24"/>
                <w:lang w:eastAsia="en-GB"/>
              </w:rPr>
            </w:pPr>
            <w:r>
              <w:rPr>
                <w:noProof/>
                <w:color w:val="000000"/>
                <w:szCs w:val="24"/>
                <w:lang w:eastAsia="en-GB"/>
              </w:rPr>
              <w:t>1.2%</w:t>
            </w:r>
          </w:p>
        </w:tc>
      </w:tr>
      <w:tr w:rsidR="001A26B0">
        <w:trPr>
          <w:trHeight w:val="288"/>
        </w:trPr>
        <w:tc>
          <w:tcPr>
            <w:tcW w:w="23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1A26B0" w:rsidRDefault="00E33A99">
            <w:pPr>
              <w:spacing w:after="120"/>
              <w:jc w:val="center"/>
              <w:rPr>
                <w:rFonts w:eastAsiaTheme="minorHAnsi"/>
                <w:noProof/>
                <w:color w:val="000000"/>
                <w:szCs w:val="24"/>
                <w:lang w:eastAsia="en-GB"/>
              </w:rPr>
            </w:pPr>
            <w:r>
              <w:rPr>
                <w:noProof/>
                <w:color w:val="000000"/>
                <w:szCs w:val="24"/>
                <w:lang w:eastAsia="en-GB"/>
              </w:rPr>
              <w:t>TLC30</w:t>
            </w:r>
          </w:p>
        </w:tc>
        <w:tc>
          <w:tcPr>
            <w:tcW w:w="23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A26B0" w:rsidRDefault="00E33A99">
            <w:pPr>
              <w:spacing w:after="120"/>
              <w:jc w:val="center"/>
              <w:rPr>
                <w:rFonts w:eastAsiaTheme="minorHAnsi"/>
                <w:noProof/>
                <w:color w:val="000000"/>
                <w:szCs w:val="24"/>
                <w:lang w:eastAsia="en-GB"/>
              </w:rPr>
            </w:pPr>
            <w:r>
              <w:rPr>
                <w:noProof/>
                <w:color w:val="000000"/>
                <w:szCs w:val="24"/>
                <w:lang w:eastAsia="en-GB"/>
              </w:rPr>
              <w:t>TLV25</w:t>
            </w:r>
          </w:p>
        </w:tc>
        <w:tc>
          <w:tcPr>
            <w:tcW w:w="20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A26B0" w:rsidRDefault="00E33A99">
            <w:pPr>
              <w:spacing w:after="120"/>
              <w:jc w:val="center"/>
              <w:rPr>
                <w:rFonts w:eastAsiaTheme="minorHAnsi"/>
                <w:noProof/>
                <w:color w:val="000000"/>
                <w:szCs w:val="24"/>
                <w:lang w:eastAsia="en-GB"/>
              </w:rPr>
            </w:pPr>
            <w:r>
              <w:rPr>
                <w:noProof/>
                <w:color w:val="000000"/>
                <w:szCs w:val="24"/>
                <w:lang w:eastAsia="en-GB"/>
              </w:rPr>
              <w:t>0.5%</w:t>
            </w:r>
          </w:p>
        </w:tc>
        <w:tc>
          <w:tcPr>
            <w:tcW w:w="20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A26B0" w:rsidRDefault="00E33A99">
            <w:pPr>
              <w:spacing w:after="120"/>
              <w:jc w:val="center"/>
              <w:rPr>
                <w:rFonts w:eastAsiaTheme="minorHAnsi"/>
                <w:noProof/>
                <w:color w:val="000000"/>
                <w:szCs w:val="24"/>
                <w:lang w:eastAsia="en-GB"/>
              </w:rPr>
            </w:pPr>
            <w:r>
              <w:rPr>
                <w:noProof/>
                <w:color w:val="000000"/>
                <w:szCs w:val="24"/>
                <w:lang w:eastAsia="en-GB"/>
              </w:rPr>
              <w:t>1.3%</w:t>
            </w:r>
          </w:p>
        </w:tc>
      </w:tr>
      <w:tr w:rsidR="001A26B0">
        <w:trPr>
          <w:trHeight w:val="288"/>
        </w:trPr>
        <w:tc>
          <w:tcPr>
            <w:tcW w:w="23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1A26B0" w:rsidRDefault="00E33A99">
            <w:pPr>
              <w:spacing w:after="120"/>
              <w:jc w:val="center"/>
              <w:rPr>
                <w:rFonts w:eastAsiaTheme="minorHAnsi"/>
                <w:noProof/>
                <w:color w:val="000000"/>
                <w:szCs w:val="24"/>
                <w:lang w:eastAsia="en-GB"/>
              </w:rPr>
            </w:pPr>
            <w:r>
              <w:rPr>
                <w:noProof/>
                <w:color w:val="000000"/>
                <w:szCs w:val="24"/>
                <w:lang w:eastAsia="en-GB"/>
              </w:rPr>
              <w:t>TLC40</w:t>
            </w:r>
          </w:p>
        </w:tc>
        <w:tc>
          <w:tcPr>
            <w:tcW w:w="23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A26B0" w:rsidRDefault="00E33A99">
            <w:pPr>
              <w:spacing w:after="120"/>
              <w:jc w:val="center"/>
              <w:rPr>
                <w:rFonts w:eastAsiaTheme="minorHAnsi"/>
                <w:noProof/>
                <w:color w:val="000000"/>
                <w:szCs w:val="24"/>
                <w:lang w:eastAsia="en-GB"/>
              </w:rPr>
            </w:pPr>
            <w:r>
              <w:rPr>
                <w:noProof/>
                <w:color w:val="000000"/>
                <w:szCs w:val="24"/>
                <w:lang w:eastAsia="en-GB"/>
              </w:rPr>
              <w:t>TLV40</w:t>
            </w:r>
          </w:p>
        </w:tc>
        <w:tc>
          <w:tcPr>
            <w:tcW w:w="20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A26B0" w:rsidRDefault="00E33A99">
            <w:pPr>
              <w:spacing w:after="120"/>
              <w:jc w:val="center"/>
              <w:rPr>
                <w:rFonts w:eastAsiaTheme="minorHAnsi"/>
                <w:noProof/>
                <w:color w:val="000000"/>
                <w:szCs w:val="24"/>
                <w:lang w:eastAsia="en-GB"/>
              </w:rPr>
            </w:pPr>
            <w:r>
              <w:rPr>
                <w:noProof/>
                <w:color w:val="000000"/>
                <w:szCs w:val="24"/>
                <w:lang w:eastAsia="en-GB"/>
              </w:rPr>
              <w:t>0.5%</w:t>
            </w:r>
          </w:p>
        </w:tc>
        <w:tc>
          <w:tcPr>
            <w:tcW w:w="20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A26B0" w:rsidRDefault="00E33A99">
            <w:pPr>
              <w:spacing w:after="120"/>
              <w:jc w:val="center"/>
              <w:rPr>
                <w:rFonts w:eastAsiaTheme="minorHAnsi"/>
                <w:noProof/>
                <w:color w:val="000000"/>
                <w:szCs w:val="24"/>
                <w:lang w:eastAsia="en-GB"/>
              </w:rPr>
            </w:pPr>
            <w:r>
              <w:rPr>
                <w:noProof/>
                <w:color w:val="000000"/>
                <w:szCs w:val="24"/>
                <w:lang w:eastAsia="en-GB"/>
              </w:rPr>
              <w:t>1.7%</w:t>
            </w:r>
          </w:p>
        </w:tc>
      </w:tr>
      <w:tr w:rsidR="001A26B0">
        <w:trPr>
          <w:trHeight w:val="288"/>
        </w:trPr>
        <w:tc>
          <w:tcPr>
            <w:tcW w:w="23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1A26B0" w:rsidRDefault="00E33A99">
            <w:pPr>
              <w:spacing w:after="120"/>
              <w:jc w:val="center"/>
              <w:rPr>
                <w:rFonts w:eastAsiaTheme="minorHAnsi"/>
                <w:noProof/>
                <w:color w:val="000000"/>
                <w:szCs w:val="24"/>
                <w:lang w:eastAsia="en-GB"/>
              </w:rPr>
            </w:pPr>
            <w:r>
              <w:rPr>
                <w:noProof/>
                <w:color w:val="000000"/>
                <w:szCs w:val="24"/>
                <w:lang w:eastAsia="en-GB"/>
              </w:rPr>
              <w:t>TLC_EP50</w:t>
            </w:r>
          </w:p>
        </w:tc>
        <w:tc>
          <w:tcPr>
            <w:tcW w:w="23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A26B0" w:rsidRDefault="00E33A99">
            <w:pPr>
              <w:spacing w:after="120"/>
              <w:jc w:val="center"/>
              <w:rPr>
                <w:rFonts w:eastAsiaTheme="minorHAnsi"/>
                <w:noProof/>
                <w:color w:val="000000"/>
                <w:szCs w:val="24"/>
                <w:lang w:eastAsia="en-GB"/>
              </w:rPr>
            </w:pPr>
            <w:r>
              <w:rPr>
                <w:noProof/>
                <w:color w:val="000000"/>
                <w:szCs w:val="24"/>
                <w:lang w:eastAsia="en-GB"/>
              </w:rPr>
              <w:t>TLV_EP50</w:t>
            </w:r>
          </w:p>
        </w:tc>
        <w:tc>
          <w:tcPr>
            <w:tcW w:w="20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A26B0" w:rsidRDefault="00E33A99">
            <w:pPr>
              <w:spacing w:after="120"/>
              <w:jc w:val="center"/>
              <w:rPr>
                <w:rFonts w:eastAsiaTheme="minorHAnsi"/>
                <w:noProof/>
                <w:color w:val="000000"/>
                <w:szCs w:val="24"/>
                <w:lang w:eastAsia="en-GB"/>
              </w:rPr>
            </w:pPr>
            <w:r>
              <w:rPr>
                <w:noProof/>
                <w:color w:val="000000"/>
                <w:szCs w:val="24"/>
                <w:lang w:eastAsia="en-GB"/>
              </w:rPr>
              <w:t>0.6%</w:t>
            </w:r>
          </w:p>
        </w:tc>
        <w:tc>
          <w:tcPr>
            <w:tcW w:w="20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A26B0" w:rsidRDefault="00E33A99">
            <w:pPr>
              <w:spacing w:after="120"/>
              <w:jc w:val="center"/>
              <w:rPr>
                <w:rFonts w:eastAsiaTheme="minorHAnsi"/>
                <w:noProof/>
                <w:color w:val="000000"/>
                <w:szCs w:val="24"/>
                <w:lang w:eastAsia="en-GB"/>
              </w:rPr>
            </w:pPr>
            <w:r>
              <w:rPr>
                <w:noProof/>
                <w:color w:val="000000"/>
                <w:szCs w:val="24"/>
                <w:lang w:eastAsia="en-GB"/>
              </w:rPr>
              <w:t>2.2%</w:t>
            </w:r>
          </w:p>
        </w:tc>
      </w:tr>
    </w:tbl>
    <w:p w:rsidR="001A26B0" w:rsidRDefault="00E33A99">
      <w:pPr>
        <w:spacing w:before="240"/>
        <w:rPr>
          <w:i/>
          <w:noProof/>
          <w:color w:val="000000" w:themeColor="text1"/>
        </w:rPr>
      </w:pPr>
      <w:r>
        <w:rPr>
          <w:i/>
          <w:noProof/>
          <w:color w:val="000000" w:themeColor="text1"/>
        </w:rPr>
        <w:t>Diesel and gasoline demand</w:t>
      </w:r>
    </w:p>
    <w:p w:rsidR="001A26B0" w:rsidRDefault="00E33A99">
      <w:pPr>
        <w:rPr>
          <w:noProof/>
        </w:rPr>
      </w:pPr>
      <w:r>
        <w:rPr>
          <w:noProof/>
        </w:rPr>
        <w:fldChar w:fldCharType="begin"/>
      </w:r>
      <w:r>
        <w:rPr>
          <w:noProof/>
        </w:rPr>
        <w:instrText xml:space="preserve"> REF _Ref493872737 \h  \* MERGEFORMAT </w:instrText>
      </w:r>
      <w:r>
        <w:rPr>
          <w:noProof/>
        </w:rPr>
      </w:r>
      <w:r>
        <w:rPr>
          <w:noProof/>
        </w:rPr>
        <w:fldChar w:fldCharType="separate"/>
      </w:r>
      <w:r>
        <w:rPr>
          <w:noProof/>
        </w:rPr>
        <w:t>Table 10</w:t>
      </w:r>
      <w:r>
        <w:rPr>
          <w:noProof/>
        </w:rPr>
        <w:fldChar w:fldCharType="end"/>
      </w:r>
      <w:r>
        <w:rPr>
          <w:noProof/>
        </w:rPr>
        <w:t xml:space="preserve"> shows the cumulative savings of diesel and gasoline in the period 2020 to 2040 with respect to the baseline for different scenarios. Consider</w:t>
      </w:r>
      <w:r>
        <w:rPr>
          <w:noProof/>
        </w:rPr>
        <w:t xml:space="preserve">ing the combination of options TLC30 and TLV40, the cumulative savings between 2020 and 2040 are equivalent to around 150 billion euros at current  oil prices </w:t>
      </w:r>
    </w:p>
    <w:p w:rsidR="001A26B0" w:rsidRDefault="00E33A99">
      <w:pPr>
        <w:keepNext/>
        <w:rPr>
          <w:b/>
          <w:noProof/>
        </w:rPr>
      </w:pPr>
      <w:bookmarkStart w:id="275" w:name="_Ref493872737"/>
      <w:r>
        <w:rPr>
          <w:b/>
          <w:noProof/>
        </w:rPr>
        <w:t xml:space="preserve">Table </w:t>
      </w:r>
      <w:r>
        <w:rPr>
          <w:b/>
          <w:noProof/>
        </w:rPr>
        <w:fldChar w:fldCharType="begin"/>
      </w:r>
      <w:r>
        <w:rPr>
          <w:b/>
          <w:noProof/>
        </w:rPr>
        <w:instrText xml:space="preserve"> SEQ Table \* ARABIC </w:instrText>
      </w:r>
      <w:r>
        <w:rPr>
          <w:b/>
          <w:noProof/>
        </w:rPr>
        <w:fldChar w:fldCharType="separate"/>
      </w:r>
      <w:r>
        <w:rPr>
          <w:b/>
          <w:noProof/>
        </w:rPr>
        <w:t>10</w:t>
      </w:r>
      <w:r>
        <w:rPr>
          <w:b/>
          <w:noProof/>
        </w:rPr>
        <w:fldChar w:fldCharType="end"/>
      </w:r>
      <w:bookmarkEnd w:id="275"/>
      <w:r>
        <w:rPr>
          <w:b/>
          <w:noProof/>
        </w:rPr>
        <w:t xml:space="preserve">: Cumulative diesel and gasoline savings (Mboe) over the period </w:t>
      </w:r>
      <w:r>
        <w:rPr>
          <w:b/>
          <w:noProof/>
        </w:rPr>
        <w:t>2020 to 2040 under different policy options with respect to the baseline</w:t>
      </w:r>
    </w:p>
    <w:tbl>
      <w:tblPr>
        <w:tblStyle w:val="TableGrid"/>
        <w:tblW w:w="5000" w:type="pct"/>
        <w:tblLook w:val="04A0" w:firstRow="1" w:lastRow="0" w:firstColumn="1" w:lastColumn="0" w:noHBand="0" w:noVBand="1"/>
      </w:tblPr>
      <w:tblGrid>
        <w:gridCol w:w="2129"/>
        <w:gridCol w:w="2234"/>
        <w:gridCol w:w="2234"/>
        <w:gridCol w:w="2232"/>
      </w:tblGrid>
      <w:tr w:rsidR="001A26B0">
        <w:tc>
          <w:tcPr>
            <w:tcW w:w="1206" w:type="pct"/>
            <w:vAlign w:val="bottom"/>
          </w:tcPr>
          <w:p w:rsidR="001A26B0" w:rsidRDefault="00E33A99">
            <w:pPr>
              <w:keepNext/>
              <w:spacing w:after="120"/>
              <w:rPr>
                <w:b/>
                <w:bCs/>
                <w:noProof/>
              </w:rPr>
            </w:pPr>
            <w:r>
              <w:rPr>
                <w:b/>
                <w:bCs/>
                <w:noProof/>
              </w:rPr>
              <w:t>cars</w:t>
            </w:r>
          </w:p>
        </w:tc>
        <w:tc>
          <w:tcPr>
            <w:tcW w:w="1265" w:type="pct"/>
            <w:vAlign w:val="bottom"/>
          </w:tcPr>
          <w:p w:rsidR="001A26B0" w:rsidRDefault="00E33A99">
            <w:pPr>
              <w:keepNext/>
              <w:spacing w:after="120"/>
              <w:jc w:val="center"/>
              <w:rPr>
                <w:noProof/>
              </w:rPr>
            </w:pPr>
            <w:r>
              <w:rPr>
                <w:b/>
                <w:noProof/>
              </w:rPr>
              <w:t>(Mboe)</w:t>
            </w:r>
          </w:p>
        </w:tc>
        <w:tc>
          <w:tcPr>
            <w:tcW w:w="1265" w:type="pct"/>
            <w:vAlign w:val="bottom"/>
          </w:tcPr>
          <w:p w:rsidR="001A26B0" w:rsidRDefault="00E33A99">
            <w:pPr>
              <w:keepNext/>
              <w:spacing w:after="120"/>
              <w:jc w:val="left"/>
              <w:rPr>
                <w:noProof/>
              </w:rPr>
            </w:pPr>
            <w:r>
              <w:rPr>
                <w:noProof/>
              </w:rPr>
              <w:t> </w:t>
            </w:r>
            <w:r>
              <w:rPr>
                <w:b/>
                <w:bCs/>
                <w:noProof/>
              </w:rPr>
              <w:t>vans</w:t>
            </w:r>
          </w:p>
        </w:tc>
        <w:tc>
          <w:tcPr>
            <w:tcW w:w="1264" w:type="pct"/>
            <w:vAlign w:val="bottom"/>
          </w:tcPr>
          <w:p w:rsidR="001A26B0" w:rsidRDefault="00E33A99">
            <w:pPr>
              <w:keepNext/>
              <w:spacing w:after="120"/>
              <w:jc w:val="center"/>
              <w:rPr>
                <w:noProof/>
              </w:rPr>
            </w:pPr>
            <w:r>
              <w:rPr>
                <w:b/>
                <w:noProof/>
              </w:rPr>
              <w:t>(Mboe)</w:t>
            </w:r>
          </w:p>
        </w:tc>
      </w:tr>
      <w:tr w:rsidR="001A26B0">
        <w:tc>
          <w:tcPr>
            <w:tcW w:w="1206" w:type="pct"/>
            <w:vAlign w:val="bottom"/>
          </w:tcPr>
          <w:p w:rsidR="001A26B0" w:rsidRDefault="00E33A99">
            <w:pPr>
              <w:keepNext/>
              <w:spacing w:after="120"/>
              <w:rPr>
                <w:noProof/>
              </w:rPr>
            </w:pPr>
            <w:r>
              <w:rPr>
                <w:noProof/>
              </w:rPr>
              <w:t>TLC20</w:t>
            </w:r>
          </w:p>
        </w:tc>
        <w:tc>
          <w:tcPr>
            <w:tcW w:w="1265" w:type="pct"/>
            <w:vAlign w:val="bottom"/>
          </w:tcPr>
          <w:p w:rsidR="001A26B0" w:rsidRDefault="00E33A99">
            <w:pPr>
              <w:keepNext/>
              <w:spacing w:after="120"/>
              <w:jc w:val="center"/>
              <w:rPr>
                <w:noProof/>
              </w:rPr>
            </w:pPr>
            <w:r>
              <w:rPr>
                <w:noProof/>
              </w:rPr>
              <w:t>1,881</w:t>
            </w:r>
          </w:p>
        </w:tc>
        <w:tc>
          <w:tcPr>
            <w:tcW w:w="1265" w:type="pct"/>
            <w:vAlign w:val="bottom"/>
          </w:tcPr>
          <w:p w:rsidR="001A26B0" w:rsidRDefault="00E33A99">
            <w:pPr>
              <w:keepNext/>
              <w:spacing w:after="120"/>
              <w:jc w:val="left"/>
              <w:rPr>
                <w:noProof/>
              </w:rPr>
            </w:pPr>
            <w:r>
              <w:rPr>
                <w:noProof/>
              </w:rPr>
              <w:t>TLV20</w:t>
            </w:r>
          </w:p>
        </w:tc>
        <w:tc>
          <w:tcPr>
            <w:tcW w:w="1264" w:type="pct"/>
            <w:vAlign w:val="bottom"/>
          </w:tcPr>
          <w:p w:rsidR="001A26B0" w:rsidRDefault="00E33A99">
            <w:pPr>
              <w:keepNext/>
              <w:spacing w:after="120"/>
              <w:jc w:val="center"/>
              <w:rPr>
                <w:noProof/>
              </w:rPr>
            </w:pPr>
            <w:r>
              <w:rPr>
                <w:noProof/>
              </w:rPr>
              <w:t>485</w:t>
            </w:r>
          </w:p>
        </w:tc>
      </w:tr>
      <w:tr w:rsidR="001A26B0">
        <w:tc>
          <w:tcPr>
            <w:tcW w:w="1206" w:type="pct"/>
            <w:vAlign w:val="bottom"/>
          </w:tcPr>
          <w:p w:rsidR="001A26B0" w:rsidRDefault="00E33A99">
            <w:pPr>
              <w:spacing w:after="120"/>
              <w:rPr>
                <w:noProof/>
              </w:rPr>
            </w:pPr>
            <w:r>
              <w:rPr>
                <w:noProof/>
              </w:rPr>
              <w:t>TLC30</w:t>
            </w:r>
          </w:p>
        </w:tc>
        <w:tc>
          <w:tcPr>
            <w:tcW w:w="1265" w:type="pct"/>
            <w:vAlign w:val="bottom"/>
          </w:tcPr>
          <w:p w:rsidR="001A26B0" w:rsidRDefault="00E33A99">
            <w:pPr>
              <w:spacing w:after="120"/>
              <w:jc w:val="center"/>
              <w:rPr>
                <w:noProof/>
              </w:rPr>
            </w:pPr>
            <w:r>
              <w:rPr>
                <w:noProof/>
              </w:rPr>
              <w:t>2,136</w:t>
            </w:r>
          </w:p>
        </w:tc>
        <w:tc>
          <w:tcPr>
            <w:tcW w:w="1265" w:type="pct"/>
            <w:vAlign w:val="bottom"/>
          </w:tcPr>
          <w:p w:rsidR="001A26B0" w:rsidRDefault="00E33A99">
            <w:pPr>
              <w:spacing w:after="120"/>
              <w:jc w:val="left"/>
              <w:rPr>
                <w:noProof/>
              </w:rPr>
            </w:pPr>
            <w:r>
              <w:rPr>
                <w:noProof/>
              </w:rPr>
              <w:t>TLV25</w:t>
            </w:r>
          </w:p>
        </w:tc>
        <w:tc>
          <w:tcPr>
            <w:tcW w:w="1264" w:type="pct"/>
            <w:vAlign w:val="bottom"/>
          </w:tcPr>
          <w:p w:rsidR="001A26B0" w:rsidRDefault="00E33A99">
            <w:pPr>
              <w:spacing w:after="120"/>
              <w:jc w:val="center"/>
              <w:rPr>
                <w:noProof/>
              </w:rPr>
            </w:pPr>
            <w:r>
              <w:rPr>
                <w:noProof/>
              </w:rPr>
              <w:t>505</w:t>
            </w:r>
          </w:p>
        </w:tc>
      </w:tr>
      <w:tr w:rsidR="001A26B0">
        <w:tc>
          <w:tcPr>
            <w:tcW w:w="1206" w:type="pct"/>
            <w:vAlign w:val="bottom"/>
          </w:tcPr>
          <w:p w:rsidR="001A26B0" w:rsidRDefault="00E33A99">
            <w:pPr>
              <w:spacing w:after="120"/>
              <w:rPr>
                <w:noProof/>
              </w:rPr>
            </w:pPr>
            <w:r>
              <w:rPr>
                <w:noProof/>
              </w:rPr>
              <w:t>TLC40</w:t>
            </w:r>
          </w:p>
        </w:tc>
        <w:tc>
          <w:tcPr>
            <w:tcW w:w="1265" w:type="pct"/>
            <w:vAlign w:val="bottom"/>
          </w:tcPr>
          <w:p w:rsidR="001A26B0" w:rsidRDefault="00E33A99">
            <w:pPr>
              <w:spacing w:after="120"/>
              <w:jc w:val="center"/>
              <w:rPr>
                <w:noProof/>
              </w:rPr>
            </w:pPr>
            <w:r>
              <w:rPr>
                <w:noProof/>
              </w:rPr>
              <w:t>2,864</w:t>
            </w:r>
          </w:p>
        </w:tc>
        <w:tc>
          <w:tcPr>
            <w:tcW w:w="1265" w:type="pct"/>
            <w:vAlign w:val="bottom"/>
          </w:tcPr>
          <w:p w:rsidR="001A26B0" w:rsidRDefault="00E33A99">
            <w:pPr>
              <w:spacing w:after="120"/>
              <w:jc w:val="left"/>
              <w:rPr>
                <w:noProof/>
              </w:rPr>
            </w:pPr>
            <w:r>
              <w:rPr>
                <w:noProof/>
              </w:rPr>
              <w:t>TLV40</w:t>
            </w:r>
          </w:p>
        </w:tc>
        <w:tc>
          <w:tcPr>
            <w:tcW w:w="1264" w:type="pct"/>
            <w:vAlign w:val="bottom"/>
          </w:tcPr>
          <w:p w:rsidR="001A26B0" w:rsidRDefault="00E33A99">
            <w:pPr>
              <w:spacing w:after="120"/>
              <w:jc w:val="center"/>
              <w:rPr>
                <w:noProof/>
              </w:rPr>
            </w:pPr>
            <w:r>
              <w:rPr>
                <w:noProof/>
              </w:rPr>
              <w:t>719</w:t>
            </w:r>
          </w:p>
        </w:tc>
      </w:tr>
      <w:tr w:rsidR="001A26B0">
        <w:tc>
          <w:tcPr>
            <w:tcW w:w="1206" w:type="pct"/>
            <w:vAlign w:val="bottom"/>
          </w:tcPr>
          <w:p w:rsidR="001A26B0" w:rsidRDefault="00E33A99">
            <w:pPr>
              <w:spacing w:after="120"/>
              <w:rPr>
                <w:noProof/>
              </w:rPr>
            </w:pPr>
            <w:r>
              <w:rPr>
                <w:noProof/>
              </w:rPr>
              <w:t>TLC_EP40</w:t>
            </w:r>
          </w:p>
        </w:tc>
        <w:tc>
          <w:tcPr>
            <w:tcW w:w="1265" w:type="pct"/>
            <w:vAlign w:val="bottom"/>
          </w:tcPr>
          <w:p w:rsidR="001A26B0" w:rsidRDefault="00E33A99">
            <w:pPr>
              <w:spacing w:after="120"/>
              <w:jc w:val="center"/>
              <w:rPr>
                <w:noProof/>
              </w:rPr>
            </w:pPr>
            <w:r>
              <w:rPr>
                <w:noProof/>
              </w:rPr>
              <w:t>3,283</w:t>
            </w:r>
          </w:p>
        </w:tc>
        <w:tc>
          <w:tcPr>
            <w:tcW w:w="1265" w:type="pct"/>
            <w:vAlign w:val="bottom"/>
          </w:tcPr>
          <w:p w:rsidR="001A26B0" w:rsidRDefault="00E33A99">
            <w:pPr>
              <w:spacing w:after="120"/>
              <w:jc w:val="left"/>
              <w:rPr>
                <w:noProof/>
              </w:rPr>
            </w:pPr>
            <w:r>
              <w:rPr>
                <w:noProof/>
              </w:rPr>
              <w:t>TLV_EP40</w:t>
            </w:r>
          </w:p>
        </w:tc>
        <w:tc>
          <w:tcPr>
            <w:tcW w:w="1264" w:type="pct"/>
            <w:vAlign w:val="bottom"/>
          </w:tcPr>
          <w:p w:rsidR="001A26B0" w:rsidRDefault="00E33A99">
            <w:pPr>
              <w:spacing w:after="120"/>
              <w:jc w:val="center"/>
              <w:rPr>
                <w:noProof/>
              </w:rPr>
            </w:pPr>
            <w:r>
              <w:rPr>
                <w:noProof/>
              </w:rPr>
              <w:t>753</w:t>
            </w:r>
          </w:p>
        </w:tc>
      </w:tr>
      <w:tr w:rsidR="001A26B0">
        <w:tc>
          <w:tcPr>
            <w:tcW w:w="1206" w:type="pct"/>
            <w:vAlign w:val="bottom"/>
          </w:tcPr>
          <w:p w:rsidR="001A26B0" w:rsidRDefault="00E33A99">
            <w:pPr>
              <w:spacing w:after="120"/>
              <w:rPr>
                <w:noProof/>
              </w:rPr>
            </w:pPr>
            <w:r>
              <w:rPr>
                <w:noProof/>
              </w:rPr>
              <w:t>TLC_EP50</w:t>
            </w:r>
          </w:p>
        </w:tc>
        <w:tc>
          <w:tcPr>
            <w:tcW w:w="1265" w:type="pct"/>
            <w:vAlign w:val="bottom"/>
          </w:tcPr>
          <w:p w:rsidR="001A26B0" w:rsidRDefault="00E33A99">
            <w:pPr>
              <w:spacing w:after="120"/>
              <w:jc w:val="center"/>
              <w:rPr>
                <w:noProof/>
              </w:rPr>
            </w:pPr>
            <w:r>
              <w:rPr>
                <w:noProof/>
              </w:rPr>
              <w:t>3,658</w:t>
            </w:r>
          </w:p>
        </w:tc>
        <w:tc>
          <w:tcPr>
            <w:tcW w:w="1265" w:type="pct"/>
            <w:vAlign w:val="bottom"/>
          </w:tcPr>
          <w:p w:rsidR="001A26B0" w:rsidRDefault="00E33A99">
            <w:pPr>
              <w:spacing w:after="120"/>
              <w:jc w:val="left"/>
              <w:rPr>
                <w:noProof/>
              </w:rPr>
            </w:pPr>
            <w:r>
              <w:rPr>
                <w:noProof/>
              </w:rPr>
              <w:t>TLV_EP50</w:t>
            </w:r>
          </w:p>
        </w:tc>
        <w:tc>
          <w:tcPr>
            <w:tcW w:w="1264" w:type="pct"/>
            <w:vAlign w:val="bottom"/>
          </w:tcPr>
          <w:p w:rsidR="001A26B0" w:rsidRDefault="00E33A99">
            <w:pPr>
              <w:spacing w:after="120"/>
              <w:jc w:val="center"/>
              <w:rPr>
                <w:noProof/>
              </w:rPr>
            </w:pPr>
            <w:r>
              <w:rPr>
                <w:noProof/>
              </w:rPr>
              <w:t>933</w:t>
            </w:r>
          </w:p>
        </w:tc>
      </w:tr>
    </w:tbl>
    <w:p w:rsidR="001A26B0" w:rsidRDefault="00E33A99">
      <w:pPr>
        <w:spacing w:before="240" w:after="120"/>
        <w:jc w:val="left"/>
        <w:rPr>
          <w:i/>
          <w:noProof/>
          <w:szCs w:val="24"/>
        </w:rPr>
      </w:pPr>
      <w:r>
        <w:rPr>
          <w:i/>
          <w:noProof/>
          <w:szCs w:val="24"/>
        </w:rPr>
        <w:t xml:space="preserve">Sensitivity – effect of decreasing share of diesel cars  </w:t>
      </w:r>
    </w:p>
    <w:p w:rsidR="001A26B0" w:rsidRDefault="00E33A99">
      <w:pPr>
        <w:spacing w:after="120"/>
        <w:rPr>
          <w:noProof/>
          <w:szCs w:val="24"/>
        </w:rPr>
      </w:pPr>
      <w:r>
        <w:rPr>
          <w:noProof/>
          <w:szCs w:val="24"/>
        </w:rPr>
        <w:t>In view of recent developments following the diesel emission scandal and the persistent air quality issues in a number of cities across the EU, the share of diesel cars in the fleet of newly sold ca</w:t>
      </w:r>
      <w:r>
        <w:rPr>
          <w:noProof/>
          <w:szCs w:val="24"/>
        </w:rPr>
        <w:t>rs has declined in a number of EU Member States</w:t>
      </w:r>
      <w:r>
        <w:rPr>
          <w:rStyle w:val="FootnoteReference"/>
          <w:noProof/>
          <w:szCs w:val="24"/>
        </w:rPr>
        <w:footnoteReference w:id="162"/>
      </w:r>
      <w:r>
        <w:rPr>
          <w:noProof/>
          <w:szCs w:val="24"/>
        </w:rPr>
        <w:t xml:space="preserve">.In order to assess the potential effects, two sensitivities were designed with lower diesel car fleet shares, as shown in </w:t>
      </w:r>
      <w:r>
        <w:rPr>
          <w:noProof/>
          <w:szCs w:val="24"/>
        </w:rPr>
        <w:fldChar w:fldCharType="begin"/>
      </w:r>
      <w:r>
        <w:rPr>
          <w:noProof/>
          <w:szCs w:val="24"/>
        </w:rPr>
        <w:instrText xml:space="preserve"> REF _Ref493685539 \h  \* MERGEFORMAT </w:instrText>
      </w:r>
      <w:r>
        <w:rPr>
          <w:noProof/>
          <w:szCs w:val="24"/>
        </w:rPr>
      </w:r>
      <w:r>
        <w:rPr>
          <w:noProof/>
          <w:szCs w:val="24"/>
        </w:rPr>
        <w:fldChar w:fldCharType="separate"/>
      </w:r>
      <w:r>
        <w:rPr>
          <w:noProof/>
        </w:rPr>
        <w:t>Table 11</w:t>
      </w:r>
      <w:r>
        <w:rPr>
          <w:noProof/>
          <w:szCs w:val="24"/>
        </w:rPr>
        <w:fldChar w:fldCharType="end"/>
      </w:r>
      <w:r>
        <w:rPr>
          <w:noProof/>
          <w:szCs w:val="24"/>
        </w:rPr>
        <w:t>.</w:t>
      </w:r>
    </w:p>
    <w:p w:rsidR="001A26B0" w:rsidRDefault="00E33A99">
      <w:pPr>
        <w:spacing w:after="120"/>
        <w:rPr>
          <w:b/>
          <w:noProof/>
          <w:szCs w:val="24"/>
        </w:rPr>
      </w:pPr>
      <w:bookmarkStart w:id="276" w:name="_Ref493685539"/>
      <w:r>
        <w:rPr>
          <w:b/>
          <w:noProof/>
        </w:rPr>
        <w:t xml:space="preserve">Table </w:t>
      </w:r>
      <w:r>
        <w:rPr>
          <w:b/>
          <w:noProof/>
        </w:rPr>
        <w:fldChar w:fldCharType="begin"/>
      </w:r>
      <w:r>
        <w:rPr>
          <w:b/>
          <w:noProof/>
        </w:rPr>
        <w:instrText xml:space="preserve"> SEQ Table \* ARABIC </w:instrText>
      </w:r>
      <w:r>
        <w:rPr>
          <w:b/>
          <w:noProof/>
        </w:rPr>
        <w:fldChar w:fldCharType="separate"/>
      </w:r>
      <w:r>
        <w:rPr>
          <w:b/>
          <w:noProof/>
        </w:rPr>
        <w:t>11</w:t>
      </w:r>
      <w:r>
        <w:rPr>
          <w:b/>
          <w:noProof/>
        </w:rPr>
        <w:fldChar w:fldCharType="end"/>
      </w:r>
      <w:bookmarkEnd w:id="276"/>
      <w:r>
        <w:rPr>
          <w:b/>
          <w:noProof/>
        </w:rPr>
        <w:t xml:space="preserve">: </w:t>
      </w:r>
      <w:r>
        <w:rPr>
          <w:b/>
          <w:noProof/>
          <w:color w:val="000000"/>
          <w:szCs w:val="24"/>
          <w:lang w:eastAsia="en-GB"/>
        </w:rPr>
        <w:t xml:space="preserve">Share of diesel cars (incl. diesel hybrids) in the new car fleet under the two "Low Diesel" sensitivities - % reduction compared to the baseline </w:t>
      </w:r>
    </w:p>
    <w:tbl>
      <w:tblPr>
        <w:tblW w:w="74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709"/>
        <w:gridCol w:w="1792"/>
        <w:gridCol w:w="2347"/>
      </w:tblGrid>
      <w:tr w:rsidR="001A26B0">
        <w:trPr>
          <w:trHeight w:val="300"/>
        </w:trPr>
        <w:tc>
          <w:tcPr>
            <w:tcW w:w="1575" w:type="dxa"/>
            <w:shd w:val="clear" w:color="auto" w:fill="auto"/>
            <w:noWrap/>
            <w:vAlign w:val="bottom"/>
            <w:hideMark/>
          </w:tcPr>
          <w:p w:rsidR="001A26B0" w:rsidRDefault="00E33A99">
            <w:pPr>
              <w:spacing w:after="60" w:line="276" w:lineRule="auto"/>
              <w:rPr>
                <w:b/>
                <w:noProof/>
                <w:color w:val="000000"/>
                <w:szCs w:val="24"/>
                <w:lang w:eastAsia="en-GB"/>
              </w:rPr>
            </w:pPr>
            <w:r>
              <w:rPr>
                <w:b/>
                <w:noProof/>
                <w:color w:val="000000"/>
                <w:szCs w:val="24"/>
                <w:lang w:eastAsia="en-GB"/>
              </w:rPr>
              <w:t>Scenario</w:t>
            </w:r>
          </w:p>
        </w:tc>
        <w:tc>
          <w:tcPr>
            <w:tcW w:w="1709" w:type="dxa"/>
            <w:shd w:val="clear" w:color="auto" w:fill="auto"/>
            <w:noWrap/>
            <w:vAlign w:val="bottom"/>
            <w:hideMark/>
          </w:tcPr>
          <w:p w:rsidR="001A26B0" w:rsidRDefault="00E33A99">
            <w:pPr>
              <w:spacing w:after="60" w:line="276" w:lineRule="auto"/>
              <w:rPr>
                <w:b/>
                <w:noProof/>
                <w:color w:val="000000"/>
                <w:szCs w:val="24"/>
                <w:lang w:eastAsia="en-GB"/>
              </w:rPr>
            </w:pPr>
            <w:r>
              <w:rPr>
                <w:b/>
                <w:noProof/>
                <w:color w:val="000000"/>
                <w:szCs w:val="24"/>
                <w:lang w:eastAsia="en-GB"/>
              </w:rPr>
              <w:t>Car segment</w:t>
            </w:r>
          </w:p>
        </w:tc>
        <w:tc>
          <w:tcPr>
            <w:tcW w:w="1792" w:type="dxa"/>
            <w:shd w:val="clear" w:color="auto" w:fill="auto"/>
            <w:noWrap/>
            <w:vAlign w:val="bottom"/>
            <w:hideMark/>
          </w:tcPr>
          <w:p w:rsidR="001A26B0" w:rsidRDefault="00E33A99">
            <w:pPr>
              <w:spacing w:after="60" w:line="276" w:lineRule="auto"/>
              <w:jc w:val="center"/>
              <w:rPr>
                <w:b/>
                <w:noProof/>
                <w:color w:val="000000"/>
                <w:szCs w:val="24"/>
                <w:lang w:eastAsia="en-GB"/>
              </w:rPr>
            </w:pPr>
            <w:r>
              <w:rPr>
                <w:b/>
                <w:noProof/>
                <w:color w:val="000000"/>
                <w:szCs w:val="24"/>
                <w:lang w:eastAsia="en-GB"/>
              </w:rPr>
              <w:t>2025</w:t>
            </w:r>
          </w:p>
        </w:tc>
        <w:tc>
          <w:tcPr>
            <w:tcW w:w="2347" w:type="dxa"/>
            <w:shd w:val="clear" w:color="auto" w:fill="auto"/>
            <w:noWrap/>
            <w:vAlign w:val="bottom"/>
            <w:hideMark/>
          </w:tcPr>
          <w:p w:rsidR="001A26B0" w:rsidRDefault="00E33A99">
            <w:pPr>
              <w:spacing w:after="60" w:line="276" w:lineRule="auto"/>
              <w:jc w:val="center"/>
              <w:rPr>
                <w:b/>
                <w:noProof/>
                <w:color w:val="000000"/>
                <w:szCs w:val="24"/>
                <w:lang w:eastAsia="en-GB"/>
              </w:rPr>
            </w:pPr>
            <w:r>
              <w:rPr>
                <w:b/>
                <w:noProof/>
                <w:color w:val="000000"/>
                <w:szCs w:val="24"/>
                <w:lang w:eastAsia="en-GB"/>
              </w:rPr>
              <w:t>2030</w:t>
            </w:r>
          </w:p>
        </w:tc>
      </w:tr>
      <w:tr w:rsidR="001A26B0">
        <w:trPr>
          <w:trHeight w:val="288"/>
        </w:trPr>
        <w:tc>
          <w:tcPr>
            <w:tcW w:w="1575" w:type="dxa"/>
            <w:vMerge w:val="restart"/>
            <w:shd w:val="clear" w:color="auto" w:fill="auto"/>
            <w:noWrap/>
            <w:vAlign w:val="center"/>
            <w:hideMark/>
          </w:tcPr>
          <w:p w:rsidR="001A26B0" w:rsidRDefault="00E33A99">
            <w:pPr>
              <w:spacing w:after="60" w:line="276" w:lineRule="auto"/>
              <w:jc w:val="left"/>
              <w:rPr>
                <w:noProof/>
                <w:color w:val="000000"/>
                <w:szCs w:val="24"/>
                <w:lang w:eastAsia="en-GB"/>
              </w:rPr>
            </w:pPr>
            <w:r>
              <w:rPr>
                <w:noProof/>
                <w:color w:val="000000"/>
                <w:szCs w:val="24"/>
                <w:lang w:eastAsia="en-GB"/>
              </w:rPr>
              <w:t>Diesel_1</w:t>
            </w:r>
          </w:p>
        </w:tc>
        <w:tc>
          <w:tcPr>
            <w:tcW w:w="1709" w:type="dxa"/>
            <w:shd w:val="clear" w:color="auto" w:fill="auto"/>
            <w:noWrap/>
            <w:vAlign w:val="center"/>
            <w:hideMark/>
          </w:tcPr>
          <w:p w:rsidR="001A26B0" w:rsidRDefault="00E33A99">
            <w:pPr>
              <w:spacing w:after="60" w:line="276" w:lineRule="auto"/>
              <w:jc w:val="center"/>
              <w:rPr>
                <w:noProof/>
                <w:color w:val="000000"/>
                <w:szCs w:val="24"/>
                <w:lang w:eastAsia="en-GB"/>
              </w:rPr>
            </w:pPr>
            <w:r>
              <w:rPr>
                <w:noProof/>
                <w:color w:val="000000"/>
                <w:szCs w:val="24"/>
                <w:lang w:eastAsia="en-GB"/>
              </w:rPr>
              <w:t>Small</w:t>
            </w:r>
          </w:p>
        </w:tc>
        <w:tc>
          <w:tcPr>
            <w:tcW w:w="1792" w:type="dxa"/>
            <w:shd w:val="clear" w:color="auto" w:fill="auto"/>
            <w:noWrap/>
            <w:vAlign w:val="bottom"/>
            <w:hideMark/>
          </w:tcPr>
          <w:p w:rsidR="001A26B0" w:rsidRDefault="00E33A99">
            <w:pPr>
              <w:spacing w:after="60" w:line="276" w:lineRule="auto"/>
              <w:jc w:val="center"/>
              <w:rPr>
                <w:noProof/>
                <w:color w:val="000000"/>
                <w:szCs w:val="24"/>
                <w:lang w:eastAsia="en-GB"/>
              </w:rPr>
            </w:pPr>
            <w:r>
              <w:rPr>
                <w:noProof/>
                <w:color w:val="000000"/>
                <w:szCs w:val="24"/>
                <w:lang w:eastAsia="en-GB"/>
              </w:rPr>
              <w:t>20%</w:t>
            </w:r>
          </w:p>
        </w:tc>
        <w:tc>
          <w:tcPr>
            <w:tcW w:w="2347" w:type="dxa"/>
            <w:shd w:val="clear" w:color="auto" w:fill="auto"/>
            <w:noWrap/>
            <w:vAlign w:val="bottom"/>
            <w:hideMark/>
          </w:tcPr>
          <w:p w:rsidR="001A26B0" w:rsidRDefault="00E33A99">
            <w:pPr>
              <w:spacing w:after="60" w:line="276" w:lineRule="auto"/>
              <w:jc w:val="center"/>
              <w:rPr>
                <w:noProof/>
                <w:color w:val="000000"/>
                <w:szCs w:val="24"/>
                <w:lang w:eastAsia="en-GB"/>
              </w:rPr>
            </w:pPr>
            <w:r>
              <w:rPr>
                <w:noProof/>
                <w:color w:val="000000"/>
                <w:szCs w:val="24"/>
                <w:lang w:eastAsia="en-GB"/>
              </w:rPr>
              <w:t>40%</w:t>
            </w:r>
          </w:p>
        </w:tc>
      </w:tr>
      <w:tr w:rsidR="001A26B0">
        <w:trPr>
          <w:trHeight w:val="288"/>
        </w:trPr>
        <w:tc>
          <w:tcPr>
            <w:tcW w:w="1575" w:type="dxa"/>
            <w:vMerge/>
            <w:vAlign w:val="center"/>
            <w:hideMark/>
          </w:tcPr>
          <w:p w:rsidR="001A26B0" w:rsidRDefault="001A26B0">
            <w:pPr>
              <w:spacing w:after="60" w:line="276" w:lineRule="auto"/>
              <w:jc w:val="left"/>
              <w:rPr>
                <w:noProof/>
                <w:color w:val="000000"/>
                <w:szCs w:val="24"/>
                <w:lang w:eastAsia="en-GB"/>
              </w:rPr>
            </w:pPr>
          </w:p>
        </w:tc>
        <w:tc>
          <w:tcPr>
            <w:tcW w:w="1709" w:type="dxa"/>
            <w:shd w:val="clear" w:color="auto" w:fill="auto"/>
            <w:noWrap/>
            <w:vAlign w:val="center"/>
            <w:hideMark/>
          </w:tcPr>
          <w:p w:rsidR="001A26B0" w:rsidRDefault="00E33A99">
            <w:pPr>
              <w:spacing w:after="60" w:line="276" w:lineRule="auto"/>
              <w:jc w:val="center"/>
              <w:rPr>
                <w:noProof/>
                <w:color w:val="000000"/>
                <w:szCs w:val="24"/>
                <w:lang w:eastAsia="en-GB"/>
              </w:rPr>
            </w:pPr>
            <w:r>
              <w:rPr>
                <w:noProof/>
                <w:color w:val="000000"/>
                <w:szCs w:val="24"/>
                <w:lang w:eastAsia="en-GB"/>
              </w:rPr>
              <w:t>Medium</w:t>
            </w:r>
          </w:p>
        </w:tc>
        <w:tc>
          <w:tcPr>
            <w:tcW w:w="1792" w:type="dxa"/>
            <w:shd w:val="clear" w:color="auto" w:fill="auto"/>
            <w:noWrap/>
            <w:vAlign w:val="bottom"/>
            <w:hideMark/>
          </w:tcPr>
          <w:p w:rsidR="001A26B0" w:rsidRDefault="00E33A99">
            <w:pPr>
              <w:spacing w:after="60" w:line="276" w:lineRule="auto"/>
              <w:jc w:val="center"/>
              <w:rPr>
                <w:noProof/>
                <w:color w:val="000000"/>
                <w:szCs w:val="24"/>
                <w:lang w:eastAsia="en-GB"/>
              </w:rPr>
            </w:pPr>
            <w:r>
              <w:rPr>
                <w:noProof/>
                <w:color w:val="000000"/>
                <w:szCs w:val="24"/>
                <w:lang w:eastAsia="en-GB"/>
              </w:rPr>
              <w:t>15%</w:t>
            </w:r>
          </w:p>
        </w:tc>
        <w:tc>
          <w:tcPr>
            <w:tcW w:w="2347" w:type="dxa"/>
            <w:shd w:val="clear" w:color="auto" w:fill="auto"/>
            <w:noWrap/>
            <w:vAlign w:val="bottom"/>
            <w:hideMark/>
          </w:tcPr>
          <w:p w:rsidR="001A26B0" w:rsidRDefault="00E33A99">
            <w:pPr>
              <w:spacing w:after="60" w:line="276" w:lineRule="auto"/>
              <w:jc w:val="center"/>
              <w:rPr>
                <w:noProof/>
                <w:color w:val="000000"/>
                <w:szCs w:val="24"/>
                <w:lang w:eastAsia="en-GB"/>
              </w:rPr>
            </w:pPr>
            <w:r>
              <w:rPr>
                <w:noProof/>
                <w:color w:val="000000"/>
                <w:szCs w:val="24"/>
                <w:lang w:eastAsia="en-GB"/>
              </w:rPr>
              <w:t>30%</w:t>
            </w:r>
          </w:p>
        </w:tc>
      </w:tr>
      <w:tr w:rsidR="001A26B0">
        <w:trPr>
          <w:trHeight w:val="300"/>
        </w:trPr>
        <w:tc>
          <w:tcPr>
            <w:tcW w:w="1575" w:type="dxa"/>
            <w:vMerge/>
            <w:vAlign w:val="center"/>
            <w:hideMark/>
          </w:tcPr>
          <w:p w:rsidR="001A26B0" w:rsidRDefault="001A26B0">
            <w:pPr>
              <w:spacing w:after="60" w:line="276" w:lineRule="auto"/>
              <w:jc w:val="left"/>
              <w:rPr>
                <w:noProof/>
                <w:color w:val="000000"/>
                <w:szCs w:val="24"/>
                <w:lang w:eastAsia="en-GB"/>
              </w:rPr>
            </w:pPr>
          </w:p>
        </w:tc>
        <w:tc>
          <w:tcPr>
            <w:tcW w:w="1709" w:type="dxa"/>
            <w:shd w:val="clear" w:color="auto" w:fill="auto"/>
            <w:noWrap/>
            <w:vAlign w:val="center"/>
            <w:hideMark/>
          </w:tcPr>
          <w:p w:rsidR="001A26B0" w:rsidRDefault="00E33A99">
            <w:pPr>
              <w:spacing w:after="60" w:line="276" w:lineRule="auto"/>
              <w:jc w:val="center"/>
              <w:rPr>
                <w:noProof/>
                <w:color w:val="000000"/>
                <w:szCs w:val="24"/>
                <w:lang w:eastAsia="en-GB"/>
              </w:rPr>
            </w:pPr>
            <w:r>
              <w:rPr>
                <w:noProof/>
                <w:color w:val="000000"/>
                <w:szCs w:val="24"/>
                <w:lang w:eastAsia="en-GB"/>
              </w:rPr>
              <w:t>Large</w:t>
            </w:r>
          </w:p>
        </w:tc>
        <w:tc>
          <w:tcPr>
            <w:tcW w:w="1792" w:type="dxa"/>
            <w:shd w:val="clear" w:color="auto" w:fill="auto"/>
            <w:noWrap/>
            <w:vAlign w:val="bottom"/>
            <w:hideMark/>
          </w:tcPr>
          <w:p w:rsidR="001A26B0" w:rsidRDefault="00E33A99">
            <w:pPr>
              <w:spacing w:after="60" w:line="276" w:lineRule="auto"/>
              <w:jc w:val="center"/>
              <w:rPr>
                <w:noProof/>
                <w:color w:val="000000"/>
                <w:szCs w:val="24"/>
                <w:lang w:eastAsia="en-GB"/>
              </w:rPr>
            </w:pPr>
            <w:r>
              <w:rPr>
                <w:noProof/>
                <w:color w:val="000000"/>
                <w:szCs w:val="24"/>
                <w:lang w:eastAsia="en-GB"/>
              </w:rPr>
              <w:t>15%</w:t>
            </w:r>
          </w:p>
        </w:tc>
        <w:tc>
          <w:tcPr>
            <w:tcW w:w="2347" w:type="dxa"/>
            <w:shd w:val="clear" w:color="auto" w:fill="auto"/>
            <w:noWrap/>
            <w:vAlign w:val="bottom"/>
            <w:hideMark/>
          </w:tcPr>
          <w:p w:rsidR="001A26B0" w:rsidRDefault="00E33A99">
            <w:pPr>
              <w:spacing w:after="60" w:line="276" w:lineRule="auto"/>
              <w:jc w:val="center"/>
              <w:rPr>
                <w:noProof/>
                <w:color w:val="000000"/>
                <w:szCs w:val="24"/>
                <w:lang w:eastAsia="en-GB"/>
              </w:rPr>
            </w:pPr>
            <w:r>
              <w:rPr>
                <w:noProof/>
                <w:color w:val="000000"/>
                <w:szCs w:val="24"/>
                <w:lang w:eastAsia="en-GB"/>
              </w:rPr>
              <w:t>30%</w:t>
            </w:r>
          </w:p>
        </w:tc>
      </w:tr>
      <w:tr w:rsidR="001A26B0">
        <w:trPr>
          <w:trHeight w:val="288"/>
        </w:trPr>
        <w:tc>
          <w:tcPr>
            <w:tcW w:w="1575" w:type="dxa"/>
            <w:vMerge w:val="restart"/>
            <w:shd w:val="clear" w:color="auto" w:fill="auto"/>
            <w:noWrap/>
            <w:vAlign w:val="center"/>
            <w:hideMark/>
          </w:tcPr>
          <w:p w:rsidR="001A26B0" w:rsidRDefault="00E33A99">
            <w:pPr>
              <w:spacing w:after="60" w:line="276" w:lineRule="auto"/>
              <w:jc w:val="left"/>
              <w:rPr>
                <w:noProof/>
                <w:color w:val="000000"/>
                <w:szCs w:val="24"/>
                <w:lang w:eastAsia="en-GB"/>
              </w:rPr>
            </w:pPr>
            <w:r>
              <w:rPr>
                <w:noProof/>
                <w:color w:val="000000"/>
                <w:szCs w:val="24"/>
                <w:lang w:eastAsia="en-GB"/>
              </w:rPr>
              <w:t>Diesel_2</w:t>
            </w:r>
          </w:p>
        </w:tc>
        <w:tc>
          <w:tcPr>
            <w:tcW w:w="1709" w:type="dxa"/>
            <w:shd w:val="clear" w:color="auto" w:fill="auto"/>
            <w:noWrap/>
            <w:vAlign w:val="center"/>
            <w:hideMark/>
          </w:tcPr>
          <w:p w:rsidR="001A26B0" w:rsidRDefault="00E33A99">
            <w:pPr>
              <w:spacing w:after="60" w:line="276" w:lineRule="auto"/>
              <w:jc w:val="center"/>
              <w:rPr>
                <w:noProof/>
                <w:color w:val="000000"/>
                <w:szCs w:val="24"/>
                <w:lang w:eastAsia="en-GB"/>
              </w:rPr>
            </w:pPr>
            <w:r>
              <w:rPr>
                <w:noProof/>
                <w:color w:val="000000"/>
                <w:szCs w:val="24"/>
                <w:lang w:eastAsia="en-GB"/>
              </w:rPr>
              <w:t>Small</w:t>
            </w:r>
          </w:p>
        </w:tc>
        <w:tc>
          <w:tcPr>
            <w:tcW w:w="1792" w:type="dxa"/>
            <w:shd w:val="clear" w:color="auto" w:fill="auto"/>
            <w:noWrap/>
            <w:vAlign w:val="bottom"/>
            <w:hideMark/>
          </w:tcPr>
          <w:p w:rsidR="001A26B0" w:rsidRDefault="00E33A99">
            <w:pPr>
              <w:spacing w:after="60" w:line="276" w:lineRule="auto"/>
              <w:jc w:val="center"/>
              <w:rPr>
                <w:noProof/>
                <w:color w:val="000000"/>
                <w:szCs w:val="24"/>
                <w:lang w:eastAsia="en-GB"/>
              </w:rPr>
            </w:pPr>
            <w:r>
              <w:rPr>
                <w:noProof/>
                <w:color w:val="000000"/>
                <w:szCs w:val="24"/>
                <w:lang w:eastAsia="en-GB"/>
              </w:rPr>
              <w:t>40%</w:t>
            </w:r>
          </w:p>
        </w:tc>
        <w:tc>
          <w:tcPr>
            <w:tcW w:w="2347" w:type="dxa"/>
            <w:shd w:val="clear" w:color="auto" w:fill="auto"/>
            <w:noWrap/>
            <w:vAlign w:val="bottom"/>
            <w:hideMark/>
          </w:tcPr>
          <w:p w:rsidR="001A26B0" w:rsidRDefault="00E33A99">
            <w:pPr>
              <w:spacing w:after="60" w:line="276" w:lineRule="auto"/>
              <w:jc w:val="center"/>
              <w:rPr>
                <w:noProof/>
                <w:color w:val="000000"/>
                <w:szCs w:val="24"/>
                <w:lang w:eastAsia="en-GB"/>
              </w:rPr>
            </w:pPr>
            <w:r>
              <w:rPr>
                <w:noProof/>
                <w:color w:val="000000"/>
                <w:szCs w:val="24"/>
                <w:lang w:eastAsia="en-GB"/>
              </w:rPr>
              <w:t>80%</w:t>
            </w:r>
          </w:p>
        </w:tc>
      </w:tr>
      <w:tr w:rsidR="001A26B0">
        <w:trPr>
          <w:trHeight w:val="288"/>
        </w:trPr>
        <w:tc>
          <w:tcPr>
            <w:tcW w:w="1575" w:type="dxa"/>
            <w:vMerge/>
            <w:vAlign w:val="center"/>
            <w:hideMark/>
          </w:tcPr>
          <w:p w:rsidR="001A26B0" w:rsidRDefault="001A26B0">
            <w:pPr>
              <w:spacing w:after="60" w:line="276" w:lineRule="auto"/>
              <w:rPr>
                <w:noProof/>
                <w:color w:val="000000"/>
                <w:sz w:val="22"/>
                <w:szCs w:val="22"/>
                <w:lang w:eastAsia="en-GB"/>
              </w:rPr>
            </w:pPr>
          </w:p>
        </w:tc>
        <w:tc>
          <w:tcPr>
            <w:tcW w:w="1709" w:type="dxa"/>
            <w:shd w:val="clear" w:color="auto" w:fill="auto"/>
            <w:noWrap/>
            <w:vAlign w:val="center"/>
            <w:hideMark/>
          </w:tcPr>
          <w:p w:rsidR="001A26B0" w:rsidRDefault="00E33A99">
            <w:pPr>
              <w:spacing w:after="60" w:line="276" w:lineRule="auto"/>
              <w:jc w:val="center"/>
              <w:rPr>
                <w:noProof/>
                <w:color w:val="000000"/>
                <w:sz w:val="22"/>
                <w:szCs w:val="22"/>
                <w:lang w:eastAsia="en-GB"/>
              </w:rPr>
            </w:pPr>
            <w:r>
              <w:rPr>
                <w:noProof/>
                <w:color w:val="000000"/>
                <w:sz w:val="22"/>
                <w:szCs w:val="22"/>
                <w:lang w:eastAsia="en-GB"/>
              </w:rPr>
              <w:t>Medium</w:t>
            </w:r>
          </w:p>
        </w:tc>
        <w:tc>
          <w:tcPr>
            <w:tcW w:w="1792" w:type="dxa"/>
            <w:shd w:val="clear" w:color="auto" w:fill="auto"/>
            <w:noWrap/>
            <w:vAlign w:val="bottom"/>
            <w:hideMark/>
          </w:tcPr>
          <w:p w:rsidR="001A26B0" w:rsidRDefault="00E33A99">
            <w:pPr>
              <w:spacing w:after="60" w:line="276" w:lineRule="auto"/>
              <w:jc w:val="center"/>
              <w:rPr>
                <w:noProof/>
                <w:color w:val="000000"/>
                <w:sz w:val="22"/>
                <w:szCs w:val="22"/>
                <w:lang w:eastAsia="en-GB"/>
              </w:rPr>
            </w:pPr>
            <w:r>
              <w:rPr>
                <w:noProof/>
                <w:color w:val="000000"/>
                <w:sz w:val="22"/>
                <w:szCs w:val="22"/>
                <w:lang w:eastAsia="en-GB"/>
              </w:rPr>
              <w:t>30%</w:t>
            </w:r>
          </w:p>
        </w:tc>
        <w:tc>
          <w:tcPr>
            <w:tcW w:w="2347" w:type="dxa"/>
            <w:shd w:val="clear" w:color="auto" w:fill="auto"/>
            <w:noWrap/>
            <w:vAlign w:val="bottom"/>
            <w:hideMark/>
          </w:tcPr>
          <w:p w:rsidR="001A26B0" w:rsidRDefault="00E33A99">
            <w:pPr>
              <w:spacing w:after="60" w:line="276" w:lineRule="auto"/>
              <w:jc w:val="center"/>
              <w:rPr>
                <w:noProof/>
                <w:color w:val="000000"/>
                <w:sz w:val="22"/>
                <w:szCs w:val="22"/>
                <w:lang w:eastAsia="en-GB"/>
              </w:rPr>
            </w:pPr>
            <w:r>
              <w:rPr>
                <w:noProof/>
                <w:color w:val="000000"/>
                <w:sz w:val="22"/>
                <w:szCs w:val="22"/>
                <w:lang w:eastAsia="en-GB"/>
              </w:rPr>
              <w:t>60%</w:t>
            </w:r>
          </w:p>
        </w:tc>
      </w:tr>
      <w:tr w:rsidR="001A26B0">
        <w:trPr>
          <w:trHeight w:val="300"/>
        </w:trPr>
        <w:tc>
          <w:tcPr>
            <w:tcW w:w="1575" w:type="dxa"/>
            <w:vMerge/>
            <w:vAlign w:val="center"/>
            <w:hideMark/>
          </w:tcPr>
          <w:p w:rsidR="001A26B0" w:rsidRDefault="001A26B0">
            <w:pPr>
              <w:spacing w:after="60" w:line="276" w:lineRule="auto"/>
              <w:rPr>
                <w:noProof/>
                <w:color w:val="000000"/>
                <w:sz w:val="22"/>
                <w:szCs w:val="22"/>
                <w:lang w:eastAsia="en-GB"/>
              </w:rPr>
            </w:pPr>
          </w:p>
        </w:tc>
        <w:tc>
          <w:tcPr>
            <w:tcW w:w="1709" w:type="dxa"/>
            <w:shd w:val="clear" w:color="auto" w:fill="auto"/>
            <w:noWrap/>
            <w:vAlign w:val="center"/>
            <w:hideMark/>
          </w:tcPr>
          <w:p w:rsidR="001A26B0" w:rsidRDefault="00E33A99">
            <w:pPr>
              <w:spacing w:after="60" w:line="276" w:lineRule="auto"/>
              <w:jc w:val="center"/>
              <w:rPr>
                <w:noProof/>
                <w:color w:val="000000"/>
                <w:sz w:val="22"/>
                <w:szCs w:val="22"/>
                <w:lang w:eastAsia="en-GB"/>
              </w:rPr>
            </w:pPr>
            <w:r>
              <w:rPr>
                <w:noProof/>
                <w:color w:val="000000"/>
                <w:sz w:val="22"/>
                <w:szCs w:val="22"/>
                <w:lang w:eastAsia="en-GB"/>
              </w:rPr>
              <w:t>Large</w:t>
            </w:r>
          </w:p>
        </w:tc>
        <w:tc>
          <w:tcPr>
            <w:tcW w:w="1792" w:type="dxa"/>
            <w:shd w:val="clear" w:color="auto" w:fill="auto"/>
            <w:noWrap/>
            <w:vAlign w:val="bottom"/>
            <w:hideMark/>
          </w:tcPr>
          <w:p w:rsidR="001A26B0" w:rsidRDefault="00E33A99">
            <w:pPr>
              <w:spacing w:after="60" w:line="276" w:lineRule="auto"/>
              <w:jc w:val="center"/>
              <w:rPr>
                <w:noProof/>
                <w:color w:val="000000"/>
                <w:sz w:val="22"/>
                <w:szCs w:val="22"/>
                <w:lang w:eastAsia="en-GB"/>
              </w:rPr>
            </w:pPr>
            <w:r>
              <w:rPr>
                <w:noProof/>
                <w:color w:val="000000"/>
                <w:sz w:val="22"/>
                <w:szCs w:val="22"/>
                <w:lang w:eastAsia="en-GB"/>
              </w:rPr>
              <w:t>30%</w:t>
            </w:r>
          </w:p>
        </w:tc>
        <w:tc>
          <w:tcPr>
            <w:tcW w:w="2347" w:type="dxa"/>
            <w:shd w:val="clear" w:color="auto" w:fill="auto"/>
            <w:noWrap/>
            <w:vAlign w:val="bottom"/>
            <w:hideMark/>
          </w:tcPr>
          <w:p w:rsidR="001A26B0" w:rsidRDefault="00E33A99">
            <w:pPr>
              <w:spacing w:after="60" w:line="276" w:lineRule="auto"/>
              <w:jc w:val="center"/>
              <w:rPr>
                <w:noProof/>
                <w:color w:val="000000"/>
                <w:sz w:val="22"/>
                <w:szCs w:val="22"/>
                <w:lang w:eastAsia="en-GB"/>
              </w:rPr>
            </w:pPr>
            <w:r>
              <w:rPr>
                <w:noProof/>
                <w:color w:val="000000"/>
                <w:sz w:val="22"/>
                <w:szCs w:val="22"/>
                <w:lang w:eastAsia="en-GB"/>
              </w:rPr>
              <w:t>60%</w:t>
            </w:r>
          </w:p>
        </w:tc>
      </w:tr>
    </w:tbl>
    <w:p w:rsidR="001A26B0" w:rsidRDefault="00E33A99">
      <w:pPr>
        <w:spacing w:before="240"/>
        <w:rPr>
          <w:noProof/>
          <w:szCs w:val="24"/>
        </w:rPr>
      </w:pPr>
      <w:r>
        <w:rPr>
          <w:noProof/>
          <w:szCs w:val="24"/>
        </w:rPr>
        <w:t xml:space="preserve">The resulting fleet composition under these two sensitivities is shown in </w:t>
      </w:r>
      <w:r>
        <w:rPr>
          <w:noProof/>
          <w:szCs w:val="24"/>
        </w:rPr>
        <w:fldChar w:fldCharType="begin"/>
      </w:r>
      <w:r>
        <w:rPr>
          <w:noProof/>
          <w:szCs w:val="24"/>
        </w:rPr>
        <w:instrText xml:space="preserve"> REF _Ref495413414 \h  \* MERGEFORMAT </w:instrText>
      </w:r>
      <w:r>
        <w:rPr>
          <w:noProof/>
          <w:szCs w:val="24"/>
        </w:rPr>
      </w:r>
      <w:r>
        <w:rPr>
          <w:noProof/>
          <w:szCs w:val="24"/>
        </w:rPr>
        <w:fldChar w:fldCharType="separate"/>
      </w:r>
      <w:r>
        <w:rPr>
          <w:noProof/>
          <w:szCs w:val="24"/>
        </w:rPr>
        <w:t>Table 12</w:t>
      </w:r>
      <w:r>
        <w:rPr>
          <w:noProof/>
          <w:szCs w:val="24"/>
        </w:rPr>
        <w:fldChar w:fldCharType="end"/>
      </w:r>
      <w:r>
        <w:rPr>
          <w:noProof/>
          <w:szCs w:val="24"/>
        </w:rPr>
        <w:t xml:space="preserve">, compared with the fleet composition in case of TLC25 and TLC30. It makes clear that diesel cars are largely substituted by gasoline cars with rather limited increases in PHEV, BEV and other </w:t>
      </w:r>
      <w:r>
        <w:rPr>
          <w:noProof/>
          <w:szCs w:val="24"/>
        </w:rPr>
        <w:t>(gaseous fuel) cars.</w:t>
      </w:r>
    </w:p>
    <w:p w:rsidR="001A26B0" w:rsidRDefault="00E33A99">
      <w:pPr>
        <w:spacing w:after="120"/>
        <w:rPr>
          <w:b/>
          <w:noProof/>
          <w:szCs w:val="24"/>
        </w:rPr>
      </w:pPr>
      <w:bookmarkStart w:id="277" w:name="_Ref495413414"/>
      <w:r>
        <w:rPr>
          <w:b/>
          <w:noProof/>
          <w:szCs w:val="24"/>
        </w:rPr>
        <w:t xml:space="preserve">Table </w:t>
      </w:r>
      <w:r>
        <w:rPr>
          <w:b/>
          <w:noProof/>
          <w:szCs w:val="24"/>
        </w:rPr>
        <w:fldChar w:fldCharType="begin"/>
      </w:r>
      <w:r>
        <w:rPr>
          <w:b/>
          <w:noProof/>
          <w:szCs w:val="24"/>
        </w:rPr>
        <w:instrText xml:space="preserve"> SEQ Table \* ARABIC </w:instrText>
      </w:r>
      <w:r>
        <w:rPr>
          <w:b/>
          <w:noProof/>
          <w:szCs w:val="24"/>
        </w:rPr>
        <w:fldChar w:fldCharType="separate"/>
      </w:r>
      <w:r>
        <w:rPr>
          <w:b/>
          <w:noProof/>
          <w:szCs w:val="24"/>
        </w:rPr>
        <w:t>12</w:t>
      </w:r>
      <w:r>
        <w:rPr>
          <w:b/>
          <w:noProof/>
          <w:szCs w:val="24"/>
        </w:rPr>
        <w:fldChar w:fldCharType="end"/>
      </w:r>
      <w:bookmarkEnd w:id="277"/>
      <w:r>
        <w:rPr>
          <w:b/>
          <w:noProof/>
          <w:szCs w:val="24"/>
        </w:rPr>
        <w:t xml:space="preserve">: Passenger car </w:t>
      </w:r>
      <w:r>
        <w:rPr>
          <w:b/>
          <w:noProof/>
          <w:color w:val="000000"/>
          <w:szCs w:val="24"/>
          <w:lang w:eastAsia="en-GB"/>
        </w:rPr>
        <w:t xml:space="preserve">fleet composition in 2025 and 2030 under the "Low Diesel" sensitivities compared to options TLC25 and TLC30 </w:t>
      </w:r>
    </w:p>
    <w:tbl>
      <w:tblPr>
        <w:tblStyle w:val="TableGrid"/>
        <w:tblW w:w="5000" w:type="pct"/>
        <w:tblLook w:val="04A0" w:firstRow="1" w:lastRow="0" w:firstColumn="1" w:lastColumn="0" w:noHBand="0" w:noVBand="1"/>
      </w:tblPr>
      <w:tblGrid>
        <w:gridCol w:w="1260"/>
        <w:gridCol w:w="1260"/>
        <w:gridCol w:w="1261"/>
        <w:gridCol w:w="1263"/>
        <w:gridCol w:w="1261"/>
        <w:gridCol w:w="1261"/>
        <w:gridCol w:w="1263"/>
      </w:tblGrid>
      <w:tr w:rsidR="001A26B0">
        <w:trPr>
          <w:trHeight w:val="264"/>
        </w:trPr>
        <w:tc>
          <w:tcPr>
            <w:tcW w:w="714" w:type="pct"/>
            <w:noWrap/>
            <w:hideMark/>
          </w:tcPr>
          <w:p w:rsidR="001A26B0" w:rsidRDefault="00E33A99">
            <w:pPr>
              <w:spacing w:after="0" w:line="276" w:lineRule="auto"/>
              <w:rPr>
                <w:b/>
                <w:noProof/>
                <w:szCs w:val="22"/>
                <w:lang w:eastAsia="en-GB"/>
              </w:rPr>
            </w:pPr>
            <w:r>
              <w:rPr>
                <w:b/>
                <w:noProof/>
                <w:szCs w:val="22"/>
                <w:lang w:eastAsia="en-GB"/>
              </w:rPr>
              <w:t>2025</w:t>
            </w:r>
          </w:p>
        </w:tc>
        <w:tc>
          <w:tcPr>
            <w:tcW w:w="714" w:type="pct"/>
            <w:noWrap/>
            <w:hideMark/>
          </w:tcPr>
          <w:p w:rsidR="001A26B0" w:rsidRDefault="00E33A99">
            <w:pPr>
              <w:spacing w:after="0" w:line="276" w:lineRule="auto"/>
              <w:jc w:val="center"/>
              <w:rPr>
                <w:b/>
                <w:noProof/>
                <w:szCs w:val="22"/>
                <w:lang w:eastAsia="en-GB"/>
              </w:rPr>
            </w:pPr>
            <w:r>
              <w:rPr>
                <w:b/>
                <w:noProof/>
                <w:szCs w:val="22"/>
                <w:lang w:eastAsia="en-GB"/>
              </w:rPr>
              <w:t>diesel</w:t>
            </w:r>
          </w:p>
        </w:tc>
        <w:tc>
          <w:tcPr>
            <w:tcW w:w="714" w:type="pct"/>
            <w:noWrap/>
            <w:hideMark/>
          </w:tcPr>
          <w:p w:rsidR="001A26B0" w:rsidRDefault="00E33A99">
            <w:pPr>
              <w:spacing w:after="0" w:line="276" w:lineRule="auto"/>
              <w:jc w:val="center"/>
              <w:rPr>
                <w:b/>
                <w:noProof/>
                <w:szCs w:val="22"/>
                <w:lang w:eastAsia="en-GB"/>
              </w:rPr>
            </w:pPr>
            <w:r>
              <w:rPr>
                <w:b/>
                <w:noProof/>
                <w:szCs w:val="22"/>
                <w:lang w:eastAsia="en-GB"/>
              </w:rPr>
              <w:t>gasoline</w:t>
            </w:r>
          </w:p>
        </w:tc>
        <w:tc>
          <w:tcPr>
            <w:tcW w:w="715" w:type="pct"/>
            <w:noWrap/>
            <w:hideMark/>
          </w:tcPr>
          <w:p w:rsidR="001A26B0" w:rsidRDefault="00E33A99">
            <w:pPr>
              <w:spacing w:after="0" w:line="276" w:lineRule="auto"/>
              <w:jc w:val="center"/>
              <w:rPr>
                <w:b/>
                <w:noProof/>
                <w:szCs w:val="22"/>
                <w:lang w:eastAsia="en-GB"/>
              </w:rPr>
            </w:pPr>
            <w:r>
              <w:rPr>
                <w:b/>
                <w:noProof/>
                <w:szCs w:val="22"/>
                <w:lang w:eastAsia="en-GB"/>
              </w:rPr>
              <w:t>PHEV</w:t>
            </w:r>
          </w:p>
        </w:tc>
        <w:tc>
          <w:tcPr>
            <w:tcW w:w="714" w:type="pct"/>
            <w:noWrap/>
            <w:hideMark/>
          </w:tcPr>
          <w:p w:rsidR="001A26B0" w:rsidRDefault="00E33A99">
            <w:pPr>
              <w:spacing w:after="0" w:line="276" w:lineRule="auto"/>
              <w:jc w:val="center"/>
              <w:rPr>
                <w:b/>
                <w:noProof/>
                <w:szCs w:val="22"/>
                <w:lang w:eastAsia="en-GB"/>
              </w:rPr>
            </w:pPr>
            <w:r>
              <w:rPr>
                <w:b/>
                <w:noProof/>
                <w:szCs w:val="22"/>
                <w:lang w:eastAsia="en-GB"/>
              </w:rPr>
              <w:t>BEV</w:t>
            </w:r>
          </w:p>
        </w:tc>
        <w:tc>
          <w:tcPr>
            <w:tcW w:w="714" w:type="pct"/>
            <w:noWrap/>
            <w:hideMark/>
          </w:tcPr>
          <w:p w:rsidR="001A26B0" w:rsidRDefault="00E33A99">
            <w:pPr>
              <w:spacing w:after="0" w:line="276" w:lineRule="auto"/>
              <w:jc w:val="center"/>
              <w:rPr>
                <w:b/>
                <w:noProof/>
                <w:szCs w:val="22"/>
                <w:lang w:eastAsia="en-GB"/>
              </w:rPr>
            </w:pPr>
            <w:r>
              <w:rPr>
                <w:b/>
                <w:noProof/>
                <w:szCs w:val="22"/>
                <w:lang w:eastAsia="en-GB"/>
              </w:rPr>
              <w:t>FCEV</w:t>
            </w:r>
          </w:p>
        </w:tc>
        <w:tc>
          <w:tcPr>
            <w:tcW w:w="715" w:type="pct"/>
            <w:noWrap/>
            <w:hideMark/>
          </w:tcPr>
          <w:p w:rsidR="001A26B0" w:rsidRDefault="00E33A99">
            <w:pPr>
              <w:spacing w:after="0" w:line="276" w:lineRule="auto"/>
              <w:jc w:val="center"/>
              <w:rPr>
                <w:b/>
                <w:noProof/>
                <w:szCs w:val="22"/>
                <w:lang w:eastAsia="en-GB"/>
              </w:rPr>
            </w:pPr>
            <w:r>
              <w:rPr>
                <w:b/>
                <w:noProof/>
                <w:szCs w:val="22"/>
                <w:lang w:eastAsia="en-GB"/>
              </w:rPr>
              <w:t>other</w:t>
            </w:r>
          </w:p>
        </w:tc>
      </w:tr>
      <w:tr w:rsidR="001A26B0">
        <w:trPr>
          <w:trHeight w:val="264"/>
        </w:trPr>
        <w:tc>
          <w:tcPr>
            <w:tcW w:w="714" w:type="pct"/>
            <w:noWrap/>
          </w:tcPr>
          <w:p w:rsidR="001A26B0" w:rsidRDefault="00E33A99">
            <w:pPr>
              <w:spacing w:after="0" w:line="276" w:lineRule="auto"/>
              <w:rPr>
                <w:noProof/>
                <w:szCs w:val="22"/>
                <w:lang w:eastAsia="en-GB"/>
              </w:rPr>
            </w:pPr>
            <w:r>
              <w:rPr>
                <w:noProof/>
                <w:szCs w:val="22"/>
                <w:lang w:eastAsia="en-GB"/>
              </w:rPr>
              <w:t>TLC25</w:t>
            </w:r>
          </w:p>
        </w:tc>
        <w:tc>
          <w:tcPr>
            <w:tcW w:w="714" w:type="pct"/>
            <w:noWrap/>
          </w:tcPr>
          <w:p w:rsidR="001A26B0" w:rsidRDefault="00E33A99">
            <w:pPr>
              <w:spacing w:after="0" w:line="276" w:lineRule="auto"/>
              <w:jc w:val="center"/>
              <w:rPr>
                <w:noProof/>
                <w:szCs w:val="22"/>
                <w:lang w:eastAsia="en-GB"/>
              </w:rPr>
            </w:pPr>
            <w:r>
              <w:rPr>
                <w:noProof/>
                <w:szCs w:val="22"/>
                <w:lang w:eastAsia="en-GB"/>
              </w:rPr>
              <w:t>43%</w:t>
            </w:r>
          </w:p>
        </w:tc>
        <w:tc>
          <w:tcPr>
            <w:tcW w:w="714" w:type="pct"/>
            <w:noWrap/>
          </w:tcPr>
          <w:p w:rsidR="001A26B0" w:rsidRDefault="00E33A99">
            <w:pPr>
              <w:spacing w:after="0" w:line="276" w:lineRule="auto"/>
              <w:jc w:val="center"/>
              <w:rPr>
                <w:noProof/>
                <w:szCs w:val="22"/>
                <w:lang w:eastAsia="en-GB"/>
              </w:rPr>
            </w:pPr>
            <w:r>
              <w:rPr>
                <w:noProof/>
                <w:szCs w:val="22"/>
                <w:lang w:eastAsia="en-GB"/>
              </w:rPr>
              <w:t>39%</w:t>
            </w:r>
          </w:p>
        </w:tc>
        <w:tc>
          <w:tcPr>
            <w:tcW w:w="715" w:type="pct"/>
            <w:noWrap/>
          </w:tcPr>
          <w:p w:rsidR="001A26B0" w:rsidRDefault="00E33A99">
            <w:pPr>
              <w:spacing w:after="0" w:line="276" w:lineRule="auto"/>
              <w:jc w:val="center"/>
              <w:rPr>
                <w:noProof/>
                <w:szCs w:val="22"/>
                <w:lang w:eastAsia="en-GB"/>
              </w:rPr>
            </w:pPr>
            <w:r>
              <w:rPr>
                <w:noProof/>
                <w:szCs w:val="22"/>
              </w:rPr>
              <w:t>7%</w:t>
            </w:r>
          </w:p>
        </w:tc>
        <w:tc>
          <w:tcPr>
            <w:tcW w:w="714" w:type="pct"/>
            <w:noWrap/>
          </w:tcPr>
          <w:p w:rsidR="001A26B0" w:rsidRDefault="00E33A99">
            <w:pPr>
              <w:spacing w:after="0" w:line="276" w:lineRule="auto"/>
              <w:jc w:val="center"/>
              <w:rPr>
                <w:noProof/>
                <w:szCs w:val="22"/>
                <w:lang w:eastAsia="en-GB"/>
              </w:rPr>
            </w:pPr>
            <w:r>
              <w:rPr>
                <w:noProof/>
                <w:szCs w:val="22"/>
              </w:rPr>
              <w:t>4%</w:t>
            </w:r>
          </w:p>
        </w:tc>
        <w:tc>
          <w:tcPr>
            <w:tcW w:w="714" w:type="pct"/>
            <w:noWrap/>
          </w:tcPr>
          <w:p w:rsidR="001A26B0" w:rsidRDefault="00E33A99">
            <w:pPr>
              <w:spacing w:after="0" w:line="276" w:lineRule="auto"/>
              <w:jc w:val="center"/>
              <w:rPr>
                <w:noProof/>
                <w:szCs w:val="22"/>
                <w:lang w:eastAsia="en-GB"/>
              </w:rPr>
            </w:pPr>
            <w:r>
              <w:rPr>
                <w:noProof/>
                <w:szCs w:val="22"/>
              </w:rPr>
              <w:t>1%</w:t>
            </w:r>
          </w:p>
        </w:tc>
        <w:tc>
          <w:tcPr>
            <w:tcW w:w="715" w:type="pct"/>
            <w:noWrap/>
          </w:tcPr>
          <w:p w:rsidR="001A26B0" w:rsidRDefault="00E33A99">
            <w:pPr>
              <w:spacing w:after="0" w:line="276" w:lineRule="auto"/>
              <w:jc w:val="center"/>
              <w:rPr>
                <w:noProof/>
                <w:szCs w:val="22"/>
                <w:lang w:eastAsia="en-GB"/>
              </w:rPr>
            </w:pPr>
            <w:r>
              <w:rPr>
                <w:noProof/>
                <w:szCs w:val="22"/>
                <w:lang w:eastAsia="en-GB"/>
              </w:rPr>
              <w:t>6%</w:t>
            </w:r>
          </w:p>
        </w:tc>
      </w:tr>
      <w:tr w:rsidR="001A26B0">
        <w:trPr>
          <w:trHeight w:val="264"/>
        </w:trPr>
        <w:tc>
          <w:tcPr>
            <w:tcW w:w="714" w:type="pct"/>
            <w:noWrap/>
            <w:vAlign w:val="bottom"/>
            <w:hideMark/>
          </w:tcPr>
          <w:p w:rsidR="001A26B0" w:rsidRDefault="00E33A99">
            <w:pPr>
              <w:spacing w:after="0" w:line="276" w:lineRule="auto"/>
              <w:rPr>
                <w:noProof/>
                <w:szCs w:val="22"/>
                <w:lang w:eastAsia="en-GB"/>
              </w:rPr>
            </w:pPr>
            <w:r>
              <w:rPr>
                <w:noProof/>
                <w:szCs w:val="22"/>
                <w:lang w:eastAsia="en-GB"/>
              </w:rPr>
              <w:t>TLC30</w:t>
            </w:r>
          </w:p>
        </w:tc>
        <w:tc>
          <w:tcPr>
            <w:tcW w:w="714" w:type="pct"/>
            <w:noWrap/>
            <w:hideMark/>
          </w:tcPr>
          <w:p w:rsidR="001A26B0" w:rsidRDefault="00E33A99">
            <w:pPr>
              <w:spacing w:after="0" w:line="276" w:lineRule="auto"/>
              <w:jc w:val="center"/>
              <w:rPr>
                <w:noProof/>
                <w:szCs w:val="22"/>
                <w:lang w:eastAsia="en-GB"/>
              </w:rPr>
            </w:pPr>
            <w:r>
              <w:rPr>
                <w:noProof/>
                <w:szCs w:val="22"/>
                <w:lang w:eastAsia="en-GB"/>
              </w:rPr>
              <w:t>43%</w:t>
            </w:r>
          </w:p>
        </w:tc>
        <w:tc>
          <w:tcPr>
            <w:tcW w:w="714" w:type="pct"/>
            <w:noWrap/>
            <w:hideMark/>
          </w:tcPr>
          <w:p w:rsidR="001A26B0" w:rsidRDefault="00E33A99">
            <w:pPr>
              <w:spacing w:after="0" w:line="276" w:lineRule="auto"/>
              <w:jc w:val="center"/>
              <w:rPr>
                <w:noProof/>
                <w:szCs w:val="22"/>
                <w:lang w:eastAsia="en-GB"/>
              </w:rPr>
            </w:pPr>
            <w:r>
              <w:rPr>
                <w:noProof/>
                <w:szCs w:val="22"/>
                <w:lang w:eastAsia="en-GB"/>
              </w:rPr>
              <w:t>38%</w:t>
            </w:r>
          </w:p>
        </w:tc>
        <w:tc>
          <w:tcPr>
            <w:tcW w:w="715" w:type="pct"/>
            <w:noWrap/>
            <w:hideMark/>
          </w:tcPr>
          <w:p w:rsidR="001A26B0" w:rsidRDefault="00E33A99">
            <w:pPr>
              <w:spacing w:after="0" w:line="276" w:lineRule="auto"/>
              <w:jc w:val="center"/>
              <w:rPr>
                <w:noProof/>
                <w:szCs w:val="22"/>
                <w:lang w:eastAsia="en-GB"/>
              </w:rPr>
            </w:pPr>
            <w:r>
              <w:rPr>
                <w:noProof/>
                <w:szCs w:val="22"/>
                <w:lang w:eastAsia="en-GB"/>
              </w:rPr>
              <w:t>7%</w:t>
            </w:r>
          </w:p>
        </w:tc>
        <w:tc>
          <w:tcPr>
            <w:tcW w:w="714" w:type="pct"/>
            <w:noWrap/>
            <w:hideMark/>
          </w:tcPr>
          <w:p w:rsidR="001A26B0" w:rsidRDefault="00E33A99">
            <w:pPr>
              <w:spacing w:after="0" w:line="276" w:lineRule="auto"/>
              <w:jc w:val="center"/>
              <w:rPr>
                <w:noProof/>
                <w:szCs w:val="22"/>
                <w:lang w:eastAsia="en-GB"/>
              </w:rPr>
            </w:pPr>
            <w:r>
              <w:rPr>
                <w:noProof/>
                <w:szCs w:val="22"/>
                <w:lang w:eastAsia="en-GB"/>
              </w:rPr>
              <w:t>4%</w:t>
            </w:r>
          </w:p>
        </w:tc>
        <w:tc>
          <w:tcPr>
            <w:tcW w:w="714" w:type="pct"/>
            <w:noWrap/>
            <w:hideMark/>
          </w:tcPr>
          <w:p w:rsidR="001A26B0" w:rsidRDefault="00E33A99">
            <w:pPr>
              <w:spacing w:after="0" w:line="276" w:lineRule="auto"/>
              <w:jc w:val="center"/>
              <w:rPr>
                <w:noProof/>
                <w:szCs w:val="22"/>
                <w:lang w:eastAsia="en-GB"/>
              </w:rPr>
            </w:pPr>
            <w:r>
              <w:rPr>
                <w:noProof/>
                <w:szCs w:val="22"/>
                <w:lang w:eastAsia="en-GB"/>
              </w:rPr>
              <w:t>1%</w:t>
            </w:r>
          </w:p>
        </w:tc>
        <w:tc>
          <w:tcPr>
            <w:tcW w:w="715" w:type="pct"/>
            <w:noWrap/>
            <w:hideMark/>
          </w:tcPr>
          <w:p w:rsidR="001A26B0" w:rsidRDefault="00E33A99">
            <w:pPr>
              <w:spacing w:after="0" w:line="276" w:lineRule="auto"/>
              <w:jc w:val="center"/>
              <w:rPr>
                <w:noProof/>
                <w:szCs w:val="22"/>
                <w:lang w:eastAsia="en-GB"/>
              </w:rPr>
            </w:pPr>
            <w:r>
              <w:rPr>
                <w:noProof/>
                <w:szCs w:val="22"/>
                <w:lang w:eastAsia="en-GB"/>
              </w:rPr>
              <w:t>6%</w:t>
            </w:r>
          </w:p>
        </w:tc>
      </w:tr>
      <w:tr w:rsidR="001A26B0">
        <w:trPr>
          <w:trHeight w:val="264"/>
        </w:trPr>
        <w:tc>
          <w:tcPr>
            <w:tcW w:w="714" w:type="pct"/>
            <w:noWrap/>
            <w:vAlign w:val="bottom"/>
            <w:hideMark/>
          </w:tcPr>
          <w:p w:rsidR="001A26B0" w:rsidRDefault="00E33A99">
            <w:pPr>
              <w:spacing w:after="0" w:line="276" w:lineRule="auto"/>
              <w:rPr>
                <w:noProof/>
                <w:szCs w:val="22"/>
                <w:lang w:eastAsia="en-GB"/>
              </w:rPr>
            </w:pPr>
            <w:r>
              <w:rPr>
                <w:noProof/>
                <w:szCs w:val="22"/>
                <w:lang w:eastAsia="en-GB"/>
              </w:rPr>
              <w:t>Diesel_1</w:t>
            </w:r>
          </w:p>
        </w:tc>
        <w:tc>
          <w:tcPr>
            <w:tcW w:w="714" w:type="pct"/>
            <w:noWrap/>
            <w:hideMark/>
          </w:tcPr>
          <w:p w:rsidR="001A26B0" w:rsidRDefault="00E33A99">
            <w:pPr>
              <w:spacing w:after="0" w:line="276" w:lineRule="auto"/>
              <w:jc w:val="center"/>
              <w:rPr>
                <w:noProof/>
                <w:szCs w:val="22"/>
                <w:lang w:eastAsia="en-GB"/>
              </w:rPr>
            </w:pPr>
            <w:r>
              <w:rPr>
                <w:noProof/>
                <w:szCs w:val="22"/>
                <w:lang w:eastAsia="en-GB"/>
              </w:rPr>
              <w:t>37%</w:t>
            </w:r>
          </w:p>
        </w:tc>
        <w:tc>
          <w:tcPr>
            <w:tcW w:w="714" w:type="pct"/>
            <w:noWrap/>
            <w:hideMark/>
          </w:tcPr>
          <w:p w:rsidR="001A26B0" w:rsidRDefault="00E33A99">
            <w:pPr>
              <w:spacing w:after="0" w:line="276" w:lineRule="auto"/>
              <w:jc w:val="center"/>
              <w:rPr>
                <w:noProof/>
                <w:szCs w:val="22"/>
                <w:lang w:eastAsia="en-GB"/>
              </w:rPr>
            </w:pPr>
            <w:r>
              <w:rPr>
                <w:noProof/>
                <w:szCs w:val="22"/>
                <w:lang w:eastAsia="en-GB"/>
              </w:rPr>
              <w:t>43%</w:t>
            </w:r>
          </w:p>
        </w:tc>
        <w:tc>
          <w:tcPr>
            <w:tcW w:w="715" w:type="pct"/>
            <w:noWrap/>
            <w:hideMark/>
          </w:tcPr>
          <w:p w:rsidR="001A26B0" w:rsidRDefault="00E33A99">
            <w:pPr>
              <w:spacing w:after="0" w:line="276" w:lineRule="auto"/>
              <w:jc w:val="center"/>
              <w:rPr>
                <w:noProof/>
                <w:szCs w:val="22"/>
                <w:lang w:eastAsia="en-GB"/>
              </w:rPr>
            </w:pPr>
            <w:r>
              <w:rPr>
                <w:noProof/>
                <w:szCs w:val="22"/>
                <w:lang w:eastAsia="en-GB"/>
              </w:rPr>
              <w:t>8%</w:t>
            </w:r>
          </w:p>
        </w:tc>
        <w:tc>
          <w:tcPr>
            <w:tcW w:w="714" w:type="pct"/>
            <w:noWrap/>
            <w:hideMark/>
          </w:tcPr>
          <w:p w:rsidR="001A26B0" w:rsidRDefault="00E33A99">
            <w:pPr>
              <w:spacing w:after="0" w:line="276" w:lineRule="auto"/>
              <w:jc w:val="center"/>
              <w:rPr>
                <w:noProof/>
                <w:szCs w:val="22"/>
                <w:lang w:eastAsia="en-GB"/>
              </w:rPr>
            </w:pPr>
            <w:r>
              <w:rPr>
                <w:noProof/>
                <w:szCs w:val="22"/>
                <w:lang w:eastAsia="en-GB"/>
              </w:rPr>
              <w:t>5%</w:t>
            </w:r>
          </w:p>
        </w:tc>
        <w:tc>
          <w:tcPr>
            <w:tcW w:w="714" w:type="pct"/>
            <w:noWrap/>
            <w:hideMark/>
          </w:tcPr>
          <w:p w:rsidR="001A26B0" w:rsidRDefault="00E33A99">
            <w:pPr>
              <w:spacing w:after="0" w:line="276" w:lineRule="auto"/>
              <w:jc w:val="center"/>
              <w:rPr>
                <w:noProof/>
                <w:szCs w:val="22"/>
                <w:lang w:eastAsia="en-GB"/>
              </w:rPr>
            </w:pPr>
            <w:r>
              <w:rPr>
                <w:noProof/>
                <w:szCs w:val="22"/>
                <w:lang w:eastAsia="en-GB"/>
              </w:rPr>
              <w:t>1%</w:t>
            </w:r>
          </w:p>
        </w:tc>
        <w:tc>
          <w:tcPr>
            <w:tcW w:w="715" w:type="pct"/>
            <w:noWrap/>
            <w:hideMark/>
          </w:tcPr>
          <w:p w:rsidR="001A26B0" w:rsidRDefault="00E33A99">
            <w:pPr>
              <w:spacing w:after="0" w:line="276" w:lineRule="auto"/>
              <w:jc w:val="center"/>
              <w:rPr>
                <w:noProof/>
                <w:szCs w:val="22"/>
                <w:lang w:eastAsia="en-GB"/>
              </w:rPr>
            </w:pPr>
            <w:r>
              <w:rPr>
                <w:noProof/>
                <w:szCs w:val="22"/>
                <w:lang w:eastAsia="en-GB"/>
              </w:rPr>
              <w:t>6%</w:t>
            </w:r>
          </w:p>
        </w:tc>
      </w:tr>
      <w:tr w:rsidR="001A26B0">
        <w:trPr>
          <w:trHeight w:val="264"/>
        </w:trPr>
        <w:tc>
          <w:tcPr>
            <w:tcW w:w="714" w:type="pct"/>
            <w:noWrap/>
            <w:vAlign w:val="bottom"/>
            <w:hideMark/>
          </w:tcPr>
          <w:p w:rsidR="001A26B0" w:rsidRDefault="00E33A99">
            <w:pPr>
              <w:spacing w:after="0" w:line="276" w:lineRule="auto"/>
              <w:rPr>
                <w:noProof/>
                <w:szCs w:val="22"/>
                <w:lang w:eastAsia="en-GB"/>
              </w:rPr>
            </w:pPr>
            <w:r>
              <w:rPr>
                <w:noProof/>
                <w:szCs w:val="22"/>
                <w:lang w:eastAsia="en-GB"/>
              </w:rPr>
              <w:t>Diesel_2</w:t>
            </w:r>
          </w:p>
        </w:tc>
        <w:tc>
          <w:tcPr>
            <w:tcW w:w="714" w:type="pct"/>
            <w:noWrap/>
            <w:hideMark/>
          </w:tcPr>
          <w:p w:rsidR="001A26B0" w:rsidRDefault="00E33A99">
            <w:pPr>
              <w:spacing w:after="0" w:line="276" w:lineRule="auto"/>
              <w:jc w:val="center"/>
              <w:rPr>
                <w:noProof/>
                <w:szCs w:val="22"/>
                <w:lang w:eastAsia="en-GB"/>
              </w:rPr>
            </w:pPr>
            <w:r>
              <w:rPr>
                <w:noProof/>
                <w:szCs w:val="22"/>
                <w:lang w:eastAsia="en-GB"/>
              </w:rPr>
              <w:t>29%</w:t>
            </w:r>
          </w:p>
        </w:tc>
        <w:tc>
          <w:tcPr>
            <w:tcW w:w="714" w:type="pct"/>
            <w:noWrap/>
            <w:hideMark/>
          </w:tcPr>
          <w:p w:rsidR="001A26B0" w:rsidRDefault="00E33A99">
            <w:pPr>
              <w:spacing w:after="0" w:line="276" w:lineRule="auto"/>
              <w:jc w:val="center"/>
              <w:rPr>
                <w:noProof/>
                <w:szCs w:val="22"/>
                <w:lang w:eastAsia="en-GB"/>
              </w:rPr>
            </w:pPr>
            <w:r>
              <w:rPr>
                <w:noProof/>
                <w:szCs w:val="22"/>
                <w:lang w:eastAsia="en-GB"/>
              </w:rPr>
              <w:t>49%</w:t>
            </w:r>
          </w:p>
        </w:tc>
        <w:tc>
          <w:tcPr>
            <w:tcW w:w="715" w:type="pct"/>
            <w:noWrap/>
            <w:hideMark/>
          </w:tcPr>
          <w:p w:rsidR="001A26B0" w:rsidRDefault="00E33A99">
            <w:pPr>
              <w:spacing w:after="0" w:line="276" w:lineRule="auto"/>
              <w:jc w:val="center"/>
              <w:rPr>
                <w:noProof/>
                <w:szCs w:val="22"/>
                <w:lang w:eastAsia="en-GB"/>
              </w:rPr>
            </w:pPr>
            <w:r>
              <w:rPr>
                <w:noProof/>
                <w:szCs w:val="22"/>
                <w:lang w:eastAsia="en-GB"/>
              </w:rPr>
              <w:t>8%</w:t>
            </w:r>
          </w:p>
        </w:tc>
        <w:tc>
          <w:tcPr>
            <w:tcW w:w="714" w:type="pct"/>
            <w:noWrap/>
            <w:hideMark/>
          </w:tcPr>
          <w:p w:rsidR="001A26B0" w:rsidRDefault="00E33A99">
            <w:pPr>
              <w:spacing w:after="0" w:line="276" w:lineRule="auto"/>
              <w:jc w:val="center"/>
              <w:rPr>
                <w:noProof/>
                <w:szCs w:val="22"/>
                <w:lang w:eastAsia="en-GB"/>
              </w:rPr>
            </w:pPr>
            <w:r>
              <w:rPr>
                <w:noProof/>
                <w:szCs w:val="22"/>
                <w:lang w:eastAsia="en-GB"/>
              </w:rPr>
              <w:t>5%</w:t>
            </w:r>
          </w:p>
        </w:tc>
        <w:tc>
          <w:tcPr>
            <w:tcW w:w="714" w:type="pct"/>
            <w:noWrap/>
            <w:hideMark/>
          </w:tcPr>
          <w:p w:rsidR="001A26B0" w:rsidRDefault="00E33A99">
            <w:pPr>
              <w:spacing w:after="0" w:line="276" w:lineRule="auto"/>
              <w:jc w:val="center"/>
              <w:rPr>
                <w:noProof/>
                <w:szCs w:val="22"/>
                <w:lang w:eastAsia="en-GB"/>
              </w:rPr>
            </w:pPr>
            <w:r>
              <w:rPr>
                <w:noProof/>
                <w:szCs w:val="22"/>
                <w:lang w:eastAsia="en-GB"/>
              </w:rPr>
              <w:t>1%</w:t>
            </w:r>
          </w:p>
        </w:tc>
        <w:tc>
          <w:tcPr>
            <w:tcW w:w="715" w:type="pct"/>
            <w:noWrap/>
            <w:hideMark/>
          </w:tcPr>
          <w:p w:rsidR="001A26B0" w:rsidRDefault="00E33A99">
            <w:pPr>
              <w:spacing w:after="0" w:line="276" w:lineRule="auto"/>
              <w:jc w:val="center"/>
              <w:rPr>
                <w:noProof/>
                <w:szCs w:val="22"/>
                <w:lang w:eastAsia="en-GB"/>
              </w:rPr>
            </w:pPr>
            <w:r>
              <w:rPr>
                <w:noProof/>
                <w:szCs w:val="22"/>
                <w:lang w:eastAsia="en-GB"/>
              </w:rPr>
              <w:t>7%</w:t>
            </w:r>
          </w:p>
        </w:tc>
      </w:tr>
    </w:tbl>
    <w:p w:rsidR="001A26B0" w:rsidRDefault="001A26B0">
      <w:pPr>
        <w:spacing w:after="0"/>
        <w:rPr>
          <w:noProof/>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1260"/>
        <w:gridCol w:w="1261"/>
        <w:gridCol w:w="1263"/>
        <w:gridCol w:w="1261"/>
        <w:gridCol w:w="1261"/>
        <w:gridCol w:w="1263"/>
      </w:tblGrid>
      <w:tr w:rsidR="001A26B0">
        <w:trPr>
          <w:trHeight w:val="264"/>
        </w:trPr>
        <w:tc>
          <w:tcPr>
            <w:tcW w:w="714" w:type="pct"/>
            <w:shd w:val="clear" w:color="auto" w:fill="auto"/>
            <w:noWrap/>
            <w:vAlign w:val="bottom"/>
            <w:hideMark/>
          </w:tcPr>
          <w:p w:rsidR="001A26B0" w:rsidRDefault="00E33A99">
            <w:pPr>
              <w:spacing w:after="0" w:line="276" w:lineRule="auto"/>
              <w:rPr>
                <w:b/>
                <w:noProof/>
                <w:szCs w:val="22"/>
                <w:lang w:eastAsia="en-GB"/>
              </w:rPr>
            </w:pPr>
            <w:r>
              <w:rPr>
                <w:b/>
                <w:noProof/>
                <w:szCs w:val="22"/>
                <w:lang w:eastAsia="en-GB"/>
              </w:rPr>
              <w:t>2030</w:t>
            </w:r>
          </w:p>
        </w:tc>
        <w:tc>
          <w:tcPr>
            <w:tcW w:w="714" w:type="pct"/>
            <w:shd w:val="clear" w:color="auto" w:fill="auto"/>
            <w:noWrap/>
            <w:vAlign w:val="bottom"/>
            <w:hideMark/>
          </w:tcPr>
          <w:p w:rsidR="001A26B0" w:rsidRDefault="00E33A99">
            <w:pPr>
              <w:spacing w:after="0" w:line="276" w:lineRule="auto"/>
              <w:jc w:val="center"/>
              <w:rPr>
                <w:b/>
                <w:noProof/>
                <w:szCs w:val="22"/>
                <w:lang w:eastAsia="en-GB"/>
              </w:rPr>
            </w:pPr>
            <w:r>
              <w:rPr>
                <w:b/>
                <w:noProof/>
                <w:szCs w:val="22"/>
                <w:lang w:eastAsia="en-GB"/>
              </w:rPr>
              <w:t>diesel</w:t>
            </w:r>
          </w:p>
        </w:tc>
        <w:tc>
          <w:tcPr>
            <w:tcW w:w="714" w:type="pct"/>
            <w:shd w:val="clear" w:color="auto" w:fill="auto"/>
            <w:noWrap/>
            <w:vAlign w:val="bottom"/>
            <w:hideMark/>
          </w:tcPr>
          <w:p w:rsidR="001A26B0" w:rsidRDefault="00E33A99">
            <w:pPr>
              <w:spacing w:after="0" w:line="276" w:lineRule="auto"/>
              <w:jc w:val="center"/>
              <w:rPr>
                <w:b/>
                <w:noProof/>
                <w:szCs w:val="22"/>
                <w:lang w:eastAsia="en-GB"/>
              </w:rPr>
            </w:pPr>
            <w:r>
              <w:rPr>
                <w:b/>
                <w:noProof/>
                <w:szCs w:val="22"/>
                <w:lang w:eastAsia="en-GB"/>
              </w:rPr>
              <w:t>gasoline</w:t>
            </w:r>
          </w:p>
        </w:tc>
        <w:tc>
          <w:tcPr>
            <w:tcW w:w="715" w:type="pct"/>
            <w:shd w:val="clear" w:color="auto" w:fill="auto"/>
            <w:noWrap/>
            <w:vAlign w:val="bottom"/>
            <w:hideMark/>
          </w:tcPr>
          <w:p w:rsidR="001A26B0" w:rsidRDefault="00E33A99">
            <w:pPr>
              <w:spacing w:after="0" w:line="276" w:lineRule="auto"/>
              <w:jc w:val="center"/>
              <w:rPr>
                <w:b/>
                <w:noProof/>
                <w:szCs w:val="22"/>
                <w:lang w:eastAsia="en-GB"/>
              </w:rPr>
            </w:pPr>
            <w:r>
              <w:rPr>
                <w:b/>
                <w:noProof/>
                <w:szCs w:val="22"/>
                <w:lang w:eastAsia="en-GB"/>
              </w:rPr>
              <w:t>PHEV</w:t>
            </w:r>
          </w:p>
        </w:tc>
        <w:tc>
          <w:tcPr>
            <w:tcW w:w="714" w:type="pct"/>
            <w:shd w:val="clear" w:color="auto" w:fill="auto"/>
            <w:noWrap/>
            <w:vAlign w:val="bottom"/>
            <w:hideMark/>
          </w:tcPr>
          <w:p w:rsidR="001A26B0" w:rsidRDefault="00E33A99">
            <w:pPr>
              <w:spacing w:after="0" w:line="276" w:lineRule="auto"/>
              <w:jc w:val="center"/>
              <w:rPr>
                <w:b/>
                <w:noProof/>
                <w:szCs w:val="22"/>
                <w:lang w:eastAsia="en-GB"/>
              </w:rPr>
            </w:pPr>
            <w:r>
              <w:rPr>
                <w:b/>
                <w:noProof/>
                <w:szCs w:val="22"/>
                <w:lang w:eastAsia="en-GB"/>
              </w:rPr>
              <w:t>BEV</w:t>
            </w:r>
          </w:p>
        </w:tc>
        <w:tc>
          <w:tcPr>
            <w:tcW w:w="714" w:type="pct"/>
            <w:shd w:val="clear" w:color="auto" w:fill="auto"/>
            <w:noWrap/>
            <w:vAlign w:val="bottom"/>
            <w:hideMark/>
          </w:tcPr>
          <w:p w:rsidR="001A26B0" w:rsidRDefault="00E33A99">
            <w:pPr>
              <w:spacing w:after="0" w:line="276" w:lineRule="auto"/>
              <w:jc w:val="center"/>
              <w:rPr>
                <w:b/>
                <w:noProof/>
                <w:szCs w:val="22"/>
                <w:lang w:eastAsia="en-GB"/>
              </w:rPr>
            </w:pPr>
            <w:r>
              <w:rPr>
                <w:b/>
                <w:noProof/>
                <w:szCs w:val="22"/>
                <w:lang w:eastAsia="en-GB"/>
              </w:rPr>
              <w:t>FCEV</w:t>
            </w:r>
          </w:p>
        </w:tc>
        <w:tc>
          <w:tcPr>
            <w:tcW w:w="715" w:type="pct"/>
            <w:shd w:val="clear" w:color="auto" w:fill="auto"/>
            <w:noWrap/>
            <w:vAlign w:val="bottom"/>
            <w:hideMark/>
          </w:tcPr>
          <w:p w:rsidR="001A26B0" w:rsidRDefault="00E33A99">
            <w:pPr>
              <w:spacing w:after="0" w:line="276" w:lineRule="auto"/>
              <w:jc w:val="center"/>
              <w:rPr>
                <w:b/>
                <w:noProof/>
                <w:szCs w:val="22"/>
                <w:lang w:eastAsia="en-GB"/>
              </w:rPr>
            </w:pPr>
            <w:r>
              <w:rPr>
                <w:b/>
                <w:noProof/>
                <w:szCs w:val="22"/>
                <w:lang w:eastAsia="en-GB"/>
              </w:rPr>
              <w:t>other</w:t>
            </w:r>
          </w:p>
        </w:tc>
      </w:tr>
    </w:tbl>
    <w:tbl>
      <w:tblPr>
        <w:tblStyle w:val="TableGrid"/>
        <w:tblW w:w="5000" w:type="pct"/>
        <w:tblLook w:val="04A0" w:firstRow="1" w:lastRow="0" w:firstColumn="1" w:lastColumn="0" w:noHBand="0" w:noVBand="1"/>
      </w:tblPr>
      <w:tblGrid>
        <w:gridCol w:w="1260"/>
        <w:gridCol w:w="1260"/>
        <w:gridCol w:w="1261"/>
        <w:gridCol w:w="1263"/>
        <w:gridCol w:w="1261"/>
        <w:gridCol w:w="1261"/>
        <w:gridCol w:w="1263"/>
      </w:tblGrid>
      <w:tr w:rsidR="001A26B0">
        <w:trPr>
          <w:trHeight w:val="264"/>
        </w:trPr>
        <w:tc>
          <w:tcPr>
            <w:tcW w:w="714" w:type="pct"/>
            <w:noWrap/>
          </w:tcPr>
          <w:p w:rsidR="001A26B0" w:rsidRDefault="00E33A99">
            <w:pPr>
              <w:spacing w:after="0" w:line="276" w:lineRule="auto"/>
              <w:rPr>
                <w:noProof/>
                <w:szCs w:val="22"/>
                <w:lang w:eastAsia="en-GB"/>
              </w:rPr>
            </w:pPr>
            <w:r>
              <w:rPr>
                <w:noProof/>
                <w:szCs w:val="22"/>
                <w:lang w:eastAsia="en-GB"/>
              </w:rPr>
              <w:t>TLC25</w:t>
            </w:r>
          </w:p>
        </w:tc>
        <w:tc>
          <w:tcPr>
            <w:tcW w:w="714" w:type="pct"/>
            <w:noWrap/>
          </w:tcPr>
          <w:p w:rsidR="001A26B0" w:rsidRDefault="00E33A99">
            <w:pPr>
              <w:spacing w:after="0" w:line="276" w:lineRule="auto"/>
              <w:jc w:val="center"/>
              <w:rPr>
                <w:noProof/>
                <w:szCs w:val="22"/>
                <w:lang w:eastAsia="en-GB"/>
              </w:rPr>
            </w:pPr>
            <w:r>
              <w:rPr>
                <w:noProof/>
                <w:szCs w:val="22"/>
                <w:lang w:eastAsia="en-GB"/>
              </w:rPr>
              <w:t>39%</w:t>
            </w:r>
          </w:p>
        </w:tc>
        <w:tc>
          <w:tcPr>
            <w:tcW w:w="714" w:type="pct"/>
            <w:noWrap/>
          </w:tcPr>
          <w:p w:rsidR="001A26B0" w:rsidRDefault="00E33A99">
            <w:pPr>
              <w:spacing w:after="0" w:line="276" w:lineRule="auto"/>
              <w:jc w:val="center"/>
              <w:rPr>
                <w:noProof/>
                <w:szCs w:val="22"/>
                <w:lang w:eastAsia="en-GB"/>
              </w:rPr>
            </w:pPr>
            <w:r>
              <w:rPr>
                <w:noProof/>
                <w:szCs w:val="22"/>
                <w:lang w:eastAsia="en-GB"/>
              </w:rPr>
              <w:t>36%</w:t>
            </w:r>
          </w:p>
        </w:tc>
        <w:tc>
          <w:tcPr>
            <w:tcW w:w="715" w:type="pct"/>
            <w:noWrap/>
          </w:tcPr>
          <w:p w:rsidR="001A26B0" w:rsidRDefault="00E33A99">
            <w:pPr>
              <w:spacing w:after="0" w:line="276" w:lineRule="auto"/>
              <w:jc w:val="center"/>
              <w:rPr>
                <w:noProof/>
                <w:szCs w:val="22"/>
                <w:lang w:eastAsia="en-GB"/>
              </w:rPr>
            </w:pPr>
            <w:r>
              <w:rPr>
                <w:noProof/>
                <w:szCs w:val="22"/>
              </w:rPr>
              <w:t>10%</w:t>
            </w:r>
          </w:p>
        </w:tc>
        <w:tc>
          <w:tcPr>
            <w:tcW w:w="714" w:type="pct"/>
            <w:noWrap/>
          </w:tcPr>
          <w:p w:rsidR="001A26B0" w:rsidRDefault="00E33A99">
            <w:pPr>
              <w:spacing w:after="0" w:line="276" w:lineRule="auto"/>
              <w:jc w:val="center"/>
              <w:rPr>
                <w:noProof/>
                <w:szCs w:val="22"/>
                <w:lang w:eastAsia="en-GB"/>
              </w:rPr>
            </w:pPr>
            <w:r>
              <w:rPr>
                <w:noProof/>
                <w:szCs w:val="22"/>
              </w:rPr>
              <w:t>7%</w:t>
            </w:r>
          </w:p>
        </w:tc>
        <w:tc>
          <w:tcPr>
            <w:tcW w:w="714" w:type="pct"/>
            <w:noWrap/>
          </w:tcPr>
          <w:p w:rsidR="001A26B0" w:rsidRDefault="00E33A99">
            <w:pPr>
              <w:spacing w:after="0" w:line="276" w:lineRule="auto"/>
              <w:jc w:val="center"/>
              <w:rPr>
                <w:noProof/>
                <w:szCs w:val="22"/>
                <w:lang w:eastAsia="en-GB"/>
              </w:rPr>
            </w:pPr>
            <w:r>
              <w:rPr>
                <w:noProof/>
                <w:szCs w:val="22"/>
              </w:rPr>
              <w:t>2%</w:t>
            </w:r>
          </w:p>
        </w:tc>
        <w:tc>
          <w:tcPr>
            <w:tcW w:w="715" w:type="pct"/>
            <w:noWrap/>
          </w:tcPr>
          <w:p w:rsidR="001A26B0" w:rsidRDefault="00E33A99">
            <w:pPr>
              <w:spacing w:after="0" w:line="276" w:lineRule="auto"/>
              <w:jc w:val="center"/>
              <w:rPr>
                <w:noProof/>
                <w:szCs w:val="22"/>
                <w:lang w:eastAsia="en-GB"/>
              </w:rPr>
            </w:pPr>
            <w:r>
              <w:rPr>
                <w:noProof/>
                <w:szCs w:val="22"/>
                <w:lang w:eastAsia="en-GB"/>
              </w:rPr>
              <w:t>6%</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1260"/>
        <w:gridCol w:w="1261"/>
        <w:gridCol w:w="1263"/>
        <w:gridCol w:w="1261"/>
        <w:gridCol w:w="1261"/>
        <w:gridCol w:w="1263"/>
      </w:tblGrid>
      <w:tr w:rsidR="001A26B0">
        <w:trPr>
          <w:trHeight w:val="264"/>
        </w:trPr>
        <w:tc>
          <w:tcPr>
            <w:tcW w:w="714" w:type="pct"/>
            <w:shd w:val="clear" w:color="auto" w:fill="auto"/>
            <w:noWrap/>
            <w:vAlign w:val="bottom"/>
            <w:hideMark/>
          </w:tcPr>
          <w:p w:rsidR="001A26B0" w:rsidRDefault="00E33A99">
            <w:pPr>
              <w:spacing w:after="0" w:line="276" w:lineRule="auto"/>
              <w:rPr>
                <w:noProof/>
                <w:szCs w:val="22"/>
                <w:lang w:eastAsia="en-GB"/>
              </w:rPr>
            </w:pPr>
            <w:r>
              <w:rPr>
                <w:noProof/>
                <w:szCs w:val="22"/>
                <w:lang w:eastAsia="en-GB"/>
              </w:rPr>
              <w:t>TLC30</w:t>
            </w:r>
          </w:p>
        </w:tc>
        <w:tc>
          <w:tcPr>
            <w:tcW w:w="714" w:type="pct"/>
            <w:shd w:val="clear" w:color="auto" w:fill="auto"/>
            <w:noWrap/>
            <w:vAlign w:val="bottom"/>
            <w:hideMark/>
          </w:tcPr>
          <w:p w:rsidR="001A26B0" w:rsidRDefault="00E33A99">
            <w:pPr>
              <w:spacing w:after="0" w:line="276" w:lineRule="auto"/>
              <w:jc w:val="center"/>
              <w:rPr>
                <w:noProof/>
                <w:szCs w:val="22"/>
                <w:lang w:eastAsia="en-GB"/>
              </w:rPr>
            </w:pPr>
            <w:r>
              <w:rPr>
                <w:noProof/>
                <w:szCs w:val="22"/>
                <w:lang w:eastAsia="en-GB"/>
              </w:rPr>
              <w:t>39%</w:t>
            </w:r>
          </w:p>
        </w:tc>
        <w:tc>
          <w:tcPr>
            <w:tcW w:w="714" w:type="pct"/>
            <w:shd w:val="clear" w:color="auto" w:fill="auto"/>
            <w:noWrap/>
            <w:vAlign w:val="bottom"/>
            <w:hideMark/>
          </w:tcPr>
          <w:p w:rsidR="001A26B0" w:rsidRDefault="00E33A99">
            <w:pPr>
              <w:spacing w:after="0" w:line="276" w:lineRule="auto"/>
              <w:jc w:val="center"/>
              <w:rPr>
                <w:noProof/>
                <w:szCs w:val="22"/>
                <w:lang w:eastAsia="en-GB"/>
              </w:rPr>
            </w:pPr>
            <w:r>
              <w:rPr>
                <w:noProof/>
                <w:szCs w:val="22"/>
                <w:lang w:eastAsia="en-GB"/>
              </w:rPr>
              <w:t>35%</w:t>
            </w:r>
          </w:p>
        </w:tc>
        <w:tc>
          <w:tcPr>
            <w:tcW w:w="715" w:type="pct"/>
            <w:shd w:val="clear" w:color="auto" w:fill="auto"/>
            <w:noWrap/>
            <w:vAlign w:val="bottom"/>
            <w:hideMark/>
          </w:tcPr>
          <w:p w:rsidR="001A26B0" w:rsidRDefault="00E33A99">
            <w:pPr>
              <w:spacing w:after="0" w:line="276" w:lineRule="auto"/>
              <w:jc w:val="center"/>
              <w:rPr>
                <w:noProof/>
                <w:szCs w:val="22"/>
                <w:lang w:eastAsia="en-GB"/>
              </w:rPr>
            </w:pPr>
            <w:r>
              <w:rPr>
                <w:noProof/>
                <w:szCs w:val="22"/>
                <w:lang w:eastAsia="en-GB"/>
              </w:rPr>
              <w:t>11%</w:t>
            </w:r>
          </w:p>
        </w:tc>
        <w:tc>
          <w:tcPr>
            <w:tcW w:w="714" w:type="pct"/>
            <w:shd w:val="clear" w:color="auto" w:fill="auto"/>
            <w:noWrap/>
            <w:vAlign w:val="bottom"/>
            <w:hideMark/>
          </w:tcPr>
          <w:p w:rsidR="001A26B0" w:rsidRDefault="00E33A99">
            <w:pPr>
              <w:spacing w:after="0" w:line="276" w:lineRule="auto"/>
              <w:jc w:val="center"/>
              <w:rPr>
                <w:noProof/>
                <w:szCs w:val="22"/>
                <w:lang w:eastAsia="en-GB"/>
              </w:rPr>
            </w:pPr>
            <w:r>
              <w:rPr>
                <w:noProof/>
                <w:szCs w:val="22"/>
                <w:lang w:eastAsia="en-GB"/>
              </w:rPr>
              <w:t>7%</w:t>
            </w:r>
          </w:p>
        </w:tc>
        <w:tc>
          <w:tcPr>
            <w:tcW w:w="714" w:type="pct"/>
            <w:shd w:val="clear" w:color="auto" w:fill="auto"/>
            <w:noWrap/>
            <w:vAlign w:val="bottom"/>
            <w:hideMark/>
          </w:tcPr>
          <w:p w:rsidR="001A26B0" w:rsidRDefault="00E33A99">
            <w:pPr>
              <w:spacing w:after="0" w:line="276" w:lineRule="auto"/>
              <w:jc w:val="center"/>
              <w:rPr>
                <w:noProof/>
                <w:szCs w:val="22"/>
                <w:lang w:eastAsia="en-GB"/>
              </w:rPr>
            </w:pPr>
            <w:r>
              <w:rPr>
                <w:noProof/>
                <w:szCs w:val="22"/>
                <w:lang w:eastAsia="en-GB"/>
              </w:rPr>
              <w:t>2%</w:t>
            </w:r>
          </w:p>
        </w:tc>
        <w:tc>
          <w:tcPr>
            <w:tcW w:w="715" w:type="pct"/>
            <w:shd w:val="clear" w:color="auto" w:fill="auto"/>
            <w:noWrap/>
            <w:vAlign w:val="bottom"/>
            <w:hideMark/>
          </w:tcPr>
          <w:p w:rsidR="001A26B0" w:rsidRDefault="00E33A99">
            <w:pPr>
              <w:spacing w:after="0" w:line="276" w:lineRule="auto"/>
              <w:jc w:val="center"/>
              <w:rPr>
                <w:noProof/>
                <w:szCs w:val="22"/>
                <w:lang w:eastAsia="en-GB"/>
              </w:rPr>
            </w:pPr>
            <w:r>
              <w:rPr>
                <w:noProof/>
                <w:szCs w:val="22"/>
                <w:lang w:eastAsia="en-GB"/>
              </w:rPr>
              <w:t>7%</w:t>
            </w:r>
          </w:p>
        </w:tc>
      </w:tr>
      <w:tr w:rsidR="001A26B0">
        <w:trPr>
          <w:trHeight w:val="264"/>
        </w:trPr>
        <w:tc>
          <w:tcPr>
            <w:tcW w:w="714" w:type="pct"/>
            <w:shd w:val="clear" w:color="auto" w:fill="auto"/>
            <w:noWrap/>
            <w:vAlign w:val="bottom"/>
            <w:hideMark/>
          </w:tcPr>
          <w:p w:rsidR="001A26B0" w:rsidRDefault="00E33A99">
            <w:pPr>
              <w:spacing w:after="0" w:line="276" w:lineRule="auto"/>
              <w:rPr>
                <w:noProof/>
                <w:szCs w:val="22"/>
                <w:lang w:eastAsia="en-GB"/>
              </w:rPr>
            </w:pPr>
            <w:r>
              <w:rPr>
                <w:noProof/>
                <w:szCs w:val="22"/>
                <w:lang w:eastAsia="en-GB"/>
              </w:rPr>
              <w:t>Diesel_1</w:t>
            </w:r>
          </w:p>
        </w:tc>
        <w:tc>
          <w:tcPr>
            <w:tcW w:w="714" w:type="pct"/>
            <w:shd w:val="clear" w:color="auto" w:fill="auto"/>
            <w:noWrap/>
            <w:vAlign w:val="bottom"/>
            <w:hideMark/>
          </w:tcPr>
          <w:p w:rsidR="001A26B0" w:rsidRDefault="00E33A99">
            <w:pPr>
              <w:spacing w:after="0" w:line="276" w:lineRule="auto"/>
              <w:jc w:val="center"/>
              <w:rPr>
                <w:noProof/>
                <w:szCs w:val="22"/>
                <w:lang w:eastAsia="en-GB"/>
              </w:rPr>
            </w:pPr>
            <w:r>
              <w:rPr>
                <w:noProof/>
                <w:szCs w:val="22"/>
                <w:lang w:eastAsia="en-GB"/>
              </w:rPr>
              <w:t>28%</w:t>
            </w:r>
          </w:p>
        </w:tc>
        <w:tc>
          <w:tcPr>
            <w:tcW w:w="714" w:type="pct"/>
            <w:shd w:val="clear" w:color="auto" w:fill="auto"/>
            <w:noWrap/>
            <w:vAlign w:val="bottom"/>
            <w:hideMark/>
          </w:tcPr>
          <w:p w:rsidR="001A26B0" w:rsidRDefault="00E33A99">
            <w:pPr>
              <w:spacing w:after="0" w:line="276" w:lineRule="auto"/>
              <w:jc w:val="center"/>
              <w:rPr>
                <w:noProof/>
                <w:szCs w:val="22"/>
                <w:lang w:eastAsia="en-GB"/>
              </w:rPr>
            </w:pPr>
            <w:r>
              <w:rPr>
                <w:noProof/>
                <w:szCs w:val="22"/>
                <w:lang w:eastAsia="en-GB"/>
              </w:rPr>
              <w:t>43%</w:t>
            </w:r>
          </w:p>
        </w:tc>
        <w:tc>
          <w:tcPr>
            <w:tcW w:w="715" w:type="pct"/>
            <w:shd w:val="clear" w:color="auto" w:fill="auto"/>
            <w:noWrap/>
            <w:vAlign w:val="bottom"/>
            <w:hideMark/>
          </w:tcPr>
          <w:p w:rsidR="001A26B0" w:rsidRDefault="00E33A99">
            <w:pPr>
              <w:spacing w:after="0" w:line="276" w:lineRule="auto"/>
              <w:jc w:val="center"/>
              <w:rPr>
                <w:noProof/>
                <w:szCs w:val="22"/>
                <w:lang w:eastAsia="en-GB"/>
              </w:rPr>
            </w:pPr>
            <w:r>
              <w:rPr>
                <w:noProof/>
                <w:szCs w:val="22"/>
                <w:lang w:eastAsia="en-GB"/>
              </w:rPr>
              <w:t>12%</w:t>
            </w:r>
          </w:p>
        </w:tc>
        <w:tc>
          <w:tcPr>
            <w:tcW w:w="714" w:type="pct"/>
            <w:shd w:val="clear" w:color="auto" w:fill="auto"/>
            <w:noWrap/>
            <w:vAlign w:val="bottom"/>
            <w:hideMark/>
          </w:tcPr>
          <w:p w:rsidR="001A26B0" w:rsidRDefault="00E33A99">
            <w:pPr>
              <w:spacing w:after="0" w:line="276" w:lineRule="auto"/>
              <w:jc w:val="center"/>
              <w:rPr>
                <w:noProof/>
                <w:szCs w:val="22"/>
                <w:lang w:eastAsia="en-GB"/>
              </w:rPr>
            </w:pPr>
            <w:r>
              <w:rPr>
                <w:noProof/>
                <w:szCs w:val="22"/>
                <w:lang w:eastAsia="en-GB"/>
              </w:rPr>
              <w:t>7%</w:t>
            </w:r>
          </w:p>
        </w:tc>
        <w:tc>
          <w:tcPr>
            <w:tcW w:w="714" w:type="pct"/>
            <w:shd w:val="clear" w:color="auto" w:fill="auto"/>
            <w:noWrap/>
            <w:vAlign w:val="bottom"/>
            <w:hideMark/>
          </w:tcPr>
          <w:p w:rsidR="001A26B0" w:rsidRDefault="00E33A99">
            <w:pPr>
              <w:spacing w:after="0" w:line="276" w:lineRule="auto"/>
              <w:jc w:val="center"/>
              <w:rPr>
                <w:noProof/>
                <w:szCs w:val="22"/>
                <w:lang w:eastAsia="en-GB"/>
              </w:rPr>
            </w:pPr>
            <w:r>
              <w:rPr>
                <w:noProof/>
                <w:szCs w:val="22"/>
                <w:lang w:eastAsia="en-GB"/>
              </w:rPr>
              <w:t>2%</w:t>
            </w:r>
          </w:p>
        </w:tc>
        <w:tc>
          <w:tcPr>
            <w:tcW w:w="715" w:type="pct"/>
            <w:shd w:val="clear" w:color="auto" w:fill="auto"/>
            <w:noWrap/>
            <w:vAlign w:val="bottom"/>
            <w:hideMark/>
          </w:tcPr>
          <w:p w:rsidR="001A26B0" w:rsidRDefault="00E33A99">
            <w:pPr>
              <w:spacing w:after="0" w:line="276" w:lineRule="auto"/>
              <w:jc w:val="center"/>
              <w:rPr>
                <w:noProof/>
                <w:szCs w:val="22"/>
                <w:lang w:eastAsia="en-GB"/>
              </w:rPr>
            </w:pPr>
            <w:r>
              <w:rPr>
                <w:noProof/>
                <w:szCs w:val="22"/>
                <w:lang w:eastAsia="en-GB"/>
              </w:rPr>
              <w:t>7%</w:t>
            </w:r>
          </w:p>
        </w:tc>
      </w:tr>
      <w:tr w:rsidR="001A26B0">
        <w:trPr>
          <w:trHeight w:val="264"/>
        </w:trPr>
        <w:tc>
          <w:tcPr>
            <w:tcW w:w="714" w:type="pct"/>
            <w:shd w:val="clear" w:color="auto" w:fill="auto"/>
            <w:noWrap/>
            <w:vAlign w:val="bottom"/>
            <w:hideMark/>
          </w:tcPr>
          <w:p w:rsidR="001A26B0" w:rsidRDefault="00E33A99">
            <w:pPr>
              <w:spacing w:after="0" w:line="276" w:lineRule="auto"/>
              <w:rPr>
                <w:noProof/>
                <w:szCs w:val="22"/>
                <w:lang w:eastAsia="en-GB"/>
              </w:rPr>
            </w:pPr>
            <w:r>
              <w:rPr>
                <w:noProof/>
                <w:szCs w:val="22"/>
                <w:lang w:eastAsia="en-GB"/>
              </w:rPr>
              <w:t>Diesel_2</w:t>
            </w:r>
          </w:p>
        </w:tc>
        <w:tc>
          <w:tcPr>
            <w:tcW w:w="714" w:type="pct"/>
            <w:shd w:val="clear" w:color="auto" w:fill="auto"/>
            <w:noWrap/>
            <w:vAlign w:val="bottom"/>
            <w:hideMark/>
          </w:tcPr>
          <w:p w:rsidR="001A26B0" w:rsidRDefault="00E33A99">
            <w:pPr>
              <w:spacing w:after="0" w:line="276" w:lineRule="auto"/>
              <w:jc w:val="center"/>
              <w:rPr>
                <w:noProof/>
                <w:szCs w:val="22"/>
                <w:lang w:eastAsia="en-GB"/>
              </w:rPr>
            </w:pPr>
            <w:r>
              <w:rPr>
                <w:noProof/>
                <w:szCs w:val="22"/>
                <w:lang w:eastAsia="en-GB"/>
              </w:rPr>
              <w:t>13%</w:t>
            </w:r>
          </w:p>
        </w:tc>
        <w:tc>
          <w:tcPr>
            <w:tcW w:w="714" w:type="pct"/>
            <w:shd w:val="clear" w:color="auto" w:fill="auto"/>
            <w:noWrap/>
            <w:vAlign w:val="bottom"/>
            <w:hideMark/>
          </w:tcPr>
          <w:p w:rsidR="001A26B0" w:rsidRDefault="00E33A99">
            <w:pPr>
              <w:spacing w:after="0" w:line="276" w:lineRule="auto"/>
              <w:jc w:val="center"/>
              <w:rPr>
                <w:noProof/>
                <w:szCs w:val="22"/>
                <w:lang w:eastAsia="en-GB"/>
              </w:rPr>
            </w:pPr>
            <w:r>
              <w:rPr>
                <w:noProof/>
                <w:szCs w:val="22"/>
                <w:lang w:eastAsia="en-GB"/>
              </w:rPr>
              <w:t>55%</w:t>
            </w:r>
          </w:p>
        </w:tc>
        <w:tc>
          <w:tcPr>
            <w:tcW w:w="715" w:type="pct"/>
            <w:shd w:val="clear" w:color="auto" w:fill="auto"/>
            <w:noWrap/>
            <w:vAlign w:val="bottom"/>
            <w:hideMark/>
          </w:tcPr>
          <w:p w:rsidR="001A26B0" w:rsidRDefault="00E33A99">
            <w:pPr>
              <w:spacing w:after="0" w:line="276" w:lineRule="auto"/>
              <w:jc w:val="center"/>
              <w:rPr>
                <w:noProof/>
                <w:szCs w:val="22"/>
                <w:lang w:eastAsia="en-GB"/>
              </w:rPr>
            </w:pPr>
            <w:r>
              <w:rPr>
                <w:noProof/>
                <w:szCs w:val="22"/>
                <w:lang w:eastAsia="en-GB"/>
              </w:rPr>
              <w:t>13%</w:t>
            </w:r>
          </w:p>
        </w:tc>
        <w:tc>
          <w:tcPr>
            <w:tcW w:w="714" w:type="pct"/>
            <w:shd w:val="clear" w:color="auto" w:fill="auto"/>
            <w:noWrap/>
            <w:vAlign w:val="bottom"/>
            <w:hideMark/>
          </w:tcPr>
          <w:p w:rsidR="001A26B0" w:rsidRDefault="00E33A99">
            <w:pPr>
              <w:spacing w:after="0" w:line="276" w:lineRule="auto"/>
              <w:jc w:val="center"/>
              <w:rPr>
                <w:noProof/>
                <w:szCs w:val="22"/>
                <w:lang w:eastAsia="en-GB"/>
              </w:rPr>
            </w:pPr>
            <w:r>
              <w:rPr>
                <w:noProof/>
                <w:szCs w:val="22"/>
                <w:lang w:eastAsia="en-GB"/>
              </w:rPr>
              <w:t>8%</w:t>
            </w:r>
          </w:p>
        </w:tc>
        <w:tc>
          <w:tcPr>
            <w:tcW w:w="714" w:type="pct"/>
            <w:shd w:val="clear" w:color="auto" w:fill="auto"/>
            <w:noWrap/>
            <w:vAlign w:val="bottom"/>
            <w:hideMark/>
          </w:tcPr>
          <w:p w:rsidR="001A26B0" w:rsidRDefault="00E33A99">
            <w:pPr>
              <w:spacing w:after="0" w:line="276" w:lineRule="auto"/>
              <w:jc w:val="center"/>
              <w:rPr>
                <w:noProof/>
                <w:szCs w:val="22"/>
                <w:lang w:eastAsia="en-GB"/>
              </w:rPr>
            </w:pPr>
            <w:r>
              <w:rPr>
                <w:noProof/>
                <w:szCs w:val="22"/>
                <w:lang w:eastAsia="en-GB"/>
              </w:rPr>
              <w:t>2%</w:t>
            </w:r>
          </w:p>
        </w:tc>
        <w:tc>
          <w:tcPr>
            <w:tcW w:w="715" w:type="pct"/>
            <w:shd w:val="clear" w:color="auto" w:fill="auto"/>
            <w:noWrap/>
            <w:vAlign w:val="bottom"/>
            <w:hideMark/>
          </w:tcPr>
          <w:p w:rsidR="001A26B0" w:rsidRDefault="00E33A99">
            <w:pPr>
              <w:spacing w:after="0" w:line="276" w:lineRule="auto"/>
              <w:jc w:val="center"/>
              <w:rPr>
                <w:noProof/>
                <w:szCs w:val="22"/>
                <w:lang w:eastAsia="en-GB"/>
              </w:rPr>
            </w:pPr>
            <w:r>
              <w:rPr>
                <w:noProof/>
                <w:szCs w:val="22"/>
                <w:lang w:eastAsia="en-GB"/>
              </w:rPr>
              <w:t>9%</w:t>
            </w:r>
          </w:p>
        </w:tc>
      </w:tr>
    </w:tbl>
    <w:p w:rsidR="001A26B0" w:rsidRDefault="00E33A99">
      <w:pPr>
        <w:spacing w:before="120" w:after="120"/>
        <w:rPr>
          <w:noProof/>
          <w:szCs w:val="24"/>
        </w:rPr>
      </w:pPr>
      <w:r>
        <w:rPr>
          <w:noProof/>
          <w:szCs w:val="24"/>
        </w:rPr>
        <w:fldChar w:fldCharType="begin"/>
      </w:r>
      <w:r>
        <w:rPr>
          <w:noProof/>
          <w:szCs w:val="24"/>
        </w:rPr>
        <w:instrText xml:space="preserve"> REF _Ref493685627 \h  \* MERGEFORMAT </w:instrText>
      </w:r>
      <w:r>
        <w:rPr>
          <w:noProof/>
          <w:szCs w:val="24"/>
        </w:rPr>
      </w:r>
      <w:r>
        <w:rPr>
          <w:noProof/>
          <w:szCs w:val="24"/>
        </w:rPr>
        <w:fldChar w:fldCharType="separate"/>
      </w:r>
      <w:r>
        <w:rPr>
          <w:noProof/>
          <w:szCs w:val="24"/>
        </w:rPr>
        <w:t>Table 13</w:t>
      </w:r>
      <w:r>
        <w:rPr>
          <w:noProof/>
          <w:szCs w:val="24"/>
        </w:rPr>
        <w:fldChar w:fldCharType="end"/>
      </w:r>
      <w:r>
        <w:rPr>
          <w:noProof/>
          <w:szCs w:val="24"/>
        </w:rPr>
        <w:t xml:space="preserve"> shows the resulting tailpipe CO</w:t>
      </w:r>
      <w:r>
        <w:rPr>
          <w:noProof/>
          <w:szCs w:val="24"/>
          <w:vertAlign w:val="subscript"/>
        </w:rPr>
        <w:t>2</w:t>
      </w:r>
      <w:r>
        <w:rPr>
          <w:noProof/>
          <w:szCs w:val="24"/>
        </w:rPr>
        <w:t xml:space="preserve"> emission reductions for cars between 2025 and 2040, taking 2005 as the reference year, under the "Low Diesel</w:t>
      </w:r>
      <w:r>
        <w:rPr>
          <w:noProof/>
          <w:szCs w:val="24"/>
        </w:rPr>
        <w:t>" scenarios in conjunction with the EU-wide fleet CO</w:t>
      </w:r>
      <w:r>
        <w:rPr>
          <w:noProof/>
          <w:szCs w:val="24"/>
          <w:vertAlign w:val="subscript"/>
        </w:rPr>
        <w:t xml:space="preserve">2 </w:t>
      </w:r>
      <w:r>
        <w:rPr>
          <w:noProof/>
          <w:szCs w:val="24"/>
        </w:rPr>
        <w:t>target of option TLC30. It shows that the impact of the declining diesel share is limited. CO</w:t>
      </w:r>
      <w:r>
        <w:rPr>
          <w:noProof/>
          <w:szCs w:val="24"/>
          <w:vertAlign w:val="subscript"/>
        </w:rPr>
        <w:t>2</w:t>
      </w:r>
      <w:r>
        <w:rPr>
          <w:noProof/>
          <w:szCs w:val="24"/>
        </w:rPr>
        <w:t xml:space="preserve"> is reduced only slightly less than under option TLC30 when using the initial fleet composition. This is due</w:t>
      </w:r>
      <w:r>
        <w:rPr>
          <w:noProof/>
          <w:szCs w:val="24"/>
        </w:rPr>
        <w:t xml:space="preserve"> to the modelled gap between test cycle and real-world emissions, which is slightly lower for diesel cars compared to gasoline cars. Therefore, a declining share of diesel cars leads to a small overall increase in the gap between type approval and real wor</w:t>
      </w:r>
      <w:r>
        <w:rPr>
          <w:noProof/>
          <w:szCs w:val="24"/>
        </w:rPr>
        <w:t>ld emissions, hence a lower emissions reduction.</w:t>
      </w:r>
    </w:p>
    <w:p w:rsidR="001A26B0" w:rsidRDefault="00E33A99">
      <w:pPr>
        <w:keepNext/>
        <w:spacing w:after="120"/>
        <w:rPr>
          <w:b/>
          <w:noProof/>
          <w:szCs w:val="24"/>
        </w:rPr>
      </w:pPr>
      <w:bookmarkStart w:id="278" w:name="_Ref493685627"/>
      <w:r>
        <w:rPr>
          <w:b/>
          <w:noProof/>
          <w:szCs w:val="24"/>
        </w:rPr>
        <w:t xml:space="preserve">Table </w:t>
      </w:r>
      <w:r>
        <w:rPr>
          <w:b/>
          <w:noProof/>
          <w:szCs w:val="24"/>
        </w:rPr>
        <w:fldChar w:fldCharType="begin"/>
      </w:r>
      <w:r>
        <w:rPr>
          <w:b/>
          <w:noProof/>
          <w:szCs w:val="24"/>
        </w:rPr>
        <w:instrText xml:space="preserve"> SEQ Table \* ARABIC </w:instrText>
      </w:r>
      <w:r>
        <w:rPr>
          <w:b/>
          <w:noProof/>
          <w:szCs w:val="24"/>
        </w:rPr>
        <w:fldChar w:fldCharType="separate"/>
      </w:r>
      <w:r>
        <w:rPr>
          <w:b/>
          <w:noProof/>
          <w:szCs w:val="24"/>
        </w:rPr>
        <w:t>13</w:t>
      </w:r>
      <w:r>
        <w:rPr>
          <w:b/>
          <w:noProof/>
          <w:szCs w:val="24"/>
        </w:rPr>
        <w:fldChar w:fldCharType="end"/>
      </w:r>
      <w:bookmarkEnd w:id="278"/>
      <w:r>
        <w:rPr>
          <w:b/>
          <w:noProof/>
          <w:szCs w:val="24"/>
        </w:rPr>
        <w:t xml:space="preserve">: </w:t>
      </w:r>
      <w:r>
        <w:rPr>
          <w:b/>
          <w:noProof/>
          <w:color w:val="000000"/>
          <w:szCs w:val="24"/>
          <w:lang w:eastAsia="en-GB"/>
        </w:rPr>
        <w:t>(Tailpipe) CO</w:t>
      </w:r>
      <w:r>
        <w:rPr>
          <w:b/>
          <w:noProof/>
          <w:color w:val="000000"/>
          <w:szCs w:val="24"/>
          <w:vertAlign w:val="subscript"/>
          <w:lang w:eastAsia="en-GB"/>
        </w:rPr>
        <w:t>2</w:t>
      </w:r>
      <w:r>
        <w:rPr>
          <w:b/>
          <w:noProof/>
          <w:color w:val="000000"/>
          <w:szCs w:val="24"/>
          <w:lang w:eastAsia="en-GB"/>
        </w:rPr>
        <w:t xml:space="preserve"> emissions of passenger cars in EU-28 - % reduction compared to 2005</w:t>
      </w:r>
    </w:p>
    <w:tbl>
      <w:tblPr>
        <w:tblStyle w:val="TableGrid"/>
        <w:tblW w:w="5000" w:type="pct"/>
        <w:tblLook w:val="04A0" w:firstRow="1" w:lastRow="0" w:firstColumn="1" w:lastColumn="0" w:noHBand="0" w:noVBand="1"/>
      </w:tblPr>
      <w:tblGrid>
        <w:gridCol w:w="1765"/>
        <w:gridCol w:w="1766"/>
        <w:gridCol w:w="1766"/>
        <w:gridCol w:w="1766"/>
        <w:gridCol w:w="1766"/>
      </w:tblGrid>
      <w:tr w:rsidR="001A26B0">
        <w:trPr>
          <w:trHeight w:val="264"/>
        </w:trPr>
        <w:tc>
          <w:tcPr>
            <w:tcW w:w="1000" w:type="pct"/>
            <w:noWrap/>
            <w:hideMark/>
          </w:tcPr>
          <w:p w:rsidR="001A26B0" w:rsidRDefault="001A26B0">
            <w:pPr>
              <w:spacing w:after="0" w:line="276" w:lineRule="auto"/>
              <w:rPr>
                <w:b/>
                <w:noProof/>
                <w:szCs w:val="22"/>
                <w:lang w:eastAsia="en-GB"/>
              </w:rPr>
            </w:pPr>
          </w:p>
        </w:tc>
        <w:tc>
          <w:tcPr>
            <w:tcW w:w="1000" w:type="pct"/>
            <w:noWrap/>
            <w:hideMark/>
          </w:tcPr>
          <w:p w:rsidR="001A26B0" w:rsidRDefault="00E33A99">
            <w:pPr>
              <w:spacing w:after="0" w:line="276" w:lineRule="auto"/>
              <w:jc w:val="center"/>
              <w:rPr>
                <w:b/>
                <w:noProof/>
                <w:szCs w:val="22"/>
                <w:lang w:eastAsia="en-GB"/>
              </w:rPr>
            </w:pPr>
            <w:r>
              <w:rPr>
                <w:b/>
                <w:noProof/>
                <w:szCs w:val="22"/>
                <w:lang w:eastAsia="en-GB"/>
              </w:rPr>
              <w:t>2025</w:t>
            </w:r>
          </w:p>
        </w:tc>
        <w:tc>
          <w:tcPr>
            <w:tcW w:w="1000" w:type="pct"/>
            <w:noWrap/>
            <w:hideMark/>
          </w:tcPr>
          <w:p w:rsidR="001A26B0" w:rsidRDefault="00E33A99">
            <w:pPr>
              <w:spacing w:after="0" w:line="276" w:lineRule="auto"/>
              <w:jc w:val="center"/>
              <w:rPr>
                <w:b/>
                <w:noProof/>
                <w:szCs w:val="22"/>
                <w:lang w:eastAsia="en-GB"/>
              </w:rPr>
            </w:pPr>
            <w:r>
              <w:rPr>
                <w:b/>
                <w:noProof/>
                <w:szCs w:val="22"/>
                <w:lang w:eastAsia="en-GB"/>
              </w:rPr>
              <w:t>2030</w:t>
            </w:r>
          </w:p>
        </w:tc>
        <w:tc>
          <w:tcPr>
            <w:tcW w:w="1000" w:type="pct"/>
            <w:noWrap/>
            <w:hideMark/>
          </w:tcPr>
          <w:p w:rsidR="001A26B0" w:rsidRDefault="00E33A99">
            <w:pPr>
              <w:spacing w:after="0" w:line="276" w:lineRule="auto"/>
              <w:jc w:val="center"/>
              <w:rPr>
                <w:b/>
                <w:noProof/>
                <w:szCs w:val="22"/>
                <w:lang w:eastAsia="en-GB"/>
              </w:rPr>
            </w:pPr>
            <w:r>
              <w:rPr>
                <w:b/>
                <w:noProof/>
                <w:szCs w:val="22"/>
                <w:lang w:eastAsia="en-GB"/>
              </w:rPr>
              <w:t>2035</w:t>
            </w:r>
          </w:p>
        </w:tc>
        <w:tc>
          <w:tcPr>
            <w:tcW w:w="1000" w:type="pct"/>
            <w:noWrap/>
            <w:hideMark/>
          </w:tcPr>
          <w:p w:rsidR="001A26B0" w:rsidRDefault="00E33A99">
            <w:pPr>
              <w:spacing w:after="0" w:line="276" w:lineRule="auto"/>
              <w:jc w:val="center"/>
              <w:rPr>
                <w:b/>
                <w:noProof/>
                <w:szCs w:val="22"/>
                <w:lang w:eastAsia="en-GB"/>
              </w:rPr>
            </w:pPr>
            <w:r>
              <w:rPr>
                <w:b/>
                <w:noProof/>
                <w:szCs w:val="22"/>
                <w:lang w:eastAsia="en-GB"/>
              </w:rPr>
              <w:t>2040</w:t>
            </w:r>
          </w:p>
        </w:tc>
      </w:tr>
      <w:tr w:rsidR="001A26B0">
        <w:trPr>
          <w:trHeight w:val="264"/>
        </w:trPr>
        <w:tc>
          <w:tcPr>
            <w:tcW w:w="1000" w:type="pct"/>
            <w:noWrap/>
            <w:vAlign w:val="bottom"/>
            <w:hideMark/>
          </w:tcPr>
          <w:p w:rsidR="001A26B0" w:rsidRDefault="00E33A99">
            <w:pPr>
              <w:spacing w:after="0" w:line="276" w:lineRule="auto"/>
              <w:rPr>
                <w:noProof/>
                <w:szCs w:val="22"/>
                <w:lang w:eastAsia="en-GB"/>
              </w:rPr>
            </w:pPr>
            <w:r>
              <w:rPr>
                <w:noProof/>
                <w:szCs w:val="22"/>
                <w:lang w:eastAsia="en-GB"/>
              </w:rPr>
              <w:t>TLC30</w:t>
            </w:r>
          </w:p>
        </w:tc>
        <w:tc>
          <w:tcPr>
            <w:tcW w:w="1000" w:type="pct"/>
            <w:noWrap/>
            <w:hideMark/>
          </w:tcPr>
          <w:p w:rsidR="001A26B0" w:rsidRDefault="00E33A99">
            <w:pPr>
              <w:spacing w:after="0" w:line="276" w:lineRule="auto"/>
              <w:jc w:val="center"/>
              <w:rPr>
                <w:noProof/>
                <w:szCs w:val="22"/>
                <w:lang w:eastAsia="en-GB"/>
              </w:rPr>
            </w:pPr>
            <w:r>
              <w:rPr>
                <w:noProof/>
                <w:szCs w:val="22"/>
                <w:lang w:eastAsia="en-GB"/>
              </w:rPr>
              <w:t>22.0%</w:t>
            </w:r>
          </w:p>
        </w:tc>
        <w:tc>
          <w:tcPr>
            <w:tcW w:w="1000" w:type="pct"/>
            <w:noWrap/>
            <w:hideMark/>
          </w:tcPr>
          <w:p w:rsidR="001A26B0" w:rsidRDefault="00E33A99">
            <w:pPr>
              <w:spacing w:after="0" w:line="276" w:lineRule="auto"/>
              <w:jc w:val="center"/>
              <w:rPr>
                <w:noProof/>
                <w:szCs w:val="22"/>
                <w:lang w:eastAsia="en-GB"/>
              </w:rPr>
            </w:pPr>
            <w:r>
              <w:rPr>
                <w:noProof/>
                <w:szCs w:val="22"/>
                <w:lang w:eastAsia="en-GB"/>
              </w:rPr>
              <w:t>31.0%</w:t>
            </w:r>
          </w:p>
        </w:tc>
        <w:tc>
          <w:tcPr>
            <w:tcW w:w="1000" w:type="pct"/>
            <w:noWrap/>
            <w:hideMark/>
          </w:tcPr>
          <w:p w:rsidR="001A26B0" w:rsidRDefault="00E33A99">
            <w:pPr>
              <w:spacing w:after="0" w:line="276" w:lineRule="auto"/>
              <w:jc w:val="center"/>
              <w:rPr>
                <w:noProof/>
                <w:szCs w:val="22"/>
                <w:lang w:eastAsia="en-GB"/>
              </w:rPr>
            </w:pPr>
            <w:r>
              <w:rPr>
                <w:noProof/>
                <w:szCs w:val="22"/>
                <w:lang w:eastAsia="en-GB"/>
              </w:rPr>
              <w:t>41.3%</w:t>
            </w:r>
          </w:p>
        </w:tc>
        <w:tc>
          <w:tcPr>
            <w:tcW w:w="1000" w:type="pct"/>
            <w:noWrap/>
            <w:hideMark/>
          </w:tcPr>
          <w:p w:rsidR="001A26B0" w:rsidRDefault="00E33A99">
            <w:pPr>
              <w:spacing w:after="0" w:line="276" w:lineRule="auto"/>
              <w:jc w:val="center"/>
              <w:rPr>
                <w:noProof/>
                <w:szCs w:val="22"/>
                <w:lang w:eastAsia="en-GB"/>
              </w:rPr>
            </w:pPr>
            <w:r>
              <w:rPr>
                <w:noProof/>
                <w:szCs w:val="22"/>
                <w:lang w:eastAsia="en-GB"/>
              </w:rPr>
              <w:t>51.5%</w:t>
            </w:r>
          </w:p>
        </w:tc>
      </w:tr>
      <w:tr w:rsidR="001A26B0">
        <w:trPr>
          <w:trHeight w:val="264"/>
        </w:trPr>
        <w:tc>
          <w:tcPr>
            <w:tcW w:w="1000" w:type="pct"/>
            <w:noWrap/>
            <w:vAlign w:val="bottom"/>
            <w:hideMark/>
          </w:tcPr>
          <w:p w:rsidR="001A26B0" w:rsidRDefault="00E33A99">
            <w:pPr>
              <w:spacing w:after="0" w:line="276" w:lineRule="auto"/>
              <w:rPr>
                <w:noProof/>
                <w:szCs w:val="22"/>
                <w:lang w:eastAsia="en-GB"/>
              </w:rPr>
            </w:pPr>
            <w:r>
              <w:rPr>
                <w:noProof/>
                <w:szCs w:val="22"/>
                <w:lang w:eastAsia="en-GB"/>
              </w:rPr>
              <w:t>Diesel_1</w:t>
            </w:r>
          </w:p>
        </w:tc>
        <w:tc>
          <w:tcPr>
            <w:tcW w:w="1000" w:type="pct"/>
            <w:noWrap/>
            <w:hideMark/>
          </w:tcPr>
          <w:p w:rsidR="001A26B0" w:rsidRDefault="00E33A99">
            <w:pPr>
              <w:spacing w:after="0" w:line="276" w:lineRule="auto"/>
              <w:jc w:val="center"/>
              <w:rPr>
                <w:noProof/>
                <w:szCs w:val="22"/>
                <w:lang w:eastAsia="en-GB"/>
              </w:rPr>
            </w:pPr>
            <w:r>
              <w:rPr>
                <w:noProof/>
                <w:szCs w:val="22"/>
                <w:lang w:eastAsia="en-GB"/>
              </w:rPr>
              <w:t>21.9%</w:t>
            </w:r>
          </w:p>
        </w:tc>
        <w:tc>
          <w:tcPr>
            <w:tcW w:w="1000" w:type="pct"/>
            <w:noWrap/>
            <w:hideMark/>
          </w:tcPr>
          <w:p w:rsidR="001A26B0" w:rsidRDefault="00E33A99">
            <w:pPr>
              <w:spacing w:after="0" w:line="276" w:lineRule="auto"/>
              <w:jc w:val="center"/>
              <w:rPr>
                <w:noProof/>
                <w:szCs w:val="22"/>
                <w:lang w:eastAsia="en-GB"/>
              </w:rPr>
            </w:pPr>
            <w:r>
              <w:rPr>
                <w:noProof/>
                <w:szCs w:val="22"/>
                <w:lang w:eastAsia="en-GB"/>
              </w:rPr>
              <w:t>30.5%</w:t>
            </w:r>
          </w:p>
        </w:tc>
        <w:tc>
          <w:tcPr>
            <w:tcW w:w="1000" w:type="pct"/>
            <w:noWrap/>
            <w:hideMark/>
          </w:tcPr>
          <w:p w:rsidR="001A26B0" w:rsidRDefault="00E33A99">
            <w:pPr>
              <w:spacing w:after="0" w:line="276" w:lineRule="auto"/>
              <w:jc w:val="center"/>
              <w:rPr>
                <w:noProof/>
                <w:szCs w:val="22"/>
                <w:lang w:eastAsia="en-GB"/>
              </w:rPr>
            </w:pPr>
            <w:r>
              <w:rPr>
                <w:noProof/>
                <w:szCs w:val="22"/>
                <w:lang w:eastAsia="en-GB"/>
              </w:rPr>
              <w:t>40.8%</w:t>
            </w:r>
          </w:p>
        </w:tc>
        <w:tc>
          <w:tcPr>
            <w:tcW w:w="1000" w:type="pct"/>
            <w:noWrap/>
            <w:hideMark/>
          </w:tcPr>
          <w:p w:rsidR="001A26B0" w:rsidRDefault="00E33A99">
            <w:pPr>
              <w:spacing w:after="0" w:line="276" w:lineRule="auto"/>
              <w:jc w:val="center"/>
              <w:rPr>
                <w:noProof/>
                <w:szCs w:val="22"/>
                <w:lang w:eastAsia="en-GB"/>
              </w:rPr>
            </w:pPr>
            <w:r>
              <w:rPr>
                <w:noProof/>
                <w:szCs w:val="22"/>
                <w:lang w:eastAsia="en-GB"/>
              </w:rPr>
              <w:t>50.6%</w:t>
            </w:r>
          </w:p>
        </w:tc>
      </w:tr>
      <w:tr w:rsidR="001A26B0">
        <w:trPr>
          <w:trHeight w:val="264"/>
        </w:trPr>
        <w:tc>
          <w:tcPr>
            <w:tcW w:w="1000" w:type="pct"/>
            <w:noWrap/>
            <w:vAlign w:val="bottom"/>
            <w:hideMark/>
          </w:tcPr>
          <w:p w:rsidR="001A26B0" w:rsidRDefault="00E33A99">
            <w:pPr>
              <w:spacing w:after="0" w:line="276" w:lineRule="auto"/>
              <w:rPr>
                <w:noProof/>
                <w:szCs w:val="22"/>
                <w:lang w:eastAsia="en-GB"/>
              </w:rPr>
            </w:pPr>
            <w:r>
              <w:rPr>
                <w:noProof/>
                <w:szCs w:val="22"/>
                <w:lang w:eastAsia="en-GB"/>
              </w:rPr>
              <w:t>Diesel_2</w:t>
            </w:r>
          </w:p>
        </w:tc>
        <w:tc>
          <w:tcPr>
            <w:tcW w:w="1000" w:type="pct"/>
            <w:noWrap/>
            <w:hideMark/>
          </w:tcPr>
          <w:p w:rsidR="001A26B0" w:rsidRDefault="00E33A99">
            <w:pPr>
              <w:spacing w:after="0" w:line="276" w:lineRule="auto"/>
              <w:jc w:val="center"/>
              <w:rPr>
                <w:noProof/>
                <w:szCs w:val="22"/>
                <w:lang w:eastAsia="en-GB"/>
              </w:rPr>
            </w:pPr>
            <w:r>
              <w:rPr>
                <w:noProof/>
                <w:szCs w:val="22"/>
                <w:lang w:eastAsia="en-GB"/>
              </w:rPr>
              <w:t>21.9%</w:t>
            </w:r>
          </w:p>
        </w:tc>
        <w:tc>
          <w:tcPr>
            <w:tcW w:w="1000" w:type="pct"/>
            <w:noWrap/>
            <w:hideMark/>
          </w:tcPr>
          <w:p w:rsidR="001A26B0" w:rsidRDefault="00E33A99">
            <w:pPr>
              <w:spacing w:after="0" w:line="276" w:lineRule="auto"/>
              <w:jc w:val="center"/>
              <w:rPr>
                <w:noProof/>
                <w:szCs w:val="22"/>
                <w:lang w:eastAsia="en-GB"/>
              </w:rPr>
            </w:pPr>
            <w:r>
              <w:rPr>
                <w:noProof/>
                <w:szCs w:val="22"/>
                <w:lang w:eastAsia="en-GB"/>
              </w:rPr>
              <w:t>30.1%</w:t>
            </w:r>
          </w:p>
        </w:tc>
        <w:tc>
          <w:tcPr>
            <w:tcW w:w="1000" w:type="pct"/>
            <w:noWrap/>
            <w:hideMark/>
          </w:tcPr>
          <w:p w:rsidR="001A26B0" w:rsidRDefault="00E33A99">
            <w:pPr>
              <w:spacing w:after="0" w:line="276" w:lineRule="auto"/>
              <w:jc w:val="center"/>
              <w:rPr>
                <w:noProof/>
                <w:szCs w:val="22"/>
                <w:lang w:eastAsia="en-GB"/>
              </w:rPr>
            </w:pPr>
            <w:r>
              <w:rPr>
                <w:noProof/>
                <w:szCs w:val="22"/>
                <w:lang w:eastAsia="en-GB"/>
              </w:rPr>
              <w:t>40.1%</w:t>
            </w:r>
          </w:p>
        </w:tc>
        <w:tc>
          <w:tcPr>
            <w:tcW w:w="1000" w:type="pct"/>
            <w:noWrap/>
            <w:hideMark/>
          </w:tcPr>
          <w:p w:rsidR="001A26B0" w:rsidRDefault="00E33A99">
            <w:pPr>
              <w:spacing w:after="0" w:line="276" w:lineRule="auto"/>
              <w:jc w:val="center"/>
              <w:rPr>
                <w:noProof/>
                <w:szCs w:val="22"/>
                <w:lang w:eastAsia="en-GB"/>
              </w:rPr>
            </w:pPr>
            <w:r>
              <w:rPr>
                <w:noProof/>
                <w:szCs w:val="22"/>
                <w:lang w:eastAsia="en-GB"/>
              </w:rPr>
              <w:t>49.2%</w:t>
            </w:r>
          </w:p>
        </w:tc>
      </w:tr>
    </w:tbl>
    <w:p w:rsidR="001A26B0" w:rsidRDefault="00E33A99">
      <w:pPr>
        <w:spacing w:before="240" w:after="120"/>
        <w:rPr>
          <w:noProof/>
        </w:rPr>
      </w:pPr>
      <w:r>
        <w:rPr>
          <w:noProof/>
        </w:rPr>
        <w:t>In terms of economic impacts, the three tables below show that net savings from a societal perspective, vehicle lifetime perspective and first-user perspective decrease as diesel shares are declining. This is mainly due to</w:t>
      </w:r>
      <w:r>
        <w:rPr>
          <w:noProof/>
        </w:rPr>
        <w:t xml:space="preserve"> a decrease in the fuel savings when the market shares of diesel car decrease. However, from any of the three perspectives there will still be significant net savings, especially when approaching 2030.</w:t>
      </w:r>
    </w:p>
    <w:p w:rsidR="001A26B0" w:rsidRDefault="00E33A99">
      <w:pPr>
        <w:keepNext/>
        <w:spacing w:after="120"/>
        <w:rPr>
          <w:b/>
          <w:noProof/>
        </w:rPr>
      </w:pPr>
      <w:r>
        <w:rPr>
          <w:b/>
          <w:noProof/>
        </w:rPr>
        <w:t xml:space="preserve">Table </w:t>
      </w:r>
      <w:r>
        <w:rPr>
          <w:b/>
          <w:noProof/>
        </w:rPr>
        <w:fldChar w:fldCharType="begin"/>
      </w:r>
      <w:r>
        <w:rPr>
          <w:b/>
          <w:noProof/>
        </w:rPr>
        <w:instrText xml:space="preserve"> SEQ Table \* ARABIC </w:instrText>
      </w:r>
      <w:r>
        <w:rPr>
          <w:b/>
          <w:noProof/>
        </w:rPr>
        <w:fldChar w:fldCharType="separate"/>
      </w:r>
      <w:r>
        <w:rPr>
          <w:b/>
          <w:noProof/>
        </w:rPr>
        <w:t>14</w:t>
      </w:r>
      <w:r>
        <w:rPr>
          <w:b/>
          <w:noProof/>
        </w:rPr>
        <w:fldChar w:fldCharType="end"/>
      </w:r>
      <w:r>
        <w:rPr>
          <w:b/>
          <w:noProof/>
        </w:rPr>
        <w:t>: Net economic savings</w:t>
      </w:r>
      <w:r>
        <w:rPr>
          <w:b/>
          <w:noProof/>
        </w:rPr>
        <w:t xml:space="preserve"> from a societal perspective (EUR/car)</w:t>
      </w:r>
    </w:p>
    <w:tbl>
      <w:tblPr>
        <w:tblStyle w:val="TableGrid"/>
        <w:tblW w:w="5000" w:type="pct"/>
        <w:tblLook w:val="04A0" w:firstRow="1" w:lastRow="0" w:firstColumn="1" w:lastColumn="0" w:noHBand="0" w:noVBand="1"/>
      </w:tblPr>
      <w:tblGrid>
        <w:gridCol w:w="1788"/>
        <w:gridCol w:w="2347"/>
        <w:gridCol w:w="2347"/>
        <w:gridCol w:w="2347"/>
      </w:tblGrid>
      <w:tr w:rsidR="001A26B0">
        <w:trPr>
          <w:trHeight w:val="255"/>
        </w:trPr>
        <w:tc>
          <w:tcPr>
            <w:tcW w:w="1013" w:type="pct"/>
            <w:tcBorders>
              <w:bottom w:val="single" w:sz="4" w:space="0" w:color="auto"/>
            </w:tcBorders>
            <w:vAlign w:val="center"/>
          </w:tcPr>
          <w:p w:rsidR="001A26B0" w:rsidRDefault="001A26B0">
            <w:pPr>
              <w:spacing w:after="120"/>
              <w:jc w:val="left"/>
              <w:rPr>
                <w:b/>
                <w:noProof/>
                <w:color w:val="000000" w:themeColor="text1"/>
                <w:szCs w:val="24"/>
              </w:rPr>
            </w:pPr>
          </w:p>
        </w:tc>
        <w:tc>
          <w:tcPr>
            <w:tcW w:w="1329" w:type="pct"/>
            <w:tcBorders>
              <w:bottom w:val="single" w:sz="4" w:space="0" w:color="auto"/>
            </w:tcBorders>
            <w:noWrap/>
            <w:hideMark/>
          </w:tcPr>
          <w:p w:rsidR="001A26B0" w:rsidRDefault="00E33A99">
            <w:pPr>
              <w:spacing w:after="120"/>
              <w:jc w:val="center"/>
              <w:rPr>
                <w:b/>
                <w:noProof/>
                <w:color w:val="000000" w:themeColor="text1"/>
                <w:szCs w:val="24"/>
              </w:rPr>
            </w:pPr>
            <w:r>
              <w:rPr>
                <w:b/>
                <w:noProof/>
                <w:color w:val="000000" w:themeColor="text1"/>
                <w:szCs w:val="24"/>
              </w:rPr>
              <w:t>TLC30</w:t>
            </w:r>
          </w:p>
        </w:tc>
        <w:tc>
          <w:tcPr>
            <w:tcW w:w="1329" w:type="pct"/>
            <w:tcBorders>
              <w:bottom w:val="single" w:sz="4" w:space="0" w:color="auto"/>
            </w:tcBorders>
            <w:noWrap/>
          </w:tcPr>
          <w:p w:rsidR="001A26B0" w:rsidRDefault="00E33A99">
            <w:pPr>
              <w:spacing w:after="120"/>
              <w:jc w:val="center"/>
              <w:rPr>
                <w:b/>
                <w:noProof/>
                <w:color w:val="000000" w:themeColor="text1"/>
                <w:szCs w:val="24"/>
              </w:rPr>
            </w:pPr>
            <w:r>
              <w:rPr>
                <w:b/>
                <w:noProof/>
                <w:color w:val="000000" w:themeColor="text1"/>
                <w:szCs w:val="24"/>
              </w:rPr>
              <w:t>Diesel_1 (TLC30)</w:t>
            </w:r>
          </w:p>
        </w:tc>
        <w:tc>
          <w:tcPr>
            <w:tcW w:w="1329" w:type="pct"/>
            <w:tcBorders>
              <w:bottom w:val="single" w:sz="4" w:space="0" w:color="auto"/>
            </w:tcBorders>
            <w:noWrap/>
          </w:tcPr>
          <w:p w:rsidR="001A26B0" w:rsidRDefault="00E33A99">
            <w:pPr>
              <w:spacing w:after="120"/>
              <w:jc w:val="center"/>
              <w:rPr>
                <w:b/>
                <w:noProof/>
                <w:color w:val="000000" w:themeColor="text1"/>
                <w:szCs w:val="24"/>
              </w:rPr>
            </w:pPr>
            <w:r>
              <w:rPr>
                <w:b/>
                <w:noProof/>
                <w:szCs w:val="24"/>
                <w:lang w:eastAsia="en-GB"/>
              </w:rPr>
              <w:t xml:space="preserve">Diesel_2 </w:t>
            </w:r>
            <w:r>
              <w:rPr>
                <w:b/>
                <w:noProof/>
                <w:color w:val="000000" w:themeColor="text1"/>
                <w:szCs w:val="24"/>
              </w:rPr>
              <w:t>(TLC30)</w:t>
            </w:r>
          </w:p>
        </w:tc>
      </w:tr>
      <w:tr w:rsidR="001A26B0">
        <w:trPr>
          <w:trHeight w:val="255"/>
        </w:trPr>
        <w:tc>
          <w:tcPr>
            <w:tcW w:w="1013" w:type="pct"/>
            <w:tcBorders>
              <w:top w:val="single" w:sz="4" w:space="0" w:color="auto"/>
            </w:tcBorders>
            <w:vAlign w:val="center"/>
          </w:tcPr>
          <w:p w:rsidR="001A26B0" w:rsidRDefault="00E33A99">
            <w:pPr>
              <w:spacing w:after="120"/>
              <w:jc w:val="center"/>
              <w:rPr>
                <w:noProof/>
                <w:color w:val="000000" w:themeColor="text1"/>
              </w:rPr>
            </w:pPr>
            <w:r>
              <w:rPr>
                <w:noProof/>
                <w:color w:val="000000" w:themeColor="text1"/>
              </w:rPr>
              <w:t>2025</w:t>
            </w:r>
          </w:p>
        </w:tc>
        <w:tc>
          <w:tcPr>
            <w:tcW w:w="1329" w:type="pct"/>
            <w:tcBorders>
              <w:top w:val="single" w:sz="4" w:space="0" w:color="auto"/>
            </w:tcBorders>
            <w:noWrap/>
            <w:vAlign w:val="center"/>
          </w:tcPr>
          <w:p w:rsidR="001A26B0" w:rsidRDefault="00E33A99">
            <w:pPr>
              <w:spacing w:after="120"/>
              <w:jc w:val="center"/>
              <w:rPr>
                <w:noProof/>
                <w:color w:val="000000" w:themeColor="text1"/>
              </w:rPr>
            </w:pPr>
            <w:r>
              <w:rPr>
                <w:noProof/>
                <w:color w:val="000000" w:themeColor="text1"/>
              </w:rPr>
              <w:t>154</w:t>
            </w:r>
          </w:p>
        </w:tc>
        <w:tc>
          <w:tcPr>
            <w:tcW w:w="1329" w:type="pct"/>
            <w:tcBorders>
              <w:top w:val="single" w:sz="4" w:space="0" w:color="auto"/>
            </w:tcBorders>
            <w:noWrap/>
            <w:vAlign w:val="center"/>
          </w:tcPr>
          <w:p w:rsidR="001A26B0" w:rsidRDefault="00E33A99">
            <w:pPr>
              <w:spacing w:after="120"/>
              <w:jc w:val="center"/>
              <w:rPr>
                <w:noProof/>
                <w:color w:val="000000" w:themeColor="text1"/>
              </w:rPr>
            </w:pPr>
            <w:r>
              <w:rPr>
                <w:noProof/>
                <w:color w:val="000000" w:themeColor="text1"/>
              </w:rPr>
              <w:t>77</w:t>
            </w:r>
          </w:p>
        </w:tc>
        <w:tc>
          <w:tcPr>
            <w:tcW w:w="1329" w:type="pct"/>
            <w:tcBorders>
              <w:top w:val="single" w:sz="4" w:space="0" w:color="auto"/>
            </w:tcBorders>
            <w:noWrap/>
            <w:vAlign w:val="center"/>
          </w:tcPr>
          <w:p w:rsidR="001A26B0" w:rsidRDefault="00E33A99">
            <w:pPr>
              <w:spacing w:after="120"/>
              <w:jc w:val="center"/>
              <w:rPr>
                <w:noProof/>
                <w:color w:val="000000" w:themeColor="text1"/>
              </w:rPr>
            </w:pPr>
            <w:r>
              <w:rPr>
                <w:noProof/>
                <w:color w:val="000000" w:themeColor="text1"/>
              </w:rPr>
              <w:t>34</w:t>
            </w:r>
          </w:p>
        </w:tc>
      </w:tr>
      <w:tr w:rsidR="001A26B0">
        <w:trPr>
          <w:trHeight w:val="255"/>
        </w:trPr>
        <w:tc>
          <w:tcPr>
            <w:tcW w:w="1013" w:type="pct"/>
            <w:tcBorders>
              <w:top w:val="single" w:sz="4" w:space="0" w:color="auto"/>
            </w:tcBorders>
            <w:vAlign w:val="center"/>
          </w:tcPr>
          <w:p w:rsidR="001A26B0" w:rsidRDefault="00E33A99">
            <w:pPr>
              <w:spacing w:after="120"/>
              <w:jc w:val="center"/>
              <w:rPr>
                <w:noProof/>
                <w:color w:val="000000" w:themeColor="text1"/>
              </w:rPr>
            </w:pPr>
            <w:r>
              <w:rPr>
                <w:noProof/>
                <w:color w:val="000000" w:themeColor="text1"/>
              </w:rPr>
              <w:t>2030</w:t>
            </w:r>
          </w:p>
        </w:tc>
        <w:tc>
          <w:tcPr>
            <w:tcW w:w="1329" w:type="pct"/>
            <w:tcBorders>
              <w:top w:val="single" w:sz="4" w:space="0" w:color="auto"/>
            </w:tcBorders>
            <w:noWrap/>
            <w:vAlign w:val="center"/>
          </w:tcPr>
          <w:p w:rsidR="001A26B0" w:rsidRDefault="00E33A99">
            <w:pPr>
              <w:spacing w:after="120"/>
              <w:jc w:val="center"/>
              <w:rPr>
                <w:noProof/>
                <w:color w:val="000000" w:themeColor="text1"/>
              </w:rPr>
            </w:pPr>
            <w:r>
              <w:rPr>
                <w:noProof/>
                <w:color w:val="000000" w:themeColor="text1"/>
              </w:rPr>
              <w:t>876</w:t>
            </w:r>
          </w:p>
        </w:tc>
        <w:tc>
          <w:tcPr>
            <w:tcW w:w="1329" w:type="pct"/>
            <w:tcBorders>
              <w:top w:val="single" w:sz="4" w:space="0" w:color="auto"/>
            </w:tcBorders>
            <w:noWrap/>
            <w:vAlign w:val="center"/>
          </w:tcPr>
          <w:p w:rsidR="001A26B0" w:rsidRDefault="00E33A99">
            <w:pPr>
              <w:spacing w:after="120"/>
              <w:jc w:val="center"/>
              <w:rPr>
                <w:noProof/>
                <w:color w:val="000000" w:themeColor="text1"/>
              </w:rPr>
            </w:pPr>
            <w:r>
              <w:rPr>
                <w:noProof/>
                <w:color w:val="000000" w:themeColor="text1"/>
              </w:rPr>
              <w:t>808</w:t>
            </w:r>
          </w:p>
        </w:tc>
        <w:tc>
          <w:tcPr>
            <w:tcW w:w="1329" w:type="pct"/>
            <w:tcBorders>
              <w:top w:val="single" w:sz="4" w:space="0" w:color="auto"/>
            </w:tcBorders>
            <w:noWrap/>
            <w:vAlign w:val="center"/>
          </w:tcPr>
          <w:p w:rsidR="001A26B0" w:rsidRDefault="00E33A99">
            <w:pPr>
              <w:spacing w:after="120"/>
              <w:jc w:val="center"/>
              <w:rPr>
                <w:noProof/>
                <w:color w:val="000000" w:themeColor="text1"/>
              </w:rPr>
            </w:pPr>
            <w:r>
              <w:rPr>
                <w:noProof/>
                <w:color w:val="000000" w:themeColor="text1"/>
              </w:rPr>
              <w:t>805</w:t>
            </w:r>
          </w:p>
        </w:tc>
      </w:tr>
      <w:tr w:rsidR="001A26B0">
        <w:trPr>
          <w:trHeight w:val="255"/>
        </w:trPr>
        <w:tc>
          <w:tcPr>
            <w:tcW w:w="1013" w:type="pct"/>
          </w:tcPr>
          <w:p w:rsidR="001A26B0" w:rsidRDefault="001A26B0">
            <w:pPr>
              <w:spacing w:after="120"/>
              <w:jc w:val="left"/>
              <w:rPr>
                <w:b/>
                <w:noProof/>
                <w:color w:val="000000" w:themeColor="text1"/>
                <w:szCs w:val="24"/>
              </w:rPr>
            </w:pPr>
          </w:p>
        </w:tc>
        <w:tc>
          <w:tcPr>
            <w:tcW w:w="1329" w:type="pct"/>
            <w:noWrap/>
            <w:hideMark/>
          </w:tcPr>
          <w:p w:rsidR="001A26B0" w:rsidRDefault="00E33A99">
            <w:pPr>
              <w:spacing w:after="120"/>
              <w:jc w:val="center"/>
              <w:rPr>
                <w:b/>
                <w:noProof/>
                <w:color w:val="000000" w:themeColor="text1"/>
                <w:szCs w:val="24"/>
              </w:rPr>
            </w:pPr>
            <w:r>
              <w:rPr>
                <w:b/>
                <w:noProof/>
                <w:color w:val="000000" w:themeColor="text1"/>
                <w:szCs w:val="24"/>
              </w:rPr>
              <w:t>TLC25</w:t>
            </w:r>
          </w:p>
        </w:tc>
        <w:tc>
          <w:tcPr>
            <w:tcW w:w="1329" w:type="pct"/>
            <w:noWrap/>
          </w:tcPr>
          <w:p w:rsidR="001A26B0" w:rsidRDefault="00E33A99">
            <w:pPr>
              <w:spacing w:after="120"/>
              <w:jc w:val="center"/>
              <w:rPr>
                <w:b/>
                <w:noProof/>
                <w:color w:val="000000" w:themeColor="text1"/>
                <w:szCs w:val="24"/>
              </w:rPr>
            </w:pPr>
            <w:r>
              <w:rPr>
                <w:b/>
                <w:noProof/>
                <w:color w:val="000000" w:themeColor="text1"/>
                <w:szCs w:val="24"/>
              </w:rPr>
              <w:t>Diesel_1 (TLC25)</w:t>
            </w:r>
          </w:p>
        </w:tc>
        <w:tc>
          <w:tcPr>
            <w:tcW w:w="1329" w:type="pct"/>
            <w:noWrap/>
          </w:tcPr>
          <w:p w:rsidR="001A26B0" w:rsidRDefault="00E33A99">
            <w:pPr>
              <w:spacing w:after="120"/>
              <w:jc w:val="center"/>
              <w:rPr>
                <w:b/>
                <w:noProof/>
                <w:color w:val="000000" w:themeColor="text1"/>
                <w:szCs w:val="24"/>
              </w:rPr>
            </w:pPr>
            <w:r>
              <w:rPr>
                <w:b/>
                <w:noProof/>
                <w:szCs w:val="24"/>
                <w:lang w:eastAsia="en-GB"/>
              </w:rPr>
              <w:t xml:space="preserve">Diesel_2 </w:t>
            </w:r>
            <w:r>
              <w:rPr>
                <w:b/>
                <w:noProof/>
                <w:color w:val="000000" w:themeColor="text1"/>
                <w:szCs w:val="24"/>
              </w:rPr>
              <w:t>(TLC25)</w:t>
            </w:r>
          </w:p>
        </w:tc>
      </w:tr>
      <w:tr w:rsidR="001A26B0">
        <w:trPr>
          <w:trHeight w:val="255"/>
        </w:trPr>
        <w:tc>
          <w:tcPr>
            <w:tcW w:w="1013" w:type="pct"/>
          </w:tcPr>
          <w:p w:rsidR="001A26B0" w:rsidRDefault="00E33A99">
            <w:pPr>
              <w:spacing w:after="120"/>
              <w:jc w:val="center"/>
              <w:rPr>
                <w:noProof/>
                <w:color w:val="000000" w:themeColor="text1"/>
              </w:rPr>
            </w:pPr>
            <w:r>
              <w:rPr>
                <w:noProof/>
                <w:color w:val="000000" w:themeColor="text1"/>
              </w:rPr>
              <w:t>2025</w:t>
            </w:r>
          </w:p>
        </w:tc>
        <w:tc>
          <w:tcPr>
            <w:tcW w:w="1329" w:type="pct"/>
            <w:noWrap/>
          </w:tcPr>
          <w:p w:rsidR="001A26B0" w:rsidRDefault="00E33A99">
            <w:pPr>
              <w:spacing w:after="120"/>
              <w:jc w:val="center"/>
              <w:rPr>
                <w:noProof/>
                <w:color w:val="000000" w:themeColor="text1"/>
              </w:rPr>
            </w:pPr>
            <w:r>
              <w:rPr>
                <w:noProof/>
                <w:color w:val="000000" w:themeColor="text1"/>
              </w:rPr>
              <w:t>147</w:t>
            </w:r>
          </w:p>
        </w:tc>
        <w:tc>
          <w:tcPr>
            <w:tcW w:w="1329" w:type="pct"/>
            <w:noWrap/>
          </w:tcPr>
          <w:p w:rsidR="001A26B0" w:rsidRDefault="00E33A99">
            <w:pPr>
              <w:spacing w:after="120"/>
              <w:jc w:val="center"/>
              <w:rPr>
                <w:noProof/>
                <w:color w:val="000000" w:themeColor="text1"/>
              </w:rPr>
            </w:pPr>
            <w:r>
              <w:rPr>
                <w:noProof/>
                <w:color w:val="000000" w:themeColor="text1"/>
              </w:rPr>
              <w:t>25</w:t>
            </w:r>
          </w:p>
        </w:tc>
        <w:tc>
          <w:tcPr>
            <w:tcW w:w="1329" w:type="pct"/>
            <w:noWrap/>
          </w:tcPr>
          <w:p w:rsidR="001A26B0" w:rsidRDefault="00E33A99">
            <w:pPr>
              <w:spacing w:after="120"/>
              <w:jc w:val="center"/>
              <w:rPr>
                <w:noProof/>
                <w:color w:val="000000" w:themeColor="text1"/>
              </w:rPr>
            </w:pPr>
            <w:r>
              <w:rPr>
                <w:noProof/>
                <w:color w:val="000000" w:themeColor="text1"/>
              </w:rPr>
              <w:t>-47</w:t>
            </w:r>
          </w:p>
        </w:tc>
      </w:tr>
      <w:tr w:rsidR="001A26B0">
        <w:trPr>
          <w:trHeight w:val="255"/>
        </w:trPr>
        <w:tc>
          <w:tcPr>
            <w:tcW w:w="1013" w:type="pct"/>
          </w:tcPr>
          <w:p w:rsidR="001A26B0" w:rsidRDefault="00E33A99">
            <w:pPr>
              <w:spacing w:after="120"/>
              <w:jc w:val="center"/>
              <w:rPr>
                <w:noProof/>
                <w:color w:val="000000" w:themeColor="text1"/>
              </w:rPr>
            </w:pPr>
            <w:r>
              <w:rPr>
                <w:noProof/>
                <w:color w:val="000000" w:themeColor="text1"/>
              </w:rPr>
              <w:t>2030</w:t>
            </w:r>
          </w:p>
        </w:tc>
        <w:tc>
          <w:tcPr>
            <w:tcW w:w="1329" w:type="pct"/>
            <w:noWrap/>
          </w:tcPr>
          <w:p w:rsidR="001A26B0" w:rsidRDefault="00E33A99">
            <w:pPr>
              <w:spacing w:after="120"/>
              <w:jc w:val="center"/>
              <w:rPr>
                <w:noProof/>
                <w:color w:val="000000" w:themeColor="text1"/>
              </w:rPr>
            </w:pPr>
            <w:r>
              <w:rPr>
                <w:noProof/>
                <w:color w:val="000000" w:themeColor="text1"/>
              </w:rPr>
              <w:t>902</w:t>
            </w:r>
          </w:p>
        </w:tc>
        <w:tc>
          <w:tcPr>
            <w:tcW w:w="1329" w:type="pct"/>
            <w:noWrap/>
          </w:tcPr>
          <w:p w:rsidR="001A26B0" w:rsidRDefault="00E33A99">
            <w:pPr>
              <w:spacing w:after="120"/>
              <w:jc w:val="center"/>
              <w:rPr>
                <w:noProof/>
                <w:color w:val="000000" w:themeColor="text1"/>
              </w:rPr>
            </w:pPr>
            <w:r>
              <w:rPr>
                <w:noProof/>
                <w:color w:val="000000" w:themeColor="text1"/>
              </w:rPr>
              <w:t>758</w:t>
            </w:r>
          </w:p>
        </w:tc>
        <w:tc>
          <w:tcPr>
            <w:tcW w:w="1329" w:type="pct"/>
            <w:noWrap/>
          </w:tcPr>
          <w:p w:rsidR="001A26B0" w:rsidRDefault="00E33A99">
            <w:pPr>
              <w:spacing w:after="120"/>
              <w:jc w:val="center"/>
              <w:rPr>
                <w:noProof/>
                <w:color w:val="000000" w:themeColor="text1"/>
              </w:rPr>
            </w:pPr>
            <w:r>
              <w:rPr>
                <w:noProof/>
                <w:color w:val="000000" w:themeColor="text1"/>
              </w:rPr>
              <w:t>749</w:t>
            </w:r>
          </w:p>
        </w:tc>
      </w:tr>
    </w:tbl>
    <w:p w:rsidR="001A26B0" w:rsidRDefault="00E33A99">
      <w:pPr>
        <w:pStyle w:val="Heading6"/>
        <w:keepNext/>
        <w:numPr>
          <w:ilvl w:val="0"/>
          <w:numId w:val="0"/>
        </w:numPr>
        <w:spacing w:before="240"/>
        <w:rPr>
          <w:b/>
          <w:i w:val="0"/>
          <w:noProof/>
        </w:rPr>
      </w:pPr>
      <w:r>
        <w:rPr>
          <w:b/>
          <w:i w:val="0"/>
          <w:noProof/>
        </w:rPr>
        <w:t xml:space="preserve">Table </w:t>
      </w:r>
      <w:r>
        <w:rPr>
          <w:b/>
          <w:i w:val="0"/>
          <w:noProof/>
        </w:rPr>
        <w:fldChar w:fldCharType="begin"/>
      </w:r>
      <w:r>
        <w:rPr>
          <w:b/>
          <w:i w:val="0"/>
          <w:noProof/>
        </w:rPr>
        <w:instrText xml:space="preserve"> SEQ Table \* ARABIC </w:instrText>
      </w:r>
      <w:r>
        <w:rPr>
          <w:b/>
          <w:i w:val="0"/>
          <w:noProof/>
        </w:rPr>
        <w:fldChar w:fldCharType="separate"/>
      </w:r>
      <w:r>
        <w:rPr>
          <w:b/>
          <w:i w:val="0"/>
          <w:noProof/>
        </w:rPr>
        <w:t>15</w:t>
      </w:r>
      <w:r>
        <w:rPr>
          <w:b/>
          <w:i w:val="0"/>
          <w:noProof/>
        </w:rPr>
        <w:fldChar w:fldCharType="end"/>
      </w:r>
      <w:r>
        <w:rPr>
          <w:b/>
          <w:i w:val="0"/>
          <w:noProof/>
        </w:rPr>
        <w:t>: TCO– lifetime (15 years) – net</w:t>
      </w:r>
      <w:r>
        <w:rPr>
          <w:b/>
          <w:i w:val="0"/>
          <w:noProof/>
        </w:rPr>
        <w:t xml:space="preserve"> savings in EUR/car</w:t>
      </w:r>
    </w:p>
    <w:tbl>
      <w:tblPr>
        <w:tblStyle w:val="TableGrid"/>
        <w:tblW w:w="5000" w:type="pct"/>
        <w:tblLayout w:type="fixed"/>
        <w:tblLook w:val="04A0" w:firstRow="1" w:lastRow="0" w:firstColumn="1" w:lastColumn="0" w:noHBand="0" w:noVBand="1"/>
      </w:tblPr>
      <w:tblGrid>
        <w:gridCol w:w="1809"/>
        <w:gridCol w:w="2268"/>
        <w:gridCol w:w="2405"/>
        <w:gridCol w:w="2347"/>
      </w:tblGrid>
      <w:tr w:rsidR="001A26B0">
        <w:trPr>
          <w:trHeight w:val="255"/>
        </w:trPr>
        <w:tc>
          <w:tcPr>
            <w:tcW w:w="1024" w:type="pct"/>
            <w:tcBorders>
              <w:bottom w:val="single" w:sz="4" w:space="0" w:color="auto"/>
            </w:tcBorders>
            <w:vAlign w:val="center"/>
          </w:tcPr>
          <w:p w:rsidR="001A26B0" w:rsidRDefault="001A26B0">
            <w:pPr>
              <w:spacing w:after="120"/>
              <w:jc w:val="left"/>
              <w:rPr>
                <w:b/>
                <w:noProof/>
                <w:color w:val="000000" w:themeColor="text1"/>
                <w:szCs w:val="24"/>
              </w:rPr>
            </w:pPr>
          </w:p>
        </w:tc>
        <w:tc>
          <w:tcPr>
            <w:tcW w:w="1284" w:type="pct"/>
            <w:tcBorders>
              <w:bottom w:val="single" w:sz="4" w:space="0" w:color="auto"/>
            </w:tcBorders>
            <w:noWrap/>
            <w:hideMark/>
          </w:tcPr>
          <w:p w:rsidR="001A26B0" w:rsidRDefault="00E33A99">
            <w:pPr>
              <w:spacing w:after="120"/>
              <w:jc w:val="center"/>
              <w:rPr>
                <w:b/>
                <w:noProof/>
                <w:color w:val="000000" w:themeColor="text1"/>
                <w:szCs w:val="24"/>
              </w:rPr>
            </w:pPr>
            <w:r>
              <w:rPr>
                <w:b/>
                <w:noProof/>
                <w:color w:val="000000" w:themeColor="text1"/>
                <w:szCs w:val="24"/>
              </w:rPr>
              <w:t>TLC30</w:t>
            </w:r>
          </w:p>
        </w:tc>
        <w:tc>
          <w:tcPr>
            <w:tcW w:w="1362" w:type="pct"/>
            <w:tcBorders>
              <w:bottom w:val="single" w:sz="4" w:space="0" w:color="auto"/>
            </w:tcBorders>
            <w:noWrap/>
          </w:tcPr>
          <w:p w:rsidR="001A26B0" w:rsidRDefault="00E33A99">
            <w:pPr>
              <w:spacing w:after="120"/>
              <w:jc w:val="center"/>
              <w:rPr>
                <w:b/>
                <w:noProof/>
                <w:color w:val="000000" w:themeColor="text1"/>
                <w:szCs w:val="24"/>
              </w:rPr>
            </w:pPr>
            <w:r>
              <w:rPr>
                <w:b/>
                <w:noProof/>
                <w:color w:val="000000" w:themeColor="text1"/>
                <w:szCs w:val="24"/>
              </w:rPr>
              <w:t>Diesel_1 (TLC30)</w:t>
            </w:r>
          </w:p>
        </w:tc>
        <w:tc>
          <w:tcPr>
            <w:tcW w:w="1329" w:type="pct"/>
            <w:tcBorders>
              <w:bottom w:val="single" w:sz="4" w:space="0" w:color="auto"/>
            </w:tcBorders>
            <w:noWrap/>
          </w:tcPr>
          <w:p w:rsidR="001A26B0" w:rsidRDefault="00E33A99">
            <w:pPr>
              <w:spacing w:after="120"/>
              <w:jc w:val="center"/>
              <w:rPr>
                <w:b/>
                <w:noProof/>
                <w:color w:val="000000" w:themeColor="text1"/>
                <w:szCs w:val="24"/>
              </w:rPr>
            </w:pPr>
            <w:r>
              <w:rPr>
                <w:b/>
                <w:noProof/>
                <w:szCs w:val="24"/>
                <w:lang w:eastAsia="en-GB"/>
              </w:rPr>
              <w:t xml:space="preserve">Diesel_2 </w:t>
            </w:r>
            <w:r>
              <w:rPr>
                <w:b/>
                <w:noProof/>
                <w:color w:val="000000" w:themeColor="text1"/>
                <w:szCs w:val="24"/>
              </w:rPr>
              <w:t>(TLC30)</w:t>
            </w:r>
          </w:p>
        </w:tc>
      </w:tr>
      <w:tr w:rsidR="001A26B0">
        <w:trPr>
          <w:trHeight w:val="255"/>
        </w:trPr>
        <w:tc>
          <w:tcPr>
            <w:tcW w:w="1024" w:type="pct"/>
            <w:tcBorders>
              <w:top w:val="single" w:sz="4" w:space="0" w:color="auto"/>
            </w:tcBorders>
            <w:vAlign w:val="center"/>
          </w:tcPr>
          <w:p w:rsidR="001A26B0" w:rsidRDefault="00E33A99">
            <w:pPr>
              <w:spacing w:after="120"/>
              <w:jc w:val="center"/>
              <w:rPr>
                <w:noProof/>
                <w:color w:val="000000" w:themeColor="text1"/>
              </w:rPr>
            </w:pPr>
            <w:r>
              <w:rPr>
                <w:noProof/>
                <w:color w:val="000000" w:themeColor="text1"/>
              </w:rPr>
              <w:t>2025</w:t>
            </w:r>
          </w:p>
        </w:tc>
        <w:tc>
          <w:tcPr>
            <w:tcW w:w="1284" w:type="pct"/>
            <w:tcBorders>
              <w:top w:val="single" w:sz="4" w:space="0" w:color="auto"/>
            </w:tcBorders>
            <w:noWrap/>
            <w:vAlign w:val="center"/>
          </w:tcPr>
          <w:p w:rsidR="001A26B0" w:rsidRDefault="00E33A99">
            <w:pPr>
              <w:spacing w:after="120"/>
              <w:jc w:val="center"/>
              <w:rPr>
                <w:noProof/>
                <w:color w:val="000000" w:themeColor="text1"/>
              </w:rPr>
            </w:pPr>
            <w:r>
              <w:rPr>
                <w:noProof/>
                <w:color w:val="000000" w:themeColor="text1"/>
              </w:rPr>
              <w:t>438</w:t>
            </w:r>
          </w:p>
        </w:tc>
        <w:tc>
          <w:tcPr>
            <w:tcW w:w="1362" w:type="pct"/>
            <w:tcBorders>
              <w:top w:val="single" w:sz="4" w:space="0" w:color="auto"/>
            </w:tcBorders>
            <w:noWrap/>
            <w:vAlign w:val="center"/>
          </w:tcPr>
          <w:p w:rsidR="001A26B0" w:rsidRDefault="00E33A99">
            <w:pPr>
              <w:spacing w:after="120"/>
              <w:jc w:val="center"/>
              <w:rPr>
                <w:noProof/>
                <w:color w:val="000000" w:themeColor="text1"/>
              </w:rPr>
            </w:pPr>
            <w:r>
              <w:rPr>
                <w:noProof/>
                <w:color w:val="000000" w:themeColor="text1"/>
              </w:rPr>
              <w:t>251</w:t>
            </w:r>
          </w:p>
        </w:tc>
        <w:tc>
          <w:tcPr>
            <w:tcW w:w="1329" w:type="pct"/>
            <w:tcBorders>
              <w:top w:val="single" w:sz="4" w:space="0" w:color="auto"/>
            </w:tcBorders>
            <w:noWrap/>
            <w:vAlign w:val="center"/>
          </w:tcPr>
          <w:p w:rsidR="001A26B0" w:rsidRDefault="00E33A99">
            <w:pPr>
              <w:spacing w:after="120"/>
              <w:jc w:val="center"/>
              <w:rPr>
                <w:noProof/>
                <w:color w:val="000000" w:themeColor="text1"/>
              </w:rPr>
            </w:pPr>
            <w:r>
              <w:rPr>
                <w:noProof/>
                <w:color w:val="000000" w:themeColor="text1"/>
              </w:rPr>
              <w:t>51</w:t>
            </w:r>
          </w:p>
        </w:tc>
      </w:tr>
      <w:tr w:rsidR="001A26B0">
        <w:trPr>
          <w:trHeight w:val="255"/>
        </w:trPr>
        <w:tc>
          <w:tcPr>
            <w:tcW w:w="1024" w:type="pct"/>
            <w:tcBorders>
              <w:top w:val="single" w:sz="4" w:space="0" w:color="auto"/>
              <w:bottom w:val="single" w:sz="4" w:space="0" w:color="auto"/>
            </w:tcBorders>
            <w:vAlign w:val="center"/>
          </w:tcPr>
          <w:p w:rsidR="001A26B0" w:rsidRDefault="00E33A99">
            <w:pPr>
              <w:spacing w:after="120"/>
              <w:jc w:val="center"/>
              <w:rPr>
                <w:noProof/>
                <w:color w:val="000000" w:themeColor="text1"/>
              </w:rPr>
            </w:pPr>
            <w:r>
              <w:rPr>
                <w:noProof/>
                <w:color w:val="000000" w:themeColor="text1"/>
              </w:rPr>
              <w:t>2030</w:t>
            </w:r>
          </w:p>
        </w:tc>
        <w:tc>
          <w:tcPr>
            <w:tcW w:w="1284" w:type="pct"/>
            <w:tcBorders>
              <w:top w:val="single" w:sz="4" w:space="0" w:color="auto"/>
              <w:bottom w:val="single" w:sz="4" w:space="0" w:color="auto"/>
            </w:tcBorders>
            <w:noWrap/>
            <w:vAlign w:val="center"/>
          </w:tcPr>
          <w:p w:rsidR="001A26B0" w:rsidRDefault="00E33A99">
            <w:pPr>
              <w:spacing w:after="120"/>
              <w:jc w:val="center"/>
              <w:rPr>
                <w:noProof/>
                <w:color w:val="000000" w:themeColor="text1"/>
              </w:rPr>
            </w:pPr>
            <w:r>
              <w:rPr>
                <w:noProof/>
                <w:color w:val="000000" w:themeColor="text1"/>
              </w:rPr>
              <w:t>1,359</w:t>
            </w:r>
          </w:p>
        </w:tc>
        <w:tc>
          <w:tcPr>
            <w:tcW w:w="1362" w:type="pct"/>
            <w:tcBorders>
              <w:top w:val="single" w:sz="4" w:space="0" w:color="auto"/>
              <w:bottom w:val="single" w:sz="4" w:space="0" w:color="auto"/>
            </w:tcBorders>
            <w:noWrap/>
            <w:vAlign w:val="center"/>
          </w:tcPr>
          <w:p w:rsidR="001A26B0" w:rsidRDefault="00E33A99">
            <w:pPr>
              <w:spacing w:after="120"/>
              <w:jc w:val="center"/>
              <w:rPr>
                <w:noProof/>
                <w:color w:val="000000" w:themeColor="text1"/>
              </w:rPr>
            </w:pPr>
            <w:r>
              <w:rPr>
                <w:noProof/>
                <w:color w:val="000000" w:themeColor="text1"/>
              </w:rPr>
              <w:t>1,133</w:t>
            </w:r>
          </w:p>
        </w:tc>
        <w:tc>
          <w:tcPr>
            <w:tcW w:w="1329" w:type="pct"/>
            <w:tcBorders>
              <w:top w:val="single" w:sz="4" w:space="0" w:color="auto"/>
              <w:bottom w:val="single" w:sz="4" w:space="0" w:color="auto"/>
            </w:tcBorders>
            <w:noWrap/>
            <w:vAlign w:val="center"/>
          </w:tcPr>
          <w:p w:rsidR="001A26B0" w:rsidRDefault="00E33A99">
            <w:pPr>
              <w:spacing w:after="120"/>
              <w:jc w:val="center"/>
              <w:rPr>
                <w:noProof/>
                <w:color w:val="000000" w:themeColor="text1"/>
              </w:rPr>
            </w:pPr>
            <w:r>
              <w:rPr>
                <w:noProof/>
                <w:color w:val="000000" w:themeColor="text1"/>
              </w:rPr>
              <w:t>908</w:t>
            </w:r>
          </w:p>
        </w:tc>
      </w:tr>
      <w:tr w:rsidR="001A26B0">
        <w:trPr>
          <w:trHeight w:val="255"/>
        </w:trPr>
        <w:tc>
          <w:tcPr>
            <w:tcW w:w="1024" w:type="pct"/>
          </w:tcPr>
          <w:p w:rsidR="001A26B0" w:rsidRDefault="001A26B0">
            <w:pPr>
              <w:spacing w:after="120"/>
              <w:jc w:val="left"/>
              <w:rPr>
                <w:b/>
                <w:noProof/>
                <w:color w:val="000000" w:themeColor="text1"/>
                <w:szCs w:val="24"/>
              </w:rPr>
            </w:pPr>
          </w:p>
        </w:tc>
        <w:tc>
          <w:tcPr>
            <w:tcW w:w="1284" w:type="pct"/>
            <w:noWrap/>
            <w:hideMark/>
          </w:tcPr>
          <w:p w:rsidR="001A26B0" w:rsidRDefault="00E33A99">
            <w:pPr>
              <w:spacing w:after="120"/>
              <w:jc w:val="center"/>
              <w:rPr>
                <w:b/>
                <w:noProof/>
                <w:color w:val="000000" w:themeColor="text1"/>
                <w:szCs w:val="24"/>
              </w:rPr>
            </w:pPr>
            <w:r>
              <w:rPr>
                <w:b/>
                <w:noProof/>
                <w:color w:val="000000" w:themeColor="text1"/>
                <w:szCs w:val="24"/>
              </w:rPr>
              <w:t>TLC25</w:t>
            </w:r>
          </w:p>
        </w:tc>
        <w:tc>
          <w:tcPr>
            <w:tcW w:w="1362" w:type="pct"/>
            <w:noWrap/>
          </w:tcPr>
          <w:p w:rsidR="001A26B0" w:rsidRDefault="00E33A99">
            <w:pPr>
              <w:spacing w:after="120"/>
              <w:jc w:val="center"/>
              <w:rPr>
                <w:b/>
                <w:noProof/>
                <w:color w:val="000000" w:themeColor="text1"/>
                <w:szCs w:val="24"/>
              </w:rPr>
            </w:pPr>
            <w:r>
              <w:rPr>
                <w:b/>
                <w:noProof/>
                <w:color w:val="000000" w:themeColor="text1"/>
                <w:szCs w:val="24"/>
              </w:rPr>
              <w:t>Diesel_1 (TLC25)</w:t>
            </w:r>
          </w:p>
        </w:tc>
        <w:tc>
          <w:tcPr>
            <w:tcW w:w="1329" w:type="pct"/>
            <w:noWrap/>
          </w:tcPr>
          <w:p w:rsidR="001A26B0" w:rsidRDefault="00E33A99">
            <w:pPr>
              <w:spacing w:after="120"/>
              <w:jc w:val="center"/>
              <w:rPr>
                <w:b/>
                <w:noProof/>
                <w:color w:val="000000" w:themeColor="text1"/>
                <w:szCs w:val="24"/>
              </w:rPr>
            </w:pPr>
            <w:r>
              <w:rPr>
                <w:b/>
                <w:noProof/>
                <w:szCs w:val="24"/>
                <w:lang w:eastAsia="en-GB"/>
              </w:rPr>
              <w:t xml:space="preserve">Diesel_2 </w:t>
            </w:r>
            <w:r>
              <w:rPr>
                <w:b/>
                <w:noProof/>
                <w:color w:val="000000" w:themeColor="text1"/>
                <w:szCs w:val="24"/>
              </w:rPr>
              <w:t>(TLC25)</w:t>
            </w:r>
          </w:p>
        </w:tc>
      </w:tr>
      <w:tr w:rsidR="001A26B0">
        <w:trPr>
          <w:trHeight w:val="255"/>
        </w:trPr>
        <w:tc>
          <w:tcPr>
            <w:tcW w:w="1024" w:type="pct"/>
          </w:tcPr>
          <w:p w:rsidR="001A26B0" w:rsidRDefault="00E33A99">
            <w:pPr>
              <w:spacing w:after="120"/>
              <w:jc w:val="center"/>
              <w:rPr>
                <w:noProof/>
                <w:color w:val="000000" w:themeColor="text1"/>
              </w:rPr>
            </w:pPr>
            <w:r>
              <w:rPr>
                <w:noProof/>
                <w:color w:val="000000" w:themeColor="text1"/>
              </w:rPr>
              <w:t>2025</w:t>
            </w:r>
          </w:p>
        </w:tc>
        <w:tc>
          <w:tcPr>
            <w:tcW w:w="1284" w:type="pct"/>
            <w:noWrap/>
          </w:tcPr>
          <w:p w:rsidR="001A26B0" w:rsidRDefault="00E33A99">
            <w:pPr>
              <w:spacing w:after="120"/>
              <w:jc w:val="center"/>
              <w:rPr>
                <w:noProof/>
                <w:color w:val="000000" w:themeColor="text1"/>
              </w:rPr>
            </w:pPr>
            <w:r>
              <w:rPr>
                <w:noProof/>
                <w:color w:val="000000" w:themeColor="text1"/>
              </w:rPr>
              <w:t>413</w:t>
            </w:r>
          </w:p>
        </w:tc>
        <w:tc>
          <w:tcPr>
            <w:tcW w:w="1362" w:type="pct"/>
            <w:noWrap/>
          </w:tcPr>
          <w:p w:rsidR="001A26B0" w:rsidRDefault="00E33A99">
            <w:pPr>
              <w:spacing w:after="120"/>
              <w:jc w:val="center"/>
              <w:rPr>
                <w:noProof/>
                <w:color w:val="000000" w:themeColor="text1"/>
              </w:rPr>
            </w:pPr>
            <w:r>
              <w:rPr>
                <w:noProof/>
                <w:color w:val="000000" w:themeColor="text1"/>
              </w:rPr>
              <w:t>170</w:t>
            </w:r>
          </w:p>
        </w:tc>
        <w:tc>
          <w:tcPr>
            <w:tcW w:w="1329" w:type="pct"/>
            <w:noWrap/>
          </w:tcPr>
          <w:p w:rsidR="001A26B0" w:rsidRDefault="00E33A99">
            <w:pPr>
              <w:spacing w:after="120"/>
              <w:jc w:val="center"/>
              <w:rPr>
                <w:noProof/>
                <w:color w:val="000000" w:themeColor="text1"/>
              </w:rPr>
            </w:pPr>
            <w:r>
              <w:rPr>
                <w:noProof/>
                <w:color w:val="000000" w:themeColor="text1"/>
              </w:rPr>
              <w:t>-19</w:t>
            </w:r>
          </w:p>
        </w:tc>
      </w:tr>
      <w:tr w:rsidR="001A26B0">
        <w:trPr>
          <w:trHeight w:val="255"/>
        </w:trPr>
        <w:tc>
          <w:tcPr>
            <w:tcW w:w="1024" w:type="pct"/>
          </w:tcPr>
          <w:p w:rsidR="001A26B0" w:rsidRDefault="00E33A99">
            <w:pPr>
              <w:spacing w:after="120"/>
              <w:jc w:val="center"/>
              <w:rPr>
                <w:noProof/>
                <w:color w:val="000000" w:themeColor="text1"/>
              </w:rPr>
            </w:pPr>
            <w:r>
              <w:rPr>
                <w:noProof/>
                <w:color w:val="000000" w:themeColor="text1"/>
              </w:rPr>
              <w:t>2030</w:t>
            </w:r>
          </w:p>
        </w:tc>
        <w:tc>
          <w:tcPr>
            <w:tcW w:w="1284" w:type="pct"/>
            <w:noWrap/>
          </w:tcPr>
          <w:p w:rsidR="001A26B0" w:rsidRDefault="00E33A99">
            <w:pPr>
              <w:spacing w:after="120"/>
              <w:jc w:val="center"/>
              <w:rPr>
                <w:noProof/>
                <w:color w:val="000000" w:themeColor="text1"/>
              </w:rPr>
            </w:pPr>
            <w:r>
              <w:rPr>
                <w:noProof/>
                <w:color w:val="000000" w:themeColor="text1"/>
              </w:rPr>
              <w:t>1,374</w:t>
            </w:r>
          </w:p>
        </w:tc>
        <w:tc>
          <w:tcPr>
            <w:tcW w:w="1362" w:type="pct"/>
            <w:noWrap/>
          </w:tcPr>
          <w:p w:rsidR="001A26B0" w:rsidRDefault="00E33A99">
            <w:pPr>
              <w:spacing w:after="120"/>
              <w:jc w:val="center"/>
              <w:rPr>
                <w:noProof/>
                <w:color w:val="000000" w:themeColor="text1"/>
              </w:rPr>
            </w:pPr>
            <w:r>
              <w:rPr>
                <w:noProof/>
                <w:color w:val="000000" w:themeColor="text1"/>
              </w:rPr>
              <w:t>1,038</w:t>
            </w:r>
          </w:p>
        </w:tc>
        <w:tc>
          <w:tcPr>
            <w:tcW w:w="1329" w:type="pct"/>
            <w:noWrap/>
          </w:tcPr>
          <w:p w:rsidR="001A26B0" w:rsidRDefault="00E33A99">
            <w:pPr>
              <w:spacing w:after="120"/>
              <w:jc w:val="center"/>
              <w:rPr>
                <w:noProof/>
                <w:color w:val="000000" w:themeColor="text1"/>
              </w:rPr>
            </w:pPr>
            <w:r>
              <w:rPr>
                <w:noProof/>
                <w:color w:val="000000" w:themeColor="text1"/>
              </w:rPr>
              <w:t>739</w:t>
            </w:r>
          </w:p>
        </w:tc>
      </w:tr>
    </w:tbl>
    <w:p w:rsidR="001A26B0" w:rsidRDefault="00E33A99">
      <w:pPr>
        <w:pStyle w:val="Heading6"/>
        <w:keepNext/>
        <w:numPr>
          <w:ilvl w:val="0"/>
          <w:numId w:val="0"/>
        </w:numPr>
        <w:spacing w:before="240"/>
        <w:rPr>
          <w:b/>
          <w:i w:val="0"/>
          <w:noProof/>
        </w:rPr>
      </w:pPr>
      <w:r>
        <w:rPr>
          <w:b/>
          <w:i w:val="0"/>
          <w:noProof/>
        </w:rPr>
        <w:t xml:space="preserve">Table </w:t>
      </w:r>
      <w:r>
        <w:rPr>
          <w:b/>
          <w:i w:val="0"/>
          <w:noProof/>
        </w:rPr>
        <w:fldChar w:fldCharType="begin"/>
      </w:r>
      <w:r>
        <w:rPr>
          <w:b/>
          <w:i w:val="0"/>
          <w:noProof/>
        </w:rPr>
        <w:instrText xml:space="preserve"> SEQ Table \* ARABIC </w:instrText>
      </w:r>
      <w:r>
        <w:rPr>
          <w:b/>
          <w:i w:val="0"/>
          <w:noProof/>
        </w:rPr>
        <w:fldChar w:fldCharType="separate"/>
      </w:r>
      <w:r>
        <w:rPr>
          <w:b/>
          <w:i w:val="0"/>
          <w:noProof/>
        </w:rPr>
        <w:t>16</w:t>
      </w:r>
      <w:r>
        <w:rPr>
          <w:b/>
          <w:i w:val="0"/>
          <w:noProof/>
        </w:rPr>
        <w:fldChar w:fldCharType="end"/>
      </w:r>
      <w:r>
        <w:rPr>
          <w:b/>
          <w:i w:val="0"/>
          <w:noProof/>
        </w:rPr>
        <w:t>: TCO- first user (5 years) – net savings</w:t>
      </w:r>
      <w:r>
        <w:rPr>
          <w:b/>
          <w:i w:val="0"/>
          <w:noProof/>
        </w:rPr>
        <w:t xml:space="preserve"> in EUR/car</w:t>
      </w:r>
    </w:p>
    <w:tbl>
      <w:tblPr>
        <w:tblStyle w:val="TableGrid"/>
        <w:tblW w:w="5000" w:type="pct"/>
        <w:tblLook w:val="04A0" w:firstRow="1" w:lastRow="0" w:firstColumn="1" w:lastColumn="0" w:noHBand="0" w:noVBand="1"/>
      </w:tblPr>
      <w:tblGrid>
        <w:gridCol w:w="1809"/>
        <w:gridCol w:w="2268"/>
        <w:gridCol w:w="2411"/>
        <w:gridCol w:w="2341"/>
      </w:tblGrid>
      <w:tr w:rsidR="001A26B0">
        <w:trPr>
          <w:trHeight w:val="255"/>
        </w:trPr>
        <w:tc>
          <w:tcPr>
            <w:tcW w:w="1024" w:type="pct"/>
            <w:tcBorders>
              <w:bottom w:val="single" w:sz="4" w:space="0" w:color="auto"/>
            </w:tcBorders>
            <w:vAlign w:val="center"/>
          </w:tcPr>
          <w:p w:rsidR="001A26B0" w:rsidRDefault="001A26B0">
            <w:pPr>
              <w:spacing w:after="120"/>
              <w:jc w:val="center"/>
              <w:rPr>
                <w:b/>
                <w:noProof/>
                <w:color w:val="000000" w:themeColor="text1"/>
                <w:szCs w:val="24"/>
              </w:rPr>
            </w:pPr>
          </w:p>
        </w:tc>
        <w:tc>
          <w:tcPr>
            <w:tcW w:w="1284" w:type="pct"/>
            <w:tcBorders>
              <w:bottom w:val="single" w:sz="4" w:space="0" w:color="auto"/>
            </w:tcBorders>
            <w:noWrap/>
            <w:hideMark/>
          </w:tcPr>
          <w:p w:rsidR="001A26B0" w:rsidRDefault="00E33A99">
            <w:pPr>
              <w:spacing w:after="120"/>
              <w:jc w:val="center"/>
              <w:rPr>
                <w:b/>
                <w:noProof/>
                <w:color w:val="000000" w:themeColor="text1"/>
                <w:szCs w:val="24"/>
              </w:rPr>
            </w:pPr>
            <w:r>
              <w:rPr>
                <w:b/>
                <w:noProof/>
                <w:color w:val="000000" w:themeColor="text1"/>
                <w:szCs w:val="24"/>
              </w:rPr>
              <w:t>TLC30</w:t>
            </w:r>
          </w:p>
        </w:tc>
        <w:tc>
          <w:tcPr>
            <w:tcW w:w="1365" w:type="pct"/>
            <w:tcBorders>
              <w:bottom w:val="single" w:sz="4" w:space="0" w:color="auto"/>
            </w:tcBorders>
            <w:noWrap/>
          </w:tcPr>
          <w:p w:rsidR="001A26B0" w:rsidRDefault="00E33A99">
            <w:pPr>
              <w:spacing w:after="120"/>
              <w:jc w:val="center"/>
              <w:rPr>
                <w:b/>
                <w:noProof/>
                <w:color w:val="000000" w:themeColor="text1"/>
                <w:szCs w:val="24"/>
              </w:rPr>
            </w:pPr>
            <w:r>
              <w:rPr>
                <w:b/>
                <w:noProof/>
                <w:color w:val="000000" w:themeColor="text1"/>
                <w:szCs w:val="24"/>
              </w:rPr>
              <w:t>Diesel_1 (TLC30)</w:t>
            </w:r>
          </w:p>
        </w:tc>
        <w:tc>
          <w:tcPr>
            <w:tcW w:w="1326" w:type="pct"/>
            <w:tcBorders>
              <w:bottom w:val="single" w:sz="4" w:space="0" w:color="auto"/>
            </w:tcBorders>
            <w:noWrap/>
          </w:tcPr>
          <w:p w:rsidR="001A26B0" w:rsidRDefault="00E33A99">
            <w:pPr>
              <w:spacing w:after="120"/>
              <w:jc w:val="center"/>
              <w:rPr>
                <w:b/>
                <w:noProof/>
                <w:color w:val="000000" w:themeColor="text1"/>
                <w:szCs w:val="24"/>
              </w:rPr>
            </w:pPr>
            <w:r>
              <w:rPr>
                <w:b/>
                <w:noProof/>
                <w:color w:val="000000" w:themeColor="text1"/>
                <w:szCs w:val="24"/>
              </w:rPr>
              <w:t>Diesel_2 (TLC30)</w:t>
            </w:r>
          </w:p>
        </w:tc>
      </w:tr>
      <w:tr w:rsidR="001A26B0">
        <w:trPr>
          <w:trHeight w:val="255"/>
        </w:trPr>
        <w:tc>
          <w:tcPr>
            <w:tcW w:w="1024" w:type="pct"/>
            <w:tcBorders>
              <w:top w:val="single" w:sz="4" w:space="0" w:color="auto"/>
            </w:tcBorders>
            <w:vAlign w:val="center"/>
          </w:tcPr>
          <w:p w:rsidR="001A26B0" w:rsidRDefault="00E33A99">
            <w:pPr>
              <w:spacing w:after="120"/>
              <w:jc w:val="center"/>
              <w:rPr>
                <w:noProof/>
                <w:color w:val="000000" w:themeColor="text1"/>
              </w:rPr>
            </w:pPr>
            <w:r>
              <w:rPr>
                <w:noProof/>
                <w:color w:val="000000" w:themeColor="text1"/>
              </w:rPr>
              <w:t>2025</w:t>
            </w:r>
          </w:p>
        </w:tc>
        <w:tc>
          <w:tcPr>
            <w:tcW w:w="1284" w:type="pct"/>
            <w:tcBorders>
              <w:top w:val="single" w:sz="4" w:space="0" w:color="auto"/>
            </w:tcBorders>
            <w:noWrap/>
            <w:vAlign w:val="center"/>
          </w:tcPr>
          <w:p w:rsidR="001A26B0" w:rsidRDefault="00E33A99">
            <w:pPr>
              <w:spacing w:after="120"/>
              <w:jc w:val="center"/>
              <w:rPr>
                <w:noProof/>
                <w:color w:val="000000" w:themeColor="text1"/>
              </w:rPr>
            </w:pPr>
            <w:r>
              <w:rPr>
                <w:noProof/>
                <w:color w:val="000000" w:themeColor="text1"/>
              </w:rPr>
              <w:t>263</w:t>
            </w:r>
          </w:p>
        </w:tc>
        <w:tc>
          <w:tcPr>
            <w:tcW w:w="1365" w:type="pct"/>
            <w:tcBorders>
              <w:top w:val="single" w:sz="4" w:space="0" w:color="auto"/>
            </w:tcBorders>
            <w:noWrap/>
            <w:vAlign w:val="center"/>
          </w:tcPr>
          <w:p w:rsidR="001A26B0" w:rsidRDefault="00E33A99">
            <w:pPr>
              <w:spacing w:after="120"/>
              <w:jc w:val="center"/>
              <w:rPr>
                <w:noProof/>
                <w:color w:val="000000" w:themeColor="text1"/>
              </w:rPr>
            </w:pPr>
            <w:r>
              <w:rPr>
                <w:noProof/>
                <w:color w:val="000000" w:themeColor="text1"/>
              </w:rPr>
              <w:t>149</w:t>
            </w:r>
          </w:p>
        </w:tc>
        <w:tc>
          <w:tcPr>
            <w:tcW w:w="1326" w:type="pct"/>
            <w:tcBorders>
              <w:top w:val="single" w:sz="4" w:space="0" w:color="auto"/>
            </w:tcBorders>
            <w:noWrap/>
            <w:vAlign w:val="center"/>
          </w:tcPr>
          <w:p w:rsidR="001A26B0" w:rsidRDefault="00E33A99">
            <w:pPr>
              <w:spacing w:after="120"/>
              <w:jc w:val="center"/>
              <w:rPr>
                <w:noProof/>
                <w:color w:val="000000" w:themeColor="text1"/>
              </w:rPr>
            </w:pPr>
            <w:r>
              <w:rPr>
                <w:noProof/>
                <w:color w:val="000000" w:themeColor="text1"/>
              </w:rPr>
              <w:t>23</w:t>
            </w:r>
          </w:p>
        </w:tc>
      </w:tr>
      <w:tr w:rsidR="001A26B0">
        <w:trPr>
          <w:trHeight w:val="255"/>
        </w:trPr>
        <w:tc>
          <w:tcPr>
            <w:tcW w:w="1024" w:type="pct"/>
            <w:tcBorders>
              <w:top w:val="single" w:sz="4" w:space="0" w:color="auto"/>
            </w:tcBorders>
            <w:vAlign w:val="center"/>
          </w:tcPr>
          <w:p w:rsidR="001A26B0" w:rsidRDefault="00E33A99">
            <w:pPr>
              <w:spacing w:after="120"/>
              <w:jc w:val="center"/>
              <w:rPr>
                <w:noProof/>
                <w:color w:val="000000" w:themeColor="text1"/>
              </w:rPr>
            </w:pPr>
            <w:r>
              <w:rPr>
                <w:noProof/>
                <w:color w:val="000000" w:themeColor="text1"/>
              </w:rPr>
              <w:t>2030</w:t>
            </w:r>
          </w:p>
        </w:tc>
        <w:tc>
          <w:tcPr>
            <w:tcW w:w="1284" w:type="pct"/>
            <w:tcBorders>
              <w:top w:val="single" w:sz="4" w:space="0" w:color="auto"/>
            </w:tcBorders>
            <w:noWrap/>
            <w:vAlign w:val="center"/>
          </w:tcPr>
          <w:p w:rsidR="001A26B0" w:rsidRDefault="00E33A99">
            <w:pPr>
              <w:spacing w:after="120"/>
              <w:jc w:val="center"/>
              <w:rPr>
                <w:noProof/>
                <w:color w:val="000000" w:themeColor="text1"/>
              </w:rPr>
            </w:pPr>
            <w:r>
              <w:rPr>
                <w:noProof/>
                <w:color w:val="000000" w:themeColor="text1"/>
              </w:rPr>
              <w:t>818</w:t>
            </w:r>
          </w:p>
        </w:tc>
        <w:tc>
          <w:tcPr>
            <w:tcW w:w="1365" w:type="pct"/>
            <w:tcBorders>
              <w:top w:val="single" w:sz="4" w:space="0" w:color="auto"/>
            </w:tcBorders>
            <w:noWrap/>
            <w:vAlign w:val="center"/>
          </w:tcPr>
          <w:p w:rsidR="001A26B0" w:rsidRDefault="00E33A99">
            <w:pPr>
              <w:spacing w:after="120"/>
              <w:jc w:val="center"/>
              <w:rPr>
                <w:noProof/>
                <w:color w:val="000000" w:themeColor="text1"/>
              </w:rPr>
            </w:pPr>
            <w:r>
              <w:rPr>
                <w:noProof/>
                <w:color w:val="000000" w:themeColor="text1"/>
              </w:rPr>
              <w:t>673</w:t>
            </w:r>
          </w:p>
        </w:tc>
        <w:tc>
          <w:tcPr>
            <w:tcW w:w="1326" w:type="pct"/>
            <w:tcBorders>
              <w:top w:val="single" w:sz="4" w:space="0" w:color="auto"/>
            </w:tcBorders>
            <w:noWrap/>
            <w:vAlign w:val="center"/>
          </w:tcPr>
          <w:p w:rsidR="001A26B0" w:rsidRDefault="00E33A99">
            <w:pPr>
              <w:spacing w:after="120"/>
              <w:jc w:val="center"/>
              <w:rPr>
                <w:noProof/>
                <w:color w:val="000000" w:themeColor="text1"/>
              </w:rPr>
            </w:pPr>
            <w:r>
              <w:rPr>
                <w:noProof/>
                <w:color w:val="000000" w:themeColor="text1"/>
              </w:rPr>
              <w:t>505</w:t>
            </w:r>
          </w:p>
        </w:tc>
      </w:tr>
    </w:tbl>
    <w:p w:rsidR="001A26B0" w:rsidRDefault="00E33A99">
      <w:pPr>
        <w:pStyle w:val="Heading5"/>
        <w:rPr>
          <w:noProof/>
        </w:rPr>
      </w:pPr>
      <w:bookmarkStart w:id="279" w:name="_Ref491162744"/>
      <w:r>
        <w:rPr>
          <w:noProof/>
        </w:rPr>
        <w:t>Light commercial vehicles (TLV)</w:t>
      </w:r>
      <w:bookmarkEnd w:id="279"/>
    </w:p>
    <w:p w:rsidR="001A26B0" w:rsidRDefault="00E33A99">
      <w:pPr>
        <w:pStyle w:val="Heading6"/>
        <w:rPr>
          <w:noProof/>
        </w:rPr>
      </w:pPr>
      <w:bookmarkStart w:id="280" w:name="_Ref493774755"/>
      <w:r>
        <w:rPr>
          <w:noProof/>
        </w:rPr>
        <w:t>Net economic savings over the vehicle lifetime from a societal perspective</w:t>
      </w:r>
      <w:bookmarkEnd w:id="280"/>
    </w:p>
    <w:p w:rsidR="001A26B0" w:rsidRDefault="00E33A99">
      <w:pPr>
        <w:spacing w:after="120"/>
        <w:rPr>
          <w:noProof/>
          <w:color w:val="000000" w:themeColor="text1"/>
        </w:rPr>
      </w:pPr>
      <w:r>
        <w:rPr>
          <w:noProof/>
          <w:color w:val="000000" w:themeColor="text1"/>
        </w:rPr>
        <w:fldChar w:fldCharType="begin"/>
      </w:r>
      <w:r>
        <w:rPr>
          <w:noProof/>
          <w:color w:val="000000" w:themeColor="text1"/>
        </w:rPr>
        <w:instrText xml:space="preserve"> REF _Ref493774462 \h  \* MERGEFORMAT </w:instrText>
      </w:r>
      <w:r>
        <w:rPr>
          <w:noProof/>
          <w:color w:val="000000" w:themeColor="text1"/>
        </w:rPr>
      </w:r>
      <w:r>
        <w:rPr>
          <w:noProof/>
          <w:color w:val="000000" w:themeColor="text1"/>
        </w:rPr>
        <w:fldChar w:fldCharType="separate"/>
      </w:r>
      <w:r>
        <w:rPr>
          <w:noProof/>
        </w:rPr>
        <w:t>Table 17</w:t>
      </w:r>
      <w:r>
        <w:rPr>
          <w:noProof/>
          <w:color w:val="000000" w:themeColor="text1"/>
        </w:rPr>
        <w:fldChar w:fldCharType="end"/>
      </w:r>
      <w:r>
        <w:rPr>
          <w:noProof/>
          <w:color w:val="000000" w:themeColor="text1"/>
        </w:rPr>
        <w:t xml:space="preserve"> and </w:t>
      </w:r>
      <w:r>
        <w:rPr>
          <w:noProof/>
          <w:color w:val="000000" w:themeColor="text1"/>
          <w:szCs w:val="24"/>
        </w:rPr>
        <w:fldChar w:fldCharType="begin"/>
      </w:r>
      <w:r>
        <w:rPr>
          <w:noProof/>
          <w:color w:val="000000" w:themeColor="text1"/>
          <w:szCs w:val="24"/>
        </w:rPr>
        <w:instrText xml:space="preserve"> REF _Ref493586897  \* MERGEFORMAT </w:instrText>
      </w:r>
      <w:r>
        <w:rPr>
          <w:noProof/>
          <w:color w:val="000000" w:themeColor="text1"/>
          <w:szCs w:val="24"/>
        </w:rPr>
        <w:fldChar w:fldCharType="separate"/>
      </w:r>
      <w:r>
        <w:rPr>
          <w:noProof/>
          <w:szCs w:val="24"/>
        </w:rPr>
        <w:t>Figure 17</w:t>
      </w:r>
      <w:r>
        <w:rPr>
          <w:noProof/>
          <w:color w:val="000000" w:themeColor="text1"/>
          <w:szCs w:val="24"/>
        </w:rPr>
        <w:fldChar w:fldCharType="end"/>
      </w:r>
      <w:r>
        <w:rPr>
          <w:noProof/>
          <w:color w:val="000000" w:themeColor="text1"/>
          <w:szCs w:val="24"/>
        </w:rPr>
        <w:t xml:space="preserve"> </w:t>
      </w:r>
      <w:r>
        <w:rPr>
          <w:noProof/>
          <w:color w:val="000000" w:themeColor="text1"/>
        </w:rPr>
        <w:t xml:space="preserve">show the net savings over the vehicle lifetime from a societal perspective for an average new van registered in 2025 and in 2030 under the different TLV options (expressed as the difference with the baseline). </w:t>
      </w:r>
    </w:p>
    <w:p w:rsidR="001A26B0" w:rsidRDefault="00E33A99">
      <w:pPr>
        <w:spacing w:after="120"/>
        <w:rPr>
          <w:noProof/>
          <w:color w:val="000000" w:themeColor="text1"/>
        </w:rPr>
      </w:pPr>
      <w:r>
        <w:rPr>
          <w:noProof/>
          <w:color w:val="000000" w:themeColor="text1"/>
        </w:rPr>
        <w:t>Capital costs – which in this case equal manu</w:t>
      </w:r>
      <w:r>
        <w:rPr>
          <w:noProof/>
          <w:color w:val="000000" w:themeColor="text1"/>
        </w:rPr>
        <w:t>facturing costs - increase with stricter EU-wide fleet CO</w:t>
      </w:r>
      <w:r>
        <w:rPr>
          <w:noProof/>
          <w:color w:val="000000" w:themeColor="text1"/>
          <w:vertAlign w:val="subscript"/>
        </w:rPr>
        <w:t>2</w:t>
      </w:r>
      <w:r>
        <w:rPr>
          <w:noProof/>
          <w:color w:val="000000" w:themeColor="text1"/>
        </w:rPr>
        <w:t xml:space="preserve"> target levels as reducing CO</w:t>
      </w:r>
      <w:r>
        <w:rPr>
          <w:noProof/>
          <w:color w:val="000000" w:themeColor="text1"/>
          <w:vertAlign w:val="subscript"/>
        </w:rPr>
        <w:t>2</w:t>
      </w:r>
      <w:r>
        <w:rPr>
          <w:noProof/>
          <w:color w:val="000000" w:themeColor="text1"/>
        </w:rPr>
        <w:t xml:space="preserve"> emissions will require additional more expensive technologies to be implemented. For a new van registered in 2025, the average additional capital cost ranges from 232 </w:t>
      </w:r>
      <w:r>
        <w:rPr>
          <w:noProof/>
          <w:color w:val="000000" w:themeColor="text1"/>
        </w:rPr>
        <w:t>EUR (TLV20) to 1,469 EUR (TLV_EP50). In 2030 (when stricter targets apply), it ranges from 426 EUR (TLV20) to 2,439 EUR (TLV_EP50) per van.</w:t>
      </w:r>
    </w:p>
    <w:p w:rsidR="001A26B0" w:rsidRDefault="00E33A99">
      <w:pPr>
        <w:spacing w:after="120"/>
        <w:rPr>
          <w:noProof/>
          <w:color w:val="000000" w:themeColor="text1"/>
        </w:rPr>
      </w:pPr>
      <w:r>
        <w:rPr>
          <w:noProof/>
          <w:color w:val="000000" w:themeColor="text1"/>
        </w:rPr>
        <w:t xml:space="preserve">At the same time, stricter targets will lower fuel costs and fuel cost savings per van range from 1,002 EUR (TLV20) </w:t>
      </w:r>
      <w:r>
        <w:rPr>
          <w:noProof/>
          <w:color w:val="000000" w:themeColor="text1"/>
        </w:rPr>
        <w:t>to 2,529 EUR (TLV_EP40) in 2025 and from 2,063 EUR (TLV20) to 4,261 EUR (TLV_EP50) in 2030.</w:t>
      </w:r>
    </w:p>
    <w:p w:rsidR="001A26B0" w:rsidRDefault="00E33A99">
      <w:pPr>
        <w:spacing w:after="120"/>
        <w:rPr>
          <w:noProof/>
          <w:color w:val="000000" w:themeColor="text1"/>
        </w:rPr>
      </w:pPr>
      <w:r>
        <w:rPr>
          <w:noProof/>
          <w:color w:val="000000" w:themeColor="text1"/>
        </w:rPr>
        <w:t>O&amp;M costs show little variation between the different options, apart from TLV_EP50, where these costs are significantly lowered in 2030.</w:t>
      </w:r>
    </w:p>
    <w:p w:rsidR="001A26B0" w:rsidRDefault="00E33A99">
      <w:pPr>
        <w:spacing w:after="120"/>
        <w:rPr>
          <w:noProof/>
          <w:color w:val="000000" w:themeColor="text1"/>
        </w:rPr>
      </w:pPr>
      <w:r>
        <w:rPr>
          <w:noProof/>
          <w:color w:val="000000" w:themeColor="text1"/>
        </w:rPr>
        <w:t>Both in 2025 and in 2030, n</w:t>
      </w:r>
      <w:r>
        <w:rPr>
          <w:noProof/>
          <w:color w:val="000000" w:themeColor="text1"/>
        </w:rPr>
        <w:t xml:space="preserve">et savings occur under all options, ranging from 810 (TLV20) to 1,369 EUR (TLV_EP40) per van in 2025 and from 1,687 EUR (TLV20) to 2,386 EUR (TLV40) per van in 2030. </w:t>
      </w:r>
      <w:bookmarkStart w:id="281" w:name="_Ref493267507"/>
      <w:bookmarkStart w:id="282" w:name="_Ref493266485"/>
    </w:p>
    <w:p w:rsidR="001A26B0" w:rsidRDefault="00E33A99">
      <w:pPr>
        <w:spacing w:after="120"/>
        <w:rPr>
          <w:noProof/>
          <w:color w:val="000000" w:themeColor="text1"/>
        </w:rPr>
      </w:pPr>
      <w:r>
        <w:rPr>
          <w:noProof/>
          <w:color w:val="000000" w:themeColor="text1"/>
        </w:rPr>
        <w:t>Overall, net savings for vans are significantly higher than for cars under options with s</w:t>
      </w:r>
      <w:r>
        <w:rPr>
          <w:noProof/>
          <w:color w:val="000000" w:themeColor="text1"/>
        </w:rPr>
        <w:t>imilar emission target reduction percentages due to the much higher fuel cost savings achieved as vans start reducing from a significantly higher CO</w:t>
      </w:r>
      <w:r>
        <w:rPr>
          <w:noProof/>
          <w:color w:val="000000" w:themeColor="text1"/>
          <w:vertAlign w:val="subscript"/>
        </w:rPr>
        <w:t>2</w:t>
      </w:r>
      <w:r>
        <w:rPr>
          <w:noProof/>
          <w:color w:val="000000" w:themeColor="text1"/>
        </w:rPr>
        <w:t xml:space="preserve"> efficiency standard. Importantly, the highest benefits occur at target levels of 30% and 40% in 2030. This</w:t>
      </w:r>
      <w:r>
        <w:rPr>
          <w:noProof/>
          <w:color w:val="000000" w:themeColor="text1"/>
        </w:rPr>
        <w:t xml:space="preserve"> could help improving the competitiveness of many SMEs.</w:t>
      </w:r>
    </w:p>
    <w:p w:rsidR="001A26B0" w:rsidRDefault="00E33A99">
      <w:pPr>
        <w:spacing w:after="120"/>
        <w:rPr>
          <w:b/>
          <w:noProof/>
        </w:rPr>
      </w:pPr>
      <w:bookmarkStart w:id="283" w:name="_Ref493774462"/>
      <w:r>
        <w:rPr>
          <w:b/>
          <w:noProof/>
        </w:rPr>
        <w:t xml:space="preserve">Table </w:t>
      </w:r>
      <w:r>
        <w:rPr>
          <w:b/>
          <w:noProof/>
        </w:rPr>
        <w:fldChar w:fldCharType="begin"/>
      </w:r>
      <w:r>
        <w:rPr>
          <w:b/>
          <w:noProof/>
        </w:rPr>
        <w:instrText xml:space="preserve"> SEQ Table \* ARABIC </w:instrText>
      </w:r>
      <w:r>
        <w:rPr>
          <w:b/>
          <w:noProof/>
        </w:rPr>
        <w:fldChar w:fldCharType="separate"/>
      </w:r>
      <w:r>
        <w:rPr>
          <w:b/>
          <w:noProof/>
        </w:rPr>
        <w:t>17</w:t>
      </w:r>
      <w:r>
        <w:rPr>
          <w:b/>
          <w:noProof/>
        </w:rPr>
        <w:fldChar w:fldCharType="end"/>
      </w:r>
      <w:bookmarkEnd w:id="281"/>
      <w:bookmarkEnd w:id="283"/>
      <w:r>
        <w:rPr>
          <w:b/>
          <w:noProof/>
        </w:rPr>
        <w:t>: Net economic savings over the vehicle lifetime from a societal perspective in 2025 and 2030 (EUR/van)</w:t>
      </w:r>
    </w:p>
    <w:tbl>
      <w:tblPr>
        <w:tblStyle w:val="TableGrid"/>
        <w:tblW w:w="5000" w:type="pct"/>
        <w:tblLayout w:type="fixed"/>
        <w:tblLook w:val="04A0" w:firstRow="1" w:lastRow="0" w:firstColumn="1" w:lastColumn="0" w:noHBand="0" w:noVBand="1"/>
      </w:tblPr>
      <w:tblGrid>
        <w:gridCol w:w="2148"/>
        <w:gridCol w:w="959"/>
        <w:gridCol w:w="961"/>
        <w:gridCol w:w="959"/>
        <w:gridCol w:w="961"/>
        <w:gridCol w:w="1441"/>
        <w:gridCol w:w="1400"/>
      </w:tblGrid>
      <w:tr w:rsidR="001A26B0">
        <w:trPr>
          <w:trHeight w:val="255"/>
        </w:trPr>
        <w:tc>
          <w:tcPr>
            <w:tcW w:w="1216" w:type="pct"/>
            <w:noWrap/>
            <w:hideMark/>
          </w:tcPr>
          <w:p w:rsidR="001A26B0" w:rsidRDefault="00E33A99">
            <w:pPr>
              <w:spacing w:after="60" w:line="276" w:lineRule="auto"/>
              <w:rPr>
                <w:noProof/>
                <w:szCs w:val="24"/>
              </w:rPr>
            </w:pPr>
            <w:r>
              <w:rPr>
                <w:noProof/>
                <w:szCs w:val="24"/>
              </w:rPr>
              <w:t>2025</w:t>
            </w:r>
          </w:p>
        </w:tc>
        <w:tc>
          <w:tcPr>
            <w:tcW w:w="543" w:type="pct"/>
            <w:noWrap/>
          </w:tcPr>
          <w:p w:rsidR="001A26B0" w:rsidRDefault="00E33A99">
            <w:pPr>
              <w:spacing w:after="60" w:line="276" w:lineRule="auto"/>
              <w:jc w:val="center"/>
              <w:rPr>
                <w:noProof/>
                <w:szCs w:val="24"/>
              </w:rPr>
            </w:pPr>
            <w:r>
              <w:rPr>
                <w:noProof/>
                <w:szCs w:val="24"/>
              </w:rPr>
              <w:t>TLV20</w:t>
            </w:r>
          </w:p>
        </w:tc>
        <w:tc>
          <w:tcPr>
            <w:tcW w:w="544" w:type="pct"/>
            <w:noWrap/>
          </w:tcPr>
          <w:p w:rsidR="001A26B0" w:rsidRDefault="00E33A99">
            <w:pPr>
              <w:spacing w:after="60" w:line="276" w:lineRule="auto"/>
              <w:jc w:val="center"/>
              <w:rPr>
                <w:noProof/>
                <w:szCs w:val="24"/>
              </w:rPr>
            </w:pPr>
            <w:r>
              <w:rPr>
                <w:noProof/>
                <w:szCs w:val="24"/>
              </w:rPr>
              <w:t>TLV25</w:t>
            </w:r>
          </w:p>
        </w:tc>
        <w:tc>
          <w:tcPr>
            <w:tcW w:w="543" w:type="pct"/>
          </w:tcPr>
          <w:p w:rsidR="001A26B0" w:rsidRDefault="00E33A99">
            <w:pPr>
              <w:spacing w:after="60" w:line="276" w:lineRule="auto"/>
              <w:jc w:val="center"/>
              <w:rPr>
                <w:noProof/>
                <w:szCs w:val="24"/>
              </w:rPr>
            </w:pPr>
            <w:r>
              <w:rPr>
                <w:noProof/>
                <w:szCs w:val="24"/>
              </w:rPr>
              <w:t>TLV30</w:t>
            </w:r>
          </w:p>
        </w:tc>
        <w:tc>
          <w:tcPr>
            <w:tcW w:w="544" w:type="pct"/>
            <w:noWrap/>
          </w:tcPr>
          <w:p w:rsidR="001A26B0" w:rsidRDefault="00E33A99">
            <w:pPr>
              <w:spacing w:after="60" w:line="276" w:lineRule="auto"/>
              <w:jc w:val="center"/>
              <w:rPr>
                <w:noProof/>
                <w:szCs w:val="24"/>
              </w:rPr>
            </w:pPr>
            <w:r>
              <w:rPr>
                <w:noProof/>
                <w:szCs w:val="24"/>
              </w:rPr>
              <w:t>TLV40</w:t>
            </w:r>
          </w:p>
        </w:tc>
        <w:tc>
          <w:tcPr>
            <w:tcW w:w="816" w:type="pct"/>
            <w:noWrap/>
          </w:tcPr>
          <w:p w:rsidR="001A26B0" w:rsidRDefault="00E33A99">
            <w:pPr>
              <w:spacing w:after="60" w:line="276" w:lineRule="auto"/>
              <w:jc w:val="center"/>
              <w:rPr>
                <w:noProof/>
                <w:szCs w:val="24"/>
              </w:rPr>
            </w:pPr>
            <w:r>
              <w:rPr>
                <w:noProof/>
                <w:szCs w:val="24"/>
              </w:rPr>
              <w:t>TLV_EP40</w:t>
            </w:r>
          </w:p>
        </w:tc>
        <w:tc>
          <w:tcPr>
            <w:tcW w:w="793" w:type="pct"/>
            <w:noWrap/>
          </w:tcPr>
          <w:p w:rsidR="001A26B0" w:rsidRDefault="00E33A99">
            <w:pPr>
              <w:spacing w:after="60" w:line="276" w:lineRule="auto"/>
              <w:jc w:val="center"/>
              <w:rPr>
                <w:noProof/>
                <w:szCs w:val="24"/>
              </w:rPr>
            </w:pPr>
            <w:r>
              <w:rPr>
                <w:noProof/>
                <w:szCs w:val="24"/>
              </w:rPr>
              <w:t>TLV_EP50</w:t>
            </w:r>
          </w:p>
        </w:tc>
      </w:tr>
      <w:tr w:rsidR="001A26B0">
        <w:trPr>
          <w:trHeight w:val="255"/>
        </w:trPr>
        <w:tc>
          <w:tcPr>
            <w:tcW w:w="1216" w:type="pct"/>
            <w:noWrap/>
            <w:hideMark/>
          </w:tcPr>
          <w:p w:rsidR="001A26B0" w:rsidRDefault="00E33A99">
            <w:pPr>
              <w:spacing w:after="60" w:line="276" w:lineRule="auto"/>
              <w:rPr>
                <w:noProof/>
                <w:szCs w:val="24"/>
              </w:rPr>
            </w:pPr>
            <w:r>
              <w:rPr>
                <w:noProof/>
                <w:szCs w:val="24"/>
              </w:rPr>
              <w:t>Capital cost [1]</w:t>
            </w:r>
          </w:p>
        </w:tc>
        <w:tc>
          <w:tcPr>
            <w:tcW w:w="543" w:type="pct"/>
            <w:noWrap/>
          </w:tcPr>
          <w:p w:rsidR="001A26B0" w:rsidRDefault="00E33A99">
            <w:pPr>
              <w:spacing w:after="60" w:line="276" w:lineRule="auto"/>
              <w:jc w:val="center"/>
              <w:rPr>
                <w:noProof/>
                <w:szCs w:val="24"/>
              </w:rPr>
            </w:pPr>
            <w:r>
              <w:rPr>
                <w:noProof/>
              </w:rPr>
              <w:t>232</w:t>
            </w:r>
          </w:p>
        </w:tc>
        <w:tc>
          <w:tcPr>
            <w:tcW w:w="544" w:type="pct"/>
            <w:noWrap/>
          </w:tcPr>
          <w:p w:rsidR="001A26B0" w:rsidRDefault="00E33A99">
            <w:pPr>
              <w:spacing w:after="60" w:line="276" w:lineRule="auto"/>
              <w:jc w:val="center"/>
              <w:rPr>
                <w:noProof/>
                <w:szCs w:val="24"/>
              </w:rPr>
            </w:pPr>
            <w:r>
              <w:rPr>
                <w:noProof/>
              </w:rPr>
              <w:t>355</w:t>
            </w:r>
          </w:p>
        </w:tc>
        <w:tc>
          <w:tcPr>
            <w:tcW w:w="543" w:type="pct"/>
          </w:tcPr>
          <w:p w:rsidR="001A26B0" w:rsidRDefault="00E33A99">
            <w:pPr>
              <w:spacing w:after="60" w:line="276" w:lineRule="auto"/>
              <w:jc w:val="center"/>
              <w:rPr>
                <w:noProof/>
              </w:rPr>
            </w:pPr>
            <w:r>
              <w:rPr>
                <w:noProof/>
              </w:rPr>
              <w:t>393</w:t>
            </w:r>
          </w:p>
        </w:tc>
        <w:tc>
          <w:tcPr>
            <w:tcW w:w="544" w:type="pct"/>
            <w:noWrap/>
          </w:tcPr>
          <w:p w:rsidR="001A26B0" w:rsidRDefault="00E33A99">
            <w:pPr>
              <w:spacing w:after="60" w:line="276" w:lineRule="auto"/>
              <w:jc w:val="center"/>
              <w:rPr>
                <w:noProof/>
                <w:szCs w:val="24"/>
              </w:rPr>
            </w:pPr>
            <w:r>
              <w:rPr>
                <w:noProof/>
              </w:rPr>
              <w:t>877</w:t>
            </w:r>
          </w:p>
        </w:tc>
        <w:tc>
          <w:tcPr>
            <w:tcW w:w="816" w:type="pct"/>
            <w:noWrap/>
          </w:tcPr>
          <w:p w:rsidR="001A26B0" w:rsidRDefault="00E33A99">
            <w:pPr>
              <w:spacing w:after="60" w:line="276" w:lineRule="auto"/>
              <w:jc w:val="center"/>
              <w:rPr>
                <w:noProof/>
                <w:szCs w:val="24"/>
              </w:rPr>
            </w:pPr>
            <w:r>
              <w:rPr>
                <w:noProof/>
              </w:rPr>
              <w:t>1,251</w:t>
            </w:r>
          </w:p>
        </w:tc>
        <w:tc>
          <w:tcPr>
            <w:tcW w:w="793" w:type="pct"/>
            <w:noWrap/>
          </w:tcPr>
          <w:p w:rsidR="001A26B0" w:rsidRDefault="00E33A99">
            <w:pPr>
              <w:spacing w:after="60" w:line="276" w:lineRule="auto"/>
              <w:jc w:val="center"/>
              <w:rPr>
                <w:noProof/>
                <w:szCs w:val="24"/>
              </w:rPr>
            </w:pPr>
            <w:r>
              <w:rPr>
                <w:noProof/>
                <w:szCs w:val="24"/>
              </w:rPr>
              <w:t>1,469</w:t>
            </w:r>
          </w:p>
        </w:tc>
      </w:tr>
      <w:tr w:rsidR="001A26B0">
        <w:trPr>
          <w:trHeight w:val="255"/>
        </w:trPr>
        <w:tc>
          <w:tcPr>
            <w:tcW w:w="1216" w:type="pct"/>
            <w:tcBorders>
              <w:bottom w:val="single" w:sz="4" w:space="0" w:color="auto"/>
            </w:tcBorders>
            <w:noWrap/>
          </w:tcPr>
          <w:p w:rsidR="001A26B0" w:rsidRDefault="00E33A99">
            <w:pPr>
              <w:spacing w:after="60" w:line="276" w:lineRule="auto"/>
              <w:rPr>
                <w:noProof/>
                <w:szCs w:val="24"/>
              </w:rPr>
            </w:pPr>
            <w:r>
              <w:rPr>
                <w:noProof/>
                <w:szCs w:val="24"/>
              </w:rPr>
              <w:t xml:space="preserve">O&amp;M cost [2] </w:t>
            </w:r>
          </w:p>
        </w:tc>
        <w:tc>
          <w:tcPr>
            <w:tcW w:w="543" w:type="pct"/>
            <w:tcBorders>
              <w:bottom w:val="single" w:sz="4" w:space="0" w:color="auto"/>
            </w:tcBorders>
            <w:noWrap/>
          </w:tcPr>
          <w:p w:rsidR="001A26B0" w:rsidRDefault="00E33A99">
            <w:pPr>
              <w:spacing w:after="60" w:line="276" w:lineRule="auto"/>
              <w:jc w:val="center"/>
              <w:rPr>
                <w:noProof/>
                <w:szCs w:val="24"/>
              </w:rPr>
            </w:pPr>
            <w:r>
              <w:rPr>
                <w:noProof/>
              </w:rPr>
              <w:t>-40</w:t>
            </w:r>
          </w:p>
        </w:tc>
        <w:tc>
          <w:tcPr>
            <w:tcW w:w="544" w:type="pct"/>
            <w:tcBorders>
              <w:bottom w:val="single" w:sz="4" w:space="0" w:color="auto"/>
            </w:tcBorders>
            <w:noWrap/>
          </w:tcPr>
          <w:p w:rsidR="001A26B0" w:rsidRDefault="00E33A99">
            <w:pPr>
              <w:spacing w:after="60" w:line="276" w:lineRule="auto"/>
              <w:jc w:val="center"/>
              <w:rPr>
                <w:noProof/>
                <w:szCs w:val="24"/>
              </w:rPr>
            </w:pPr>
            <w:r>
              <w:rPr>
                <w:noProof/>
              </w:rPr>
              <w:t>-52</w:t>
            </w:r>
          </w:p>
        </w:tc>
        <w:tc>
          <w:tcPr>
            <w:tcW w:w="543" w:type="pct"/>
            <w:tcBorders>
              <w:bottom w:val="single" w:sz="4" w:space="0" w:color="auto"/>
            </w:tcBorders>
          </w:tcPr>
          <w:p w:rsidR="001A26B0" w:rsidRDefault="00E33A99">
            <w:pPr>
              <w:spacing w:after="60" w:line="276" w:lineRule="auto"/>
              <w:jc w:val="center"/>
              <w:rPr>
                <w:noProof/>
              </w:rPr>
            </w:pPr>
            <w:r>
              <w:rPr>
                <w:noProof/>
              </w:rPr>
              <w:t>-58</w:t>
            </w:r>
          </w:p>
        </w:tc>
        <w:tc>
          <w:tcPr>
            <w:tcW w:w="544" w:type="pct"/>
            <w:tcBorders>
              <w:bottom w:val="single" w:sz="4" w:space="0" w:color="auto"/>
            </w:tcBorders>
            <w:noWrap/>
          </w:tcPr>
          <w:p w:rsidR="001A26B0" w:rsidRDefault="00E33A99">
            <w:pPr>
              <w:spacing w:after="60" w:line="276" w:lineRule="auto"/>
              <w:jc w:val="center"/>
              <w:rPr>
                <w:noProof/>
                <w:szCs w:val="24"/>
              </w:rPr>
            </w:pPr>
            <w:r>
              <w:rPr>
                <w:noProof/>
              </w:rPr>
              <w:t>-106</w:t>
            </w:r>
          </w:p>
        </w:tc>
        <w:tc>
          <w:tcPr>
            <w:tcW w:w="816" w:type="pct"/>
            <w:tcBorders>
              <w:bottom w:val="single" w:sz="4" w:space="0" w:color="auto"/>
            </w:tcBorders>
            <w:noWrap/>
          </w:tcPr>
          <w:p w:rsidR="001A26B0" w:rsidRDefault="00E33A99">
            <w:pPr>
              <w:spacing w:after="60" w:line="276" w:lineRule="auto"/>
              <w:jc w:val="center"/>
              <w:rPr>
                <w:noProof/>
                <w:szCs w:val="24"/>
              </w:rPr>
            </w:pPr>
            <w:r>
              <w:rPr>
                <w:noProof/>
              </w:rPr>
              <w:t>-91</w:t>
            </w:r>
          </w:p>
        </w:tc>
        <w:tc>
          <w:tcPr>
            <w:tcW w:w="793" w:type="pct"/>
            <w:tcBorders>
              <w:bottom w:val="single" w:sz="4" w:space="0" w:color="auto"/>
            </w:tcBorders>
            <w:noWrap/>
          </w:tcPr>
          <w:p w:rsidR="001A26B0" w:rsidRDefault="00E33A99">
            <w:pPr>
              <w:spacing w:after="60" w:line="276" w:lineRule="auto"/>
              <w:jc w:val="center"/>
              <w:rPr>
                <w:noProof/>
                <w:szCs w:val="24"/>
              </w:rPr>
            </w:pPr>
            <w:r>
              <w:rPr>
                <w:noProof/>
                <w:szCs w:val="24"/>
              </w:rPr>
              <w:t>-119</w:t>
            </w:r>
          </w:p>
        </w:tc>
      </w:tr>
      <w:tr w:rsidR="001A26B0">
        <w:trPr>
          <w:trHeight w:val="255"/>
        </w:trPr>
        <w:tc>
          <w:tcPr>
            <w:tcW w:w="1216" w:type="pct"/>
            <w:tcBorders>
              <w:bottom w:val="single" w:sz="24" w:space="0" w:color="auto"/>
            </w:tcBorders>
            <w:noWrap/>
            <w:hideMark/>
          </w:tcPr>
          <w:p w:rsidR="001A26B0" w:rsidRDefault="00E33A99">
            <w:pPr>
              <w:spacing w:after="60" w:line="276" w:lineRule="auto"/>
              <w:rPr>
                <w:noProof/>
                <w:szCs w:val="24"/>
              </w:rPr>
            </w:pPr>
            <w:r>
              <w:rPr>
                <w:noProof/>
                <w:szCs w:val="24"/>
              </w:rPr>
              <w:t>Fuel cost savings [3]</w:t>
            </w:r>
          </w:p>
        </w:tc>
        <w:tc>
          <w:tcPr>
            <w:tcW w:w="543" w:type="pct"/>
            <w:tcBorders>
              <w:bottom w:val="single" w:sz="24" w:space="0" w:color="auto"/>
            </w:tcBorders>
            <w:noWrap/>
          </w:tcPr>
          <w:p w:rsidR="001A26B0" w:rsidRDefault="00E33A99">
            <w:pPr>
              <w:spacing w:after="60" w:line="276" w:lineRule="auto"/>
              <w:jc w:val="center"/>
              <w:rPr>
                <w:noProof/>
                <w:szCs w:val="24"/>
              </w:rPr>
            </w:pPr>
            <w:r>
              <w:rPr>
                <w:noProof/>
              </w:rPr>
              <w:t>1,002</w:t>
            </w:r>
          </w:p>
        </w:tc>
        <w:tc>
          <w:tcPr>
            <w:tcW w:w="544" w:type="pct"/>
            <w:tcBorders>
              <w:bottom w:val="single" w:sz="24" w:space="0" w:color="auto"/>
            </w:tcBorders>
            <w:noWrap/>
          </w:tcPr>
          <w:p w:rsidR="001A26B0" w:rsidRDefault="00E33A99">
            <w:pPr>
              <w:spacing w:after="60" w:line="276" w:lineRule="auto"/>
              <w:jc w:val="center"/>
              <w:rPr>
                <w:noProof/>
                <w:szCs w:val="24"/>
              </w:rPr>
            </w:pPr>
            <w:r>
              <w:rPr>
                <w:noProof/>
              </w:rPr>
              <w:t>1,265</w:t>
            </w:r>
          </w:p>
        </w:tc>
        <w:tc>
          <w:tcPr>
            <w:tcW w:w="543" w:type="pct"/>
            <w:tcBorders>
              <w:bottom w:val="single" w:sz="24" w:space="0" w:color="auto"/>
            </w:tcBorders>
          </w:tcPr>
          <w:p w:rsidR="001A26B0" w:rsidRDefault="00E33A99">
            <w:pPr>
              <w:spacing w:after="60" w:line="276" w:lineRule="auto"/>
              <w:jc w:val="center"/>
              <w:rPr>
                <w:noProof/>
              </w:rPr>
            </w:pPr>
            <w:r>
              <w:rPr>
                <w:noProof/>
              </w:rPr>
              <w:t>1,685</w:t>
            </w:r>
          </w:p>
        </w:tc>
        <w:tc>
          <w:tcPr>
            <w:tcW w:w="544" w:type="pct"/>
            <w:tcBorders>
              <w:bottom w:val="single" w:sz="24" w:space="0" w:color="auto"/>
            </w:tcBorders>
            <w:noWrap/>
          </w:tcPr>
          <w:p w:rsidR="001A26B0" w:rsidRDefault="00E33A99">
            <w:pPr>
              <w:spacing w:after="60" w:line="276" w:lineRule="auto"/>
              <w:jc w:val="center"/>
              <w:rPr>
                <w:noProof/>
                <w:szCs w:val="24"/>
              </w:rPr>
            </w:pPr>
            <w:r>
              <w:rPr>
                <w:noProof/>
              </w:rPr>
              <w:t>2,061</w:t>
            </w:r>
          </w:p>
        </w:tc>
        <w:tc>
          <w:tcPr>
            <w:tcW w:w="816" w:type="pct"/>
            <w:tcBorders>
              <w:bottom w:val="single" w:sz="24" w:space="0" w:color="auto"/>
            </w:tcBorders>
            <w:noWrap/>
          </w:tcPr>
          <w:p w:rsidR="001A26B0" w:rsidRDefault="00E33A99">
            <w:pPr>
              <w:spacing w:after="60" w:line="276" w:lineRule="auto"/>
              <w:jc w:val="center"/>
              <w:rPr>
                <w:noProof/>
                <w:szCs w:val="24"/>
              </w:rPr>
            </w:pPr>
            <w:r>
              <w:rPr>
                <w:noProof/>
              </w:rPr>
              <w:t>2,529</w:t>
            </w:r>
          </w:p>
        </w:tc>
        <w:tc>
          <w:tcPr>
            <w:tcW w:w="793" w:type="pct"/>
            <w:tcBorders>
              <w:bottom w:val="single" w:sz="24" w:space="0" w:color="auto"/>
            </w:tcBorders>
            <w:noWrap/>
          </w:tcPr>
          <w:p w:rsidR="001A26B0" w:rsidRDefault="00E33A99">
            <w:pPr>
              <w:spacing w:after="60" w:line="276" w:lineRule="auto"/>
              <w:jc w:val="center"/>
              <w:rPr>
                <w:noProof/>
                <w:szCs w:val="24"/>
              </w:rPr>
            </w:pPr>
            <w:r>
              <w:rPr>
                <w:noProof/>
                <w:szCs w:val="24"/>
              </w:rPr>
              <w:t>2,316</w:t>
            </w:r>
          </w:p>
        </w:tc>
      </w:tr>
      <w:tr w:rsidR="001A26B0">
        <w:trPr>
          <w:trHeight w:val="255"/>
        </w:trPr>
        <w:tc>
          <w:tcPr>
            <w:tcW w:w="1216" w:type="pct"/>
            <w:noWrap/>
            <w:hideMark/>
          </w:tcPr>
          <w:p w:rsidR="001A26B0" w:rsidRDefault="00E33A99">
            <w:pPr>
              <w:spacing w:after="60" w:line="276" w:lineRule="auto"/>
              <w:rPr>
                <w:i/>
                <w:noProof/>
                <w:szCs w:val="24"/>
              </w:rPr>
            </w:pPr>
            <w:r>
              <w:rPr>
                <w:i/>
                <w:noProof/>
                <w:szCs w:val="24"/>
              </w:rPr>
              <w:t>Net savings [3-1-2]</w:t>
            </w:r>
          </w:p>
        </w:tc>
        <w:tc>
          <w:tcPr>
            <w:tcW w:w="543" w:type="pct"/>
            <w:noWrap/>
          </w:tcPr>
          <w:p w:rsidR="001A26B0" w:rsidRDefault="00E33A99">
            <w:pPr>
              <w:spacing w:after="60" w:line="276" w:lineRule="auto"/>
              <w:jc w:val="center"/>
              <w:rPr>
                <w:i/>
                <w:noProof/>
                <w:szCs w:val="24"/>
              </w:rPr>
            </w:pPr>
            <w:r>
              <w:rPr>
                <w:i/>
                <w:noProof/>
              </w:rPr>
              <w:t>810</w:t>
            </w:r>
          </w:p>
        </w:tc>
        <w:tc>
          <w:tcPr>
            <w:tcW w:w="544" w:type="pct"/>
            <w:noWrap/>
          </w:tcPr>
          <w:p w:rsidR="001A26B0" w:rsidRDefault="00E33A99">
            <w:pPr>
              <w:spacing w:after="60" w:line="276" w:lineRule="auto"/>
              <w:jc w:val="center"/>
              <w:rPr>
                <w:i/>
                <w:noProof/>
                <w:szCs w:val="24"/>
              </w:rPr>
            </w:pPr>
            <w:r>
              <w:rPr>
                <w:i/>
                <w:noProof/>
              </w:rPr>
              <w:t>962</w:t>
            </w:r>
          </w:p>
        </w:tc>
        <w:tc>
          <w:tcPr>
            <w:tcW w:w="543" w:type="pct"/>
          </w:tcPr>
          <w:p w:rsidR="001A26B0" w:rsidRDefault="00E33A99">
            <w:pPr>
              <w:spacing w:after="60" w:line="276" w:lineRule="auto"/>
              <w:jc w:val="center"/>
              <w:rPr>
                <w:i/>
                <w:noProof/>
              </w:rPr>
            </w:pPr>
            <w:r>
              <w:rPr>
                <w:i/>
                <w:noProof/>
              </w:rPr>
              <w:t>1,350</w:t>
            </w:r>
          </w:p>
        </w:tc>
        <w:tc>
          <w:tcPr>
            <w:tcW w:w="544" w:type="pct"/>
            <w:noWrap/>
          </w:tcPr>
          <w:p w:rsidR="001A26B0" w:rsidRDefault="00E33A99">
            <w:pPr>
              <w:spacing w:after="60" w:line="276" w:lineRule="auto"/>
              <w:jc w:val="center"/>
              <w:rPr>
                <w:i/>
                <w:noProof/>
                <w:szCs w:val="24"/>
              </w:rPr>
            </w:pPr>
            <w:r>
              <w:rPr>
                <w:i/>
                <w:noProof/>
              </w:rPr>
              <w:t>1,290</w:t>
            </w:r>
          </w:p>
        </w:tc>
        <w:tc>
          <w:tcPr>
            <w:tcW w:w="816" w:type="pct"/>
            <w:noWrap/>
          </w:tcPr>
          <w:p w:rsidR="001A26B0" w:rsidRDefault="00E33A99">
            <w:pPr>
              <w:spacing w:after="60" w:line="276" w:lineRule="auto"/>
              <w:jc w:val="center"/>
              <w:rPr>
                <w:i/>
                <w:noProof/>
                <w:szCs w:val="24"/>
              </w:rPr>
            </w:pPr>
            <w:r>
              <w:rPr>
                <w:i/>
                <w:noProof/>
              </w:rPr>
              <w:t>1,369</w:t>
            </w:r>
          </w:p>
        </w:tc>
        <w:tc>
          <w:tcPr>
            <w:tcW w:w="793" w:type="pct"/>
            <w:noWrap/>
          </w:tcPr>
          <w:p w:rsidR="001A26B0" w:rsidRDefault="00E33A99">
            <w:pPr>
              <w:spacing w:after="60" w:line="276" w:lineRule="auto"/>
              <w:jc w:val="center"/>
              <w:rPr>
                <w:i/>
                <w:noProof/>
                <w:szCs w:val="24"/>
              </w:rPr>
            </w:pPr>
            <w:r>
              <w:rPr>
                <w:i/>
                <w:noProof/>
                <w:szCs w:val="24"/>
              </w:rPr>
              <w:t>967</w:t>
            </w:r>
          </w:p>
        </w:tc>
      </w:tr>
    </w:tbl>
    <w:p w:rsidR="001A26B0" w:rsidRDefault="001A26B0">
      <w:pPr>
        <w:pStyle w:val="Heading6"/>
        <w:numPr>
          <w:ilvl w:val="0"/>
          <w:numId w:val="0"/>
        </w:numPr>
        <w:spacing w:after="0"/>
        <w:rPr>
          <w:noProof/>
        </w:rPr>
      </w:pPr>
    </w:p>
    <w:tbl>
      <w:tblPr>
        <w:tblStyle w:val="TableGrid"/>
        <w:tblW w:w="5000" w:type="pct"/>
        <w:tblLayout w:type="fixed"/>
        <w:tblLook w:val="04A0" w:firstRow="1" w:lastRow="0" w:firstColumn="1" w:lastColumn="0" w:noHBand="0" w:noVBand="1"/>
      </w:tblPr>
      <w:tblGrid>
        <w:gridCol w:w="2270"/>
        <w:gridCol w:w="959"/>
        <w:gridCol w:w="959"/>
        <w:gridCol w:w="1081"/>
        <w:gridCol w:w="1005"/>
        <w:gridCol w:w="1155"/>
        <w:gridCol w:w="1400"/>
      </w:tblGrid>
      <w:tr w:rsidR="001A26B0">
        <w:trPr>
          <w:trHeight w:val="255"/>
        </w:trPr>
        <w:tc>
          <w:tcPr>
            <w:tcW w:w="1286" w:type="pct"/>
            <w:noWrap/>
            <w:hideMark/>
          </w:tcPr>
          <w:p w:rsidR="001A26B0" w:rsidRDefault="00E33A99">
            <w:pPr>
              <w:keepNext/>
              <w:spacing w:after="60" w:line="276" w:lineRule="auto"/>
              <w:rPr>
                <w:noProof/>
              </w:rPr>
            </w:pPr>
            <w:r>
              <w:rPr>
                <w:noProof/>
              </w:rPr>
              <w:t>2030</w:t>
            </w:r>
          </w:p>
        </w:tc>
        <w:tc>
          <w:tcPr>
            <w:tcW w:w="543" w:type="pct"/>
            <w:noWrap/>
          </w:tcPr>
          <w:p w:rsidR="001A26B0" w:rsidRDefault="00E33A99">
            <w:pPr>
              <w:keepNext/>
              <w:spacing w:after="60" w:line="276" w:lineRule="auto"/>
              <w:jc w:val="center"/>
              <w:rPr>
                <w:noProof/>
              </w:rPr>
            </w:pPr>
            <w:r>
              <w:rPr>
                <w:noProof/>
                <w:szCs w:val="24"/>
              </w:rPr>
              <w:t>TLV20</w:t>
            </w:r>
          </w:p>
        </w:tc>
        <w:tc>
          <w:tcPr>
            <w:tcW w:w="543" w:type="pct"/>
            <w:noWrap/>
          </w:tcPr>
          <w:p w:rsidR="001A26B0" w:rsidRDefault="00E33A99">
            <w:pPr>
              <w:keepNext/>
              <w:spacing w:after="60" w:line="276" w:lineRule="auto"/>
              <w:jc w:val="center"/>
              <w:rPr>
                <w:noProof/>
              </w:rPr>
            </w:pPr>
            <w:r>
              <w:rPr>
                <w:noProof/>
                <w:szCs w:val="24"/>
              </w:rPr>
              <w:t>TLV25</w:t>
            </w:r>
          </w:p>
        </w:tc>
        <w:tc>
          <w:tcPr>
            <w:tcW w:w="612" w:type="pct"/>
          </w:tcPr>
          <w:p w:rsidR="001A26B0" w:rsidRDefault="00E33A99">
            <w:pPr>
              <w:keepNext/>
              <w:spacing w:after="60" w:line="276" w:lineRule="auto"/>
              <w:jc w:val="center"/>
              <w:rPr>
                <w:noProof/>
                <w:szCs w:val="24"/>
              </w:rPr>
            </w:pPr>
            <w:r>
              <w:rPr>
                <w:noProof/>
                <w:szCs w:val="24"/>
              </w:rPr>
              <w:t>TLV30</w:t>
            </w:r>
          </w:p>
        </w:tc>
        <w:tc>
          <w:tcPr>
            <w:tcW w:w="569" w:type="pct"/>
            <w:noWrap/>
          </w:tcPr>
          <w:p w:rsidR="001A26B0" w:rsidRDefault="00E33A99">
            <w:pPr>
              <w:keepNext/>
              <w:spacing w:after="60" w:line="276" w:lineRule="auto"/>
              <w:jc w:val="center"/>
              <w:rPr>
                <w:noProof/>
              </w:rPr>
            </w:pPr>
            <w:r>
              <w:rPr>
                <w:noProof/>
                <w:szCs w:val="24"/>
              </w:rPr>
              <w:t>TLV40</w:t>
            </w:r>
          </w:p>
        </w:tc>
        <w:tc>
          <w:tcPr>
            <w:tcW w:w="654" w:type="pct"/>
            <w:noWrap/>
          </w:tcPr>
          <w:p w:rsidR="001A26B0" w:rsidRDefault="00E33A99">
            <w:pPr>
              <w:keepNext/>
              <w:spacing w:after="60" w:line="276" w:lineRule="auto"/>
              <w:jc w:val="center"/>
              <w:rPr>
                <w:noProof/>
              </w:rPr>
            </w:pPr>
            <w:r>
              <w:rPr>
                <w:noProof/>
                <w:szCs w:val="24"/>
              </w:rPr>
              <w:t>TLV_EP40</w:t>
            </w:r>
          </w:p>
        </w:tc>
        <w:tc>
          <w:tcPr>
            <w:tcW w:w="793" w:type="pct"/>
            <w:noWrap/>
          </w:tcPr>
          <w:p w:rsidR="001A26B0" w:rsidRDefault="00E33A99">
            <w:pPr>
              <w:keepNext/>
              <w:spacing w:after="60" w:line="276" w:lineRule="auto"/>
              <w:jc w:val="center"/>
              <w:rPr>
                <w:noProof/>
              </w:rPr>
            </w:pPr>
            <w:r>
              <w:rPr>
                <w:noProof/>
                <w:szCs w:val="24"/>
              </w:rPr>
              <w:t>TLV_EP50</w:t>
            </w:r>
          </w:p>
        </w:tc>
      </w:tr>
      <w:tr w:rsidR="001A26B0">
        <w:trPr>
          <w:trHeight w:val="255"/>
        </w:trPr>
        <w:tc>
          <w:tcPr>
            <w:tcW w:w="1286" w:type="pct"/>
            <w:noWrap/>
          </w:tcPr>
          <w:p w:rsidR="001A26B0" w:rsidRDefault="00E33A99">
            <w:pPr>
              <w:keepNext/>
              <w:spacing w:after="60" w:line="276" w:lineRule="auto"/>
              <w:rPr>
                <w:noProof/>
              </w:rPr>
            </w:pPr>
            <w:r>
              <w:rPr>
                <w:noProof/>
              </w:rPr>
              <w:t>Capital cost [1]</w:t>
            </w:r>
          </w:p>
        </w:tc>
        <w:tc>
          <w:tcPr>
            <w:tcW w:w="543" w:type="pct"/>
            <w:noWrap/>
          </w:tcPr>
          <w:p w:rsidR="001A26B0" w:rsidRDefault="00E33A99">
            <w:pPr>
              <w:keepNext/>
              <w:spacing w:after="60" w:line="276" w:lineRule="auto"/>
              <w:jc w:val="center"/>
              <w:rPr>
                <w:noProof/>
              </w:rPr>
            </w:pPr>
            <w:r>
              <w:rPr>
                <w:noProof/>
              </w:rPr>
              <w:t>426</w:t>
            </w:r>
          </w:p>
        </w:tc>
        <w:tc>
          <w:tcPr>
            <w:tcW w:w="543" w:type="pct"/>
            <w:noWrap/>
          </w:tcPr>
          <w:p w:rsidR="001A26B0" w:rsidRDefault="00E33A99">
            <w:pPr>
              <w:keepNext/>
              <w:spacing w:after="60" w:line="276" w:lineRule="auto"/>
              <w:jc w:val="center"/>
              <w:rPr>
                <w:noProof/>
              </w:rPr>
            </w:pPr>
            <w:r>
              <w:rPr>
                <w:noProof/>
              </w:rPr>
              <w:t>620</w:t>
            </w:r>
          </w:p>
        </w:tc>
        <w:tc>
          <w:tcPr>
            <w:tcW w:w="612" w:type="pct"/>
          </w:tcPr>
          <w:p w:rsidR="001A26B0" w:rsidRDefault="00E33A99">
            <w:pPr>
              <w:keepNext/>
              <w:spacing w:after="60" w:line="276" w:lineRule="auto"/>
              <w:jc w:val="center"/>
              <w:rPr>
                <w:noProof/>
              </w:rPr>
            </w:pPr>
            <w:r>
              <w:rPr>
                <w:noProof/>
              </w:rPr>
              <w:t>891</w:t>
            </w:r>
          </w:p>
        </w:tc>
        <w:tc>
          <w:tcPr>
            <w:tcW w:w="569" w:type="pct"/>
            <w:noWrap/>
          </w:tcPr>
          <w:p w:rsidR="001A26B0" w:rsidRDefault="00E33A99">
            <w:pPr>
              <w:keepNext/>
              <w:spacing w:after="60" w:line="276" w:lineRule="auto"/>
              <w:jc w:val="center"/>
              <w:rPr>
                <w:noProof/>
              </w:rPr>
            </w:pPr>
            <w:r>
              <w:rPr>
                <w:noProof/>
              </w:rPr>
              <w:t>1,582</w:t>
            </w:r>
          </w:p>
        </w:tc>
        <w:tc>
          <w:tcPr>
            <w:tcW w:w="654" w:type="pct"/>
            <w:noWrap/>
          </w:tcPr>
          <w:p w:rsidR="001A26B0" w:rsidRDefault="00E33A99">
            <w:pPr>
              <w:keepNext/>
              <w:spacing w:after="60" w:line="276" w:lineRule="auto"/>
              <w:jc w:val="center"/>
              <w:rPr>
                <w:noProof/>
              </w:rPr>
            </w:pPr>
            <w:r>
              <w:rPr>
                <w:noProof/>
              </w:rPr>
              <w:t>1,415</w:t>
            </w:r>
          </w:p>
        </w:tc>
        <w:tc>
          <w:tcPr>
            <w:tcW w:w="793" w:type="pct"/>
            <w:noWrap/>
          </w:tcPr>
          <w:p w:rsidR="001A26B0" w:rsidRDefault="00E33A99">
            <w:pPr>
              <w:keepNext/>
              <w:spacing w:after="60" w:line="276" w:lineRule="auto"/>
              <w:jc w:val="center"/>
              <w:rPr>
                <w:noProof/>
              </w:rPr>
            </w:pPr>
            <w:r>
              <w:rPr>
                <w:noProof/>
              </w:rPr>
              <w:t>2,439</w:t>
            </w:r>
          </w:p>
        </w:tc>
      </w:tr>
      <w:tr w:rsidR="001A26B0">
        <w:trPr>
          <w:trHeight w:val="255"/>
        </w:trPr>
        <w:tc>
          <w:tcPr>
            <w:tcW w:w="1286" w:type="pct"/>
            <w:tcBorders>
              <w:bottom w:val="single" w:sz="4" w:space="0" w:color="auto"/>
            </w:tcBorders>
            <w:noWrap/>
          </w:tcPr>
          <w:p w:rsidR="001A26B0" w:rsidRDefault="00E33A99">
            <w:pPr>
              <w:keepNext/>
              <w:spacing w:after="60" w:line="276" w:lineRule="auto"/>
              <w:rPr>
                <w:noProof/>
              </w:rPr>
            </w:pPr>
            <w:r>
              <w:rPr>
                <w:noProof/>
              </w:rPr>
              <w:t xml:space="preserve">O&amp;M cost [2] </w:t>
            </w:r>
          </w:p>
        </w:tc>
        <w:tc>
          <w:tcPr>
            <w:tcW w:w="543" w:type="pct"/>
            <w:tcBorders>
              <w:bottom w:val="single" w:sz="4" w:space="0" w:color="auto"/>
            </w:tcBorders>
            <w:noWrap/>
          </w:tcPr>
          <w:p w:rsidR="001A26B0" w:rsidRDefault="00E33A99">
            <w:pPr>
              <w:keepNext/>
              <w:spacing w:after="60" w:line="276" w:lineRule="auto"/>
              <w:jc w:val="center"/>
              <w:rPr>
                <w:noProof/>
              </w:rPr>
            </w:pPr>
            <w:r>
              <w:rPr>
                <w:noProof/>
              </w:rPr>
              <w:t>-50</w:t>
            </w:r>
          </w:p>
        </w:tc>
        <w:tc>
          <w:tcPr>
            <w:tcW w:w="543" w:type="pct"/>
            <w:tcBorders>
              <w:bottom w:val="single" w:sz="4" w:space="0" w:color="auto"/>
            </w:tcBorders>
            <w:noWrap/>
          </w:tcPr>
          <w:p w:rsidR="001A26B0" w:rsidRDefault="00E33A99">
            <w:pPr>
              <w:keepNext/>
              <w:spacing w:after="60" w:line="276" w:lineRule="auto"/>
              <w:jc w:val="center"/>
              <w:rPr>
                <w:noProof/>
              </w:rPr>
            </w:pPr>
            <w:r>
              <w:rPr>
                <w:noProof/>
              </w:rPr>
              <w:t>-55</w:t>
            </w:r>
          </w:p>
        </w:tc>
        <w:tc>
          <w:tcPr>
            <w:tcW w:w="612" w:type="pct"/>
            <w:tcBorders>
              <w:bottom w:val="single" w:sz="4" w:space="0" w:color="auto"/>
            </w:tcBorders>
          </w:tcPr>
          <w:p w:rsidR="001A26B0" w:rsidRDefault="00E33A99">
            <w:pPr>
              <w:keepNext/>
              <w:spacing w:after="60" w:line="276" w:lineRule="auto"/>
              <w:jc w:val="center"/>
              <w:rPr>
                <w:noProof/>
              </w:rPr>
            </w:pPr>
            <w:r>
              <w:rPr>
                <w:noProof/>
              </w:rPr>
              <w:t>-75</w:t>
            </w:r>
          </w:p>
        </w:tc>
        <w:tc>
          <w:tcPr>
            <w:tcW w:w="569" w:type="pct"/>
            <w:tcBorders>
              <w:bottom w:val="single" w:sz="4" w:space="0" w:color="auto"/>
            </w:tcBorders>
            <w:noWrap/>
          </w:tcPr>
          <w:p w:rsidR="001A26B0" w:rsidRDefault="00E33A99">
            <w:pPr>
              <w:keepNext/>
              <w:spacing w:after="60" w:line="276" w:lineRule="auto"/>
              <w:jc w:val="center"/>
              <w:rPr>
                <w:noProof/>
              </w:rPr>
            </w:pPr>
            <w:r>
              <w:rPr>
                <w:noProof/>
              </w:rPr>
              <w:t>-142</w:t>
            </w:r>
          </w:p>
        </w:tc>
        <w:tc>
          <w:tcPr>
            <w:tcW w:w="654" w:type="pct"/>
            <w:tcBorders>
              <w:bottom w:val="single" w:sz="4" w:space="0" w:color="auto"/>
            </w:tcBorders>
            <w:noWrap/>
          </w:tcPr>
          <w:p w:rsidR="001A26B0" w:rsidRDefault="00E33A99">
            <w:pPr>
              <w:keepNext/>
              <w:spacing w:after="60" w:line="276" w:lineRule="auto"/>
              <w:jc w:val="center"/>
              <w:rPr>
                <w:noProof/>
              </w:rPr>
            </w:pPr>
            <w:r>
              <w:rPr>
                <w:noProof/>
              </w:rPr>
              <w:t>-141</w:t>
            </w:r>
          </w:p>
        </w:tc>
        <w:tc>
          <w:tcPr>
            <w:tcW w:w="793" w:type="pct"/>
            <w:tcBorders>
              <w:bottom w:val="single" w:sz="4" w:space="0" w:color="auto"/>
            </w:tcBorders>
            <w:noWrap/>
          </w:tcPr>
          <w:p w:rsidR="001A26B0" w:rsidRDefault="00E33A99">
            <w:pPr>
              <w:keepNext/>
              <w:spacing w:after="60" w:line="276" w:lineRule="auto"/>
              <w:jc w:val="center"/>
              <w:rPr>
                <w:noProof/>
              </w:rPr>
            </w:pPr>
            <w:r>
              <w:rPr>
                <w:noProof/>
              </w:rPr>
              <w:t>-239</w:t>
            </w:r>
          </w:p>
        </w:tc>
      </w:tr>
      <w:tr w:rsidR="001A26B0">
        <w:trPr>
          <w:trHeight w:val="255"/>
        </w:trPr>
        <w:tc>
          <w:tcPr>
            <w:tcW w:w="1286" w:type="pct"/>
            <w:tcBorders>
              <w:bottom w:val="single" w:sz="24" w:space="0" w:color="auto"/>
            </w:tcBorders>
            <w:noWrap/>
          </w:tcPr>
          <w:p w:rsidR="001A26B0" w:rsidRDefault="00E33A99">
            <w:pPr>
              <w:keepNext/>
              <w:spacing w:after="60" w:line="276" w:lineRule="auto"/>
              <w:rPr>
                <w:noProof/>
              </w:rPr>
            </w:pPr>
            <w:r>
              <w:rPr>
                <w:noProof/>
              </w:rPr>
              <w:t>Fuel cost savings [3]</w:t>
            </w:r>
          </w:p>
        </w:tc>
        <w:tc>
          <w:tcPr>
            <w:tcW w:w="543" w:type="pct"/>
            <w:tcBorders>
              <w:bottom w:val="single" w:sz="24" w:space="0" w:color="auto"/>
            </w:tcBorders>
            <w:noWrap/>
          </w:tcPr>
          <w:p w:rsidR="001A26B0" w:rsidRDefault="00E33A99">
            <w:pPr>
              <w:keepNext/>
              <w:spacing w:after="60" w:line="276" w:lineRule="auto"/>
              <w:jc w:val="center"/>
              <w:rPr>
                <w:noProof/>
              </w:rPr>
            </w:pPr>
            <w:r>
              <w:rPr>
                <w:noProof/>
              </w:rPr>
              <w:t>2,063</w:t>
            </w:r>
          </w:p>
        </w:tc>
        <w:tc>
          <w:tcPr>
            <w:tcW w:w="543" w:type="pct"/>
            <w:tcBorders>
              <w:bottom w:val="single" w:sz="24" w:space="0" w:color="auto"/>
            </w:tcBorders>
            <w:noWrap/>
          </w:tcPr>
          <w:p w:rsidR="001A26B0" w:rsidRDefault="00E33A99">
            <w:pPr>
              <w:keepNext/>
              <w:spacing w:after="60" w:line="276" w:lineRule="auto"/>
              <w:jc w:val="center"/>
              <w:rPr>
                <w:noProof/>
              </w:rPr>
            </w:pPr>
            <w:r>
              <w:rPr>
                <w:noProof/>
              </w:rPr>
              <w:t>2,600</w:t>
            </w:r>
          </w:p>
        </w:tc>
        <w:tc>
          <w:tcPr>
            <w:tcW w:w="612" w:type="pct"/>
            <w:tcBorders>
              <w:bottom w:val="single" w:sz="24" w:space="0" w:color="auto"/>
            </w:tcBorders>
          </w:tcPr>
          <w:p w:rsidR="001A26B0" w:rsidRDefault="00E33A99">
            <w:pPr>
              <w:keepNext/>
              <w:spacing w:after="60" w:line="276" w:lineRule="auto"/>
              <w:jc w:val="center"/>
              <w:rPr>
                <w:noProof/>
              </w:rPr>
            </w:pPr>
            <w:r>
              <w:rPr>
                <w:noProof/>
              </w:rPr>
              <w:t>3,064</w:t>
            </w:r>
          </w:p>
        </w:tc>
        <w:tc>
          <w:tcPr>
            <w:tcW w:w="569" w:type="pct"/>
            <w:tcBorders>
              <w:bottom w:val="single" w:sz="24" w:space="0" w:color="auto"/>
            </w:tcBorders>
            <w:noWrap/>
          </w:tcPr>
          <w:p w:rsidR="001A26B0" w:rsidRDefault="00E33A99">
            <w:pPr>
              <w:keepNext/>
              <w:spacing w:after="60" w:line="276" w:lineRule="auto"/>
              <w:jc w:val="center"/>
              <w:rPr>
                <w:noProof/>
              </w:rPr>
            </w:pPr>
            <w:r>
              <w:rPr>
                <w:noProof/>
              </w:rPr>
              <w:t>3,827</w:t>
            </w:r>
          </w:p>
        </w:tc>
        <w:tc>
          <w:tcPr>
            <w:tcW w:w="654" w:type="pct"/>
            <w:tcBorders>
              <w:bottom w:val="single" w:sz="24" w:space="0" w:color="auto"/>
            </w:tcBorders>
            <w:noWrap/>
          </w:tcPr>
          <w:p w:rsidR="001A26B0" w:rsidRDefault="00E33A99">
            <w:pPr>
              <w:keepNext/>
              <w:spacing w:after="60" w:line="276" w:lineRule="auto"/>
              <w:jc w:val="center"/>
              <w:rPr>
                <w:noProof/>
              </w:rPr>
            </w:pPr>
            <w:r>
              <w:rPr>
                <w:noProof/>
              </w:rPr>
              <w:t>3,341</w:t>
            </w:r>
          </w:p>
        </w:tc>
        <w:tc>
          <w:tcPr>
            <w:tcW w:w="793" w:type="pct"/>
            <w:tcBorders>
              <w:bottom w:val="single" w:sz="24" w:space="0" w:color="auto"/>
            </w:tcBorders>
            <w:noWrap/>
          </w:tcPr>
          <w:p w:rsidR="001A26B0" w:rsidRDefault="00E33A99">
            <w:pPr>
              <w:keepNext/>
              <w:spacing w:after="60" w:line="276" w:lineRule="auto"/>
              <w:jc w:val="center"/>
              <w:rPr>
                <w:noProof/>
              </w:rPr>
            </w:pPr>
            <w:r>
              <w:rPr>
                <w:noProof/>
              </w:rPr>
              <w:t>4,261</w:t>
            </w:r>
          </w:p>
        </w:tc>
      </w:tr>
      <w:tr w:rsidR="001A26B0">
        <w:trPr>
          <w:trHeight w:val="255"/>
        </w:trPr>
        <w:tc>
          <w:tcPr>
            <w:tcW w:w="1286" w:type="pct"/>
            <w:tcBorders>
              <w:top w:val="single" w:sz="24" w:space="0" w:color="auto"/>
            </w:tcBorders>
            <w:noWrap/>
          </w:tcPr>
          <w:p w:rsidR="001A26B0" w:rsidRDefault="00E33A99">
            <w:pPr>
              <w:spacing w:after="60" w:line="276" w:lineRule="auto"/>
              <w:rPr>
                <w:noProof/>
              </w:rPr>
            </w:pPr>
            <w:r>
              <w:rPr>
                <w:i/>
                <w:noProof/>
              </w:rPr>
              <w:t>Net savings [3-1-2]</w:t>
            </w:r>
          </w:p>
        </w:tc>
        <w:tc>
          <w:tcPr>
            <w:tcW w:w="543" w:type="pct"/>
            <w:tcBorders>
              <w:top w:val="single" w:sz="24" w:space="0" w:color="auto"/>
            </w:tcBorders>
            <w:noWrap/>
          </w:tcPr>
          <w:p w:rsidR="001A26B0" w:rsidRDefault="00E33A99">
            <w:pPr>
              <w:spacing w:after="60" w:line="276" w:lineRule="auto"/>
              <w:jc w:val="center"/>
              <w:rPr>
                <w:i/>
                <w:noProof/>
              </w:rPr>
            </w:pPr>
            <w:r>
              <w:rPr>
                <w:i/>
                <w:noProof/>
              </w:rPr>
              <w:t>1,687</w:t>
            </w:r>
          </w:p>
        </w:tc>
        <w:tc>
          <w:tcPr>
            <w:tcW w:w="543" w:type="pct"/>
            <w:tcBorders>
              <w:top w:val="single" w:sz="24" w:space="0" w:color="auto"/>
            </w:tcBorders>
            <w:noWrap/>
          </w:tcPr>
          <w:p w:rsidR="001A26B0" w:rsidRDefault="00E33A99">
            <w:pPr>
              <w:spacing w:after="60" w:line="276" w:lineRule="auto"/>
              <w:jc w:val="center"/>
              <w:rPr>
                <w:i/>
                <w:noProof/>
              </w:rPr>
            </w:pPr>
            <w:r>
              <w:rPr>
                <w:i/>
                <w:noProof/>
              </w:rPr>
              <w:t>2,036</w:t>
            </w:r>
          </w:p>
        </w:tc>
        <w:tc>
          <w:tcPr>
            <w:tcW w:w="612" w:type="pct"/>
            <w:tcBorders>
              <w:top w:val="single" w:sz="24" w:space="0" w:color="auto"/>
            </w:tcBorders>
          </w:tcPr>
          <w:p w:rsidR="001A26B0" w:rsidRDefault="00E33A99">
            <w:pPr>
              <w:spacing w:after="60" w:line="276" w:lineRule="auto"/>
              <w:jc w:val="center"/>
              <w:rPr>
                <w:i/>
                <w:noProof/>
              </w:rPr>
            </w:pPr>
            <w:r>
              <w:rPr>
                <w:i/>
                <w:noProof/>
              </w:rPr>
              <w:t>2,247</w:t>
            </w:r>
          </w:p>
        </w:tc>
        <w:tc>
          <w:tcPr>
            <w:tcW w:w="569" w:type="pct"/>
            <w:tcBorders>
              <w:top w:val="single" w:sz="24" w:space="0" w:color="auto"/>
            </w:tcBorders>
            <w:noWrap/>
          </w:tcPr>
          <w:p w:rsidR="001A26B0" w:rsidRDefault="00E33A99">
            <w:pPr>
              <w:spacing w:after="60" w:line="276" w:lineRule="auto"/>
              <w:jc w:val="center"/>
              <w:rPr>
                <w:i/>
                <w:noProof/>
              </w:rPr>
            </w:pPr>
            <w:r>
              <w:rPr>
                <w:i/>
                <w:noProof/>
              </w:rPr>
              <w:t>2,386</w:t>
            </w:r>
          </w:p>
        </w:tc>
        <w:tc>
          <w:tcPr>
            <w:tcW w:w="654" w:type="pct"/>
            <w:tcBorders>
              <w:top w:val="single" w:sz="24" w:space="0" w:color="auto"/>
            </w:tcBorders>
            <w:noWrap/>
          </w:tcPr>
          <w:p w:rsidR="001A26B0" w:rsidRDefault="00E33A99">
            <w:pPr>
              <w:spacing w:after="60" w:line="276" w:lineRule="auto"/>
              <w:jc w:val="center"/>
              <w:rPr>
                <w:i/>
                <w:noProof/>
              </w:rPr>
            </w:pPr>
            <w:r>
              <w:rPr>
                <w:i/>
                <w:noProof/>
              </w:rPr>
              <w:t>2,067</w:t>
            </w:r>
          </w:p>
        </w:tc>
        <w:tc>
          <w:tcPr>
            <w:tcW w:w="793" w:type="pct"/>
            <w:tcBorders>
              <w:top w:val="single" w:sz="24" w:space="0" w:color="auto"/>
            </w:tcBorders>
            <w:noWrap/>
          </w:tcPr>
          <w:p w:rsidR="001A26B0" w:rsidRDefault="00E33A99">
            <w:pPr>
              <w:spacing w:after="60" w:line="276" w:lineRule="auto"/>
              <w:jc w:val="center"/>
              <w:rPr>
                <w:i/>
                <w:noProof/>
              </w:rPr>
            </w:pPr>
            <w:r>
              <w:rPr>
                <w:i/>
                <w:noProof/>
              </w:rPr>
              <w:t>2,060</w:t>
            </w:r>
          </w:p>
        </w:tc>
      </w:tr>
    </w:tbl>
    <w:p w:rsidR="001A26B0" w:rsidRDefault="00E33A99">
      <w:pPr>
        <w:pStyle w:val="Heading6"/>
        <w:keepNext/>
        <w:numPr>
          <w:ilvl w:val="0"/>
          <w:numId w:val="0"/>
        </w:numPr>
        <w:spacing w:before="240"/>
        <w:rPr>
          <w:b/>
          <w:i w:val="0"/>
          <w:noProof/>
        </w:rPr>
      </w:pPr>
      <w:bookmarkStart w:id="284" w:name="_Ref493586897"/>
      <w:bookmarkStart w:id="285" w:name="_Toc496688563"/>
      <w:r>
        <w:rPr>
          <w:b/>
          <w:i w:val="0"/>
          <w:noProof/>
        </w:rPr>
        <w:t xml:space="preserve">Figure </w:t>
      </w:r>
      <w:r>
        <w:rPr>
          <w:b/>
          <w:i w:val="0"/>
          <w:noProof/>
        </w:rPr>
        <w:fldChar w:fldCharType="begin"/>
      </w:r>
      <w:r>
        <w:rPr>
          <w:b/>
          <w:i w:val="0"/>
          <w:noProof/>
        </w:rPr>
        <w:instrText xml:space="preserve"> SEQ Figure \* ARABIC </w:instrText>
      </w:r>
      <w:r>
        <w:rPr>
          <w:b/>
          <w:i w:val="0"/>
          <w:noProof/>
        </w:rPr>
        <w:fldChar w:fldCharType="separate"/>
      </w:r>
      <w:r>
        <w:rPr>
          <w:b/>
          <w:i w:val="0"/>
          <w:noProof/>
        </w:rPr>
        <w:t>17</w:t>
      </w:r>
      <w:r>
        <w:rPr>
          <w:b/>
          <w:i w:val="0"/>
          <w:noProof/>
        </w:rPr>
        <w:fldChar w:fldCharType="end"/>
      </w:r>
      <w:bookmarkEnd w:id="282"/>
      <w:bookmarkEnd w:id="284"/>
      <w:r>
        <w:rPr>
          <w:b/>
          <w:i w:val="0"/>
          <w:noProof/>
        </w:rPr>
        <w:t xml:space="preserve">: Net economic savings over the vehicle </w:t>
      </w:r>
      <w:r>
        <w:rPr>
          <w:b/>
          <w:i w:val="0"/>
          <w:noProof/>
        </w:rPr>
        <w:t>lifetime from a societal perspective in 2025 and 2030 (EUR/van)</w:t>
      </w:r>
      <w:bookmarkEnd w:id="285"/>
    </w:p>
    <w:p w:rsidR="001A26B0" w:rsidRDefault="00E33A99">
      <w:pPr>
        <w:jc w:val="center"/>
        <w:rPr>
          <w:noProof/>
        </w:rPr>
      </w:pPr>
      <w:r>
        <w:rPr>
          <w:noProof/>
          <w:lang w:eastAsia="en-GB"/>
        </w:rPr>
        <w:drawing>
          <wp:inline distT="0" distB="0" distL="0" distR="0">
            <wp:extent cx="3810000" cy="2999562"/>
            <wp:effectExtent l="0" t="0" r="0" b="0"/>
            <wp:docPr id="9231" name="Picture 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10000" cy="2999562"/>
                    </a:xfrm>
                    <a:prstGeom prst="rect">
                      <a:avLst/>
                    </a:prstGeom>
                    <a:noFill/>
                  </pic:spPr>
                </pic:pic>
              </a:graphicData>
            </a:graphic>
          </wp:inline>
        </w:drawing>
      </w:r>
    </w:p>
    <w:p w:rsidR="001A26B0" w:rsidRDefault="00E33A99">
      <w:pPr>
        <w:pStyle w:val="Heading6"/>
        <w:numPr>
          <w:ilvl w:val="0"/>
          <w:numId w:val="0"/>
        </w:numPr>
        <w:ind w:hanging="18"/>
        <w:rPr>
          <w:i w:val="0"/>
          <w:noProof/>
        </w:rPr>
      </w:pPr>
      <w:r>
        <w:rPr>
          <w:i w:val="0"/>
          <w:noProof/>
        </w:rPr>
        <w:t xml:space="preserve">In principle, in order to estimate the net economic savings over the vehicle lifetime from a societal perspective, one should include also the external benefits (or avoided external costs). </w:t>
      </w:r>
      <w:r>
        <w:rPr>
          <w:i w:val="0"/>
          <w:noProof/>
        </w:rPr>
        <w:t>For the options assessed here, the most important effect concerns additional benefits in terms of avoided CO</w:t>
      </w:r>
      <w:r>
        <w:rPr>
          <w:i w:val="0"/>
          <w:noProof/>
          <w:vertAlign w:val="subscript"/>
        </w:rPr>
        <w:t>2</w:t>
      </w:r>
      <w:r>
        <w:rPr>
          <w:i w:val="0"/>
          <w:noProof/>
        </w:rPr>
        <w:t xml:space="preserve"> costs over the lifetime of a vehicle as compared to a baseline vehicle. </w:t>
      </w:r>
    </w:p>
    <w:p w:rsidR="001A26B0" w:rsidRDefault="00E33A99">
      <w:pPr>
        <w:pStyle w:val="Heading6"/>
        <w:numPr>
          <w:ilvl w:val="0"/>
          <w:numId w:val="0"/>
        </w:numPr>
        <w:ind w:hanging="18"/>
        <w:rPr>
          <w:i w:val="0"/>
          <w:noProof/>
        </w:rPr>
      </w:pPr>
      <w:r>
        <w:rPr>
          <w:i w:val="0"/>
          <w:noProof/>
        </w:rPr>
        <w:fldChar w:fldCharType="begin"/>
      </w:r>
      <w:r>
        <w:rPr>
          <w:i w:val="0"/>
          <w:noProof/>
        </w:rPr>
        <w:instrText xml:space="preserve"> REF _Ref493603658  \* MERGEFORMAT </w:instrText>
      </w:r>
      <w:r>
        <w:rPr>
          <w:i w:val="0"/>
          <w:noProof/>
        </w:rPr>
        <w:fldChar w:fldCharType="separate"/>
      </w:r>
      <w:r>
        <w:rPr>
          <w:i w:val="0"/>
          <w:noProof/>
        </w:rPr>
        <w:t>Table 18</w:t>
      </w:r>
      <w:r>
        <w:rPr>
          <w:i w:val="0"/>
          <w:noProof/>
        </w:rPr>
        <w:fldChar w:fldCharType="end"/>
      </w:r>
      <w:r>
        <w:rPr>
          <w:i w:val="0"/>
          <w:noProof/>
        </w:rPr>
        <w:t xml:space="preserve"> gives an overview of the estimated additional avoided CO</w:t>
      </w:r>
      <w:r>
        <w:rPr>
          <w:i w:val="0"/>
          <w:noProof/>
          <w:vertAlign w:val="subscript"/>
        </w:rPr>
        <w:t>2</w:t>
      </w:r>
      <w:r>
        <w:rPr>
          <w:i w:val="0"/>
          <w:noProof/>
        </w:rPr>
        <w:t xml:space="preserve"> costs for vans in 2030 for the different options assessed</w:t>
      </w:r>
      <w:r>
        <w:rPr>
          <w:rStyle w:val="FootnoteReference"/>
          <w:i w:val="0"/>
          <w:noProof/>
        </w:rPr>
        <w:footnoteReference w:id="163"/>
      </w:r>
      <w:r>
        <w:rPr>
          <w:i w:val="0"/>
          <w:noProof/>
        </w:rPr>
        <w:t>. It shows that these external benefits increase as the CO</w:t>
      </w:r>
      <w:r>
        <w:rPr>
          <w:i w:val="0"/>
          <w:noProof/>
          <w:vertAlign w:val="subscript"/>
        </w:rPr>
        <w:t>2</w:t>
      </w:r>
      <w:r>
        <w:rPr>
          <w:i w:val="0"/>
          <w:noProof/>
        </w:rPr>
        <w:t xml:space="preserve"> target gets stricter.</w:t>
      </w:r>
    </w:p>
    <w:p w:rsidR="001A26B0" w:rsidRDefault="00E33A99">
      <w:pPr>
        <w:pStyle w:val="Caption"/>
        <w:keepNext/>
        <w:rPr>
          <w:noProof/>
          <w:sz w:val="20"/>
        </w:rPr>
      </w:pPr>
      <w:bookmarkStart w:id="286" w:name="_Ref493603658"/>
      <w:r>
        <w:rPr>
          <w:noProof/>
        </w:rPr>
        <w:t xml:space="preserve">Table </w:t>
      </w:r>
      <w:r>
        <w:rPr>
          <w:noProof/>
        </w:rPr>
        <w:fldChar w:fldCharType="begin"/>
      </w:r>
      <w:r>
        <w:rPr>
          <w:noProof/>
        </w:rPr>
        <w:instrText xml:space="preserve"> SEQ Table \* ARABIC </w:instrText>
      </w:r>
      <w:r>
        <w:rPr>
          <w:noProof/>
        </w:rPr>
        <w:fldChar w:fldCharType="separate"/>
      </w:r>
      <w:r>
        <w:rPr>
          <w:noProof/>
        </w:rPr>
        <w:t>18</w:t>
      </w:r>
      <w:r>
        <w:rPr>
          <w:noProof/>
        </w:rPr>
        <w:fldChar w:fldCharType="end"/>
      </w:r>
      <w:bookmarkEnd w:id="286"/>
      <w:r>
        <w:rPr>
          <w:noProof/>
        </w:rPr>
        <w:t>: Avoided CO</w:t>
      </w:r>
      <w:r>
        <w:rPr>
          <w:noProof/>
          <w:vertAlign w:val="subscript"/>
        </w:rPr>
        <w:t>2</w:t>
      </w:r>
      <w:r>
        <w:rPr>
          <w:noProof/>
        </w:rPr>
        <w:t xml:space="preserve"> costs over </w:t>
      </w:r>
      <w:r>
        <w:rPr>
          <w:noProof/>
        </w:rPr>
        <w:t>a van's lifetime</w:t>
      </w:r>
    </w:p>
    <w:tbl>
      <w:tblPr>
        <w:tblStyle w:val="TableGrid"/>
        <w:tblW w:w="5000" w:type="pct"/>
        <w:tblLook w:val="04A0" w:firstRow="1" w:lastRow="0" w:firstColumn="1" w:lastColumn="0" w:noHBand="0" w:noVBand="1"/>
      </w:tblPr>
      <w:tblGrid>
        <w:gridCol w:w="1963"/>
        <w:gridCol w:w="923"/>
        <w:gridCol w:w="924"/>
        <w:gridCol w:w="924"/>
        <w:gridCol w:w="1135"/>
        <w:gridCol w:w="1374"/>
        <w:gridCol w:w="1586"/>
      </w:tblGrid>
      <w:tr w:rsidR="001A26B0">
        <w:trPr>
          <w:trHeight w:val="255"/>
        </w:trPr>
        <w:tc>
          <w:tcPr>
            <w:tcW w:w="1112" w:type="pct"/>
            <w:noWrap/>
            <w:hideMark/>
          </w:tcPr>
          <w:p w:rsidR="001A26B0" w:rsidRDefault="00E33A99">
            <w:pPr>
              <w:spacing w:after="60" w:line="276" w:lineRule="auto"/>
              <w:rPr>
                <w:noProof/>
                <w:szCs w:val="24"/>
              </w:rPr>
            </w:pPr>
            <w:r>
              <w:rPr>
                <w:noProof/>
                <w:szCs w:val="24"/>
              </w:rPr>
              <w:t>(EUR/van)</w:t>
            </w:r>
          </w:p>
        </w:tc>
        <w:tc>
          <w:tcPr>
            <w:tcW w:w="523" w:type="pct"/>
            <w:noWrap/>
          </w:tcPr>
          <w:p w:rsidR="001A26B0" w:rsidRDefault="00E33A99">
            <w:pPr>
              <w:spacing w:after="60" w:line="276" w:lineRule="auto"/>
              <w:jc w:val="center"/>
              <w:rPr>
                <w:noProof/>
                <w:szCs w:val="24"/>
              </w:rPr>
            </w:pPr>
            <w:r>
              <w:rPr>
                <w:noProof/>
                <w:szCs w:val="24"/>
              </w:rPr>
              <w:t>TLV20</w:t>
            </w:r>
          </w:p>
        </w:tc>
        <w:tc>
          <w:tcPr>
            <w:tcW w:w="523" w:type="pct"/>
            <w:noWrap/>
          </w:tcPr>
          <w:p w:rsidR="001A26B0" w:rsidRDefault="00E33A99">
            <w:pPr>
              <w:spacing w:after="60" w:line="276" w:lineRule="auto"/>
              <w:jc w:val="center"/>
              <w:rPr>
                <w:noProof/>
                <w:szCs w:val="24"/>
              </w:rPr>
            </w:pPr>
            <w:r>
              <w:rPr>
                <w:noProof/>
                <w:szCs w:val="24"/>
              </w:rPr>
              <w:t>TLV25</w:t>
            </w:r>
          </w:p>
        </w:tc>
        <w:tc>
          <w:tcPr>
            <w:tcW w:w="523" w:type="pct"/>
            <w:noWrap/>
          </w:tcPr>
          <w:p w:rsidR="001A26B0" w:rsidRDefault="00E33A99">
            <w:pPr>
              <w:spacing w:after="60" w:line="276" w:lineRule="auto"/>
              <w:jc w:val="center"/>
              <w:rPr>
                <w:noProof/>
                <w:szCs w:val="24"/>
              </w:rPr>
            </w:pPr>
            <w:r>
              <w:rPr>
                <w:noProof/>
                <w:szCs w:val="24"/>
              </w:rPr>
              <w:t>TLV30</w:t>
            </w:r>
          </w:p>
        </w:tc>
        <w:tc>
          <w:tcPr>
            <w:tcW w:w="643" w:type="pct"/>
            <w:noWrap/>
          </w:tcPr>
          <w:p w:rsidR="001A26B0" w:rsidRDefault="00E33A99">
            <w:pPr>
              <w:spacing w:after="60" w:line="276" w:lineRule="auto"/>
              <w:jc w:val="center"/>
              <w:rPr>
                <w:noProof/>
                <w:szCs w:val="24"/>
              </w:rPr>
            </w:pPr>
            <w:r>
              <w:rPr>
                <w:noProof/>
                <w:szCs w:val="24"/>
              </w:rPr>
              <w:t>TLV40</w:t>
            </w:r>
          </w:p>
        </w:tc>
        <w:tc>
          <w:tcPr>
            <w:tcW w:w="778" w:type="pct"/>
          </w:tcPr>
          <w:p w:rsidR="001A26B0" w:rsidRDefault="00E33A99">
            <w:pPr>
              <w:spacing w:after="60" w:line="276" w:lineRule="auto"/>
              <w:jc w:val="center"/>
              <w:rPr>
                <w:noProof/>
                <w:szCs w:val="24"/>
              </w:rPr>
            </w:pPr>
            <w:r>
              <w:rPr>
                <w:noProof/>
                <w:szCs w:val="24"/>
              </w:rPr>
              <w:t>TLV_EP40</w:t>
            </w:r>
          </w:p>
        </w:tc>
        <w:tc>
          <w:tcPr>
            <w:tcW w:w="898" w:type="pct"/>
            <w:noWrap/>
          </w:tcPr>
          <w:p w:rsidR="001A26B0" w:rsidRDefault="00E33A99">
            <w:pPr>
              <w:spacing w:after="60" w:line="276" w:lineRule="auto"/>
              <w:jc w:val="center"/>
              <w:rPr>
                <w:noProof/>
                <w:szCs w:val="24"/>
              </w:rPr>
            </w:pPr>
            <w:r>
              <w:rPr>
                <w:noProof/>
                <w:szCs w:val="24"/>
              </w:rPr>
              <w:t>TLV_EP50</w:t>
            </w:r>
          </w:p>
        </w:tc>
      </w:tr>
      <w:tr w:rsidR="001A26B0">
        <w:trPr>
          <w:trHeight w:val="255"/>
        </w:trPr>
        <w:tc>
          <w:tcPr>
            <w:tcW w:w="1112" w:type="pct"/>
            <w:noWrap/>
          </w:tcPr>
          <w:p w:rsidR="001A26B0" w:rsidRDefault="00E33A99">
            <w:pPr>
              <w:spacing w:after="60" w:line="276" w:lineRule="auto"/>
              <w:rPr>
                <w:noProof/>
                <w:szCs w:val="24"/>
              </w:rPr>
            </w:pPr>
            <w:r>
              <w:rPr>
                <w:noProof/>
                <w:szCs w:val="24"/>
              </w:rPr>
              <w:t>Avoided CO</w:t>
            </w:r>
            <w:r>
              <w:rPr>
                <w:noProof/>
                <w:szCs w:val="24"/>
                <w:vertAlign w:val="subscript"/>
              </w:rPr>
              <w:t>2</w:t>
            </w:r>
            <w:r>
              <w:rPr>
                <w:noProof/>
                <w:szCs w:val="24"/>
              </w:rPr>
              <w:t xml:space="preserve"> cost</w:t>
            </w:r>
          </w:p>
        </w:tc>
        <w:tc>
          <w:tcPr>
            <w:tcW w:w="523" w:type="pct"/>
            <w:noWrap/>
          </w:tcPr>
          <w:p w:rsidR="001A26B0" w:rsidRDefault="00E33A99">
            <w:pPr>
              <w:spacing w:after="60" w:line="276" w:lineRule="auto"/>
              <w:jc w:val="center"/>
              <w:rPr>
                <w:noProof/>
                <w:szCs w:val="24"/>
              </w:rPr>
            </w:pPr>
            <w:r>
              <w:rPr>
                <w:noProof/>
              </w:rPr>
              <w:t>521</w:t>
            </w:r>
          </w:p>
        </w:tc>
        <w:tc>
          <w:tcPr>
            <w:tcW w:w="523" w:type="pct"/>
            <w:noWrap/>
          </w:tcPr>
          <w:p w:rsidR="001A26B0" w:rsidRDefault="00E33A99">
            <w:pPr>
              <w:spacing w:after="60" w:line="276" w:lineRule="auto"/>
              <w:jc w:val="center"/>
              <w:rPr>
                <w:noProof/>
                <w:szCs w:val="24"/>
              </w:rPr>
            </w:pPr>
            <w:r>
              <w:rPr>
                <w:noProof/>
              </w:rPr>
              <w:t>649</w:t>
            </w:r>
          </w:p>
        </w:tc>
        <w:tc>
          <w:tcPr>
            <w:tcW w:w="523" w:type="pct"/>
            <w:noWrap/>
          </w:tcPr>
          <w:p w:rsidR="001A26B0" w:rsidRDefault="00E33A99">
            <w:pPr>
              <w:spacing w:after="60" w:line="276" w:lineRule="auto"/>
              <w:jc w:val="center"/>
              <w:rPr>
                <w:noProof/>
                <w:szCs w:val="24"/>
              </w:rPr>
            </w:pPr>
            <w:r>
              <w:rPr>
                <w:noProof/>
              </w:rPr>
              <w:t>774</w:t>
            </w:r>
          </w:p>
        </w:tc>
        <w:tc>
          <w:tcPr>
            <w:tcW w:w="643" w:type="pct"/>
            <w:noWrap/>
          </w:tcPr>
          <w:p w:rsidR="001A26B0" w:rsidRDefault="00E33A99">
            <w:pPr>
              <w:spacing w:after="60" w:line="276" w:lineRule="auto"/>
              <w:jc w:val="center"/>
              <w:rPr>
                <w:noProof/>
                <w:szCs w:val="24"/>
              </w:rPr>
            </w:pPr>
            <w:r>
              <w:rPr>
                <w:noProof/>
              </w:rPr>
              <w:t>1,000</w:t>
            </w:r>
          </w:p>
        </w:tc>
        <w:tc>
          <w:tcPr>
            <w:tcW w:w="778" w:type="pct"/>
          </w:tcPr>
          <w:p w:rsidR="001A26B0" w:rsidRDefault="00E33A99">
            <w:pPr>
              <w:spacing w:after="60" w:line="276" w:lineRule="auto"/>
              <w:jc w:val="center"/>
              <w:rPr>
                <w:noProof/>
                <w:szCs w:val="24"/>
              </w:rPr>
            </w:pPr>
            <w:r>
              <w:rPr>
                <w:noProof/>
              </w:rPr>
              <w:t>898</w:t>
            </w:r>
          </w:p>
        </w:tc>
        <w:tc>
          <w:tcPr>
            <w:tcW w:w="898" w:type="pct"/>
            <w:noWrap/>
          </w:tcPr>
          <w:p w:rsidR="001A26B0" w:rsidRDefault="00E33A99">
            <w:pPr>
              <w:spacing w:after="60" w:line="276" w:lineRule="auto"/>
              <w:jc w:val="center"/>
              <w:rPr>
                <w:noProof/>
                <w:szCs w:val="24"/>
              </w:rPr>
            </w:pPr>
            <w:r>
              <w:rPr>
                <w:noProof/>
              </w:rPr>
              <w:t>1,212</w:t>
            </w:r>
          </w:p>
        </w:tc>
      </w:tr>
    </w:tbl>
    <w:p w:rsidR="001A26B0" w:rsidRDefault="00E33A99">
      <w:pPr>
        <w:pStyle w:val="Heading6"/>
        <w:spacing w:before="240"/>
        <w:rPr>
          <w:noProof/>
        </w:rPr>
      </w:pPr>
      <w:r>
        <w:rPr>
          <w:noProof/>
        </w:rPr>
        <w:t xml:space="preserve">TCO-15 years (vehicle lifetime) </w:t>
      </w:r>
    </w:p>
    <w:bookmarkStart w:id="287" w:name="_Ref493267879"/>
    <w:bookmarkStart w:id="288" w:name="_Ref493267868"/>
    <w:p w:rsidR="001A26B0" w:rsidRDefault="00E33A99">
      <w:pPr>
        <w:spacing w:after="120"/>
        <w:rPr>
          <w:noProof/>
          <w:color w:val="000000" w:themeColor="text1"/>
        </w:rPr>
      </w:pPr>
      <w:r>
        <w:rPr>
          <w:noProof/>
          <w:color w:val="000000" w:themeColor="text1"/>
        </w:rPr>
        <w:fldChar w:fldCharType="begin"/>
      </w:r>
      <w:r>
        <w:rPr>
          <w:noProof/>
          <w:color w:val="000000" w:themeColor="text1"/>
        </w:rPr>
        <w:instrText xml:space="preserve"> REF _Ref493774674 \h  \* MERGEFORMAT </w:instrText>
      </w:r>
      <w:r>
        <w:rPr>
          <w:noProof/>
          <w:color w:val="000000" w:themeColor="text1"/>
        </w:rPr>
      </w:r>
      <w:r>
        <w:rPr>
          <w:noProof/>
          <w:color w:val="000000" w:themeColor="text1"/>
        </w:rPr>
        <w:fldChar w:fldCharType="separate"/>
      </w:r>
      <w:r>
        <w:rPr>
          <w:noProof/>
        </w:rPr>
        <w:t>Figure 18</w:t>
      </w:r>
      <w:r>
        <w:rPr>
          <w:noProof/>
          <w:color w:val="000000" w:themeColor="text1"/>
        </w:rPr>
        <w:fldChar w:fldCharType="end"/>
      </w:r>
      <w:r>
        <w:rPr>
          <w:noProof/>
          <w:color w:val="000000" w:themeColor="text1"/>
        </w:rPr>
        <w:t xml:space="preserve"> shows the net savings in the total cost of ownership of an average new van registered in 2025 and in 2030 under the different options expressed as the difference with the baseline. </w:t>
      </w:r>
    </w:p>
    <w:p w:rsidR="001A26B0" w:rsidRDefault="00E33A99">
      <w:pPr>
        <w:spacing w:after="120"/>
        <w:rPr>
          <w:noProof/>
          <w:color w:val="000000" w:themeColor="text1"/>
        </w:rPr>
      </w:pPr>
      <w:r>
        <w:rPr>
          <w:noProof/>
          <w:color w:val="000000" w:themeColor="text1"/>
        </w:rPr>
        <w:t xml:space="preserve">It shows </w:t>
      </w:r>
      <w:r>
        <w:rPr>
          <w:noProof/>
          <w:color w:val="000000" w:themeColor="text1"/>
        </w:rPr>
        <w:t>that under all options considered there are net savings for the end-users over 15 years. The savings per van range from 1,382 EUR (TLV20) to 2,521 EUR (TLV_EP40) in 2025 and further increase in 2030, ranging from 2,765 EUR (TLV20) to about 4,400 EUR (TLV_E</w:t>
      </w:r>
      <w:r>
        <w:rPr>
          <w:noProof/>
          <w:color w:val="000000" w:themeColor="text1"/>
        </w:rPr>
        <w:t>P50 and TLV40). The highest benefits occur at 30%, 40% and even 50% target reduction levels.</w:t>
      </w:r>
    </w:p>
    <w:p w:rsidR="001A26B0" w:rsidRDefault="00E33A99">
      <w:pPr>
        <w:spacing w:after="120"/>
        <w:rPr>
          <w:b/>
          <w:noProof/>
          <w:color w:val="000000" w:themeColor="text1"/>
        </w:rPr>
      </w:pPr>
      <w:bookmarkStart w:id="289" w:name="_Ref493774674"/>
      <w:bookmarkStart w:id="290" w:name="_Toc496688564"/>
      <w:r>
        <w:rPr>
          <w:b/>
          <w:noProof/>
        </w:rPr>
        <w:t xml:space="preserve">Figure </w:t>
      </w:r>
      <w:r>
        <w:rPr>
          <w:b/>
          <w:noProof/>
        </w:rPr>
        <w:fldChar w:fldCharType="begin"/>
      </w:r>
      <w:r>
        <w:rPr>
          <w:b/>
          <w:noProof/>
        </w:rPr>
        <w:instrText xml:space="preserve"> SEQ Figure \* ARABIC </w:instrText>
      </w:r>
      <w:r>
        <w:rPr>
          <w:b/>
          <w:noProof/>
        </w:rPr>
        <w:fldChar w:fldCharType="separate"/>
      </w:r>
      <w:r>
        <w:rPr>
          <w:b/>
          <w:noProof/>
        </w:rPr>
        <w:t>18</w:t>
      </w:r>
      <w:r>
        <w:rPr>
          <w:b/>
          <w:noProof/>
        </w:rPr>
        <w:fldChar w:fldCharType="end"/>
      </w:r>
      <w:bookmarkEnd w:id="287"/>
      <w:bookmarkEnd w:id="289"/>
      <w:r>
        <w:rPr>
          <w:b/>
          <w:noProof/>
        </w:rPr>
        <w:t>: TCO-15 years (vehicle lifetime) in 2025 and 2030 (net savings in EUR/van)</w:t>
      </w:r>
      <w:bookmarkEnd w:id="288"/>
      <w:bookmarkEnd w:id="290"/>
    </w:p>
    <w:p w:rsidR="001A26B0" w:rsidRDefault="00E33A99">
      <w:pPr>
        <w:pStyle w:val="Heading6"/>
        <w:numPr>
          <w:ilvl w:val="0"/>
          <w:numId w:val="0"/>
        </w:numPr>
        <w:spacing w:before="240"/>
        <w:jc w:val="center"/>
        <w:rPr>
          <w:noProof/>
        </w:rPr>
      </w:pPr>
      <w:r>
        <w:rPr>
          <w:noProof/>
          <w:lang w:eastAsia="en-GB"/>
        </w:rPr>
        <w:drawing>
          <wp:inline distT="0" distB="0" distL="0" distR="0">
            <wp:extent cx="3810000" cy="2999562"/>
            <wp:effectExtent l="0" t="0" r="0" b="0"/>
            <wp:docPr id="9232" name="Picture 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10000" cy="2999562"/>
                    </a:xfrm>
                    <a:prstGeom prst="rect">
                      <a:avLst/>
                    </a:prstGeom>
                    <a:noFill/>
                  </pic:spPr>
                </pic:pic>
              </a:graphicData>
            </a:graphic>
          </wp:inline>
        </w:drawing>
      </w:r>
    </w:p>
    <w:p w:rsidR="001A26B0" w:rsidRDefault="00E33A99">
      <w:pPr>
        <w:pStyle w:val="Heading6"/>
        <w:keepNext/>
        <w:spacing w:before="240"/>
        <w:rPr>
          <w:noProof/>
        </w:rPr>
      </w:pPr>
      <w:bookmarkStart w:id="291" w:name="_Ref493270454"/>
      <w:r>
        <w:rPr>
          <w:noProof/>
        </w:rPr>
        <w:t>TCO-first user (5 years)</w:t>
      </w:r>
      <w:bookmarkEnd w:id="291"/>
    </w:p>
    <w:p w:rsidR="001A26B0" w:rsidRDefault="00E33A99">
      <w:pPr>
        <w:spacing w:after="120"/>
        <w:rPr>
          <w:noProof/>
          <w:color w:val="000000" w:themeColor="text1"/>
        </w:rPr>
      </w:pPr>
      <w:r>
        <w:rPr>
          <w:noProof/>
          <w:color w:val="000000" w:themeColor="text1"/>
        </w:rPr>
        <w:fldChar w:fldCharType="begin"/>
      </w:r>
      <w:r>
        <w:rPr>
          <w:noProof/>
          <w:color w:val="000000" w:themeColor="text1"/>
        </w:rPr>
        <w:instrText xml:space="preserve"> REF _Ref493268675 \h  \* </w:instrText>
      </w:r>
      <w:r>
        <w:rPr>
          <w:noProof/>
          <w:color w:val="000000" w:themeColor="text1"/>
        </w:rPr>
        <w:instrText xml:space="preserve">MERGEFORMAT </w:instrText>
      </w:r>
      <w:r>
        <w:rPr>
          <w:noProof/>
          <w:color w:val="000000" w:themeColor="text1"/>
        </w:rPr>
      </w:r>
      <w:r>
        <w:rPr>
          <w:noProof/>
          <w:color w:val="000000" w:themeColor="text1"/>
        </w:rPr>
        <w:fldChar w:fldCharType="separate"/>
      </w:r>
      <w:r>
        <w:rPr>
          <w:noProof/>
        </w:rPr>
        <w:t>Figure 19</w:t>
      </w:r>
      <w:r>
        <w:rPr>
          <w:noProof/>
          <w:color w:val="000000" w:themeColor="text1"/>
        </w:rPr>
        <w:fldChar w:fldCharType="end"/>
      </w:r>
      <w:r>
        <w:rPr>
          <w:noProof/>
          <w:color w:val="000000" w:themeColor="text1"/>
        </w:rPr>
        <w:t xml:space="preserve"> shows the net savings from a first end-user perspective for an average new van registered in 2025 and in 2030 under the different TLV options (expressed as the differe</w:t>
      </w:r>
      <w:r>
        <w:rPr>
          <w:noProof/>
          <w:color w:val="000000" w:themeColor="text1"/>
        </w:rPr>
        <w:t xml:space="preserve">nce with the baseline). </w:t>
      </w:r>
    </w:p>
    <w:p w:rsidR="001A26B0" w:rsidRDefault="00E33A99">
      <w:pPr>
        <w:spacing w:after="120"/>
        <w:rPr>
          <w:noProof/>
          <w:color w:val="000000" w:themeColor="text1"/>
        </w:rPr>
      </w:pPr>
      <w:r>
        <w:rPr>
          <w:noProof/>
          <w:color w:val="000000" w:themeColor="text1"/>
        </w:rPr>
        <w:t>The trends are very similar to those found for the analysis from a societal perspective (see section 6.3.2.2.2.1). Capital costs increase as the fleet-wide CO</w:t>
      </w:r>
      <w:r>
        <w:rPr>
          <w:noProof/>
          <w:color w:val="000000" w:themeColor="text1"/>
          <w:vertAlign w:val="subscript"/>
        </w:rPr>
        <w:t>2</w:t>
      </w:r>
      <w:r>
        <w:rPr>
          <w:noProof/>
          <w:color w:val="000000" w:themeColor="text1"/>
        </w:rPr>
        <w:t xml:space="preserve"> target levels get stricter and range from 144 EUR (TLV20) to 913 EUR (T</w:t>
      </w:r>
      <w:r>
        <w:rPr>
          <w:noProof/>
          <w:color w:val="000000" w:themeColor="text1"/>
        </w:rPr>
        <w:t>LV_EP50) for an average van registered in 2025. In 2030, they range from 265 EUR (TLV20) to 1,516 EUR (TLV_EP50) per van.</w:t>
      </w:r>
    </w:p>
    <w:p w:rsidR="001A26B0" w:rsidRDefault="00E33A99">
      <w:pPr>
        <w:spacing w:after="120"/>
        <w:rPr>
          <w:noProof/>
          <w:color w:val="000000" w:themeColor="text1"/>
        </w:rPr>
      </w:pPr>
      <w:r>
        <w:rPr>
          <w:noProof/>
          <w:color w:val="000000" w:themeColor="text1"/>
        </w:rPr>
        <w:t>At the same time, stricter targets will lower fuel costs for the end-user and fuel cost savings per van range from 1,016 EUR (TLV20) t</w:t>
      </w:r>
      <w:r>
        <w:rPr>
          <w:noProof/>
          <w:color w:val="000000" w:themeColor="text1"/>
        </w:rPr>
        <w:t>o 2,614 EUR (TLV_EP40) in 2025 and from 2,026 EUR (TLV20) to 4,412 EUR (TLV_EP50) in 2030.</w:t>
      </w:r>
    </w:p>
    <w:p w:rsidR="001A26B0" w:rsidRDefault="00E33A99">
      <w:pPr>
        <w:spacing w:after="120"/>
        <w:rPr>
          <w:noProof/>
          <w:color w:val="000000" w:themeColor="text1"/>
        </w:rPr>
      </w:pPr>
      <w:r>
        <w:rPr>
          <w:noProof/>
          <w:color w:val="000000" w:themeColor="text1"/>
        </w:rPr>
        <w:t>O&amp;M costs show relatively little variation between the different options and are always negative (i.e. lower than under the baseline).</w:t>
      </w:r>
    </w:p>
    <w:p w:rsidR="001A26B0" w:rsidRDefault="00E33A99">
      <w:pPr>
        <w:spacing w:after="120"/>
        <w:rPr>
          <w:noProof/>
        </w:rPr>
      </w:pPr>
      <w:r>
        <w:rPr>
          <w:noProof/>
        </w:rPr>
        <w:t xml:space="preserve">As a result, both in 2025 and </w:t>
      </w:r>
      <w:r>
        <w:rPr>
          <w:noProof/>
        </w:rPr>
        <w:t>in 2030, the first user benefits from significant net savings under all options considered, ranging from 889 EUR (TLV20) to 1,702 EUR (TLV_EP40) per van in 2025 and from 1,783 EUR (TLV20) to 3,000 EUR (TLV_EP50) per van in 2030. The highest net benefits wi</w:t>
      </w:r>
      <w:r>
        <w:rPr>
          <w:noProof/>
        </w:rPr>
        <w:t>ll be achieved at the higher end of the reduction targets.</w:t>
      </w:r>
    </w:p>
    <w:p w:rsidR="001A26B0" w:rsidRDefault="00E33A99">
      <w:pPr>
        <w:pStyle w:val="Heading6"/>
        <w:keepNext/>
        <w:numPr>
          <w:ilvl w:val="0"/>
          <w:numId w:val="0"/>
        </w:numPr>
        <w:spacing w:before="240"/>
        <w:rPr>
          <w:b/>
          <w:i w:val="0"/>
          <w:noProof/>
        </w:rPr>
      </w:pPr>
      <w:bookmarkStart w:id="292" w:name="_Ref493268675"/>
      <w:bookmarkStart w:id="293" w:name="_Toc496688565"/>
      <w:r>
        <w:rPr>
          <w:b/>
          <w:i w:val="0"/>
          <w:noProof/>
        </w:rPr>
        <w:t xml:space="preserve">Figure </w:t>
      </w:r>
      <w:r>
        <w:rPr>
          <w:b/>
          <w:i w:val="0"/>
          <w:noProof/>
        </w:rPr>
        <w:fldChar w:fldCharType="begin"/>
      </w:r>
      <w:r>
        <w:rPr>
          <w:b/>
          <w:i w:val="0"/>
          <w:noProof/>
        </w:rPr>
        <w:instrText xml:space="preserve"> SEQ Figure \* ARABIC </w:instrText>
      </w:r>
      <w:r>
        <w:rPr>
          <w:b/>
          <w:i w:val="0"/>
          <w:noProof/>
        </w:rPr>
        <w:fldChar w:fldCharType="separate"/>
      </w:r>
      <w:r>
        <w:rPr>
          <w:b/>
          <w:i w:val="0"/>
          <w:noProof/>
        </w:rPr>
        <w:t>19</w:t>
      </w:r>
      <w:r>
        <w:rPr>
          <w:b/>
          <w:i w:val="0"/>
          <w:noProof/>
        </w:rPr>
        <w:fldChar w:fldCharType="end"/>
      </w:r>
      <w:bookmarkEnd w:id="292"/>
      <w:r>
        <w:rPr>
          <w:b/>
          <w:i w:val="0"/>
          <w:noProof/>
        </w:rPr>
        <w:t>: TCO-first user (5 years) in 2025 and 2030 (net savings in EUR/van)</w:t>
      </w:r>
      <w:bookmarkEnd w:id="293"/>
    </w:p>
    <w:p w:rsidR="001A26B0" w:rsidRDefault="00E33A99">
      <w:pPr>
        <w:pStyle w:val="Heading6"/>
        <w:numPr>
          <w:ilvl w:val="0"/>
          <w:numId w:val="0"/>
        </w:numPr>
        <w:spacing w:before="240" w:after="240"/>
        <w:jc w:val="center"/>
        <w:rPr>
          <w:noProof/>
        </w:rPr>
      </w:pPr>
      <w:r>
        <w:rPr>
          <w:rFonts w:ascii="Arial" w:hAnsi="Arial" w:cs="Arial"/>
          <w:noProof/>
          <w:color w:val="974706"/>
          <w:sz w:val="20"/>
          <w:lang w:eastAsia="en-GB"/>
        </w:rPr>
        <w:drawing>
          <wp:inline distT="0" distB="0" distL="0" distR="0">
            <wp:extent cx="3810000" cy="2994320"/>
            <wp:effectExtent l="0" t="0" r="0" b="0"/>
            <wp:docPr id="9234" name="Picture 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0000" cy="2994320"/>
                    </a:xfrm>
                    <a:prstGeom prst="rect">
                      <a:avLst/>
                    </a:prstGeom>
                    <a:noFill/>
                  </pic:spPr>
                </pic:pic>
              </a:graphicData>
            </a:graphic>
          </wp:inline>
        </w:drawing>
      </w:r>
    </w:p>
    <w:p w:rsidR="001A26B0" w:rsidRDefault="00E33A99">
      <w:pPr>
        <w:spacing w:after="120"/>
        <w:rPr>
          <w:rFonts w:ascii="Arial" w:hAnsi="Arial" w:cs="Arial"/>
          <w:noProof/>
          <w:color w:val="974706"/>
          <w:sz w:val="20"/>
          <w:lang w:eastAsia="en-GB"/>
        </w:rPr>
      </w:pPr>
      <w:r>
        <w:rPr>
          <w:noProof/>
        </w:rPr>
        <w:t>Light commercial vehicles are predominantly used by businesses, particularly SMEs. The total</w:t>
      </w:r>
      <w:r>
        <w:rPr>
          <w:noProof/>
        </w:rPr>
        <w:t xml:space="preserve"> cost of ownership is therefore of particular importance for these companies. The above calculations show that SMEs could benefit from significant net savings both over the first five years of ownership as well as over the entire vehicle's lifetime.</w:t>
      </w:r>
    </w:p>
    <w:p w:rsidR="001A26B0" w:rsidRDefault="00E33A99">
      <w:pPr>
        <w:spacing w:after="120"/>
        <w:rPr>
          <w:noProof/>
        </w:rPr>
      </w:pPr>
      <w:r>
        <w:rPr>
          <w:noProof/>
        </w:rPr>
        <w:t>The re</w:t>
      </w:r>
      <w:r>
        <w:rPr>
          <w:noProof/>
        </w:rPr>
        <w:t>sults of the following two sensitivities are given in Annex 8:</w:t>
      </w:r>
    </w:p>
    <w:p w:rsidR="001A26B0" w:rsidRDefault="00E33A99">
      <w:pPr>
        <w:pStyle w:val="Heading6"/>
        <w:numPr>
          <w:ilvl w:val="0"/>
          <w:numId w:val="103"/>
        </w:numPr>
        <w:rPr>
          <w:i w:val="0"/>
          <w:noProof/>
        </w:rPr>
      </w:pPr>
      <w:r>
        <w:rPr>
          <w:i w:val="0"/>
          <w:noProof/>
        </w:rPr>
        <w:t>sensitivity regarding the effect of varying cost assumptions;</w:t>
      </w:r>
    </w:p>
    <w:p w:rsidR="001A26B0" w:rsidRDefault="00E33A99">
      <w:pPr>
        <w:pStyle w:val="Heading6"/>
        <w:numPr>
          <w:ilvl w:val="0"/>
          <w:numId w:val="103"/>
        </w:numPr>
        <w:rPr>
          <w:i w:val="0"/>
          <w:noProof/>
        </w:rPr>
      </w:pPr>
      <w:r>
        <w:rPr>
          <w:i w:val="0"/>
          <w:noProof/>
        </w:rPr>
        <w:t>sensitivity regarding the effect of a varying international oil price.</w:t>
      </w:r>
    </w:p>
    <w:p w:rsidR="001A26B0" w:rsidRDefault="00E33A99">
      <w:pPr>
        <w:spacing w:after="120"/>
        <w:rPr>
          <w:i/>
          <w:noProof/>
        </w:rPr>
      </w:pPr>
      <w:r>
        <w:rPr>
          <w:i/>
          <w:noProof/>
        </w:rPr>
        <w:t xml:space="preserve">Energy system impacts </w:t>
      </w:r>
    </w:p>
    <w:p w:rsidR="001A26B0" w:rsidRDefault="00E33A99">
      <w:pPr>
        <w:spacing w:after="120"/>
        <w:rPr>
          <w:noProof/>
        </w:rPr>
      </w:pPr>
      <w:r>
        <w:rPr>
          <w:noProof/>
        </w:rPr>
        <w:fldChar w:fldCharType="begin"/>
      </w:r>
      <w:r>
        <w:rPr>
          <w:noProof/>
        </w:rPr>
        <w:instrText xml:space="preserve"> REF _Ref493774834 \h </w:instrText>
      </w:r>
      <w:r>
        <w:rPr>
          <w:noProof/>
        </w:rPr>
      </w:r>
      <w:r>
        <w:rPr>
          <w:noProof/>
        </w:rPr>
        <w:fldChar w:fldCharType="separate"/>
      </w:r>
      <w:r>
        <w:rPr>
          <w:noProof/>
        </w:rPr>
        <w:t>Figure 20</w:t>
      </w:r>
      <w:r>
        <w:rPr>
          <w:noProof/>
        </w:rPr>
        <w:fldChar w:fldCharType="end"/>
      </w:r>
      <w:r>
        <w:rPr>
          <w:noProof/>
        </w:rPr>
        <w:t xml:space="preserve"> shows the impact of the different van CO</w:t>
      </w:r>
      <w:r>
        <w:rPr>
          <w:noProof/>
          <w:vertAlign w:val="subscript"/>
        </w:rPr>
        <w:t>2</w:t>
      </w:r>
      <w:r>
        <w:rPr>
          <w:noProof/>
        </w:rPr>
        <w:t xml:space="preserve"> target level options on the final energy demand for vans over the period 2020-2040. </w:t>
      </w:r>
    </w:p>
    <w:p w:rsidR="001A26B0" w:rsidRDefault="00E33A99">
      <w:pPr>
        <w:spacing w:after="120"/>
        <w:rPr>
          <w:noProof/>
        </w:rPr>
      </w:pPr>
      <w:bookmarkStart w:id="294" w:name="_Ref492572321"/>
      <w:r>
        <w:rPr>
          <w:noProof/>
        </w:rPr>
        <w:t xml:space="preserve">Under the baseline (TLV 0), the final energy demand for vans is </w:t>
      </w:r>
      <w:r>
        <w:rPr>
          <w:noProof/>
        </w:rPr>
        <w:t>35,700 ktoe in 2020 and it decreases over time as new vans, which are subject to the CO</w:t>
      </w:r>
      <w:r>
        <w:rPr>
          <w:noProof/>
          <w:vertAlign w:val="subscript"/>
        </w:rPr>
        <w:t>2</w:t>
      </w:r>
      <w:r>
        <w:rPr>
          <w:noProof/>
        </w:rPr>
        <w:t xml:space="preserve"> target set in the current Vans Regulation, enter the fleet. In 2030, the final energy demand for vans is estimated to be 6% lower than in 2020, but the effect of the c</w:t>
      </w:r>
      <w:r>
        <w:rPr>
          <w:noProof/>
        </w:rPr>
        <w:t>urrent CO</w:t>
      </w:r>
      <w:r>
        <w:rPr>
          <w:noProof/>
          <w:vertAlign w:val="subscript"/>
        </w:rPr>
        <w:t>2</w:t>
      </w:r>
      <w:r>
        <w:rPr>
          <w:noProof/>
        </w:rPr>
        <w:t xml:space="preserve"> target decreases afterwards. In 2040 final energy demand is 8% lower than in 2020.</w:t>
      </w:r>
    </w:p>
    <w:p w:rsidR="001A26B0" w:rsidRDefault="00E33A99">
      <w:pPr>
        <w:spacing w:after="120"/>
        <w:rPr>
          <w:i/>
          <w:noProof/>
          <w:szCs w:val="24"/>
        </w:rPr>
      </w:pPr>
      <w:r>
        <w:rPr>
          <w:noProof/>
        </w:rPr>
        <w:t>Under the different TLV policy options, the final energy demand for vans is significantly lower compared to the baseline. The effects of more stringent CO</w:t>
      </w:r>
      <w:r>
        <w:rPr>
          <w:noProof/>
          <w:vertAlign w:val="subscript"/>
        </w:rPr>
        <w:t>2</w:t>
      </w:r>
      <w:r>
        <w:rPr>
          <w:noProof/>
        </w:rPr>
        <w:t xml:space="preserve"> target</w:t>
      </w:r>
      <w:r>
        <w:rPr>
          <w:noProof/>
        </w:rPr>
        <w:t>s becomes even more pronounced from 2030 onward as more and more new vans which are subject to those targets enter the fleet.</w:t>
      </w:r>
    </w:p>
    <w:p w:rsidR="001A26B0" w:rsidRDefault="00E33A99">
      <w:pPr>
        <w:pStyle w:val="Caption"/>
        <w:keepNext/>
        <w:rPr>
          <w:i/>
          <w:noProof/>
          <w:szCs w:val="24"/>
        </w:rPr>
      </w:pPr>
      <w:bookmarkStart w:id="295" w:name="_Ref493774834"/>
      <w:bookmarkStart w:id="296" w:name="_Toc496688566"/>
      <w:r>
        <w:rPr>
          <w:noProof/>
        </w:rPr>
        <w:t xml:space="preserve">Figure </w:t>
      </w:r>
      <w:r>
        <w:rPr>
          <w:noProof/>
        </w:rPr>
        <w:fldChar w:fldCharType="begin"/>
      </w:r>
      <w:r>
        <w:rPr>
          <w:noProof/>
        </w:rPr>
        <w:instrText xml:space="preserve"> SEQ Figure \* ARABIC </w:instrText>
      </w:r>
      <w:r>
        <w:rPr>
          <w:noProof/>
        </w:rPr>
        <w:fldChar w:fldCharType="separate"/>
      </w:r>
      <w:r>
        <w:rPr>
          <w:noProof/>
        </w:rPr>
        <w:t>20</w:t>
      </w:r>
      <w:r>
        <w:rPr>
          <w:noProof/>
        </w:rPr>
        <w:fldChar w:fldCharType="end"/>
      </w:r>
      <w:bookmarkEnd w:id="294"/>
      <w:bookmarkEnd w:id="295"/>
      <w:r>
        <w:rPr>
          <w:noProof/>
        </w:rPr>
        <w:t>: Final energy demand (ktoe) for vans over the period 2020-2040 under different TLV options</w:t>
      </w:r>
      <w:bookmarkEnd w:id="296"/>
      <w:r>
        <w:rPr>
          <w:i/>
          <w:noProof/>
          <w:szCs w:val="24"/>
        </w:rPr>
        <w:t xml:space="preserve"> </w:t>
      </w:r>
    </w:p>
    <w:p w:rsidR="001A26B0" w:rsidRDefault="00E33A99">
      <w:pPr>
        <w:jc w:val="center"/>
        <w:rPr>
          <w:i/>
          <w:noProof/>
          <w:szCs w:val="24"/>
        </w:rPr>
      </w:pPr>
      <w:r>
        <w:rPr>
          <w:i/>
          <w:noProof/>
          <w:szCs w:val="24"/>
          <w:lang w:eastAsia="en-GB"/>
        </w:rPr>
        <w:drawing>
          <wp:inline distT="0" distB="0" distL="0" distR="0">
            <wp:extent cx="4876800" cy="3188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76800" cy="3188370"/>
                    </a:xfrm>
                    <a:prstGeom prst="rect">
                      <a:avLst/>
                    </a:prstGeom>
                    <a:noFill/>
                  </pic:spPr>
                </pic:pic>
              </a:graphicData>
            </a:graphic>
          </wp:inline>
        </w:drawing>
      </w:r>
    </w:p>
    <w:p w:rsidR="001A26B0" w:rsidRDefault="00E33A99">
      <w:pPr>
        <w:spacing w:before="240" w:after="120"/>
        <w:rPr>
          <w:noProof/>
        </w:rPr>
      </w:pPr>
      <w:r>
        <w:rPr>
          <w:noProof/>
        </w:rPr>
        <w:t>T</w:t>
      </w:r>
      <w:r>
        <w:rPr>
          <w:noProof/>
        </w:rPr>
        <w:t>he EU-wide fleet targets for CO</w:t>
      </w:r>
      <w:r>
        <w:rPr>
          <w:noProof/>
          <w:vertAlign w:val="subscript"/>
        </w:rPr>
        <w:t xml:space="preserve">2 </w:t>
      </w:r>
      <w:r>
        <w:rPr>
          <w:noProof/>
        </w:rPr>
        <w:t xml:space="preserve">also affect the composition of the new van fleet in terms of the powertrains used and hence have an impact on the demand per type of energy source. </w:t>
      </w:r>
      <w:bookmarkStart w:id="297" w:name="_Ref493269034"/>
    </w:p>
    <w:p w:rsidR="001A26B0" w:rsidRDefault="00E33A99">
      <w:pPr>
        <w:spacing w:after="120"/>
        <w:rPr>
          <w:noProof/>
        </w:rPr>
      </w:pPr>
      <w:r>
        <w:rPr>
          <w:noProof/>
        </w:rPr>
        <w:fldChar w:fldCharType="begin"/>
      </w:r>
      <w:r>
        <w:rPr>
          <w:noProof/>
        </w:rPr>
        <w:instrText xml:space="preserve"> REF _Ref493774847 \h  \* MERGEFORMAT </w:instrText>
      </w:r>
      <w:r>
        <w:rPr>
          <w:noProof/>
        </w:rPr>
      </w:r>
      <w:r>
        <w:rPr>
          <w:noProof/>
        </w:rPr>
        <w:fldChar w:fldCharType="separate"/>
      </w:r>
      <w:r>
        <w:rPr>
          <w:noProof/>
        </w:rPr>
        <w:t>Figure 21</w:t>
      </w:r>
      <w:r>
        <w:rPr>
          <w:noProof/>
        </w:rPr>
        <w:fldChar w:fldCharType="end"/>
      </w:r>
      <w:r>
        <w:rPr>
          <w:noProof/>
        </w:rPr>
        <w:t xml:space="preserve"> shows the share of different fuel types used in the entire van fleet, i.e. not only the newly registered vans, in 2025 and 2030. This indicates that diesel remains by far the main fuel used for vans in 2025 and 2030, there is quite a limited shift away fr</w:t>
      </w:r>
      <w:r>
        <w:rPr>
          <w:noProof/>
        </w:rPr>
        <w:t>om fossil to alternative fuels, in particular electricity. The shift is slightly more significant in 2030 and for more stringent CO</w:t>
      </w:r>
      <w:r>
        <w:rPr>
          <w:noProof/>
          <w:vertAlign w:val="subscript"/>
        </w:rPr>
        <w:t>2</w:t>
      </w:r>
      <w:r>
        <w:rPr>
          <w:noProof/>
        </w:rPr>
        <w:t xml:space="preserve"> targets. For the other fuel types gasoline, bio-gasoline, biodiesel, and gaseous fuels, there are very limited changes amon</w:t>
      </w:r>
      <w:r>
        <w:rPr>
          <w:noProof/>
        </w:rPr>
        <w:t>gst the different options considered. It illustrates that because of the limited overall turnover rate of vans even high sales targets will only lead to gradual changes in the demand for different fuels in 2025 and 2030.</w:t>
      </w:r>
    </w:p>
    <w:p w:rsidR="001A26B0" w:rsidRDefault="00E33A99">
      <w:pPr>
        <w:spacing w:before="240"/>
        <w:rPr>
          <w:noProof/>
        </w:rPr>
      </w:pPr>
      <w:r>
        <w:rPr>
          <w:noProof/>
        </w:rPr>
        <w:t>The share of cars and vans in the t</w:t>
      </w:r>
      <w:r>
        <w:rPr>
          <w:noProof/>
        </w:rPr>
        <w:t xml:space="preserve">otal EU-28 electricity consumption is shown in </w:t>
      </w:r>
      <w:r>
        <w:rPr>
          <w:noProof/>
        </w:rPr>
        <w:fldChar w:fldCharType="begin"/>
      </w:r>
      <w:r>
        <w:rPr>
          <w:noProof/>
        </w:rPr>
        <w:instrText xml:space="preserve"> REF _Ref493682220 \h  \* MERGEFORMAT </w:instrText>
      </w:r>
      <w:r>
        <w:rPr>
          <w:noProof/>
        </w:rPr>
      </w:r>
      <w:r>
        <w:rPr>
          <w:noProof/>
        </w:rPr>
        <w:fldChar w:fldCharType="separate"/>
      </w:r>
      <w:r>
        <w:rPr>
          <w:noProof/>
        </w:rPr>
        <w:t>Table 9</w:t>
      </w:r>
      <w:r>
        <w:rPr>
          <w:noProof/>
        </w:rPr>
        <w:fldChar w:fldCharType="end"/>
      </w:r>
      <w:r>
        <w:rPr>
          <w:noProof/>
        </w:rPr>
        <w:t xml:space="preserve"> (Section 6.3.2.2.1.4).</w:t>
      </w:r>
    </w:p>
    <w:p w:rsidR="001A26B0" w:rsidRDefault="00E33A99">
      <w:pPr>
        <w:keepNext/>
        <w:spacing w:after="120"/>
        <w:rPr>
          <w:b/>
          <w:noProof/>
          <w:color w:val="000000" w:themeColor="text1"/>
          <w:szCs w:val="24"/>
        </w:rPr>
      </w:pPr>
      <w:bookmarkStart w:id="298" w:name="_Ref493774847"/>
      <w:bookmarkStart w:id="299" w:name="_Toc496688567"/>
      <w:r>
        <w:rPr>
          <w:b/>
          <w:noProof/>
        </w:rPr>
        <w:t xml:space="preserve">Figure </w:t>
      </w:r>
      <w:r>
        <w:rPr>
          <w:b/>
          <w:noProof/>
        </w:rPr>
        <w:fldChar w:fldCharType="begin"/>
      </w:r>
      <w:r>
        <w:rPr>
          <w:b/>
          <w:noProof/>
        </w:rPr>
        <w:instrText xml:space="preserve"> SEQ Figure \* ARABIC </w:instrText>
      </w:r>
      <w:r>
        <w:rPr>
          <w:b/>
          <w:noProof/>
        </w:rPr>
        <w:fldChar w:fldCharType="separate"/>
      </w:r>
      <w:r>
        <w:rPr>
          <w:b/>
          <w:noProof/>
        </w:rPr>
        <w:t>21</w:t>
      </w:r>
      <w:r>
        <w:rPr>
          <w:b/>
          <w:noProof/>
        </w:rPr>
        <w:fldChar w:fldCharType="end"/>
      </w:r>
      <w:bookmarkEnd w:id="297"/>
      <w:bookmarkEnd w:id="298"/>
      <w:r>
        <w:rPr>
          <w:b/>
          <w:noProof/>
        </w:rPr>
        <w:t xml:space="preserve">: </w:t>
      </w:r>
      <w:r>
        <w:rPr>
          <w:b/>
          <w:noProof/>
          <w:color w:val="000000" w:themeColor="text1"/>
          <w:szCs w:val="24"/>
        </w:rPr>
        <w:t>Share (%) of different fuel types in</w:t>
      </w:r>
      <w:r>
        <w:rPr>
          <w:b/>
          <w:noProof/>
          <w:color w:val="000000" w:themeColor="text1"/>
          <w:szCs w:val="24"/>
        </w:rPr>
        <w:t xml:space="preserve"> the final energy demand for vans (entire fleet) under different TLV options –2025 and 2030</w:t>
      </w:r>
      <w:bookmarkEnd w:id="299"/>
      <w:r>
        <w:rPr>
          <w:b/>
          <w:noProof/>
          <w:color w:val="000000" w:themeColor="text1"/>
          <w:szCs w:val="24"/>
        </w:rPr>
        <w:t xml:space="preserve"> </w:t>
      </w:r>
    </w:p>
    <w:p w:rsidR="001A26B0" w:rsidRDefault="00E33A99">
      <w:pPr>
        <w:spacing w:after="200" w:line="276" w:lineRule="auto"/>
        <w:jc w:val="center"/>
        <w:rPr>
          <w:noProof/>
        </w:rPr>
      </w:pPr>
      <w:bookmarkStart w:id="300" w:name="_Ref491441857"/>
      <w:r>
        <w:rPr>
          <w:noProof/>
          <w:lang w:eastAsia="en-GB"/>
        </w:rPr>
        <w:drawing>
          <wp:inline distT="0" distB="0" distL="0" distR="0">
            <wp:extent cx="5080000" cy="3318956"/>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80000" cy="3318956"/>
                    </a:xfrm>
                    <a:prstGeom prst="rect">
                      <a:avLst/>
                    </a:prstGeom>
                    <a:noFill/>
                  </pic:spPr>
                </pic:pic>
              </a:graphicData>
            </a:graphic>
          </wp:inline>
        </w:drawing>
      </w:r>
    </w:p>
    <w:p w:rsidR="001A26B0" w:rsidRDefault="00E33A99">
      <w:pPr>
        <w:spacing w:after="200" w:line="276" w:lineRule="auto"/>
        <w:jc w:val="center"/>
        <w:rPr>
          <w:noProof/>
        </w:rPr>
      </w:pPr>
      <w:r>
        <w:rPr>
          <w:noProof/>
          <w:lang w:eastAsia="en-GB"/>
        </w:rPr>
        <w:drawing>
          <wp:inline distT="0" distB="0" distL="0" distR="0">
            <wp:extent cx="5080000" cy="3315842"/>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80000" cy="3315842"/>
                    </a:xfrm>
                    <a:prstGeom prst="rect">
                      <a:avLst/>
                    </a:prstGeom>
                    <a:noFill/>
                  </pic:spPr>
                </pic:pic>
              </a:graphicData>
            </a:graphic>
          </wp:inline>
        </w:drawing>
      </w:r>
    </w:p>
    <w:p w:rsidR="001A26B0" w:rsidRDefault="001A26B0">
      <w:pPr>
        <w:rPr>
          <w:noProof/>
        </w:rPr>
      </w:pPr>
    </w:p>
    <w:p w:rsidR="001A26B0" w:rsidRDefault="00E33A99">
      <w:pPr>
        <w:spacing w:after="200" w:line="276" w:lineRule="auto"/>
        <w:jc w:val="left"/>
        <w:rPr>
          <w:noProof/>
        </w:rPr>
      </w:pPr>
      <w:r>
        <w:rPr>
          <w:noProof/>
        </w:rPr>
        <w:br w:type="page"/>
      </w:r>
    </w:p>
    <w:p w:rsidR="001A26B0" w:rsidRDefault="00E33A99">
      <w:pPr>
        <w:pStyle w:val="Heading5"/>
        <w:rPr>
          <w:noProof/>
        </w:rPr>
      </w:pPr>
      <w:bookmarkStart w:id="301" w:name="_Ref493611599"/>
      <w:r>
        <w:rPr>
          <w:noProof/>
        </w:rPr>
        <w:t xml:space="preserve">Macro economic impacts, including employment </w:t>
      </w:r>
      <w:bookmarkEnd w:id="300"/>
      <w:bookmarkEnd w:id="301"/>
    </w:p>
    <w:p w:rsidR="001A26B0" w:rsidRDefault="00E33A99">
      <w:pPr>
        <w:pStyle w:val="Heading6"/>
        <w:rPr>
          <w:noProof/>
        </w:rPr>
      </w:pPr>
      <w:bookmarkStart w:id="302" w:name="_Ref493788736"/>
      <w:r>
        <w:rPr>
          <w:noProof/>
        </w:rPr>
        <w:t>Introduction and methodological considerations</w:t>
      </w:r>
      <w:bookmarkEnd w:id="302"/>
    </w:p>
    <w:p w:rsidR="001A26B0" w:rsidRDefault="00E33A99">
      <w:pPr>
        <w:spacing w:after="120"/>
        <w:rPr>
          <w:noProof/>
          <w:szCs w:val="24"/>
        </w:rPr>
      </w:pPr>
      <w:r>
        <w:rPr>
          <w:noProof/>
          <w:szCs w:val="24"/>
        </w:rPr>
        <w:t>The E3ME and GEM-E3 models are used to assess macroeconomic and</w:t>
      </w:r>
      <w:r>
        <w:rPr>
          <w:noProof/>
          <w:szCs w:val="24"/>
        </w:rPr>
        <w:t xml:space="preserve"> sectoral economic impacts (see Annex 4 for a detailed description). In particular, these models are used to quantify the impacts of the different CO</w:t>
      </w:r>
      <w:r>
        <w:rPr>
          <w:noProof/>
          <w:szCs w:val="24"/>
          <w:vertAlign w:val="subscript"/>
        </w:rPr>
        <w:t>2</w:t>
      </w:r>
      <w:r>
        <w:rPr>
          <w:noProof/>
          <w:szCs w:val="24"/>
        </w:rPr>
        <w:t xml:space="preserve"> targets for light-duty vehicles </w:t>
      </w:r>
      <w:r>
        <w:rPr>
          <w:noProof/>
        </w:rPr>
        <w:t xml:space="preserve">on the wider economy, i.e. </w:t>
      </w:r>
      <w:r>
        <w:rPr>
          <w:noProof/>
          <w:szCs w:val="24"/>
        </w:rPr>
        <w:t>GDP, sectoral output and employment.</w:t>
      </w:r>
    </w:p>
    <w:p w:rsidR="001A26B0" w:rsidRDefault="00E33A99">
      <w:pPr>
        <w:pStyle w:val="Default"/>
        <w:spacing w:after="120"/>
        <w:jc w:val="both"/>
        <w:rPr>
          <w:noProof/>
        </w:rPr>
      </w:pPr>
      <w:r>
        <w:rPr>
          <w:noProof/>
        </w:rPr>
        <w:fldChar w:fldCharType="begin"/>
      </w:r>
      <w:r>
        <w:rPr>
          <w:noProof/>
        </w:rPr>
        <w:instrText xml:space="preserve"> REF _Ref</w:instrText>
      </w:r>
      <w:r>
        <w:rPr>
          <w:noProof/>
        </w:rPr>
        <w:instrText xml:space="preserve">492570351 \h </w:instrText>
      </w:r>
      <w:r>
        <w:rPr>
          <w:noProof/>
        </w:rPr>
      </w:r>
      <w:r>
        <w:rPr>
          <w:noProof/>
        </w:rPr>
        <w:fldChar w:fldCharType="separate"/>
      </w:r>
      <w:r>
        <w:rPr>
          <w:noProof/>
        </w:rPr>
        <w:t>Table 19</w:t>
      </w:r>
      <w:r>
        <w:rPr>
          <w:noProof/>
        </w:rPr>
        <w:fldChar w:fldCharType="end"/>
      </w:r>
      <w:r>
        <w:rPr>
          <w:noProof/>
        </w:rPr>
        <w:t xml:space="preserve"> shows the options for the target levels which were considered in the scenarios modelled by E3ME and GEM-E3. The macro-economic impacts of a combination TL25 (combining</w:t>
      </w:r>
      <w:r>
        <w:rPr>
          <w:noProof/>
        </w:rPr>
        <w:t xml:space="preserve"> TLC25 and TLV25) would be very similar to those of the modelled scenario TL30c/25v.</w:t>
      </w:r>
    </w:p>
    <w:p w:rsidR="001A26B0" w:rsidRDefault="00E33A99">
      <w:pPr>
        <w:pStyle w:val="Caption"/>
        <w:rPr>
          <w:noProof/>
          <w:szCs w:val="24"/>
        </w:rPr>
      </w:pPr>
      <w:bookmarkStart w:id="303" w:name="_Ref492570351"/>
      <w:r>
        <w:rPr>
          <w:noProof/>
        </w:rPr>
        <w:t xml:space="preserve">Table </w:t>
      </w:r>
      <w:r>
        <w:rPr>
          <w:noProof/>
        </w:rPr>
        <w:fldChar w:fldCharType="begin"/>
      </w:r>
      <w:r>
        <w:rPr>
          <w:noProof/>
        </w:rPr>
        <w:instrText xml:space="preserve"> SEQ Table \* ARABIC </w:instrText>
      </w:r>
      <w:r>
        <w:rPr>
          <w:noProof/>
        </w:rPr>
        <w:fldChar w:fldCharType="separate"/>
      </w:r>
      <w:r>
        <w:rPr>
          <w:noProof/>
        </w:rPr>
        <w:t>19</w:t>
      </w:r>
      <w:r>
        <w:rPr>
          <w:noProof/>
        </w:rPr>
        <w:fldChar w:fldCharType="end"/>
      </w:r>
      <w:bookmarkEnd w:id="303"/>
      <w:r>
        <w:rPr>
          <w:noProof/>
        </w:rPr>
        <w:t>: Scenarios modelled with E3ME and GEM-E3 for assessing the macro-economic impacts of the TLC and TLV options</w:t>
      </w:r>
    </w:p>
    <w:tbl>
      <w:tblPr>
        <w:tblStyle w:val="TableGrid"/>
        <w:tblW w:w="5000" w:type="pct"/>
        <w:tblLook w:val="04A0" w:firstRow="1" w:lastRow="0" w:firstColumn="1" w:lastColumn="0" w:noHBand="0" w:noVBand="1"/>
      </w:tblPr>
      <w:tblGrid>
        <w:gridCol w:w="3108"/>
        <w:gridCol w:w="2846"/>
        <w:gridCol w:w="2875"/>
      </w:tblGrid>
      <w:tr w:rsidR="001A26B0">
        <w:tc>
          <w:tcPr>
            <w:tcW w:w="1760" w:type="pct"/>
          </w:tcPr>
          <w:p w:rsidR="001A26B0" w:rsidRDefault="00E33A99">
            <w:pPr>
              <w:pStyle w:val="Default"/>
              <w:spacing w:after="120"/>
              <w:rPr>
                <w:b/>
                <w:noProof/>
                <w:lang w:val="it-IT"/>
              </w:rPr>
            </w:pPr>
            <w:r>
              <w:rPr>
                <w:b/>
                <w:noProof/>
                <w:lang w:val="it-IT"/>
              </w:rPr>
              <w:t xml:space="preserve">E3ME and GEM-E3 </w:t>
            </w:r>
            <w:r>
              <w:rPr>
                <w:b/>
                <w:noProof/>
                <w:lang w:val="it-IT"/>
              </w:rPr>
              <w:br/>
              <w:t>scenario</w:t>
            </w:r>
          </w:p>
        </w:tc>
        <w:tc>
          <w:tcPr>
            <w:tcW w:w="1612" w:type="pct"/>
          </w:tcPr>
          <w:p w:rsidR="001A26B0" w:rsidRDefault="00E33A99">
            <w:pPr>
              <w:pStyle w:val="Default"/>
              <w:spacing w:after="120"/>
              <w:jc w:val="both"/>
              <w:rPr>
                <w:b/>
                <w:noProof/>
              </w:rPr>
            </w:pPr>
            <w:r>
              <w:rPr>
                <w:b/>
                <w:noProof/>
              </w:rPr>
              <w:t>Cars target level option</w:t>
            </w:r>
          </w:p>
        </w:tc>
        <w:tc>
          <w:tcPr>
            <w:tcW w:w="1628" w:type="pct"/>
          </w:tcPr>
          <w:p w:rsidR="001A26B0" w:rsidRDefault="00E33A99">
            <w:pPr>
              <w:pStyle w:val="Default"/>
              <w:spacing w:after="120"/>
              <w:jc w:val="both"/>
              <w:rPr>
                <w:b/>
                <w:noProof/>
              </w:rPr>
            </w:pPr>
            <w:r>
              <w:rPr>
                <w:b/>
                <w:noProof/>
              </w:rPr>
              <w:t>Vans target level option</w:t>
            </w:r>
          </w:p>
        </w:tc>
      </w:tr>
      <w:tr w:rsidR="001A26B0">
        <w:tc>
          <w:tcPr>
            <w:tcW w:w="1760" w:type="pct"/>
          </w:tcPr>
          <w:p w:rsidR="001A26B0" w:rsidRDefault="00E33A99">
            <w:pPr>
              <w:pStyle w:val="Default"/>
              <w:spacing w:after="120"/>
              <w:jc w:val="both"/>
              <w:rPr>
                <w:noProof/>
              </w:rPr>
            </w:pPr>
            <w:r>
              <w:rPr>
                <w:noProof/>
              </w:rPr>
              <w:t>Baseline (TL0)</w:t>
            </w:r>
          </w:p>
        </w:tc>
        <w:tc>
          <w:tcPr>
            <w:tcW w:w="1612" w:type="pct"/>
          </w:tcPr>
          <w:p w:rsidR="001A26B0" w:rsidRDefault="00E33A99">
            <w:pPr>
              <w:pStyle w:val="Default"/>
              <w:spacing w:after="120"/>
              <w:jc w:val="center"/>
              <w:rPr>
                <w:noProof/>
              </w:rPr>
            </w:pPr>
            <w:r>
              <w:rPr>
                <w:noProof/>
              </w:rPr>
              <w:t>TLC0</w:t>
            </w:r>
          </w:p>
        </w:tc>
        <w:tc>
          <w:tcPr>
            <w:tcW w:w="1628" w:type="pct"/>
          </w:tcPr>
          <w:p w:rsidR="001A26B0" w:rsidRDefault="00E33A99">
            <w:pPr>
              <w:pStyle w:val="Default"/>
              <w:spacing w:after="120"/>
              <w:jc w:val="center"/>
              <w:rPr>
                <w:noProof/>
              </w:rPr>
            </w:pPr>
            <w:r>
              <w:rPr>
                <w:noProof/>
              </w:rPr>
              <w:t>TLV0</w:t>
            </w:r>
          </w:p>
        </w:tc>
      </w:tr>
      <w:tr w:rsidR="001A26B0">
        <w:tc>
          <w:tcPr>
            <w:tcW w:w="1760" w:type="pct"/>
          </w:tcPr>
          <w:p w:rsidR="001A26B0" w:rsidRDefault="00E33A99">
            <w:pPr>
              <w:pStyle w:val="Default"/>
              <w:spacing w:after="120"/>
              <w:jc w:val="both"/>
              <w:rPr>
                <w:noProof/>
              </w:rPr>
            </w:pPr>
            <w:r>
              <w:rPr>
                <w:noProof/>
              </w:rPr>
              <w:t>TL20</w:t>
            </w:r>
          </w:p>
        </w:tc>
        <w:tc>
          <w:tcPr>
            <w:tcW w:w="1612" w:type="pct"/>
          </w:tcPr>
          <w:p w:rsidR="001A26B0" w:rsidRDefault="00E33A99">
            <w:pPr>
              <w:pStyle w:val="Default"/>
              <w:spacing w:after="120"/>
              <w:jc w:val="center"/>
              <w:rPr>
                <w:noProof/>
              </w:rPr>
            </w:pPr>
            <w:r>
              <w:rPr>
                <w:noProof/>
              </w:rPr>
              <w:t>TLC20</w:t>
            </w:r>
          </w:p>
        </w:tc>
        <w:tc>
          <w:tcPr>
            <w:tcW w:w="1628" w:type="pct"/>
          </w:tcPr>
          <w:p w:rsidR="001A26B0" w:rsidRDefault="00E33A99">
            <w:pPr>
              <w:pStyle w:val="Default"/>
              <w:spacing w:after="120"/>
              <w:jc w:val="center"/>
              <w:rPr>
                <w:noProof/>
              </w:rPr>
            </w:pPr>
            <w:r>
              <w:rPr>
                <w:noProof/>
              </w:rPr>
              <w:t>TLV20</w:t>
            </w:r>
          </w:p>
        </w:tc>
      </w:tr>
      <w:tr w:rsidR="001A26B0">
        <w:tc>
          <w:tcPr>
            <w:tcW w:w="1760" w:type="pct"/>
          </w:tcPr>
          <w:p w:rsidR="001A26B0" w:rsidRDefault="00E33A99">
            <w:pPr>
              <w:pStyle w:val="Default"/>
              <w:spacing w:after="120"/>
              <w:jc w:val="both"/>
              <w:rPr>
                <w:noProof/>
              </w:rPr>
            </w:pPr>
            <w:r>
              <w:rPr>
                <w:noProof/>
              </w:rPr>
              <w:t>TL30c/25v</w:t>
            </w:r>
          </w:p>
        </w:tc>
        <w:tc>
          <w:tcPr>
            <w:tcW w:w="1612" w:type="pct"/>
          </w:tcPr>
          <w:p w:rsidR="001A26B0" w:rsidRDefault="00E33A99">
            <w:pPr>
              <w:pStyle w:val="Default"/>
              <w:spacing w:after="120"/>
              <w:jc w:val="center"/>
              <w:rPr>
                <w:noProof/>
              </w:rPr>
            </w:pPr>
            <w:r>
              <w:rPr>
                <w:noProof/>
              </w:rPr>
              <w:t>TLC30</w:t>
            </w:r>
          </w:p>
        </w:tc>
        <w:tc>
          <w:tcPr>
            <w:tcW w:w="1628" w:type="pct"/>
          </w:tcPr>
          <w:p w:rsidR="001A26B0" w:rsidRDefault="00E33A99">
            <w:pPr>
              <w:pStyle w:val="Default"/>
              <w:spacing w:after="120"/>
              <w:jc w:val="center"/>
              <w:rPr>
                <w:noProof/>
              </w:rPr>
            </w:pPr>
            <w:r>
              <w:rPr>
                <w:noProof/>
              </w:rPr>
              <w:t>TLV25</w:t>
            </w:r>
          </w:p>
        </w:tc>
      </w:tr>
      <w:tr w:rsidR="001A26B0">
        <w:tc>
          <w:tcPr>
            <w:tcW w:w="1760" w:type="pct"/>
          </w:tcPr>
          <w:p w:rsidR="001A26B0" w:rsidRDefault="00E33A99">
            <w:pPr>
              <w:pStyle w:val="Default"/>
              <w:spacing w:after="120"/>
              <w:jc w:val="both"/>
              <w:rPr>
                <w:noProof/>
              </w:rPr>
            </w:pPr>
            <w:r>
              <w:rPr>
                <w:noProof/>
              </w:rPr>
              <w:t>TL40</w:t>
            </w:r>
          </w:p>
        </w:tc>
        <w:tc>
          <w:tcPr>
            <w:tcW w:w="1612" w:type="pct"/>
          </w:tcPr>
          <w:p w:rsidR="001A26B0" w:rsidRDefault="00E33A99">
            <w:pPr>
              <w:pStyle w:val="Default"/>
              <w:spacing w:after="120"/>
              <w:jc w:val="center"/>
              <w:rPr>
                <w:noProof/>
              </w:rPr>
            </w:pPr>
            <w:r>
              <w:rPr>
                <w:noProof/>
              </w:rPr>
              <w:t>TLC40</w:t>
            </w:r>
          </w:p>
        </w:tc>
        <w:tc>
          <w:tcPr>
            <w:tcW w:w="1628" w:type="pct"/>
          </w:tcPr>
          <w:p w:rsidR="001A26B0" w:rsidRDefault="00E33A99">
            <w:pPr>
              <w:pStyle w:val="Default"/>
              <w:spacing w:after="120"/>
              <w:jc w:val="center"/>
              <w:rPr>
                <w:noProof/>
              </w:rPr>
            </w:pPr>
            <w:r>
              <w:rPr>
                <w:noProof/>
              </w:rPr>
              <w:t>TLV40</w:t>
            </w:r>
          </w:p>
        </w:tc>
      </w:tr>
    </w:tbl>
    <w:p w:rsidR="001A26B0" w:rsidRDefault="00E33A99">
      <w:pPr>
        <w:pStyle w:val="Default"/>
        <w:spacing w:before="240" w:after="120"/>
        <w:jc w:val="both"/>
        <w:rPr>
          <w:noProof/>
        </w:rPr>
      </w:pPr>
      <w:r>
        <w:rPr>
          <w:noProof/>
        </w:rPr>
        <w:t>All the modelled scenarios estimate changes due to the new CO</w:t>
      </w:r>
      <w:r>
        <w:rPr>
          <w:noProof/>
          <w:vertAlign w:val="subscript"/>
        </w:rPr>
        <w:t>2</w:t>
      </w:r>
      <w:r>
        <w:rPr>
          <w:noProof/>
        </w:rPr>
        <w:t xml:space="preserve"> target levels in order to isolate the macroeconomic effects of this specific policy. In all scenarios, government revenue neutrality is imposed. The implementation of the new CO</w:t>
      </w:r>
      <w:r>
        <w:rPr>
          <w:noProof/>
          <w:vertAlign w:val="subscript"/>
        </w:rPr>
        <w:t>2</w:t>
      </w:r>
      <w:r>
        <w:rPr>
          <w:noProof/>
        </w:rPr>
        <w:t xml:space="preserve"> targets reduces petrol and diesel consumption, which are commodities upon wh</w:t>
      </w:r>
      <w:r>
        <w:rPr>
          <w:noProof/>
        </w:rPr>
        <w:t>ich taxes are levied in all Member States. This is compensated, in all scenarios, by a proportional increase of VAT rates. As an example, in the scenario TLC30c/25v modelled through E3ME, it is projected that fuel duty revenues in the EU28 decrease by arou</w:t>
      </w:r>
      <w:r>
        <w:rPr>
          <w:noProof/>
        </w:rPr>
        <w:t xml:space="preserve">nd 6,000 million euros in 2030, corresponding to a 5% decrease with respect to the baseline. The fuel duty revenue loss represents around 0.04% of the EU28 GDP. To ensure revenue neutrality, VAT total revenues increase by around 0.3% in 2030. </w:t>
      </w:r>
    </w:p>
    <w:p w:rsidR="001A26B0" w:rsidRDefault="00E33A99">
      <w:pPr>
        <w:pStyle w:val="Heading6"/>
        <w:rPr>
          <w:noProof/>
        </w:rPr>
      </w:pPr>
      <w:bookmarkStart w:id="304" w:name="_Ref493613394"/>
      <w:r>
        <w:rPr>
          <w:noProof/>
          <w:szCs w:val="24"/>
        </w:rPr>
        <w:t>GDP impacts</w:t>
      </w:r>
      <w:bookmarkEnd w:id="304"/>
      <w:r>
        <w:rPr>
          <w:noProof/>
          <w:szCs w:val="24"/>
        </w:rPr>
        <w:t xml:space="preserve"> </w:t>
      </w:r>
    </w:p>
    <w:p w:rsidR="001A26B0" w:rsidRDefault="00E33A99">
      <w:pPr>
        <w:pStyle w:val="Default"/>
        <w:spacing w:after="120"/>
        <w:rPr>
          <w:i/>
          <w:noProof/>
          <w:u w:val="single"/>
        </w:rPr>
      </w:pPr>
      <w:r>
        <w:rPr>
          <w:i/>
          <w:noProof/>
          <w:u w:val="single"/>
        </w:rPr>
        <w:t>E3ME modelling results for GDP</w:t>
      </w:r>
    </w:p>
    <w:p w:rsidR="001A26B0" w:rsidRDefault="00E33A99">
      <w:pPr>
        <w:spacing w:after="120"/>
        <w:rPr>
          <w:noProof/>
          <w:color w:val="000000"/>
          <w:szCs w:val="24"/>
        </w:rPr>
      </w:pPr>
      <w:r>
        <w:rPr>
          <w:noProof/>
          <w:color w:val="000000"/>
          <w:szCs w:val="24"/>
        </w:rPr>
        <w:fldChar w:fldCharType="begin"/>
      </w:r>
      <w:r>
        <w:rPr>
          <w:noProof/>
          <w:color w:val="000000"/>
          <w:szCs w:val="24"/>
        </w:rPr>
        <w:instrText xml:space="preserve"> REF _Ref492570616 \h </w:instrText>
      </w:r>
      <w:r>
        <w:rPr>
          <w:noProof/>
          <w:color w:val="000000"/>
          <w:szCs w:val="24"/>
        </w:rPr>
      </w:r>
      <w:r>
        <w:rPr>
          <w:noProof/>
          <w:color w:val="000000"/>
          <w:szCs w:val="24"/>
        </w:rPr>
        <w:fldChar w:fldCharType="separate"/>
      </w:r>
      <w:r>
        <w:rPr>
          <w:noProof/>
        </w:rPr>
        <w:t>Table 20</w:t>
      </w:r>
      <w:r>
        <w:rPr>
          <w:noProof/>
          <w:color w:val="000000"/>
          <w:szCs w:val="24"/>
        </w:rPr>
        <w:fldChar w:fldCharType="end"/>
      </w:r>
      <w:r>
        <w:rPr>
          <w:noProof/>
          <w:color w:val="000000"/>
          <w:szCs w:val="24"/>
        </w:rPr>
        <w:t xml:space="preserve"> shows the projected GDP impact for the EU-28 for the three scenarios compared against the baseline. The results shown are based on the assumption that the battery cells used in electric vehicles are imported from third countries. Further analysis regardin</w:t>
      </w:r>
      <w:r>
        <w:rPr>
          <w:noProof/>
          <w:color w:val="000000"/>
          <w:szCs w:val="24"/>
        </w:rPr>
        <w:t xml:space="preserve">g the impacts of the production of battery cells in the EU is presented in Section 6.5.4. </w:t>
      </w:r>
    </w:p>
    <w:p w:rsidR="001A26B0" w:rsidRDefault="00E33A99">
      <w:pPr>
        <w:pStyle w:val="Caption"/>
        <w:keepNext/>
        <w:rPr>
          <w:noProof/>
          <w:szCs w:val="24"/>
        </w:rPr>
      </w:pPr>
      <w:bookmarkStart w:id="305" w:name="_Ref492570616"/>
      <w:r>
        <w:rPr>
          <w:noProof/>
        </w:rPr>
        <w:t xml:space="preserve">Table </w:t>
      </w:r>
      <w:r>
        <w:rPr>
          <w:noProof/>
        </w:rPr>
        <w:fldChar w:fldCharType="begin"/>
      </w:r>
      <w:r>
        <w:rPr>
          <w:noProof/>
        </w:rPr>
        <w:instrText xml:space="preserve"> SEQ Table \* ARABIC </w:instrText>
      </w:r>
      <w:r>
        <w:rPr>
          <w:noProof/>
        </w:rPr>
        <w:fldChar w:fldCharType="separate"/>
      </w:r>
      <w:r>
        <w:rPr>
          <w:noProof/>
        </w:rPr>
        <w:t>20</w:t>
      </w:r>
      <w:r>
        <w:rPr>
          <w:noProof/>
        </w:rPr>
        <w:fldChar w:fldCharType="end"/>
      </w:r>
      <w:bookmarkEnd w:id="305"/>
      <w:r>
        <w:rPr>
          <w:noProof/>
        </w:rPr>
        <w:t>: GDP impacts in the baseline (million euros) and percentage change from the baseline under the policy scenarios – battery cells impo</w:t>
      </w:r>
      <w:r>
        <w:rPr>
          <w:noProof/>
        </w:rPr>
        <w:t>rted (E3ME results)</w:t>
      </w:r>
    </w:p>
    <w:tbl>
      <w:tblPr>
        <w:tblStyle w:val="TableGrid"/>
        <w:tblW w:w="5000" w:type="pct"/>
        <w:tblLook w:val="04A0" w:firstRow="1" w:lastRow="0" w:firstColumn="1" w:lastColumn="0" w:noHBand="0" w:noVBand="1"/>
      </w:tblPr>
      <w:tblGrid>
        <w:gridCol w:w="1765"/>
        <w:gridCol w:w="1766"/>
        <w:gridCol w:w="1766"/>
        <w:gridCol w:w="1766"/>
        <w:gridCol w:w="1766"/>
      </w:tblGrid>
      <w:tr w:rsidR="001A26B0">
        <w:trPr>
          <w:trHeight w:val="300"/>
        </w:trPr>
        <w:tc>
          <w:tcPr>
            <w:tcW w:w="1000" w:type="pct"/>
            <w:noWrap/>
            <w:hideMark/>
          </w:tcPr>
          <w:p w:rsidR="001A26B0" w:rsidRDefault="00E33A99">
            <w:pPr>
              <w:spacing w:after="120"/>
              <w:rPr>
                <w:b/>
                <w:noProof/>
                <w:szCs w:val="24"/>
              </w:rPr>
            </w:pPr>
            <w:r>
              <w:rPr>
                <w:b/>
                <w:noProof/>
                <w:szCs w:val="24"/>
              </w:rPr>
              <w:t> Scenario</w:t>
            </w:r>
          </w:p>
        </w:tc>
        <w:tc>
          <w:tcPr>
            <w:tcW w:w="1000" w:type="pct"/>
            <w:noWrap/>
          </w:tcPr>
          <w:p w:rsidR="001A26B0" w:rsidRDefault="00E33A99">
            <w:pPr>
              <w:spacing w:after="120"/>
              <w:jc w:val="center"/>
              <w:rPr>
                <w:b/>
                <w:noProof/>
                <w:szCs w:val="24"/>
              </w:rPr>
            </w:pPr>
            <w:r>
              <w:rPr>
                <w:b/>
                <w:noProof/>
                <w:szCs w:val="24"/>
              </w:rPr>
              <w:t>2025</w:t>
            </w:r>
          </w:p>
        </w:tc>
        <w:tc>
          <w:tcPr>
            <w:tcW w:w="1000" w:type="pct"/>
            <w:noWrap/>
            <w:hideMark/>
          </w:tcPr>
          <w:p w:rsidR="001A26B0" w:rsidRDefault="00E33A99">
            <w:pPr>
              <w:spacing w:after="120"/>
              <w:jc w:val="center"/>
              <w:rPr>
                <w:b/>
                <w:noProof/>
                <w:szCs w:val="24"/>
              </w:rPr>
            </w:pPr>
            <w:r>
              <w:rPr>
                <w:b/>
                <w:noProof/>
                <w:szCs w:val="24"/>
              </w:rPr>
              <w:t>2030</w:t>
            </w:r>
          </w:p>
        </w:tc>
        <w:tc>
          <w:tcPr>
            <w:tcW w:w="1000" w:type="pct"/>
            <w:noWrap/>
            <w:hideMark/>
          </w:tcPr>
          <w:p w:rsidR="001A26B0" w:rsidRDefault="00E33A99">
            <w:pPr>
              <w:spacing w:after="120"/>
              <w:jc w:val="center"/>
              <w:rPr>
                <w:b/>
                <w:noProof/>
                <w:szCs w:val="24"/>
              </w:rPr>
            </w:pPr>
            <w:r>
              <w:rPr>
                <w:b/>
                <w:noProof/>
                <w:szCs w:val="24"/>
              </w:rPr>
              <w:t>2035</w:t>
            </w:r>
          </w:p>
        </w:tc>
        <w:tc>
          <w:tcPr>
            <w:tcW w:w="1000" w:type="pct"/>
            <w:noWrap/>
            <w:hideMark/>
          </w:tcPr>
          <w:p w:rsidR="001A26B0" w:rsidRDefault="00E33A99">
            <w:pPr>
              <w:spacing w:after="120"/>
              <w:jc w:val="center"/>
              <w:rPr>
                <w:b/>
                <w:noProof/>
                <w:szCs w:val="24"/>
              </w:rPr>
            </w:pPr>
            <w:r>
              <w:rPr>
                <w:b/>
                <w:noProof/>
                <w:szCs w:val="24"/>
              </w:rPr>
              <w:t>2040</w:t>
            </w:r>
          </w:p>
        </w:tc>
      </w:tr>
      <w:tr w:rsidR="001A26B0">
        <w:trPr>
          <w:trHeight w:val="300"/>
        </w:trPr>
        <w:tc>
          <w:tcPr>
            <w:tcW w:w="1000" w:type="pct"/>
            <w:noWrap/>
            <w:hideMark/>
          </w:tcPr>
          <w:p w:rsidR="001A26B0" w:rsidRDefault="00E33A99">
            <w:pPr>
              <w:spacing w:after="120"/>
              <w:rPr>
                <w:noProof/>
                <w:szCs w:val="24"/>
              </w:rPr>
            </w:pPr>
            <w:r>
              <w:rPr>
                <w:noProof/>
                <w:szCs w:val="24"/>
              </w:rPr>
              <w:t>Baseline (M€)</w:t>
            </w:r>
          </w:p>
        </w:tc>
        <w:tc>
          <w:tcPr>
            <w:tcW w:w="1000" w:type="pct"/>
            <w:noWrap/>
          </w:tcPr>
          <w:p w:rsidR="001A26B0" w:rsidRDefault="00E33A99">
            <w:pPr>
              <w:spacing w:after="120"/>
              <w:ind w:right="195"/>
              <w:jc w:val="right"/>
              <w:rPr>
                <w:noProof/>
                <w:szCs w:val="24"/>
              </w:rPr>
            </w:pPr>
            <w:r>
              <w:rPr>
                <w:noProof/>
                <w:szCs w:val="24"/>
              </w:rPr>
              <w:t>16,018,660</w:t>
            </w:r>
          </w:p>
        </w:tc>
        <w:tc>
          <w:tcPr>
            <w:tcW w:w="1000" w:type="pct"/>
            <w:noWrap/>
            <w:hideMark/>
          </w:tcPr>
          <w:p w:rsidR="001A26B0" w:rsidRDefault="00E33A99">
            <w:pPr>
              <w:spacing w:after="120"/>
              <w:ind w:right="195"/>
              <w:jc w:val="right"/>
              <w:rPr>
                <w:noProof/>
                <w:szCs w:val="24"/>
              </w:rPr>
            </w:pPr>
            <w:r>
              <w:rPr>
                <w:noProof/>
                <w:szCs w:val="24"/>
              </w:rPr>
              <w:t>17,087,725</w:t>
            </w:r>
          </w:p>
        </w:tc>
        <w:tc>
          <w:tcPr>
            <w:tcW w:w="1000" w:type="pct"/>
            <w:noWrap/>
            <w:hideMark/>
          </w:tcPr>
          <w:p w:rsidR="001A26B0" w:rsidRDefault="00E33A99">
            <w:pPr>
              <w:spacing w:after="120"/>
              <w:ind w:right="195"/>
              <w:jc w:val="right"/>
              <w:rPr>
                <w:noProof/>
                <w:szCs w:val="24"/>
              </w:rPr>
            </w:pPr>
            <w:r>
              <w:rPr>
                <w:noProof/>
                <w:szCs w:val="24"/>
              </w:rPr>
              <w:t>18,381,955</w:t>
            </w:r>
          </w:p>
        </w:tc>
        <w:tc>
          <w:tcPr>
            <w:tcW w:w="1000" w:type="pct"/>
            <w:noWrap/>
            <w:hideMark/>
          </w:tcPr>
          <w:p w:rsidR="001A26B0" w:rsidRDefault="00E33A99">
            <w:pPr>
              <w:spacing w:after="120"/>
              <w:ind w:right="195"/>
              <w:jc w:val="right"/>
              <w:rPr>
                <w:noProof/>
                <w:szCs w:val="24"/>
              </w:rPr>
            </w:pPr>
            <w:r>
              <w:rPr>
                <w:noProof/>
                <w:szCs w:val="24"/>
              </w:rPr>
              <w:t>19,892,587</w:t>
            </w:r>
          </w:p>
        </w:tc>
      </w:tr>
      <w:tr w:rsidR="001A26B0">
        <w:trPr>
          <w:trHeight w:val="300"/>
        </w:trPr>
        <w:tc>
          <w:tcPr>
            <w:tcW w:w="1000" w:type="pct"/>
            <w:noWrap/>
            <w:hideMark/>
          </w:tcPr>
          <w:p w:rsidR="001A26B0" w:rsidRDefault="00E33A99">
            <w:pPr>
              <w:spacing w:after="120"/>
              <w:rPr>
                <w:noProof/>
                <w:szCs w:val="24"/>
              </w:rPr>
            </w:pPr>
            <w:r>
              <w:rPr>
                <w:noProof/>
                <w:szCs w:val="24"/>
              </w:rPr>
              <w:t>TL20</w:t>
            </w:r>
          </w:p>
        </w:tc>
        <w:tc>
          <w:tcPr>
            <w:tcW w:w="1000" w:type="pct"/>
            <w:noWrap/>
          </w:tcPr>
          <w:p w:rsidR="001A26B0" w:rsidRDefault="00E33A99">
            <w:pPr>
              <w:spacing w:after="120"/>
              <w:ind w:right="195"/>
              <w:jc w:val="right"/>
              <w:rPr>
                <w:noProof/>
                <w:szCs w:val="24"/>
              </w:rPr>
            </w:pPr>
            <w:r>
              <w:rPr>
                <w:noProof/>
                <w:szCs w:val="24"/>
              </w:rPr>
              <w:t>0.00%</w:t>
            </w:r>
          </w:p>
        </w:tc>
        <w:tc>
          <w:tcPr>
            <w:tcW w:w="1000" w:type="pct"/>
            <w:noWrap/>
            <w:hideMark/>
          </w:tcPr>
          <w:p w:rsidR="001A26B0" w:rsidRDefault="00E33A99">
            <w:pPr>
              <w:spacing w:after="120"/>
              <w:ind w:right="195"/>
              <w:jc w:val="right"/>
              <w:rPr>
                <w:noProof/>
                <w:szCs w:val="24"/>
              </w:rPr>
            </w:pPr>
            <w:r>
              <w:rPr>
                <w:noProof/>
                <w:szCs w:val="24"/>
              </w:rPr>
              <w:t>0.01%</w:t>
            </w:r>
          </w:p>
        </w:tc>
        <w:tc>
          <w:tcPr>
            <w:tcW w:w="1000" w:type="pct"/>
            <w:noWrap/>
            <w:hideMark/>
          </w:tcPr>
          <w:p w:rsidR="001A26B0" w:rsidRDefault="00E33A99">
            <w:pPr>
              <w:spacing w:after="120"/>
              <w:ind w:right="195"/>
              <w:jc w:val="right"/>
              <w:rPr>
                <w:noProof/>
                <w:szCs w:val="24"/>
              </w:rPr>
            </w:pPr>
            <w:r>
              <w:rPr>
                <w:noProof/>
                <w:szCs w:val="24"/>
              </w:rPr>
              <w:t>0.02%</w:t>
            </w:r>
          </w:p>
        </w:tc>
        <w:tc>
          <w:tcPr>
            <w:tcW w:w="1000" w:type="pct"/>
            <w:noWrap/>
            <w:hideMark/>
          </w:tcPr>
          <w:p w:rsidR="001A26B0" w:rsidRDefault="00E33A99">
            <w:pPr>
              <w:spacing w:after="120"/>
              <w:ind w:right="195"/>
              <w:jc w:val="right"/>
              <w:rPr>
                <w:noProof/>
                <w:szCs w:val="24"/>
              </w:rPr>
            </w:pPr>
            <w:r>
              <w:rPr>
                <w:noProof/>
                <w:szCs w:val="24"/>
              </w:rPr>
              <w:t>0.03%</w:t>
            </w:r>
          </w:p>
        </w:tc>
      </w:tr>
      <w:tr w:rsidR="001A26B0">
        <w:trPr>
          <w:trHeight w:val="300"/>
        </w:trPr>
        <w:tc>
          <w:tcPr>
            <w:tcW w:w="1000" w:type="pct"/>
            <w:noWrap/>
            <w:hideMark/>
          </w:tcPr>
          <w:p w:rsidR="001A26B0" w:rsidRDefault="00E33A99">
            <w:pPr>
              <w:spacing w:after="120"/>
              <w:rPr>
                <w:noProof/>
                <w:szCs w:val="24"/>
              </w:rPr>
            </w:pPr>
            <w:r>
              <w:rPr>
                <w:noProof/>
                <w:szCs w:val="24"/>
              </w:rPr>
              <w:t>TL30c/25v</w:t>
            </w:r>
          </w:p>
        </w:tc>
        <w:tc>
          <w:tcPr>
            <w:tcW w:w="1000" w:type="pct"/>
            <w:noWrap/>
          </w:tcPr>
          <w:p w:rsidR="001A26B0" w:rsidRDefault="00E33A99">
            <w:pPr>
              <w:spacing w:after="120"/>
              <w:ind w:right="195"/>
              <w:jc w:val="right"/>
              <w:rPr>
                <w:noProof/>
                <w:szCs w:val="24"/>
              </w:rPr>
            </w:pPr>
            <w:r>
              <w:rPr>
                <w:noProof/>
                <w:szCs w:val="24"/>
              </w:rPr>
              <w:t>0.00%</w:t>
            </w:r>
          </w:p>
        </w:tc>
        <w:tc>
          <w:tcPr>
            <w:tcW w:w="1000" w:type="pct"/>
            <w:noWrap/>
            <w:hideMark/>
          </w:tcPr>
          <w:p w:rsidR="001A26B0" w:rsidRDefault="00E33A99">
            <w:pPr>
              <w:spacing w:after="120"/>
              <w:ind w:right="195"/>
              <w:jc w:val="right"/>
              <w:rPr>
                <w:noProof/>
                <w:szCs w:val="24"/>
              </w:rPr>
            </w:pPr>
            <w:r>
              <w:rPr>
                <w:noProof/>
                <w:szCs w:val="24"/>
              </w:rPr>
              <w:t>0.02%</w:t>
            </w:r>
          </w:p>
        </w:tc>
        <w:tc>
          <w:tcPr>
            <w:tcW w:w="1000" w:type="pct"/>
            <w:noWrap/>
            <w:hideMark/>
          </w:tcPr>
          <w:p w:rsidR="001A26B0" w:rsidRDefault="00E33A99">
            <w:pPr>
              <w:spacing w:after="120"/>
              <w:ind w:right="195"/>
              <w:jc w:val="right"/>
              <w:rPr>
                <w:noProof/>
                <w:szCs w:val="24"/>
              </w:rPr>
            </w:pPr>
            <w:r>
              <w:rPr>
                <w:noProof/>
                <w:szCs w:val="24"/>
              </w:rPr>
              <w:t>0.03%</w:t>
            </w:r>
          </w:p>
        </w:tc>
        <w:tc>
          <w:tcPr>
            <w:tcW w:w="1000" w:type="pct"/>
            <w:noWrap/>
            <w:hideMark/>
          </w:tcPr>
          <w:p w:rsidR="001A26B0" w:rsidRDefault="00E33A99">
            <w:pPr>
              <w:spacing w:after="120"/>
              <w:ind w:right="195"/>
              <w:jc w:val="right"/>
              <w:rPr>
                <w:noProof/>
                <w:szCs w:val="24"/>
              </w:rPr>
            </w:pPr>
            <w:r>
              <w:rPr>
                <w:noProof/>
                <w:szCs w:val="24"/>
              </w:rPr>
              <w:t>0.05%</w:t>
            </w:r>
          </w:p>
        </w:tc>
      </w:tr>
      <w:tr w:rsidR="001A26B0">
        <w:trPr>
          <w:trHeight w:val="300"/>
        </w:trPr>
        <w:tc>
          <w:tcPr>
            <w:tcW w:w="1000" w:type="pct"/>
            <w:noWrap/>
            <w:hideMark/>
          </w:tcPr>
          <w:p w:rsidR="001A26B0" w:rsidRDefault="00E33A99">
            <w:pPr>
              <w:spacing w:after="120"/>
              <w:rPr>
                <w:noProof/>
                <w:szCs w:val="24"/>
              </w:rPr>
            </w:pPr>
            <w:r>
              <w:rPr>
                <w:noProof/>
                <w:szCs w:val="24"/>
              </w:rPr>
              <w:t>TL40</w:t>
            </w:r>
          </w:p>
        </w:tc>
        <w:tc>
          <w:tcPr>
            <w:tcW w:w="1000" w:type="pct"/>
            <w:noWrap/>
          </w:tcPr>
          <w:p w:rsidR="001A26B0" w:rsidRDefault="00E33A99">
            <w:pPr>
              <w:spacing w:after="120"/>
              <w:ind w:right="195"/>
              <w:jc w:val="right"/>
              <w:rPr>
                <w:noProof/>
                <w:szCs w:val="24"/>
              </w:rPr>
            </w:pPr>
            <w:r>
              <w:rPr>
                <w:noProof/>
                <w:szCs w:val="24"/>
              </w:rPr>
              <w:t>-0.01%</w:t>
            </w:r>
          </w:p>
        </w:tc>
        <w:tc>
          <w:tcPr>
            <w:tcW w:w="1000" w:type="pct"/>
            <w:noWrap/>
            <w:hideMark/>
          </w:tcPr>
          <w:p w:rsidR="001A26B0" w:rsidRDefault="00E33A99">
            <w:pPr>
              <w:spacing w:after="120"/>
              <w:ind w:right="195"/>
              <w:jc w:val="right"/>
              <w:rPr>
                <w:noProof/>
                <w:szCs w:val="24"/>
              </w:rPr>
            </w:pPr>
            <w:r>
              <w:rPr>
                <w:noProof/>
                <w:szCs w:val="24"/>
              </w:rPr>
              <w:t>0.02%</w:t>
            </w:r>
          </w:p>
        </w:tc>
        <w:tc>
          <w:tcPr>
            <w:tcW w:w="1000" w:type="pct"/>
            <w:noWrap/>
            <w:hideMark/>
          </w:tcPr>
          <w:p w:rsidR="001A26B0" w:rsidRDefault="00E33A99">
            <w:pPr>
              <w:spacing w:after="120"/>
              <w:ind w:right="195"/>
              <w:jc w:val="right"/>
              <w:rPr>
                <w:noProof/>
                <w:szCs w:val="24"/>
              </w:rPr>
            </w:pPr>
            <w:r>
              <w:rPr>
                <w:noProof/>
                <w:szCs w:val="24"/>
              </w:rPr>
              <w:t>0.05%</w:t>
            </w:r>
          </w:p>
        </w:tc>
        <w:tc>
          <w:tcPr>
            <w:tcW w:w="1000" w:type="pct"/>
            <w:noWrap/>
            <w:hideMark/>
          </w:tcPr>
          <w:p w:rsidR="001A26B0" w:rsidRDefault="00E33A99">
            <w:pPr>
              <w:spacing w:after="120"/>
              <w:ind w:right="195"/>
              <w:jc w:val="right"/>
              <w:rPr>
                <w:noProof/>
                <w:szCs w:val="24"/>
              </w:rPr>
            </w:pPr>
            <w:r>
              <w:rPr>
                <w:noProof/>
                <w:szCs w:val="24"/>
              </w:rPr>
              <w:t>0.07%</w:t>
            </w:r>
          </w:p>
        </w:tc>
      </w:tr>
    </w:tbl>
    <w:p w:rsidR="001A26B0" w:rsidRDefault="00E33A99">
      <w:pPr>
        <w:spacing w:after="120"/>
        <w:rPr>
          <w:noProof/>
          <w:color w:val="000000"/>
          <w:szCs w:val="24"/>
        </w:rPr>
      </w:pPr>
      <w:r>
        <w:rPr>
          <w:noProof/>
          <w:szCs w:val="24"/>
        </w:rPr>
        <w:t xml:space="preserve">The results show compared to the baseline a very </w:t>
      </w:r>
      <w:r>
        <w:rPr>
          <w:noProof/>
          <w:szCs w:val="24"/>
        </w:rPr>
        <w:t>small positive impact of the three policy scenarios on EU-28 GDP from 2030 onwards.</w:t>
      </w:r>
      <w:r>
        <w:rPr>
          <w:noProof/>
          <w:color w:val="000000"/>
          <w:szCs w:val="24"/>
        </w:rPr>
        <w:t xml:space="preserve"> It is projected that with tighter </w:t>
      </w:r>
      <w:r>
        <w:rPr>
          <w:noProof/>
        </w:rPr>
        <w:t>CO</w:t>
      </w:r>
      <w:r>
        <w:rPr>
          <w:noProof/>
          <w:vertAlign w:val="subscript"/>
        </w:rPr>
        <w:t>2</w:t>
      </w:r>
      <w:r>
        <w:rPr>
          <w:noProof/>
        </w:rPr>
        <w:t xml:space="preserve"> targets for LDV slightly </w:t>
      </w:r>
      <w:r>
        <w:rPr>
          <w:noProof/>
          <w:szCs w:val="24"/>
        </w:rPr>
        <w:t xml:space="preserve">increased consumer expenditure as well as increased infrastructure investment would be triggered. Together with a reduction in imports of petroleum products, this would result in an overall small positive impact on GDP. </w:t>
      </w:r>
    </w:p>
    <w:p w:rsidR="001A26B0" w:rsidRDefault="00E33A99">
      <w:pPr>
        <w:spacing w:after="120"/>
        <w:rPr>
          <w:noProof/>
          <w:color w:val="000000"/>
          <w:szCs w:val="24"/>
        </w:rPr>
      </w:pPr>
      <w:r>
        <w:rPr>
          <w:noProof/>
          <w:color w:val="000000"/>
          <w:szCs w:val="24"/>
        </w:rPr>
        <w:t xml:space="preserve">At the sectoral level, there would </w:t>
      </w:r>
      <w:r>
        <w:rPr>
          <w:noProof/>
          <w:color w:val="000000"/>
          <w:szCs w:val="24"/>
        </w:rPr>
        <w:t xml:space="preserve">be an expansion of the automotive supply chain, with a production increase in sectors such as rubber and plastics, metals and electrical and machinery equipment. This reflects the impact of increased demand for batteries and electric motors. </w:t>
      </w:r>
    </w:p>
    <w:p w:rsidR="001A26B0" w:rsidRDefault="00E33A99">
      <w:pPr>
        <w:spacing w:after="120"/>
        <w:rPr>
          <w:noProof/>
          <w:szCs w:val="24"/>
        </w:rPr>
      </w:pPr>
      <w:r>
        <w:rPr>
          <w:noProof/>
          <w:szCs w:val="24"/>
        </w:rPr>
        <w:t>The automotiv</w:t>
      </w:r>
      <w:r>
        <w:rPr>
          <w:noProof/>
          <w:szCs w:val="24"/>
        </w:rPr>
        <w:t>e sector itself would see a decrease in value added due to the decreasing use of combustion engines in cars. Similarly, the power and hydrogen supply sectors would increase production reflecting increased demand for electricity and hydrogen to power EVs, w</w:t>
      </w:r>
      <w:r>
        <w:rPr>
          <w:noProof/>
          <w:szCs w:val="24"/>
        </w:rPr>
        <w:t>hile the petroleum refining sector would see losses. With higher target levels, these effects would become slightly more pronounced.</w:t>
      </w:r>
    </w:p>
    <w:p w:rsidR="001A26B0" w:rsidRDefault="00E33A99">
      <w:pPr>
        <w:spacing w:after="120"/>
        <w:rPr>
          <w:noProof/>
          <w:szCs w:val="24"/>
        </w:rPr>
      </w:pPr>
      <w:r>
        <w:rPr>
          <w:noProof/>
          <w:szCs w:val="24"/>
        </w:rPr>
        <w:fldChar w:fldCharType="begin"/>
      </w:r>
      <w:r>
        <w:rPr>
          <w:noProof/>
          <w:szCs w:val="24"/>
        </w:rPr>
        <w:instrText xml:space="preserve"> REF _Ref492570668 \h  \* MERGEFORMAT </w:instrText>
      </w:r>
      <w:r>
        <w:rPr>
          <w:noProof/>
          <w:szCs w:val="24"/>
        </w:rPr>
      </w:r>
      <w:r>
        <w:rPr>
          <w:noProof/>
          <w:szCs w:val="24"/>
        </w:rPr>
        <w:fldChar w:fldCharType="separate"/>
      </w:r>
      <w:r>
        <w:rPr>
          <w:noProof/>
          <w:szCs w:val="24"/>
        </w:rPr>
        <w:t>Table 21</w:t>
      </w:r>
      <w:r>
        <w:rPr>
          <w:noProof/>
          <w:szCs w:val="24"/>
        </w:rPr>
        <w:fldChar w:fldCharType="end"/>
      </w:r>
      <w:r>
        <w:rPr>
          <w:noProof/>
          <w:szCs w:val="24"/>
        </w:rPr>
        <w:t xml:space="preserve"> shows the</w:t>
      </w:r>
      <w:r>
        <w:rPr>
          <w:noProof/>
          <w:szCs w:val="24"/>
        </w:rPr>
        <w:t xml:space="preserve"> main impacts on the output within the most affected sectors in 2030 for the different scenarios. The other sectors overall see smaller but positive impacts due to the projected increased overall economic output.</w:t>
      </w:r>
    </w:p>
    <w:p w:rsidR="001A26B0" w:rsidRDefault="00E33A99">
      <w:pPr>
        <w:pStyle w:val="Caption"/>
        <w:rPr>
          <w:noProof/>
          <w:szCs w:val="24"/>
        </w:rPr>
      </w:pPr>
      <w:bookmarkStart w:id="306" w:name="_Ref492570668"/>
      <w:r>
        <w:rPr>
          <w:noProof/>
        </w:rPr>
        <w:t xml:space="preserve">Table </w:t>
      </w:r>
      <w:r>
        <w:rPr>
          <w:noProof/>
        </w:rPr>
        <w:fldChar w:fldCharType="begin"/>
      </w:r>
      <w:r>
        <w:rPr>
          <w:noProof/>
        </w:rPr>
        <w:instrText xml:space="preserve"> SEQ Table \* ARABIC </w:instrText>
      </w:r>
      <w:r>
        <w:rPr>
          <w:noProof/>
        </w:rPr>
        <w:fldChar w:fldCharType="separate"/>
      </w:r>
      <w:r>
        <w:rPr>
          <w:noProof/>
        </w:rPr>
        <w:t>21</w:t>
      </w:r>
      <w:r>
        <w:rPr>
          <w:noProof/>
        </w:rPr>
        <w:fldChar w:fldCharType="end"/>
      </w:r>
      <w:bookmarkEnd w:id="306"/>
      <w:r>
        <w:rPr>
          <w:noProof/>
        </w:rPr>
        <w:t>: Impacts o</w:t>
      </w:r>
      <w:r>
        <w:rPr>
          <w:noProof/>
        </w:rPr>
        <w:t>n the output within the most affected sectors in 2030 (million euros) and percentage change from the baseline – battery cells imported (E3ME results)</w:t>
      </w:r>
    </w:p>
    <w:tbl>
      <w:tblPr>
        <w:tblStyle w:val="TableGrid"/>
        <w:tblW w:w="5000" w:type="pct"/>
        <w:tblLook w:val="04A0" w:firstRow="1" w:lastRow="0" w:firstColumn="1" w:lastColumn="0" w:noHBand="0" w:noVBand="1"/>
      </w:tblPr>
      <w:tblGrid>
        <w:gridCol w:w="2709"/>
        <w:gridCol w:w="1984"/>
        <w:gridCol w:w="1379"/>
        <w:gridCol w:w="1379"/>
        <w:gridCol w:w="1378"/>
      </w:tblGrid>
      <w:tr w:rsidR="001A26B0">
        <w:trPr>
          <w:trHeight w:val="288"/>
        </w:trPr>
        <w:tc>
          <w:tcPr>
            <w:tcW w:w="1488" w:type="pct"/>
            <w:noWrap/>
            <w:hideMark/>
          </w:tcPr>
          <w:p w:rsidR="001A26B0" w:rsidRDefault="00E33A99">
            <w:pPr>
              <w:spacing w:after="120"/>
              <w:rPr>
                <w:b/>
                <w:noProof/>
                <w:szCs w:val="24"/>
              </w:rPr>
            </w:pPr>
            <w:r>
              <w:rPr>
                <w:b/>
                <w:noProof/>
                <w:szCs w:val="24"/>
              </w:rPr>
              <w:t>Sector</w:t>
            </w:r>
          </w:p>
        </w:tc>
        <w:tc>
          <w:tcPr>
            <w:tcW w:w="1101" w:type="pct"/>
            <w:noWrap/>
            <w:hideMark/>
          </w:tcPr>
          <w:p w:rsidR="001A26B0" w:rsidRDefault="00E33A99">
            <w:pPr>
              <w:spacing w:after="120"/>
              <w:ind w:right="348"/>
              <w:jc w:val="right"/>
              <w:rPr>
                <w:b/>
                <w:noProof/>
                <w:szCs w:val="24"/>
              </w:rPr>
            </w:pPr>
            <w:r>
              <w:rPr>
                <w:b/>
                <w:noProof/>
                <w:szCs w:val="24"/>
              </w:rPr>
              <w:t>Baseline (M€)</w:t>
            </w:r>
          </w:p>
        </w:tc>
        <w:tc>
          <w:tcPr>
            <w:tcW w:w="804" w:type="pct"/>
            <w:noWrap/>
            <w:hideMark/>
          </w:tcPr>
          <w:p w:rsidR="001A26B0" w:rsidRDefault="00E33A99">
            <w:pPr>
              <w:spacing w:after="120"/>
              <w:jc w:val="center"/>
              <w:rPr>
                <w:b/>
                <w:noProof/>
                <w:szCs w:val="24"/>
              </w:rPr>
            </w:pPr>
            <w:r>
              <w:rPr>
                <w:b/>
                <w:noProof/>
                <w:szCs w:val="24"/>
              </w:rPr>
              <w:t>TL20</w:t>
            </w:r>
          </w:p>
        </w:tc>
        <w:tc>
          <w:tcPr>
            <w:tcW w:w="804" w:type="pct"/>
          </w:tcPr>
          <w:p w:rsidR="001A26B0" w:rsidRDefault="00E33A99">
            <w:pPr>
              <w:spacing w:after="120"/>
              <w:jc w:val="center"/>
              <w:rPr>
                <w:b/>
                <w:noProof/>
                <w:szCs w:val="24"/>
              </w:rPr>
            </w:pPr>
            <w:r>
              <w:rPr>
                <w:b/>
                <w:noProof/>
                <w:szCs w:val="24"/>
              </w:rPr>
              <w:t>TL30c/25v</w:t>
            </w:r>
          </w:p>
        </w:tc>
        <w:tc>
          <w:tcPr>
            <w:tcW w:w="803" w:type="pct"/>
            <w:noWrap/>
            <w:hideMark/>
          </w:tcPr>
          <w:p w:rsidR="001A26B0" w:rsidRDefault="00E33A99">
            <w:pPr>
              <w:spacing w:after="120"/>
              <w:jc w:val="center"/>
              <w:rPr>
                <w:b/>
                <w:noProof/>
                <w:szCs w:val="24"/>
              </w:rPr>
            </w:pPr>
            <w:r>
              <w:rPr>
                <w:b/>
                <w:noProof/>
                <w:szCs w:val="24"/>
              </w:rPr>
              <w:t>TL40</w:t>
            </w:r>
          </w:p>
        </w:tc>
      </w:tr>
      <w:tr w:rsidR="001A26B0">
        <w:trPr>
          <w:trHeight w:val="288"/>
        </w:trPr>
        <w:tc>
          <w:tcPr>
            <w:tcW w:w="1488" w:type="pct"/>
            <w:noWrap/>
            <w:hideMark/>
          </w:tcPr>
          <w:p w:rsidR="001A26B0" w:rsidRDefault="00E33A99">
            <w:pPr>
              <w:spacing w:after="120"/>
              <w:rPr>
                <w:noProof/>
                <w:szCs w:val="24"/>
              </w:rPr>
            </w:pPr>
            <w:r>
              <w:rPr>
                <w:noProof/>
                <w:szCs w:val="24"/>
              </w:rPr>
              <w:t>Petroleum refining</w:t>
            </w:r>
          </w:p>
        </w:tc>
        <w:tc>
          <w:tcPr>
            <w:tcW w:w="1101" w:type="pct"/>
            <w:noWrap/>
            <w:vAlign w:val="bottom"/>
            <w:hideMark/>
          </w:tcPr>
          <w:p w:rsidR="001A26B0" w:rsidRDefault="00E33A99">
            <w:pPr>
              <w:spacing w:after="120"/>
              <w:ind w:right="348"/>
              <w:jc w:val="right"/>
              <w:rPr>
                <w:noProof/>
                <w:szCs w:val="24"/>
              </w:rPr>
            </w:pPr>
            <w:r>
              <w:rPr>
                <w:noProof/>
                <w:color w:val="000000"/>
                <w:szCs w:val="24"/>
              </w:rPr>
              <w:t>410,422</w:t>
            </w:r>
          </w:p>
        </w:tc>
        <w:tc>
          <w:tcPr>
            <w:tcW w:w="804" w:type="pct"/>
            <w:noWrap/>
            <w:vAlign w:val="bottom"/>
            <w:hideMark/>
          </w:tcPr>
          <w:p w:rsidR="001A26B0" w:rsidRDefault="00E33A99">
            <w:pPr>
              <w:spacing w:after="120"/>
              <w:jc w:val="center"/>
              <w:rPr>
                <w:noProof/>
                <w:szCs w:val="24"/>
              </w:rPr>
            </w:pPr>
            <w:r>
              <w:rPr>
                <w:noProof/>
                <w:color w:val="000000"/>
                <w:szCs w:val="24"/>
              </w:rPr>
              <w:t>-0.9%</w:t>
            </w:r>
          </w:p>
        </w:tc>
        <w:tc>
          <w:tcPr>
            <w:tcW w:w="804" w:type="pct"/>
            <w:vAlign w:val="bottom"/>
          </w:tcPr>
          <w:p w:rsidR="001A26B0" w:rsidRDefault="00E33A99">
            <w:pPr>
              <w:spacing w:after="120"/>
              <w:jc w:val="center"/>
              <w:rPr>
                <w:noProof/>
                <w:szCs w:val="24"/>
              </w:rPr>
            </w:pPr>
            <w:r>
              <w:rPr>
                <w:noProof/>
                <w:color w:val="000000"/>
                <w:szCs w:val="24"/>
              </w:rPr>
              <w:t>-1.1%</w:t>
            </w:r>
          </w:p>
        </w:tc>
        <w:tc>
          <w:tcPr>
            <w:tcW w:w="803" w:type="pct"/>
            <w:noWrap/>
            <w:vAlign w:val="bottom"/>
            <w:hideMark/>
          </w:tcPr>
          <w:p w:rsidR="001A26B0" w:rsidRDefault="00E33A99">
            <w:pPr>
              <w:spacing w:after="120"/>
              <w:jc w:val="center"/>
              <w:rPr>
                <w:noProof/>
                <w:szCs w:val="24"/>
              </w:rPr>
            </w:pPr>
            <w:r>
              <w:rPr>
                <w:noProof/>
                <w:color w:val="000000"/>
                <w:szCs w:val="24"/>
              </w:rPr>
              <w:t>-1.7%</w:t>
            </w:r>
          </w:p>
        </w:tc>
      </w:tr>
      <w:tr w:rsidR="001A26B0">
        <w:trPr>
          <w:trHeight w:val="288"/>
        </w:trPr>
        <w:tc>
          <w:tcPr>
            <w:tcW w:w="1488" w:type="pct"/>
            <w:noWrap/>
            <w:hideMark/>
          </w:tcPr>
          <w:p w:rsidR="001A26B0" w:rsidRDefault="00E33A99">
            <w:pPr>
              <w:spacing w:after="120"/>
              <w:rPr>
                <w:noProof/>
                <w:szCs w:val="24"/>
              </w:rPr>
            </w:pPr>
            <w:r>
              <w:rPr>
                <w:noProof/>
                <w:szCs w:val="24"/>
              </w:rPr>
              <w:t>Automotive</w:t>
            </w:r>
          </w:p>
        </w:tc>
        <w:tc>
          <w:tcPr>
            <w:tcW w:w="1101" w:type="pct"/>
            <w:noWrap/>
            <w:vAlign w:val="bottom"/>
            <w:hideMark/>
          </w:tcPr>
          <w:p w:rsidR="001A26B0" w:rsidRDefault="00E33A99">
            <w:pPr>
              <w:spacing w:after="120"/>
              <w:ind w:right="348"/>
              <w:jc w:val="right"/>
              <w:rPr>
                <w:noProof/>
                <w:szCs w:val="24"/>
              </w:rPr>
            </w:pPr>
            <w:r>
              <w:rPr>
                <w:noProof/>
                <w:color w:val="000000"/>
                <w:szCs w:val="24"/>
              </w:rPr>
              <w:t>1,076,972</w:t>
            </w:r>
          </w:p>
        </w:tc>
        <w:tc>
          <w:tcPr>
            <w:tcW w:w="804" w:type="pct"/>
            <w:noWrap/>
            <w:vAlign w:val="bottom"/>
            <w:hideMark/>
          </w:tcPr>
          <w:p w:rsidR="001A26B0" w:rsidRDefault="00E33A99">
            <w:pPr>
              <w:spacing w:after="120"/>
              <w:jc w:val="center"/>
              <w:rPr>
                <w:noProof/>
                <w:szCs w:val="24"/>
              </w:rPr>
            </w:pPr>
            <w:r>
              <w:rPr>
                <w:noProof/>
                <w:color w:val="000000"/>
                <w:szCs w:val="24"/>
              </w:rPr>
              <w:t>0.0%</w:t>
            </w:r>
          </w:p>
        </w:tc>
        <w:tc>
          <w:tcPr>
            <w:tcW w:w="804" w:type="pct"/>
            <w:vAlign w:val="bottom"/>
          </w:tcPr>
          <w:p w:rsidR="001A26B0" w:rsidRDefault="00E33A99">
            <w:pPr>
              <w:spacing w:after="120"/>
              <w:jc w:val="center"/>
              <w:rPr>
                <w:noProof/>
                <w:szCs w:val="24"/>
              </w:rPr>
            </w:pPr>
            <w:r>
              <w:rPr>
                <w:noProof/>
                <w:color w:val="000000"/>
                <w:szCs w:val="24"/>
              </w:rPr>
              <w:t>-0.1%</w:t>
            </w:r>
          </w:p>
        </w:tc>
        <w:tc>
          <w:tcPr>
            <w:tcW w:w="803" w:type="pct"/>
            <w:noWrap/>
            <w:vAlign w:val="bottom"/>
            <w:hideMark/>
          </w:tcPr>
          <w:p w:rsidR="001A26B0" w:rsidRDefault="00E33A99">
            <w:pPr>
              <w:spacing w:after="120"/>
              <w:jc w:val="center"/>
              <w:rPr>
                <w:noProof/>
                <w:szCs w:val="24"/>
              </w:rPr>
            </w:pPr>
            <w:r>
              <w:rPr>
                <w:noProof/>
                <w:color w:val="000000"/>
                <w:szCs w:val="24"/>
              </w:rPr>
              <w:t>-0.5%</w:t>
            </w:r>
          </w:p>
        </w:tc>
      </w:tr>
      <w:tr w:rsidR="001A26B0">
        <w:trPr>
          <w:trHeight w:val="288"/>
        </w:trPr>
        <w:tc>
          <w:tcPr>
            <w:tcW w:w="1488" w:type="pct"/>
            <w:noWrap/>
            <w:hideMark/>
          </w:tcPr>
          <w:p w:rsidR="001A26B0" w:rsidRDefault="00E33A99">
            <w:pPr>
              <w:spacing w:after="120"/>
              <w:rPr>
                <w:noProof/>
                <w:szCs w:val="24"/>
              </w:rPr>
            </w:pPr>
            <w:r>
              <w:rPr>
                <w:noProof/>
                <w:szCs w:val="24"/>
              </w:rPr>
              <w:t>Rubber and plastics</w:t>
            </w:r>
          </w:p>
        </w:tc>
        <w:tc>
          <w:tcPr>
            <w:tcW w:w="1101" w:type="pct"/>
            <w:noWrap/>
            <w:vAlign w:val="bottom"/>
            <w:hideMark/>
          </w:tcPr>
          <w:p w:rsidR="001A26B0" w:rsidRDefault="00E33A99">
            <w:pPr>
              <w:spacing w:after="120"/>
              <w:ind w:right="348"/>
              <w:jc w:val="right"/>
              <w:rPr>
                <w:noProof/>
                <w:szCs w:val="24"/>
              </w:rPr>
            </w:pPr>
            <w:r>
              <w:rPr>
                <w:noProof/>
                <w:color w:val="000000"/>
                <w:szCs w:val="24"/>
              </w:rPr>
              <w:t>317,932</w:t>
            </w:r>
          </w:p>
        </w:tc>
        <w:tc>
          <w:tcPr>
            <w:tcW w:w="804" w:type="pct"/>
            <w:noWrap/>
            <w:vAlign w:val="bottom"/>
            <w:hideMark/>
          </w:tcPr>
          <w:p w:rsidR="001A26B0" w:rsidRDefault="00E33A99">
            <w:pPr>
              <w:spacing w:after="120"/>
              <w:jc w:val="center"/>
              <w:rPr>
                <w:noProof/>
                <w:szCs w:val="24"/>
              </w:rPr>
            </w:pPr>
            <w:r>
              <w:rPr>
                <w:noProof/>
                <w:color w:val="000000"/>
                <w:szCs w:val="24"/>
              </w:rPr>
              <w:t>0.3%</w:t>
            </w:r>
          </w:p>
        </w:tc>
        <w:tc>
          <w:tcPr>
            <w:tcW w:w="804" w:type="pct"/>
            <w:vAlign w:val="bottom"/>
          </w:tcPr>
          <w:p w:rsidR="001A26B0" w:rsidRDefault="00E33A99">
            <w:pPr>
              <w:spacing w:after="120"/>
              <w:jc w:val="center"/>
              <w:rPr>
                <w:noProof/>
                <w:szCs w:val="24"/>
              </w:rPr>
            </w:pPr>
            <w:r>
              <w:rPr>
                <w:noProof/>
                <w:color w:val="000000"/>
                <w:szCs w:val="24"/>
              </w:rPr>
              <w:t>0.4%</w:t>
            </w:r>
          </w:p>
        </w:tc>
        <w:tc>
          <w:tcPr>
            <w:tcW w:w="803" w:type="pct"/>
            <w:noWrap/>
            <w:vAlign w:val="bottom"/>
            <w:hideMark/>
          </w:tcPr>
          <w:p w:rsidR="001A26B0" w:rsidRDefault="00E33A99">
            <w:pPr>
              <w:spacing w:after="120"/>
              <w:jc w:val="center"/>
              <w:rPr>
                <w:noProof/>
                <w:szCs w:val="24"/>
              </w:rPr>
            </w:pPr>
            <w:r>
              <w:rPr>
                <w:noProof/>
                <w:color w:val="000000"/>
                <w:szCs w:val="24"/>
              </w:rPr>
              <w:t>0.4%</w:t>
            </w:r>
          </w:p>
        </w:tc>
      </w:tr>
      <w:tr w:rsidR="001A26B0">
        <w:trPr>
          <w:trHeight w:val="288"/>
        </w:trPr>
        <w:tc>
          <w:tcPr>
            <w:tcW w:w="1488" w:type="pct"/>
            <w:noWrap/>
            <w:hideMark/>
          </w:tcPr>
          <w:p w:rsidR="001A26B0" w:rsidRDefault="00E33A99">
            <w:pPr>
              <w:spacing w:after="120"/>
              <w:rPr>
                <w:noProof/>
                <w:szCs w:val="24"/>
              </w:rPr>
            </w:pPr>
            <w:r>
              <w:rPr>
                <w:noProof/>
                <w:szCs w:val="24"/>
              </w:rPr>
              <w:t>Metals</w:t>
            </w:r>
          </w:p>
        </w:tc>
        <w:tc>
          <w:tcPr>
            <w:tcW w:w="1101" w:type="pct"/>
            <w:noWrap/>
            <w:vAlign w:val="bottom"/>
            <w:hideMark/>
          </w:tcPr>
          <w:p w:rsidR="001A26B0" w:rsidRDefault="00E33A99">
            <w:pPr>
              <w:spacing w:after="120"/>
              <w:ind w:right="348"/>
              <w:jc w:val="right"/>
              <w:rPr>
                <w:noProof/>
                <w:szCs w:val="24"/>
              </w:rPr>
            </w:pPr>
            <w:r>
              <w:rPr>
                <w:noProof/>
                <w:color w:val="000000"/>
                <w:szCs w:val="24"/>
              </w:rPr>
              <w:t>1,044,999</w:t>
            </w:r>
          </w:p>
        </w:tc>
        <w:tc>
          <w:tcPr>
            <w:tcW w:w="804" w:type="pct"/>
            <w:noWrap/>
            <w:vAlign w:val="bottom"/>
            <w:hideMark/>
          </w:tcPr>
          <w:p w:rsidR="001A26B0" w:rsidRDefault="00E33A99">
            <w:pPr>
              <w:spacing w:after="120"/>
              <w:jc w:val="center"/>
              <w:rPr>
                <w:noProof/>
                <w:szCs w:val="24"/>
              </w:rPr>
            </w:pPr>
            <w:r>
              <w:rPr>
                <w:noProof/>
                <w:color w:val="000000"/>
                <w:szCs w:val="24"/>
              </w:rPr>
              <w:t>0.3%</w:t>
            </w:r>
          </w:p>
        </w:tc>
        <w:tc>
          <w:tcPr>
            <w:tcW w:w="804" w:type="pct"/>
            <w:vAlign w:val="bottom"/>
          </w:tcPr>
          <w:p w:rsidR="001A26B0" w:rsidRDefault="00E33A99">
            <w:pPr>
              <w:spacing w:after="120"/>
              <w:jc w:val="center"/>
              <w:rPr>
                <w:noProof/>
                <w:szCs w:val="24"/>
              </w:rPr>
            </w:pPr>
            <w:r>
              <w:rPr>
                <w:noProof/>
                <w:color w:val="000000"/>
                <w:szCs w:val="24"/>
              </w:rPr>
              <w:t>0.3%</w:t>
            </w:r>
          </w:p>
        </w:tc>
        <w:tc>
          <w:tcPr>
            <w:tcW w:w="803" w:type="pct"/>
            <w:noWrap/>
            <w:vAlign w:val="bottom"/>
            <w:hideMark/>
          </w:tcPr>
          <w:p w:rsidR="001A26B0" w:rsidRDefault="00E33A99">
            <w:pPr>
              <w:spacing w:after="120"/>
              <w:jc w:val="center"/>
              <w:rPr>
                <w:noProof/>
                <w:szCs w:val="24"/>
              </w:rPr>
            </w:pPr>
            <w:r>
              <w:rPr>
                <w:noProof/>
                <w:color w:val="000000"/>
                <w:szCs w:val="24"/>
              </w:rPr>
              <w:t>0.4%</w:t>
            </w:r>
          </w:p>
        </w:tc>
      </w:tr>
      <w:tr w:rsidR="001A26B0">
        <w:trPr>
          <w:trHeight w:val="288"/>
        </w:trPr>
        <w:tc>
          <w:tcPr>
            <w:tcW w:w="1488" w:type="pct"/>
            <w:noWrap/>
            <w:hideMark/>
          </w:tcPr>
          <w:p w:rsidR="001A26B0" w:rsidRDefault="00E33A99">
            <w:pPr>
              <w:spacing w:after="120"/>
              <w:rPr>
                <w:noProof/>
                <w:szCs w:val="24"/>
              </w:rPr>
            </w:pPr>
            <w:r>
              <w:rPr>
                <w:noProof/>
                <w:szCs w:val="24"/>
              </w:rPr>
              <w:t>Electrical equipment</w:t>
            </w:r>
          </w:p>
        </w:tc>
        <w:tc>
          <w:tcPr>
            <w:tcW w:w="1101" w:type="pct"/>
            <w:noWrap/>
            <w:vAlign w:val="bottom"/>
            <w:hideMark/>
          </w:tcPr>
          <w:p w:rsidR="001A26B0" w:rsidRDefault="00E33A99">
            <w:pPr>
              <w:spacing w:after="120"/>
              <w:ind w:right="348"/>
              <w:jc w:val="right"/>
              <w:rPr>
                <w:noProof/>
                <w:szCs w:val="24"/>
              </w:rPr>
            </w:pPr>
            <w:r>
              <w:rPr>
                <w:noProof/>
                <w:color w:val="000000"/>
                <w:szCs w:val="24"/>
              </w:rPr>
              <w:t>1,091,185</w:t>
            </w:r>
          </w:p>
        </w:tc>
        <w:tc>
          <w:tcPr>
            <w:tcW w:w="804" w:type="pct"/>
            <w:noWrap/>
            <w:vAlign w:val="bottom"/>
            <w:hideMark/>
          </w:tcPr>
          <w:p w:rsidR="001A26B0" w:rsidRDefault="00E33A99">
            <w:pPr>
              <w:spacing w:after="120"/>
              <w:jc w:val="center"/>
              <w:rPr>
                <w:noProof/>
                <w:szCs w:val="24"/>
              </w:rPr>
            </w:pPr>
            <w:r>
              <w:rPr>
                <w:noProof/>
                <w:color w:val="000000"/>
                <w:szCs w:val="24"/>
              </w:rPr>
              <w:t>0.7%</w:t>
            </w:r>
          </w:p>
        </w:tc>
        <w:tc>
          <w:tcPr>
            <w:tcW w:w="804" w:type="pct"/>
            <w:vAlign w:val="bottom"/>
          </w:tcPr>
          <w:p w:rsidR="001A26B0" w:rsidRDefault="00E33A99">
            <w:pPr>
              <w:spacing w:after="120"/>
              <w:jc w:val="center"/>
              <w:rPr>
                <w:noProof/>
                <w:szCs w:val="24"/>
              </w:rPr>
            </w:pPr>
            <w:r>
              <w:rPr>
                <w:noProof/>
                <w:color w:val="000000"/>
                <w:szCs w:val="24"/>
              </w:rPr>
              <w:t>0.9%</w:t>
            </w:r>
          </w:p>
        </w:tc>
        <w:tc>
          <w:tcPr>
            <w:tcW w:w="803" w:type="pct"/>
            <w:noWrap/>
            <w:vAlign w:val="bottom"/>
            <w:hideMark/>
          </w:tcPr>
          <w:p w:rsidR="001A26B0" w:rsidRDefault="00E33A99">
            <w:pPr>
              <w:spacing w:after="120"/>
              <w:jc w:val="center"/>
              <w:rPr>
                <w:noProof/>
                <w:szCs w:val="24"/>
              </w:rPr>
            </w:pPr>
            <w:r>
              <w:rPr>
                <w:noProof/>
                <w:color w:val="000000"/>
                <w:szCs w:val="24"/>
              </w:rPr>
              <w:t>1.7%</w:t>
            </w:r>
          </w:p>
        </w:tc>
      </w:tr>
      <w:tr w:rsidR="001A26B0">
        <w:trPr>
          <w:trHeight w:val="288"/>
        </w:trPr>
        <w:tc>
          <w:tcPr>
            <w:tcW w:w="1488" w:type="pct"/>
            <w:noWrap/>
            <w:hideMark/>
          </w:tcPr>
          <w:p w:rsidR="001A26B0" w:rsidRDefault="00E33A99">
            <w:pPr>
              <w:spacing w:after="120"/>
              <w:rPr>
                <w:noProof/>
                <w:szCs w:val="24"/>
              </w:rPr>
            </w:pPr>
            <w:r>
              <w:rPr>
                <w:noProof/>
                <w:szCs w:val="24"/>
              </w:rPr>
              <w:t>Electricity, gas, water, etc</w:t>
            </w:r>
          </w:p>
        </w:tc>
        <w:tc>
          <w:tcPr>
            <w:tcW w:w="1101" w:type="pct"/>
            <w:noWrap/>
            <w:vAlign w:val="bottom"/>
            <w:hideMark/>
          </w:tcPr>
          <w:p w:rsidR="001A26B0" w:rsidRDefault="00E33A99">
            <w:pPr>
              <w:spacing w:after="120"/>
              <w:ind w:right="348"/>
              <w:jc w:val="right"/>
              <w:rPr>
                <w:noProof/>
                <w:szCs w:val="24"/>
              </w:rPr>
            </w:pPr>
            <w:r>
              <w:rPr>
                <w:noProof/>
                <w:color w:val="000000"/>
                <w:szCs w:val="24"/>
              </w:rPr>
              <w:t>1,124,221</w:t>
            </w:r>
          </w:p>
        </w:tc>
        <w:tc>
          <w:tcPr>
            <w:tcW w:w="804" w:type="pct"/>
            <w:noWrap/>
            <w:vAlign w:val="bottom"/>
            <w:hideMark/>
          </w:tcPr>
          <w:p w:rsidR="001A26B0" w:rsidRDefault="00E33A99">
            <w:pPr>
              <w:spacing w:after="120"/>
              <w:jc w:val="center"/>
              <w:rPr>
                <w:noProof/>
                <w:szCs w:val="24"/>
              </w:rPr>
            </w:pPr>
            <w:r>
              <w:rPr>
                <w:noProof/>
                <w:color w:val="000000"/>
                <w:szCs w:val="24"/>
              </w:rPr>
              <w:t>0.2%</w:t>
            </w:r>
          </w:p>
        </w:tc>
        <w:tc>
          <w:tcPr>
            <w:tcW w:w="804" w:type="pct"/>
            <w:vAlign w:val="bottom"/>
          </w:tcPr>
          <w:p w:rsidR="001A26B0" w:rsidRDefault="00E33A99">
            <w:pPr>
              <w:spacing w:after="120"/>
              <w:jc w:val="center"/>
              <w:rPr>
                <w:noProof/>
                <w:szCs w:val="24"/>
              </w:rPr>
            </w:pPr>
            <w:r>
              <w:rPr>
                <w:noProof/>
                <w:color w:val="000000"/>
                <w:szCs w:val="24"/>
              </w:rPr>
              <w:t>0.3%</w:t>
            </w:r>
          </w:p>
        </w:tc>
        <w:tc>
          <w:tcPr>
            <w:tcW w:w="803" w:type="pct"/>
            <w:noWrap/>
            <w:vAlign w:val="bottom"/>
            <w:hideMark/>
          </w:tcPr>
          <w:p w:rsidR="001A26B0" w:rsidRDefault="00E33A99">
            <w:pPr>
              <w:spacing w:after="120"/>
              <w:jc w:val="center"/>
              <w:rPr>
                <w:noProof/>
                <w:szCs w:val="24"/>
              </w:rPr>
            </w:pPr>
            <w:r>
              <w:rPr>
                <w:noProof/>
                <w:color w:val="000000"/>
                <w:szCs w:val="24"/>
              </w:rPr>
              <w:t>0.5%</w:t>
            </w:r>
          </w:p>
        </w:tc>
      </w:tr>
    </w:tbl>
    <w:p w:rsidR="001A26B0" w:rsidRDefault="00E33A99">
      <w:pPr>
        <w:pStyle w:val="Caption"/>
        <w:rPr>
          <w:b w:val="0"/>
          <w:i/>
          <w:noProof/>
          <w:szCs w:val="24"/>
        </w:rPr>
      </w:pPr>
      <w:r>
        <w:rPr>
          <w:b w:val="0"/>
          <w:i/>
          <w:noProof/>
          <w:u w:val="single"/>
        </w:rPr>
        <w:t>GEM-E3 modelling results for GDP</w:t>
      </w:r>
    </w:p>
    <w:p w:rsidR="001A26B0" w:rsidRDefault="00E33A99">
      <w:pPr>
        <w:spacing w:after="120"/>
        <w:rPr>
          <w:noProof/>
          <w:szCs w:val="24"/>
        </w:rPr>
      </w:pPr>
      <w:r>
        <w:rPr>
          <w:noProof/>
          <w:szCs w:val="24"/>
        </w:rPr>
        <w:t>GEM-E3 is a general equilibrium model. It therefore assumes that the economy is in perfect equilibrium, with no spare capacity that, if used, would boost economic output. Capital resources are fully employed in the economy. This has consequences when intro</w:t>
      </w:r>
      <w:r>
        <w:rPr>
          <w:noProof/>
          <w:szCs w:val="24"/>
        </w:rPr>
        <w:t xml:space="preserve">ducing policy changes, with GEM-E3 typically seeing crowding out effects of investments. A policy intervention to increase investments in a particular sector, for instance  road transport therefore limits capital availability for other sectors. </w:t>
      </w:r>
    </w:p>
    <w:p w:rsidR="001A26B0" w:rsidRDefault="00E33A99">
      <w:pPr>
        <w:spacing w:after="120"/>
        <w:rPr>
          <w:noProof/>
          <w:szCs w:val="24"/>
        </w:rPr>
      </w:pPr>
      <w:r>
        <w:rPr>
          <w:noProof/>
          <w:szCs w:val="24"/>
        </w:rPr>
        <w:t xml:space="preserve">The model </w:t>
      </w:r>
      <w:r>
        <w:rPr>
          <w:noProof/>
          <w:szCs w:val="24"/>
        </w:rPr>
        <w:t>was run using two variants: a "self-financing" variant where businesses and households finance their investments in more efficient vehicles by spending less on other items; a "loan-based" variant where businesses and households receive a 10-year loan (2% r</w:t>
      </w:r>
      <w:r>
        <w:rPr>
          <w:noProof/>
          <w:szCs w:val="24"/>
        </w:rPr>
        <w:t>eal interest rate) that is fully paid back within this period to purchase more efficient vehicles.</w:t>
      </w:r>
    </w:p>
    <w:p w:rsidR="001A26B0" w:rsidRDefault="00E33A99">
      <w:pPr>
        <w:spacing w:before="120" w:after="120"/>
        <w:rPr>
          <w:noProof/>
          <w:szCs w:val="24"/>
        </w:rPr>
      </w:pPr>
      <w:r>
        <w:rPr>
          <w:noProof/>
          <w:szCs w:val="24"/>
        </w:rPr>
        <w:fldChar w:fldCharType="begin"/>
      </w:r>
      <w:r>
        <w:rPr>
          <w:noProof/>
          <w:szCs w:val="24"/>
        </w:rPr>
        <w:instrText xml:space="preserve"> REF _Ref493621249 \h  \* MERGEFORMAT </w:instrText>
      </w:r>
      <w:r>
        <w:rPr>
          <w:noProof/>
          <w:szCs w:val="24"/>
        </w:rPr>
      </w:r>
      <w:r>
        <w:rPr>
          <w:noProof/>
          <w:szCs w:val="24"/>
        </w:rPr>
        <w:fldChar w:fldCharType="separate"/>
      </w:r>
      <w:r>
        <w:rPr>
          <w:noProof/>
          <w:szCs w:val="24"/>
        </w:rPr>
        <w:t>Table 22</w:t>
      </w:r>
      <w:r>
        <w:rPr>
          <w:noProof/>
          <w:szCs w:val="24"/>
        </w:rPr>
        <w:fldChar w:fldCharType="end"/>
      </w:r>
      <w:r>
        <w:rPr>
          <w:noProof/>
          <w:szCs w:val="24"/>
        </w:rPr>
        <w:t xml:space="preserve"> shows the GDP impact of scenario TL30c/25v,</w:t>
      </w:r>
      <w:r>
        <w:rPr>
          <w:noProof/>
          <w:szCs w:val="24"/>
        </w:rPr>
        <w:t xml:space="preserve"> for the two financing schemes, in terms of percentage changes with respect to the baseline. In the self-financing variant, the crowding out effect is dominant and the impact is marginally negative. </w:t>
      </w:r>
    </w:p>
    <w:p w:rsidR="001A26B0" w:rsidRDefault="00E33A99">
      <w:pPr>
        <w:spacing w:before="120" w:after="120"/>
        <w:rPr>
          <w:noProof/>
          <w:szCs w:val="24"/>
        </w:rPr>
      </w:pPr>
      <w:r>
        <w:rPr>
          <w:noProof/>
          <w:szCs w:val="24"/>
        </w:rPr>
        <w:t>The loan-based variant presents a slightly positive effe</w:t>
      </w:r>
      <w:r>
        <w:rPr>
          <w:noProof/>
          <w:szCs w:val="24"/>
        </w:rPr>
        <w:t>ct that diminishes over time as the investment and expenditure for new advanced vehicles is reduced and loans start to be paid back. In this case, in the short term, the slightly positive impacts are mostly driven by the additional investments. The possibi</w:t>
      </w:r>
      <w:r>
        <w:rPr>
          <w:noProof/>
          <w:szCs w:val="24"/>
        </w:rPr>
        <w:t>lity for firms and households to finance their purchases through loans stimulates demand without crowding out other investments. Over time, as the stock of more efficient vehicles builds up, the impact from fuel savings becomes gradually more important.</w:t>
      </w:r>
    </w:p>
    <w:p w:rsidR="001A26B0" w:rsidRDefault="00E33A99">
      <w:pPr>
        <w:pStyle w:val="Caption"/>
        <w:rPr>
          <w:i/>
          <w:iCs/>
          <w:noProof/>
          <w:szCs w:val="24"/>
        </w:rPr>
      </w:pPr>
      <w:bookmarkStart w:id="307" w:name="_Ref493621249"/>
      <w:r>
        <w:rPr>
          <w:noProof/>
          <w:szCs w:val="24"/>
        </w:rPr>
        <w:t>Ta</w:t>
      </w:r>
      <w:r>
        <w:rPr>
          <w:noProof/>
          <w:szCs w:val="24"/>
        </w:rPr>
        <w:t xml:space="preserve">ble </w:t>
      </w:r>
      <w:r>
        <w:rPr>
          <w:noProof/>
          <w:szCs w:val="24"/>
        </w:rPr>
        <w:fldChar w:fldCharType="begin"/>
      </w:r>
      <w:r>
        <w:rPr>
          <w:noProof/>
          <w:szCs w:val="24"/>
        </w:rPr>
        <w:instrText xml:space="preserve"> SEQ Table \* ARABIC </w:instrText>
      </w:r>
      <w:r>
        <w:rPr>
          <w:noProof/>
          <w:szCs w:val="24"/>
        </w:rPr>
        <w:fldChar w:fldCharType="separate"/>
      </w:r>
      <w:r>
        <w:rPr>
          <w:noProof/>
          <w:szCs w:val="24"/>
        </w:rPr>
        <w:t>22</w:t>
      </w:r>
      <w:r>
        <w:rPr>
          <w:noProof/>
          <w:szCs w:val="24"/>
        </w:rPr>
        <w:fldChar w:fldCharType="end"/>
      </w:r>
      <w:bookmarkEnd w:id="307"/>
      <w:r>
        <w:rPr>
          <w:noProof/>
          <w:szCs w:val="24"/>
        </w:rPr>
        <w:t xml:space="preserve">: GDP impacts in the baseline (million euros) and percentage change from the baseline under scenario TL30c/25v comparing the self-financing and loan-based variants </w:t>
      </w:r>
      <w:r>
        <w:rPr>
          <w:noProof/>
        </w:rPr>
        <w:t xml:space="preserve">– battery cells manufactured in the EU </w:t>
      </w:r>
      <w:r>
        <w:rPr>
          <w:noProof/>
          <w:szCs w:val="24"/>
        </w:rPr>
        <w:t>(GEM-E3 results)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499"/>
        <w:gridCol w:w="1499"/>
        <w:gridCol w:w="1499"/>
        <w:gridCol w:w="1497"/>
      </w:tblGrid>
      <w:tr w:rsidR="001A26B0">
        <w:trPr>
          <w:trHeight w:val="315"/>
        </w:trPr>
        <w:tc>
          <w:tcPr>
            <w:tcW w:w="1605" w:type="pct"/>
            <w:shd w:val="clear" w:color="auto" w:fill="auto"/>
            <w:noWrap/>
            <w:vAlign w:val="center"/>
            <w:hideMark/>
          </w:tcPr>
          <w:p w:rsidR="001A26B0" w:rsidRDefault="001A26B0">
            <w:pPr>
              <w:spacing w:after="0"/>
              <w:jc w:val="center"/>
              <w:rPr>
                <w:noProof/>
                <w:szCs w:val="24"/>
              </w:rPr>
            </w:pPr>
          </w:p>
        </w:tc>
        <w:tc>
          <w:tcPr>
            <w:tcW w:w="849" w:type="pct"/>
            <w:shd w:val="clear" w:color="auto" w:fill="auto"/>
            <w:noWrap/>
            <w:vAlign w:val="center"/>
            <w:hideMark/>
          </w:tcPr>
          <w:p w:rsidR="001A26B0" w:rsidRDefault="00E33A99">
            <w:pPr>
              <w:spacing w:after="0"/>
              <w:jc w:val="center"/>
              <w:rPr>
                <w:noProof/>
                <w:szCs w:val="24"/>
              </w:rPr>
            </w:pPr>
            <w:r>
              <w:rPr>
                <w:noProof/>
                <w:szCs w:val="24"/>
              </w:rPr>
              <w:t>2025</w:t>
            </w:r>
          </w:p>
        </w:tc>
        <w:tc>
          <w:tcPr>
            <w:tcW w:w="849" w:type="pct"/>
            <w:shd w:val="clear" w:color="auto" w:fill="auto"/>
            <w:noWrap/>
            <w:vAlign w:val="center"/>
            <w:hideMark/>
          </w:tcPr>
          <w:p w:rsidR="001A26B0" w:rsidRDefault="00E33A99">
            <w:pPr>
              <w:spacing w:after="0"/>
              <w:jc w:val="center"/>
              <w:rPr>
                <w:noProof/>
                <w:szCs w:val="24"/>
              </w:rPr>
            </w:pPr>
            <w:r>
              <w:rPr>
                <w:noProof/>
                <w:szCs w:val="24"/>
              </w:rPr>
              <w:t>2030</w:t>
            </w:r>
          </w:p>
        </w:tc>
        <w:tc>
          <w:tcPr>
            <w:tcW w:w="849" w:type="pct"/>
            <w:shd w:val="clear" w:color="auto" w:fill="auto"/>
            <w:noWrap/>
            <w:vAlign w:val="center"/>
            <w:hideMark/>
          </w:tcPr>
          <w:p w:rsidR="001A26B0" w:rsidRDefault="00E33A99">
            <w:pPr>
              <w:spacing w:after="0"/>
              <w:jc w:val="center"/>
              <w:rPr>
                <w:noProof/>
                <w:szCs w:val="24"/>
              </w:rPr>
            </w:pPr>
            <w:r>
              <w:rPr>
                <w:noProof/>
                <w:szCs w:val="24"/>
              </w:rPr>
              <w:t>2035</w:t>
            </w:r>
          </w:p>
        </w:tc>
        <w:tc>
          <w:tcPr>
            <w:tcW w:w="849" w:type="pct"/>
            <w:shd w:val="clear" w:color="auto" w:fill="auto"/>
            <w:noWrap/>
            <w:vAlign w:val="center"/>
            <w:hideMark/>
          </w:tcPr>
          <w:p w:rsidR="001A26B0" w:rsidRDefault="00E33A99">
            <w:pPr>
              <w:spacing w:after="0"/>
              <w:jc w:val="center"/>
              <w:rPr>
                <w:noProof/>
                <w:szCs w:val="24"/>
              </w:rPr>
            </w:pPr>
            <w:r>
              <w:rPr>
                <w:noProof/>
                <w:szCs w:val="24"/>
              </w:rPr>
              <w:t>2040</w:t>
            </w:r>
          </w:p>
        </w:tc>
      </w:tr>
      <w:tr w:rsidR="001A26B0">
        <w:trPr>
          <w:trHeight w:val="315"/>
        </w:trPr>
        <w:tc>
          <w:tcPr>
            <w:tcW w:w="1605" w:type="pct"/>
            <w:shd w:val="clear" w:color="auto" w:fill="auto"/>
            <w:noWrap/>
            <w:vAlign w:val="center"/>
            <w:hideMark/>
          </w:tcPr>
          <w:p w:rsidR="001A26B0" w:rsidRDefault="00E33A99">
            <w:pPr>
              <w:spacing w:after="0"/>
              <w:rPr>
                <w:noProof/>
                <w:szCs w:val="24"/>
              </w:rPr>
            </w:pPr>
            <w:r>
              <w:rPr>
                <w:noProof/>
                <w:szCs w:val="24"/>
              </w:rPr>
              <w:t>TL0 (Baseline)</w:t>
            </w:r>
          </w:p>
        </w:tc>
        <w:tc>
          <w:tcPr>
            <w:tcW w:w="849" w:type="pct"/>
            <w:shd w:val="clear" w:color="auto" w:fill="auto"/>
            <w:noWrap/>
            <w:vAlign w:val="center"/>
            <w:hideMark/>
          </w:tcPr>
          <w:p w:rsidR="001A26B0" w:rsidRDefault="00E33A99">
            <w:pPr>
              <w:spacing w:after="0"/>
              <w:jc w:val="right"/>
              <w:rPr>
                <w:noProof/>
                <w:szCs w:val="24"/>
              </w:rPr>
            </w:pPr>
            <w:r>
              <w:rPr>
                <w:noProof/>
                <w:szCs w:val="24"/>
              </w:rPr>
              <w:t>15,564,081</w:t>
            </w:r>
          </w:p>
        </w:tc>
        <w:tc>
          <w:tcPr>
            <w:tcW w:w="849" w:type="pct"/>
            <w:shd w:val="clear" w:color="auto" w:fill="auto"/>
            <w:noWrap/>
            <w:vAlign w:val="center"/>
            <w:hideMark/>
          </w:tcPr>
          <w:p w:rsidR="001A26B0" w:rsidRDefault="00E33A99">
            <w:pPr>
              <w:spacing w:after="0"/>
              <w:jc w:val="right"/>
              <w:rPr>
                <w:noProof/>
                <w:szCs w:val="24"/>
              </w:rPr>
            </w:pPr>
            <w:r>
              <w:rPr>
                <w:noProof/>
                <w:szCs w:val="24"/>
              </w:rPr>
              <w:t>16,654,923</w:t>
            </w:r>
          </w:p>
        </w:tc>
        <w:tc>
          <w:tcPr>
            <w:tcW w:w="849" w:type="pct"/>
            <w:shd w:val="clear" w:color="auto" w:fill="auto"/>
            <w:noWrap/>
            <w:vAlign w:val="center"/>
            <w:hideMark/>
          </w:tcPr>
          <w:p w:rsidR="001A26B0" w:rsidRDefault="00E33A99">
            <w:pPr>
              <w:spacing w:after="0"/>
              <w:jc w:val="right"/>
              <w:rPr>
                <w:noProof/>
                <w:szCs w:val="24"/>
              </w:rPr>
            </w:pPr>
            <w:r>
              <w:rPr>
                <w:noProof/>
                <w:szCs w:val="24"/>
              </w:rPr>
              <w:t>17,941,843</w:t>
            </w:r>
          </w:p>
        </w:tc>
        <w:tc>
          <w:tcPr>
            <w:tcW w:w="849" w:type="pct"/>
            <w:shd w:val="clear" w:color="auto" w:fill="auto"/>
            <w:noWrap/>
            <w:vAlign w:val="center"/>
            <w:hideMark/>
          </w:tcPr>
          <w:p w:rsidR="001A26B0" w:rsidRDefault="00E33A99">
            <w:pPr>
              <w:spacing w:after="0"/>
              <w:jc w:val="right"/>
              <w:rPr>
                <w:noProof/>
                <w:szCs w:val="24"/>
              </w:rPr>
            </w:pPr>
            <w:r>
              <w:rPr>
                <w:noProof/>
                <w:szCs w:val="24"/>
              </w:rPr>
              <w:t>19,388,241</w:t>
            </w:r>
          </w:p>
        </w:tc>
      </w:tr>
      <w:tr w:rsidR="001A26B0">
        <w:trPr>
          <w:trHeight w:val="315"/>
        </w:trPr>
        <w:tc>
          <w:tcPr>
            <w:tcW w:w="1605" w:type="pct"/>
            <w:shd w:val="clear" w:color="auto" w:fill="auto"/>
            <w:noWrap/>
            <w:vAlign w:val="center"/>
            <w:hideMark/>
          </w:tcPr>
          <w:p w:rsidR="001A26B0" w:rsidRDefault="00E33A99">
            <w:pPr>
              <w:spacing w:after="0"/>
              <w:rPr>
                <w:noProof/>
                <w:szCs w:val="24"/>
              </w:rPr>
            </w:pPr>
            <w:r>
              <w:rPr>
                <w:noProof/>
                <w:szCs w:val="24"/>
              </w:rPr>
              <w:t>TL30c/25v self-financing</w:t>
            </w:r>
          </w:p>
        </w:tc>
        <w:tc>
          <w:tcPr>
            <w:tcW w:w="849" w:type="pct"/>
            <w:shd w:val="clear" w:color="auto" w:fill="auto"/>
            <w:noWrap/>
            <w:vAlign w:val="center"/>
            <w:hideMark/>
          </w:tcPr>
          <w:p w:rsidR="001A26B0" w:rsidRDefault="00E33A99">
            <w:pPr>
              <w:spacing w:after="0"/>
              <w:jc w:val="right"/>
              <w:rPr>
                <w:noProof/>
                <w:szCs w:val="24"/>
              </w:rPr>
            </w:pPr>
            <w:r>
              <w:rPr>
                <w:noProof/>
                <w:szCs w:val="24"/>
              </w:rPr>
              <w:t>-0.014%</w:t>
            </w:r>
          </w:p>
        </w:tc>
        <w:tc>
          <w:tcPr>
            <w:tcW w:w="849" w:type="pct"/>
            <w:shd w:val="clear" w:color="auto" w:fill="auto"/>
            <w:noWrap/>
            <w:vAlign w:val="center"/>
            <w:hideMark/>
          </w:tcPr>
          <w:p w:rsidR="001A26B0" w:rsidRDefault="00E33A99">
            <w:pPr>
              <w:spacing w:after="0"/>
              <w:jc w:val="right"/>
              <w:rPr>
                <w:noProof/>
                <w:szCs w:val="24"/>
              </w:rPr>
            </w:pPr>
            <w:r>
              <w:rPr>
                <w:noProof/>
                <w:szCs w:val="24"/>
              </w:rPr>
              <w:t>-0.014%</w:t>
            </w:r>
          </w:p>
        </w:tc>
        <w:tc>
          <w:tcPr>
            <w:tcW w:w="849" w:type="pct"/>
            <w:shd w:val="clear" w:color="auto" w:fill="auto"/>
            <w:noWrap/>
            <w:vAlign w:val="center"/>
            <w:hideMark/>
          </w:tcPr>
          <w:p w:rsidR="001A26B0" w:rsidRDefault="00E33A99">
            <w:pPr>
              <w:spacing w:after="0"/>
              <w:jc w:val="right"/>
              <w:rPr>
                <w:noProof/>
                <w:szCs w:val="24"/>
              </w:rPr>
            </w:pPr>
            <w:r>
              <w:rPr>
                <w:noProof/>
                <w:szCs w:val="24"/>
              </w:rPr>
              <w:t>-0.024%</w:t>
            </w:r>
          </w:p>
        </w:tc>
        <w:tc>
          <w:tcPr>
            <w:tcW w:w="849" w:type="pct"/>
            <w:shd w:val="clear" w:color="auto" w:fill="auto"/>
            <w:noWrap/>
            <w:vAlign w:val="center"/>
            <w:hideMark/>
          </w:tcPr>
          <w:p w:rsidR="001A26B0" w:rsidRDefault="00E33A99">
            <w:pPr>
              <w:spacing w:after="0"/>
              <w:jc w:val="right"/>
              <w:rPr>
                <w:noProof/>
                <w:szCs w:val="24"/>
              </w:rPr>
            </w:pPr>
            <w:r>
              <w:rPr>
                <w:noProof/>
                <w:szCs w:val="24"/>
              </w:rPr>
              <w:t>-0.040%</w:t>
            </w:r>
          </w:p>
        </w:tc>
      </w:tr>
      <w:tr w:rsidR="001A26B0">
        <w:trPr>
          <w:trHeight w:val="315"/>
        </w:trPr>
        <w:tc>
          <w:tcPr>
            <w:tcW w:w="1605" w:type="pct"/>
            <w:shd w:val="clear" w:color="auto" w:fill="auto"/>
            <w:noWrap/>
            <w:vAlign w:val="center"/>
            <w:hideMark/>
          </w:tcPr>
          <w:p w:rsidR="001A26B0" w:rsidRDefault="00E33A99">
            <w:pPr>
              <w:spacing w:after="0"/>
              <w:rPr>
                <w:noProof/>
                <w:szCs w:val="24"/>
              </w:rPr>
            </w:pPr>
            <w:r>
              <w:rPr>
                <w:noProof/>
                <w:szCs w:val="24"/>
              </w:rPr>
              <w:t>TL30c/25v loan-based</w:t>
            </w:r>
          </w:p>
        </w:tc>
        <w:tc>
          <w:tcPr>
            <w:tcW w:w="849" w:type="pct"/>
            <w:shd w:val="clear" w:color="auto" w:fill="auto"/>
            <w:noWrap/>
            <w:vAlign w:val="center"/>
            <w:hideMark/>
          </w:tcPr>
          <w:p w:rsidR="001A26B0" w:rsidRDefault="00E33A99">
            <w:pPr>
              <w:spacing w:after="0"/>
              <w:jc w:val="right"/>
              <w:rPr>
                <w:noProof/>
                <w:szCs w:val="24"/>
              </w:rPr>
            </w:pPr>
            <w:r>
              <w:rPr>
                <w:noProof/>
                <w:szCs w:val="24"/>
              </w:rPr>
              <w:t>0.016%</w:t>
            </w:r>
          </w:p>
        </w:tc>
        <w:tc>
          <w:tcPr>
            <w:tcW w:w="849" w:type="pct"/>
            <w:shd w:val="clear" w:color="auto" w:fill="auto"/>
            <w:noWrap/>
            <w:vAlign w:val="center"/>
            <w:hideMark/>
          </w:tcPr>
          <w:p w:rsidR="001A26B0" w:rsidRDefault="00E33A99">
            <w:pPr>
              <w:spacing w:after="0"/>
              <w:jc w:val="right"/>
              <w:rPr>
                <w:noProof/>
                <w:szCs w:val="24"/>
              </w:rPr>
            </w:pPr>
            <w:r>
              <w:rPr>
                <w:noProof/>
                <w:szCs w:val="24"/>
              </w:rPr>
              <w:t>0.053%</w:t>
            </w:r>
          </w:p>
        </w:tc>
        <w:tc>
          <w:tcPr>
            <w:tcW w:w="849" w:type="pct"/>
            <w:shd w:val="clear" w:color="auto" w:fill="auto"/>
            <w:noWrap/>
            <w:vAlign w:val="center"/>
            <w:hideMark/>
          </w:tcPr>
          <w:p w:rsidR="001A26B0" w:rsidRDefault="00E33A99">
            <w:pPr>
              <w:spacing w:after="0"/>
              <w:jc w:val="right"/>
              <w:rPr>
                <w:noProof/>
                <w:szCs w:val="24"/>
              </w:rPr>
            </w:pPr>
            <w:r>
              <w:rPr>
                <w:noProof/>
                <w:szCs w:val="24"/>
              </w:rPr>
              <w:t>0.066%</w:t>
            </w:r>
          </w:p>
        </w:tc>
        <w:tc>
          <w:tcPr>
            <w:tcW w:w="849" w:type="pct"/>
            <w:shd w:val="clear" w:color="auto" w:fill="auto"/>
            <w:noWrap/>
            <w:vAlign w:val="center"/>
            <w:hideMark/>
          </w:tcPr>
          <w:p w:rsidR="001A26B0" w:rsidRDefault="00E33A99">
            <w:pPr>
              <w:spacing w:after="0"/>
              <w:jc w:val="right"/>
              <w:rPr>
                <w:noProof/>
                <w:szCs w:val="24"/>
              </w:rPr>
            </w:pPr>
            <w:r>
              <w:rPr>
                <w:noProof/>
                <w:szCs w:val="24"/>
              </w:rPr>
              <w:t>0.041%</w:t>
            </w:r>
          </w:p>
        </w:tc>
      </w:tr>
    </w:tbl>
    <w:p w:rsidR="001A26B0" w:rsidRDefault="00E33A99">
      <w:pPr>
        <w:spacing w:before="240"/>
        <w:rPr>
          <w:noProof/>
          <w:szCs w:val="24"/>
        </w:rPr>
      </w:pPr>
      <w:r>
        <w:rPr>
          <w:noProof/>
          <w:szCs w:val="24"/>
        </w:rPr>
        <w:t xml:space="preserve">The GDP impacts for the other scenarios assessed are similar. </w:t>
      </w:r>
      <w:r>
        <w:rPr>
          <w:noProof/>
          <w:szCs w:val="24"/>
        </w:rPr>
        <w:fldChar w:fldCharType="begin"/>
      </w:r>
      <w:r>
        <w:rPr>
          <w:noProof/>
          <w:szCs w:val="24"/>
        </w:rPr>
        <w:instrText xml:space="preserve"> REF _Ref493621292 \h  \* MERGEFORMAT </w:instrText>
      </w:r>
      <w:r>
        <w:rPr>
          <w:noProof/>
          <w:szCs w:val="24"/>
        </w:rPr>
      </w:r>
      <w:r>
        <w:rPr>
          <w:noProof/>
          <w:szCs w:val="24"/>
        </w:rPr>
        <w:fldChar w:fldCharType="separate"/>
      </w:r>
      <w:r>
        <w:rPr>
          <w:noProof/>
          <w:szCs w:val="24"/>
        </w:rPr>
        <w:t>Table 23</w:t>
      </w:r>
      <w:r>
        <w:rPr>
          <w:noProof/>
          <w:szCs w:val="24"/>
        </w:rPr>
        <w:fldChar w:fldCharType="end"/>
      </w:r>
      <w:r>
        <w:rPr>
          <w:noProof/>
          <w:szCs w:val="24"/>
        </w:rPr>
        <w:t xml:space="preserve"> presents the GDP impact for the scenarios TL20, TL30c/25v and TL40 in terms of changes with respect to the baseline, in the loan-based varian</w:t>
      </w:r>
      <w:r>
        <w:rPr>
          <w:noProof/>
          <w:szCs w:val="24"/>
        </w:rPr>
        <w:t>t. The positive impact tends to be slightly higher for the scenarios with tighter CO</w:t>
      </w:r>
      <w:r>
        <w:rPr>
          <w:noProof/>
          <w:szCs w:val="24"/>
          <w:vertAlign w:val="subscript"/>
        </w:rPr>
        <w:t>2</w:t>
      </w:r>
      <w:r>
        <w:rPr>
          <w:noProof/>
          <w:szCs w:val="24"/>
        </w:rPr>
        <w:t xml:space="preserve"> target, where higher expenditures for more efficient vehicles, financed by loans, increase GDP.</w:t>
      </w:r>
    </w:p>
    <w:p w:rsidR="001A26B0" w:rsidRDefault="00E33A99">
      <w:pPr>
        <w:pStyle w:val="Caption"/>
        <w:rPr>
          <w:i/>
          <w:iCs/>
          <w:noProof/>
          <w:szCs w:val="24"/>
        </w:rPr>
      </w:pPr>
      <w:bookmarkStart w:id="308" w:name="_Ref493621292"/>
      <w:r>
        <w:rPr>
          <w:noProof/>
          <w:szCs w:val="24"/>
        </w:rPr>
        <w:t xml:space="preserve">Table </w:t>
      </w:r>
      <w:r>
        <w:rPr>
          <w:noProof/>
          <w:szCs w:val="24"/>
        </w:rPr>
        <w:fldChar w:fldCharType="begin"/>
      </w:r>
      <w:r>
        <w:rPr>
          <w:noProof/>
          <w:szCs w:val="24"/>
        </w:rPr>
        <w:instrText xml:space="preserve"> SEQ Table \* ARABIC </w:instrText>
      </w:r>
      <w:r>
        <w:rPr>
          <w:noProof/>
          <w:szCs w:val="24"/>
        </w:rPr>
        <w:fldChar w:fldCharType="separate"/>
      </w:r>
      <w:r>
        <w:rPr>
          <w:noProof/>
          <w:szCs w:val="24"/>
        </w:rPr>
        <w:t>23</w:t>
      </w:r>
      <w:r>
        <w:rPr>
          <w:noProof/>
          <w:szCs w:val="24"/>
        </w:rPr>
        <w:fldChar w:fldCharType="end"/>
      </w:r>
      <w:bookmarkEnd w:id="308"/>
      <w:r>
        <w:rPr>
          <w:noProof/>
          <w:szCs w:val="24"/>
        </w:rPr>
        <w:t>: GDP impacts in the baseline (million eur</w:t>
      </w:r>
      <w:r>
        <w:rPr>
          <w:noProof/>
          <w:szCs w:val="24"/>
        </w:rPr>
        <w:t xml:space="preserve">os) and percentage change from the baseline under the policy scenarios - loan-based variant </w:t>
      </w:r>
      <w:r>
        <w:rPr>
          <w:noProof/>
        </w:rPr>
        <w:t xml:space="preserve">– battery cells manufactured in the EU </w:t>
      </w:r>
      <w:r>
        <w:rPr>
          <w:noProof/>
          <w:szCs w:val="24"/>
        </w:rPr>
        <w:t>(GEM-E3 results)</w:t>
      </w:r>
    </w:p>
    <w:tbl>
      <w:tblPr>
        <w:tblW w:w="5000" w:type="pct"/>
        <w:tblLook w:val="04A0" w:firstRow="1" w:lastRow="0" w:firstColumn="1" w:lastColumn="0" w:noHBand="0" w:noVBand="1"/>
      </w:tblPr>
      <w:tblGrid>
        <w:gridCol w:w="2870"/>
        <w:gridCol w:w="1440"/>
        <w:gridCol w:w="1560"/>
        <w:gridCol w:w="1439"/>
        <w:gridCol w:w="1520"/>
      </w:tblGrid>
      <w:tr w:rsidR="001A26B0">
        <w:trPr>
          <w:trHeight w:val="315"/>
        </w:trPr>
        <w:tc>
          <w:tcPr>
            <w:tcW w:w="1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B0" w:rsidRDefault="00E33A99">
            <w:pPr>
              <w:spacing w:after="0"/>
              <w:rPr>
                <w:noProof/>
                <w:szCs w:val="24"/>
              </w:rPr>
            </w:pPr>
            <w:r>
              <w:rPr>
                <w:noProof/>
                <w:szCs w:val="24"/>
              </w:rPr>
              <w:t> </w:t>
            </w:r>
          </w:p>
        </w:tc>
        <w:tc>
          <w:tcPr>
            <w:tcW w:w="8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B0" w:rsidRDefault="00E33A99">
            <w:pPr>
              <w:spacing w:after="0"/>
              <w:jc w:val="center"/>
              <w:rPr>
                <w:noProof/>
                <w:szCs w:val="24"/>
              </w:rPr>
            </w:pPr>
            <w:r>
              <w:rPr>
                <w:noProof/>
                <w:szCs w:val="24"/>
              </w:rPr>
              <w:t>2025</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B0" w:rsidRDefault="00E33A99">
            <w:pPr>
              <w:spacing w:after="0"/>
              <w:jc w:val="center"/>
              <w:rPr>
                <w:noProof/>
                <w:szCs w:val="24"/>
              </w:rPr>
            </w:pPr>
            <w:r>
              <w:rPr>
                <w:noProof/>
                <w:szCs w:val="24"/>
              </w:rPr>
              <w:t>2030</w:t>
            </w:r>
          </w:p>
        </w:tc>
        <w:tc>
          <w:tcPr>
            <w:tcW w:w="8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B0" w:rsidRDefault="00E33A99">
            <w:pPr>
              <w:spacing w:after="0"/>
              <w:jc w:val="center"/>
              <w:rPr>
                <w:noProof/>
                <w:szCs w:val="24"/>
              </w:rPr>
            </w:pPr>
            <w:r>
              <w:rPr>
                <w:noProof/>
                <w:szCs w:val="24"/>
              </w:rPr>
              <w:t>2035</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B0" w:rsidRDefault="00E33A99">
            <w:pPr>
              <w:spacing w:after="0"/>
              <w:jc w:val="center"/>
              <w:rPr>
                <w:noProof/>
                <w:szCs w:val="24"/>
              </w:rPr>
            </w:pPr>
            <w:r>
              <w:rPr>
                <w:noProof/>
                <w:szCs w:val="24"/>
              </w:rPr>
              <w:t>2040</w:t>
            </w:r>
          </w:p>
        </w:tc>
      </w:tr>
      <w:tr w:rsidR="001A26B0">
        <w:trPr>
          <w:trHeight w:val="315"/>
        </w:trPr>
        <w:tc>
          <w:tcPr>
            <w:tcW w:w="1625"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rsidR="001A26B0" w:rsidRDefault="00E33A99">
            <w:pPr>
              <w:spacing w:after="0"/>
              <w:rPr>
                <w:noProof/>
                <w:szCs w:val="24"/>
              </w:rPr>
            </w:pPr>
            <w:r>
              <w:rPr>
                <w:noProof/>
                <w:szCs w:val="24"/>
              </w:rPr>
              <w:t>TL0 (Baseline)</w:t>
            </w:r>
          </w:p>
        </w:tc>
        <w:tc>
          <w:tcPr>
            <w:tcW w:w="815" w:type="pct"/>
            <w:tcBorders>
              <w:top w:val="single" w:sz="4" w:space="0" w:color="auto"/>
              <w:left w:val="nil"/>
              <w:bottom w:val="single" w:sz="8" w:space="0" w:color="auto"/>
              <w:right w:val="single" w:sz="8" w:space="0" w:color="auto"/>
            </w:tcBorders>
            <w:shd w:val="clear" w:color="auto" w:fill="auto"/>
            <w:noWrap/>
            <w:vAlign w:val="center"/>
            <w:hideMark/>
          </w:tcPr>
          <w:p w:rsidR="001A26B0" w:rsidRDefault="00E33A99">
            <w:pPr>
              <w:spacing w:after="0"/>
              <w:jc w:val="right"/>
              <w:rPr>
                <w:noProof/>
                <w:szCs w:val="24"/>
              </w:rPr>
            </w:pPr>
            <w:r>
              <w:rPr>
                <w:noProof/>
                <w:szCs w:val="24"/>
              </w:rPr>
              <w:t>15,564,081</w:t>
            </w:r>
          </w:p>
        </w:tc>
        <w:tc>
          <w:tcPr>
            <w:tcW w:w="883" w:type="pct"/>
            <w:tcBorders>
              <w:top w:val="single" w:sz="4" w:space="0" w:color="auto"/>
              <w:left w:val="nil"/>
              <w:bottom w:val="single" w:sz="8" w:space="0" w:color="auto"/>
              <w:right w:val="single" w:sz="8" w:space="0" w:color="auto"/>
            </w:tcBorders>
            <w:shd w:val="clear" w:color="auto" w:fill="auto"/>
            <w:noWrap/>
            <w:vAlign w:val="center"/>
            <w:hideMark/>
          </w:tcPr>
          <w:p w:rsidR="001A26B0" w:rsidRDefault="00E33A99">
            <w:pPr>
              <w:spacing w:after="0"/>
              <w:jc w:val="right"/>
              <w:rPr>
                <w:noProof/>
                <w:szCs w:val="24"/>
              </w:rPr>
            </w:pPr>
            <w:r>
              <w:rPr>
                <w:noProof/>
                <w:szCs w:val="24"/>
              </w:rPr>
              <w:t>16,654,923</w:t>
            </w:r>
          </w:p>
        </w:tc>
        <w:tc>
          <w:tcPr>
            <w:tcW w:w="815" w:type="pct"/>
            <w:tcBorders>
              <w:top w:val="single" w:sz="4" w:space="0" w:color="auto"/>
              <w:left w:val="nil"/>
              <w:bottom w:val="single" w:sz="8" w:space="0" w:color="auto"/>
              <w:right w:val="single" w:sz="8" w:space="0" w:color="auto"/>
            </w:tcBorders>
            <w:shd w:val="clear" w:color="auto" w:fill="auto"/>
            <w:noWrap/>
            <w:vAlign w:val="center"/>
            <w:hideMark/>
          </w:tcPr>
          <w:p w:rsidR="001A26B0" w:rsidRDefault="00E33A99">
            <w:pPr>
              <w:spacing w:after="0"/>
              <w:jc w:val="right"/>
              <w:rPr>
                <w:noProof/>
                <w:szCs w:val="24"/>
              </w:rPr>
            </w:pPr>
            <w:r>
              <w:rPr>
                <w:noProof/>
                <w:szCs w:val="24"/>
              </w:rPr>
              <w:t>17,941,843</w:t>
            </w:r>
          </w:p>
        </w:tc>
        <w:tc>
          <w:tcPr>
            <w:tcW w:w="861" w:type="pct"/>
            <w:tcBorders>
              <w:top w:val="single" w:sz="4" w:space="0" w:color="auto"/>
              <w:left w:val="nil"/>
              <w:bottom w:val="single" w:sz="8" w:space="0" w:color="auto"/>
              <w:right w:val="single" w:sz="8" w:space="0" w:color="auto"/>
            </w:tcBorders>
            <w:shd w:val="clear" w:color="auto" w:fill="auto"/>
            <w:noWrap/>
            <w:vAlign w:val="center"/>
            <w:hideMark/>
          </w:tcPr>
          <w:p w:rsidR="001A26B0" w:rsidRDefault="00E33A99">
            <w:pPr>
              <w:spacing w:after="0"/>
              <w:jc w:val="right"/>
              <w:rPr>
                <w:noProof/>
                <w:szCs w:val="24"/>
              </w:rPr>
            </w:pPr>
            <w:r>
              <w:rPr>
                <w:noProof/>
                <w:szCs w:val="24"/>
              </w:rPr>
              <w:t>19,388,241</w:t>
            </w:r>
          </w:p>
        </w:tc>
      </w:tr>
      <w:tr w:rsidR="001A26B0">
        <w:trPr>
          <w:trHeight w:val="315"/>
        </w:trPr>
        <w:tc>
          <w:tcPr>
            <w:tcW w:w="1625" w:type="pct"/>
            <w:tcBorders>
              <w:top w:val="nil"/>
              <w:left w:val="single" w:sz="8" w:space="0" w:color="auto"/>
              <w:bottom w:val="single" w:sz="8" w:space="0" w:color="auto"/>
              <w:right w:val="single" w:sz="8" w:space="0" w:color="auto"/>
            </w:tcBorders>
            <w:shd w:val="clear" w:color="auto" w:fill="auto"/>
            <w:noWrap/>
            <w:vAlign w:val="center"/>
            <w:hideMark/>
          </w:tcPr>
          <w:p w:rsidR="001A26B0" w:rsidRDefault="00E33A99">
            <w:pPr>
              <w:spacing w:after="0"/>
              <w:rPr>
                <w:noProof/>
                <w:szCs w:val="24"/>
              </w:rPr>
            </w:pPr>
            <w:r>
              <w:rPr>
                <w:noProof/>
                <w:szCs w:val="24"/>
              </w:rPr>
              <w:t>TL20 loan-based</w:t>
            </w:r>
          </w:p>
        </w:tc>
        <w:tc>
          <w:tcPr>
            <w:tcW w:w="815" w:type="pct"/>
            <w:tcBorders>
              <w:top w:val="nil"/>
              <w:left w:val="nil"/>
              <w:bottom w:val="single" w:sz="8" w:space="0" w:color="auto"/>
              <w:right w:val="single" w:sz="8" w:space="0" w:color="auto"/>
            </w:tcBorders>
            <w:shd w:val="clear" w:color="auto" w:fill="auto"/>
            <w:noWrap/>
            <w:vAlign w:val="center"/>
            <w:hideMark/>
          </w:tcPr>
          <w:p w:rsidR="001A26B0" w:rsidRDefault="00E33A99">
            <w:pPr>
              <w:spacing w:after="0"/>
              <w:jc w:val="right"/>
              <w:rPr>
                <w:noProof/>
                <w:szCs w:val="24"/>
              </w:rPr>
            </w:pPr>
            <w:r>
              <w:rPr>
                <w:noProof/>
                <w:szCs w:val="24"/>
              </w:rPr>
              <w:t>0.015%</w:t>
            </w:r>
          </w:p>
        </w:tc>
        <w:tc>
          <w:tcPr>
            <w:tcW w:w="883" w:type="pct"/>
            <w:tcBorders>
              <w:top w:val="nil"/>
              <w:left w:val="nil"/>
              <w:bottom w:val="single" w:sz="8" w:space="0" w:color="auto"/>
              <w:right w:val="single" w:sz="8" w:space="0" w:color="auto"/>
            </w:tcBorders>
            <w:shd w:val="clear" w:color="auto" w:fill="auto"/>
            <w:noWrap/>
            <w:vAlign w:val="center"/>
            <w:hideMark/>
          </w:tcPr>
          <w:p w:rsidR="001A26B0" w:rsidRDefault="00E33A99">
            <w:pPr>
              <w:spacing w:after="0"/>
              <w:jc w:val="right"/>
              <w:rPr>
                <w:noProof/>
                <w:szCs w:val="24"/>
              </w:rPr>
            </w:pPr>
            <w:r>
              <w:rPr>
                <w:noProof/>
                <w:szCs w:val="24"/>
              </w:rPr>
              <w:t>0.045%</w:t>
            </w:r>
          </w:p>
        </w:tc>
        <w:tc>
          <w:tcPr>
            <w:tcW w:w="815" w:type="pct"/>
            <w:tcBorders>
              <w:top w:val="nil"/>
              <w:left w:val="nil"/>
              <w:bottom w:val="single" w:sz="8" w:space="0" w:color="auto"/>
              <w:right w:val="single" w:sz="8" w:space="0" w:color="auto"/>
            </w:tcBorders>
            <w:shd w:val="clear" w:color="auto" w:fill="auto"/>
            <w:noWrap/>
            <w:vAlign w:val="center"/>
            <w:hideMark/>
          </w:tcPr>
          <w:p w:rsidR="001A26B0" w:rsidRDefault="00E33A99">
            <w:pPr>
              <w:spacing w:after="0"/>
              <w:jc w:val="right"/>
              <w:rPr>
                <w:noProof/>
                <w:szCs w:val="24"/>
              </w:rPr>
            </w:pPr>
            <w:r>
              <w:rPr>
                <w:noProof/>
                <w:szCs w:val="24"/>
              </w:rPr>
              <w:t>0.044%</w:t>
            </w:r>
          </w:p>
        </w:tc>
        <w:tc>
          <w:tcPr>
            <w:tcW w:w="861" w:type="pct"/>
            <w:tcBorders>
              <w:top w:val="nil"/>
              <w:left w:val="nil"/>
              <w:bottom w:val="single" w:sz="8" w:space="0" w:color="auto"/>
              <w:right w:val="single" w:sz="8" w:space="0" w:color="auto"/>
            </w:tcBorders>
            <w:shd w:val="clear" w:color="auto" w:fill="auto"/>
            <w:noWrap/>
            <w:vAlign w:val="center"/>
            <w:hideMark/>
          </w:tcPr>
          <w:p w:rsidR="001A26B0" w:rsidRDefault="00E33A99">
            <w:pPr>
              <w:spacing w:after="0"/>
              <w:jc w:val="right"/>
              <w:rPr>
                <w:noProof/>
                <w:szCs w:val="24"/>
              </w:rPr>
            </w:pPr>
            <w:r>
              <w:rPr>
                <w:noProof/>
                <w:szCs w:val="24"/>
              </w:rPr>
              <w:t>0.021%</w:t>
            </w:r>
          </w:p>
        </w:tc>
      </w:tr>
      <w:tr w:rsidR="001A26B0">
        <w:trPr>
          <w:trHeight w:val="315"/>
        </w:trPr>
        <w:tc>
          <w:tcPr>
            <w:tcW w:w="1625" w:type="pct"/>
            <w:tcBorders>
              <w:top w:val="nil"/>
              <w:left w:val="single" w:sz="8" w:space="0" w:color="auto"/>
              <w:bottom w:val="single" w:sz="8" w:space="0" w:color="auto"/>
              <w:right w:val="single" w:sz="8" w:space="0" w:color="auto"/>
            </w:tcBorders>
            <w:shd w:val="clear" w:color="auto" w:fill="auto"/>
            <w:noWrap/>
            <w:vAlign w:val="center"/>
            <w:hideMark/>
          </w:tcPr>
          <w:p w:rsidR="001A26B0" w:rsidRDefault="00E33A99">
            <w:pPr>
              <w:spacing w:after="0"/>
              <w:rPr>
                <w:noProof/>
                <w:szCs w:val="24"/>
              </w:rPr>
            </w:pPr>
            <w:r>
              <w:rPr>
                <w:noProof/>
                <w:szCs w:val="24"/>
              </w:rPr>
              <w:t>TL30c/25v loan-based</w:t>
            </w:r>
          </w:p>
        </w:tc>
        <w:tc>
          <w:tcPr>
            <w:tcW w:w="815" w:type="pct"/>
            <w:tcBorders>
              <w:top w:val="nil"/>
              <w:left w:val="nil"/>
              <w:bottom w:val="single" w:sz="8" w:space="0" w:color="auto"/>
              <w:right w:val="single" w:sz="8" w:space="0" w:color="auto"/>
            </w:tcBorders>
            <w:shd w:val="clear" w:color="auto" w:fill="auto"/>
            <w:noWrap/>
            <w:vAlign w:val="center"/>
            <w:hideMark/>
          </w:tcPr>
          <w:p w:rsidR="001A26B0" w:rsidRDefault="00E33A99">
            <w:pPr>
              <w:spacing w:after="0"/>
              <w:jc w:val="right"/>
              <w:rPr>
                <w:noProof/>
                <w:szCs w:val="24"/>
              </w:rPr>
            </w:pPr>
            <w:r>
              <w:rPr>
                <w:noProof/>
                <w:szCs w:val="24"/>
              </w:rPr>
              <w:t>0.016%</w:t>
            </w:r>
          </w:p>
        </w:tc>
        <w:tc>
          <w:tcPr>
            <w:tcW w:w="883" w:type="pct"/>
            <w:tcBorders>
              <w:top w:val="nil"/>
              <w:left w:val="nil"/>
              <w:bottom w:val="single" w:sz="8" w:space="0" w:color="auto"/>
              <w:right w:val="single" w:sz="8" w:space="0" w:color="auto"/>
            </w:tcBorders>
            <w:shd w:val="clear" w:color="auto" w:fill="auto"/>
            <w:noWrap/>
            <w:vAlign w:val="center"/>
            <w:hideMark/>
          </w:tcPr>
          <w:p w:rsidR="001A26B0" w:rsidRDefault="00E33A99">
            <w:pPr>
              <w:spacing w:after="0"/>
              <w:jc w:val="right"/>
              <w:rPr>
                <w:noProof/>
                <w:szCs w:val="24"/>
              </w:rPr>
            </w:pPr>
            <w:r>
              <w:rPr>
                <w:noProof/>
                <w:szCs w:val="24"/>
              </w:rPr>
              <w:t>0.053%</w:t>
            </w:r>
          </w:p>
        </w:tc>
        <w:tc>
          <w:tcPr>
            <w:tcW w:w="815" w:type="pct"/>
            <w:tcBorders>
              <w:top w:val="nil"/>
              <w:left w:val="nil"/>
              <w:bottom w:val="single" w:sz="8" w:space="0" w:color="auto"/>
              <w:right w:val="single" w:sz="8" w:space="0" w:color="auto"/>
            </w:tcBorders>
            <w:shd w:val="clear" w:color="auto" w:fill="auto"/>
            <w:noWrap/>
            <w:vAlign w:val="center"/>
            <w:hideMark/>
          </w:tcPr>
          <w:p w:rsidR="001A26B0" w:rsidRDefault="00E33A99">
            <w:pPr>
              <w:spacing w:after="0"/>
              <w:jc w:val="right"/>
              <w:rPr>
                <w:noProof/>
                <w:szCs w:val="24"/>
              </w:rPr>
            </w:pPr>
            <w:r>
              <w:rPr>
                <w:noProof/>
                <w:szCs w:val="24"/>
              </w:rPr>
              <w:t>0.066%</w:t>
            </w:r>
          </w:p>
        </w:tc>
        <w:tc>
          <w:tcPr>
            <w:tcW w:w="861" w:type="pct"/>
            <w:tcBorders>
              <w:top w:val="nil"/>
              <w:left w:val="nil"/>
              <w:bottom w:val="single" w:sz="8" w:space="0" w:color="auto"/>
              <w:right w:val="single" w:sz="8" w:space="0" w:color="auto"/>
            </w:tcBorders>
            <w:shd w:val="clear" w:color="auto" w:fill="auto"/>
            <w:noWrap/>
            <w:vAlign w:val="center"/>
            <w:hideMark/>
          </w:tcPr>
          <w:p w:rsidR="001A26B0" w:rsidRDefault="00E33A99">
            <w:pPr>
              <w:spacing w:after="0"/>
              <w:jc w:val="right"/>
              <w:rPr>
                <w:noProof/>
                <w:szCs w:val="24"/>
              </w:rPr>
            </w:pPr>
            <w:r>
              <w:rPr>
                <w:noProof/>
                <w:szCs w:val="24"/>
              </w:rPr>
              <w:t>0.041%</w:t>
            </w:r>
          </w:p>
        </w:tc>
      </w:tr>
      <w:tr w:rsidR="001A26B0">
        <w:trPr>
          <w:trHeight w:val="315"/>
        </w:trPr>
        <w:tc>
          <w:tcPr>
            <w:tcW w:w="1625" w:type="pct"/>
            <w:tcBorders>
              <w:top w:val="nil"/>
              <w:left w:val="single" w:sz="8" w:space="0" w:color="auto"/>
              <w:bottom w:val="single" w:sz="8" w:space="0" w:color="auto"/>
              <w:right w:val="single" w:sz="8" w:space="0" w:color="auto"/>
            </w:tcBorders>
            <w:shd w:val="clear" w:color="auto" w:fill="auto"/>
            <w:noWrap/>
            <w:vAlign w:val="center"/>
            <w:hideMark/>
          </w:tcPr>
          <w:p w:rsidR="001A26B0" w:rsidRDefault="00E33A99">
            <w:pPr>
              <w:spacing w:after="0"/>
              <w:rPr>
                <w:noProof/>
                <w:szCs w:val="24"/>
              </w:rPr>
            </w:pPr>
            <w:r>
              <w:rPr>
                <w:noProof/>
                <w:szCs w:val="24"/>
              </w:rPr>
              <w:t>TL40 loan-based</w:t>
            </w:r>
          </w:p>
        </w:tc>
        <w:tc>
          <w:tcPr>
            <w:tcW w:w="815" w:type="pct"/>
            <w:tcBorders>
              <w:top w:val="nil"/>
              <w:left w:val="nil"/>
              <w:bottom w:val="single" w:sz="8" w:space="0" w:color="auto"/>
              <w:right w:val="single" w:sz="8" w:space="0" w:color="auto"/>
            </w:tcBorders>
            <w:shd w:val="clear" w:color="auto" w:fill="auto"/>
            <w:noWrap/>
            <w:vAlign w:val="center"/>
            <w:hideMark/>
          </w:tcPr>
          <w:p w:rsidR="001A26B0" w:rsidRDefault="00E33A99">
            <w:pPr>
              <w:spacing w:after="0"/>
              <w:jc w:val="right"/>
              <w:rPr>
                <w:noProof/>
                <w:szCs w:val="24"/>
              </w:rPr>
            </w:pPr>
            <w:r>
              <w:rPr>
                <w:noProof/>
                <w:szCs w:val="24"/>
              </w:rPr>
              <w:t>0.021%</w:t>
            </w:r>
          </w:p>
        </w:tc>
        <w:tc>
          <w:tcPr>
            <w:tcW w:w="883" w:type="pct"/>
            <w:tcBorders>
              <w:top w:val="nil"/>
              <w:left w:val="nil"/>
              <w:bottom w:val="single" w:sz="8" w:space="0" w:color="auto"/>
              <w:right w:val="single" w:sz="8" w:space="0" w:color="auto"/>
            </w:tcBorders>
            <w:shd w:val="clear" w:color="auto" w:fill="auto"/>
            <w:noWrap/>
            <w:vAlign w:val="center"/>
            <w:hideMark/>
          </w:tcPr>
          <w:p w:rsidR="001A26B0" w:rsidRDefault="00E33A99">
            <w:pPr>
              <w:spacing w:after="0"/>
              <w:jc w:val="right"/>
              <w:rPr>
                <w:noProof/>
                <w:szCs w:val="24"/>
              </w:rPr>
            </w:pPr>
            <w:r>
              <w:rPr>
                <w:noProof/>
                <w:szCs w:val="24"/>
              </w:rPr>
              <w:t>0.110%</w:t>
            </w:r>
          </w:p>
        </w:tc>
        <w:tc>
          <w:tcPr>
            <w:tcW w:w="815" w:type="pct"/>
            <w:tcBorders>
              <w:top w:val="nil"/>
              <w:left w:val="nil"/>
              <w:bottom w:val="single" w:sz="8" w:space="0" w:color="auto"/>
              <w:right w:val="single" w:sz="8" w:space="0" w:color="auto"/>
            </w:tcBorders>
            <w:shd w:val="clear" w:color="auto" w:fill="auto"/>
            <w:noWrap/>
            <w:vAlign w:val="center"/>
            <w:hideMark/>
          </w:tcPr>
          <w:p w:rsidR="001A26B0" w:rsidRDefault="00E33A99">
            <w:pPr>
              <w:spacing w:after="0"/>
              <w:jc w:val="right"/>
              <w:rPr>
                <w:noProof/>
                <w:szCs w:val="24"/>
              </w:rPr>
            </w:pPr>
            <w:r>
              <w:rPr>
                <w:noProof/>
                <w:szCs w:val="24"/>
              </w:rPr>
              <w:t>0.169%</w:t>
            </w:r>
          </w:p>
        </w:tc>
        <w:tc>
          <w:tcPr>
            <w:tcW w:w="861" w:type="pct"/>
            <w:tcBorders>
              <w:top w:val="nil"/>
              <w:left w:val="nil"/>
              <w:bottom w:val="single" w:sz="8" w:space="0" w:color="auto"/>
              <w:right w:val="single" w:sz="8" w:space="0" w:color="auto"/>
            </w:tcBorders>
            <w:shd w:val="clear" w:color="auto" w:fill="auto"/>
            <w:noWrap/>
            <w:vAlign w:val="center"/>
            <w:hideMark/>
          </w:tcPr>
          <w:p w:rsidR="001A26B0" w:rsidRDefault="00E33A99">
            <w:pPr>
              <w:spacing w:after="0"/>
              <w:jc w:val="right"/>
              <w:rPr>
                <w:noProof/>
                <w:szCs w:val="24"/>
              </w:rPr>
            </w:pPr>
            <w:r>
              <w:rPr>
                <w:noProof/>
                <w:szCs w:val="24"/>
              </w:rPr>
              <w:t>0.108%</w:t>
            </w:r>
          </w:p>
        </w:tc>
      </w:tr>
    </w:tbl>
    <w:p w:rsidR="001A26B0" w:rsidRDefault="00E33A99">
      <w:pPr>
        <w:spacing w:before="240" w:after="120"/>
        <w:rPr>
          <w:noProof/>
          <w:szCs w:val="24"/>
        </w:rPr>
      </w:pPr>
      <w:r>
        <w:rPr>
          <w:noProof/>
          <w:szCs w:val="24"/>
        </w:rPr>
        <w:t>Vehicles manufacturing, electrical equipment manufacturing</w:t>
      </w:r>
      <w:r>
        <w:rPr>
          <w:noProof/>
          <w:szCs w:val="24"/>
          <w:vertAlign w:val="superscript"/>
        </w:rPr>
        <w:footnoteReference w:id="164"/>
      </w:r>
      <w:r>
        <w:rPr>
          <w:noProof/>
          <w:szCs w:val="24"/>
        </w:rPr>
        <w:t xml:space="preserve">, fossil fuels production and power generation are the most impacted sectors. </w:t>
      </w:r>
      <w:r>
        <w:rPr>
          <w:noProof/>
          <w:szCs w:val="24"/>
        </w:rPr>
        <w:fldChar w:fldCharType="begin"/>
      </w:r>
      <w:r>
        <w:rPr>
          <w:noProof/>
          <w:szCs w:val="24"/>
        </w:rPr>
        <w:instrText xml:space="preserve"> REF _Ref494032132 \h </w:instrText>
      </w:r>
      <w:r>
        <w:rPr>
          <w:noProof/>
          <w:szCs w:val="24"/>
        </w:rPr>
      </w:r>
      <w:r>
        <w:rPr>
          <w:noProof/>
          <w:szCs w:val="24"/>
        </w:rPr>
        <w:fldChar w:fldCharType="separate"/>
      </w:r>
      <w:r>
        <w:rPr>
          <w:noProof/>
        </w:rPr>
        <w:t>Table 24</w:t>
      </w:r>
      <w:r>
        <w:rPr>
          <w:noProof/>
          <w:szCs w:val="24"/>
        </w:rPr>
        <w:fldChar w:fldCharType="end"/>
      </w:r>
      <w:r>
        <w:rPr>
          <w:noProof/>
          <w:szCs w:val="24"/>
        </w:rPr>
        <w:t xml:space="preserve"> shows the sectoral results in percentage changes with respect to the baseline. Starting from quite a low baseline, the increases in manufacturing of electric</w:t>
      </w:r>
      <w:r>
        <w:rPr>
          <w:noProof/>
          <w:szCs w:val="24"/>
        </w:rPr>
        <w:t xml:space="preserve"> vehicles are expected to be quite significant ranging between 40-50% at 20%, 50-60% at 30%, and 90-165% at the 40% CO</w:t>
      </w:r>
      <w:r>
        <w:rPr>
          <w:noProof/>
          <w:szCs w:val="24"/>
          <w:vertAlign w:val="subscript"/>
        </w:rPr>
        <w:t>2</w:t>
      </w:r>
      <w:r>
        <w:rPr>
          <w:noProof/>
          <w:szCs w:val="24"/>
        </w:rPr>
        <w:t xml:space="preserve"> target levels. Still, as already seen earlier in the change of the composition of the overall fleet, the impact on the manufacturing of </w:t>
      </w:r>
      <w:r>
        <w:rPr>
          <w:noProof/>
          <w:szCs w:val="24"/>
        </w:rPr>
        <w:t>conventional vehicles would be limited at 20 % and 30% CO</w:t>
      </w:r>
      <w:r>
        <w:rPr>
          <w:noProof/>
          <w:szCs w:val="24"/>
          <w:vertAlign w:val="subscript"/>
        </w:rPr>
        <w:t>2</w:t>
      </w:r>
      <w:r>
        <w:rPr>
          <w:noProof/>
          <w:szCs w:val="24"/>
        </w:rPr>
        <w:t xml:space="preserve"> target levels. Even at 40% CO</w:t>
      </w:r>
      <w:r>
        <w:rPr>
          <w:noProof/>
          <w:szCs w:val="24"/>
          <w:vertAlign w:val="subscript"/>
        </w:rPr>
        <w:t>2</w:t>
      </w:r>
      <w:r>
        <w:rPr>
          <w:noProof/>
          <w:szCs w:val="24"/>
        </w:rPr>
        <w:t xml:space="preserve"> target, production would still be reduced by less than 6 % in 2030. Similarly, fossil fuel production is only slightly affected up to 2040, while at the same time pro</w:t>
      </w:r>
      <w:r>
        <w:rPr>
          <w:noProof/>
          <w:szCs w:val="24"/>
        </w:rPr>
        <w:t>duction of electrical equipment and electricity would increase slightly.</w:t>
      </w:r>
    </w:p>
    <w:p w:rsidR="001A26B0" w:rsidRDefault="00E33A99">
      <w:pPr>
        <w:pStyle w:val="Caption"/>
        <w:keepNext/>
        <w:rPr>
          <w:i/>
          <w:iCs/>
          <w:noProof/>
          <w:szCs w:val="24"/>
        </w:rPr>
      </w:pPr>
      <w:bookmarkStart w:id="309" w:name="_Ref494032132"/>
      <w:r>
        <w:rPr>
          <w:noProof/>
        </w:rPr>
        <w:t xml:space="preserve">Table </w:t>
      </w:r>
      <w:r>
        <w:rPr>
          <w:noProof/>
        </w:rPr>
        <w:fldChar w:fldCharType="begin"/>
      </w:r>
      <w:r>
        <w:rPr>
          <w:noProof/>
        </w:rPr>
        <w:instrText xml:space="preserve"> SEQ Table \* ARABIC </w:instrText>
      </w:r>
      <w:r>
        <w:rPr>
          <w:noProof/>
        </w:rPr>
        <w:fldChar w:fldCharType="separate"/>
      </w:r>
      <w:r>
        <w:rPr>
          <w:noProof/>
        </w:rPr>
        <w:t>24</w:t>
      </w:r>
      <w:r>
        <w:rPr>
          <w:noProof/>
        </w:rPr>
        <w:fldChar w:fldCharType="end"/>
      </w:r>
      <w:bookmarkEnd w:id="309"/>
      <w:r>
        <w:rPr>
          <w:noProof/>
        </w:rPr>
        <w:t>: EU-28 production by sector in the baseline (million euros) and percentage change from the baseline under the policy scenarios (GEM-E3 results)</w:t>
      </w:r>
    </w:p>
    <w:tbl>
      <w:tblPr>
        <w:tblW w:w="4813" w:type="pct"/>
        <w:tblLayout w:type="fixed"/>
        <w:tblLook w:val="04A0" w:firstRow="1" w:lastRow="0" w:firstColumn="1" w:lastColumn="0" w:noHBand="0" w:noVBand="1"/>
      </w:tblPr>
      <w:tblGrid>
        <w:gridCol w:w="2519"/>
        <w:gridCol w:w="1766"/>
        <w:gridCol w:w="1506"/>
        <w:gridCol w:w="1353"/>
        <w:gridCol w:w="1355"/>
      </w:tblGrid>
      <w:tr w:rsidR="001A26B0">
        <w:trPr>
          <w:trHeight w:val="300"/>
        </w:trPr>
        <w:tc>
          <w:tcPr>
            <w:tcW w:w="1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B0" w:rsidRDefault="00E33A99">
            <w:pPr>
              <w:keepNext/>
              <w:spacing w:after="120"/>
              <w:rPr>
                <w:b/>
                <w:noProof/>
                <w:szCs w:val="24"/>
              </w:rPr>
            </w:pPr>
            <w:r>
              <w:rPr>
                <w:b/>
                <w:noProof/>
                <w:szCs w:val="24"/>
              </w:rPr>
              <w:t>Sector</w:t>
            </w:r>
            <w:r>
              <w:rPr>
                <w:b/>
                <w:noProof/>
                <w:szCs w:val="24"/>
              </w:rPr>
              <w:t>s</w:t>
            </w:r>
          </w:p>
        </w:tc>
        <w:tc>
          <w:tcPr>
            <w:tcW w:w="1039" w:type="pct"/>
            <w:tcBorders>
              <w:top w:val="single" w:sz="4" w:space="0" w:color="auto"/>
              <w:left w:val="nil"/>
              <w:bottom w:val="single" w:sz="4" w:space="0" w:color="auto"/>
              <w:right w:val="single" w:sz="4" w:space="0" w:color="auto"/>
            </w:tcBorders>
            <w:shd w:val="clear" w:color="auto" w:fill="auto"/>
            <w:noWrap/>
            <w:vAlign w:val="bottom"/>
            <w:hideMark/>
          </w:tcPr>
          <w:p w:rsidR="001A26B0" w:rsidRDefault="00E33A99">
            <w:pPr>
              <w:keepNext/>
              <w:spacing w:after="120"/>
              <w:rPr>
                <w:b/>
                <w:noProof/>
                <w:szCs w:val="24"/>
              </w:rPr>
            </w:pPr>
            <w:r>
              <w:rPr>
                <w:b/>
                <w:noProof/>
                <w:szCs w:val="24"/>
              </w:rPr>
              <w:t>Scenario</w:t>
            </w:r>
          </w:p>
        </w:tc>
        <w:tc>
          <w:tcPr>
            <w:tcW w:w="886" w:type="pct"/>
            <w:tcBorders>
              <w:top w:val="single" w:sz="4" w:space="0" w:color="auto"/>
              <w:left w:val="nil"/>
              <w:bottom w:val="single" w:sz="4" w:space="0" w:color="auto"/>
              <w:right w:val="single" w:sz="4" w:space="0" w:color="auto"/>
            </w:tcBorders>
          </w:tcPr>
          <w:p w:rsidR="001A26B0" w:rsidRDefault="00E33A99">
            <w:pPr>
              <w:keepNext/>
              <w:spacing w:after="120"/>
              <w:jc w:val="center"/>
              <w:rPr>
                <w:b/>
                <w:noProof/>
                <w:szCs w:val="24"/>
              </w:rPr>
            </w:pPr>
            <w:r>
              <w:rPr>
                <w:b/>
                <w:noProof/>
                <w:szCs w:val="24"/>
              </w:rPr>
              <w:t>2025</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B0" w:rsidRDefault="00E33A99">
            <w:pPr>
              <w:keepNext/>
              <w:spacing w:after="120"/>
              <w:jc w:val="center"/>
              <w:rPr>
                <w:b/>
                <w:noProof/>
                <w:szCs w:val="24"/>
              </w:rPr>
            </w:pPr>
            <w:r>
              <w:rPr>
                <w:b/>
                <w:noProof/>
                <w:szCs w:val="24"/>
              </w:rPr>
              <w:t>2030</w:t>
            </w:r>
          </w:p>
        </w:tc>
        <w:tc>
          <w:tcPr>
            <w:tcW w:w="797" w:type="pct"/>
            <w:tcBorders>
              <w:top w:val="single" w:sz="4" w:space="0" w:color="auto"/>
              <w:left w:val="nil"/>
              <w:bottom w:val="single" w:sz="4" w:space="0" w:color="auto"/>
              <w:right w:val="single" w:sz="4" w:space="0" w:color="auto"/>
            </w:tcBorders>
            <w:shd w:val="clear" w:color="auto" w:fill="auto"/>
            <w:noWrap/>
            <w:vAlign w:val="bottom"/>
            <w:hideMark/>
          </w:tcPr>
          <w:p w:rsidR="001A26B0" w:rsidRDefault="00E33A99">
            <w:pPr>
              <w:keepNext/>
              <w:spacing w:after="120"/>
              <w:jc w:val="center"/>
              <w:rPr>
                <w:b/>
                <w:noProof/>
                <w:szCs w:val="24"/>
              </w:rPr>
            </w:pPr>
            <w:r>
              <w:rPr>
                <w:b/>
                <w:noProof/>
                <w:szCs w:val="24"/>
              </w:rPr>
              <w:t>2040</w:t>
            </w:r>
          </w:p>
        </w:tc>
      </w:tr>
      <w:tr w:rsidR="001A26B0">
        <w:trPr>
          <w:trHeight w:val="300"/>
        </w:trPr>
        <w:tc>
          <w:tcPr>
            <w:tcW w:w="1482" w:type="pct"/>
            <w:vMerge w:val="restart"/>
            <w:tcBorders>
              <w:top w:val="nil"/>
              <w:left w:val="single" w:sz="4" w:space="0" w:color="auto"/>
              <w:right w:val="single" w:sz="4" w:space="0" w:color="auto"/>
            </w:tcBorders>
            <w:shd w:val="clear" w:color="auto" w:fill="auto"/>
            <w:noWrap/>
            <w:vAlign w:val="center"/>
          </w:tcPr>
          <w:p w:rsidR="001A26B0" w:rsidRDefault="00E33A99">
            <w:pPr>
              <w:keepNext/>
              <w:spacing w:after="120"/>
              <w:jc w:val="left"/>
              <w:rPr>
                <w:noProof/>
                <w:szCs w:val="24"/>
              </w:rPr>
            </w:pPr>
            <w:r>
              <w:rPr>
                <w:noProof/>
                <w:szCs w:val="24"/>
              </w:rPr>
              <w:t>Manufacturing of electric vehicles</w:t>
            </w:r>
          </w:p>
        </w:tc>
        <w:tc>
          <w:tcPr>
            <w:tcW w:w="1039" w:type="pct"/>
            <w:tcBorders>
              <w:top w:val="nil"/>
              <w:left w:val="nil"/>
              <w:bottom w:val="single" w:sz="4" w:space="0" w:color="auto"/>
              <w:right w:val="single" w:sz="4" w:space="0" w:color="auto"/>
            </w:tcBorders>
            <w:shd w:val="clear" w:color="auto" w:fill="auto"/>
            <w:noWrap/>
            <w:vAlign w:val="bottom"/>
          </w:tcPr>
          <w:p w:rsidR="001A26B0" w:rsidRDefault="00E33A99">
            <w:pPr>
              <w:keepNext/>
              <w:spacing w:after="120"/>
              <w:rPr>
                <w:noProof/>
                <w:szCs w:val="24"/>
              </w:rPr>
            </w:pPr>
            <w:r>
              <w:rPr>
                <w:noProof/>
                <w:szCs w:val="24"/>
              </w:rPr>
              <w:t xml:space="preserve">TL0 (Baseline) </w:t>
            </w:r>
          </w:p>
        </w:tc>
        <w:tc>
          <w:tcPr>
            <w:tcW w:w="886" w:type="pct"/>
            <w:tcBorders>
              <w:top w:val="single" w:sz="4" w:space="0" w:color="auto"/>
              <w:left w:val="nil"/>
              <w:bottom w:val="single" w:sz="4" w:space="0" w:color="auto"/>
              <w:right w:val="single" w:sz="4" w:space="0" w:color="auto"/>
            </w:tcBorders>
            <w:vAlign w:val="bottom"/>
          </w:tcPr>
          <w:p w:rsidR="001A26B0" w:rsidRDefault="00E33A99">
            <w:pPr>
              <w:keepNext/>
              <w:tabs>
                <w:tab w:val="center" w:pos="1115"/>
              </w:tabs>
              <w:spacing w:after="120"/>
              <w:jc w:val="right"/>
              <w:rPr>
                <w:noProof/>
                <w:color w:val="000000"/>
                <w:szCs w:val="24"/>
              </w:rPr>
            </w:pPr>
            <w:r>
              <w:rPr>
                <w:noProof/>
                <w:color w:val="000000"/>
                <w:szCs w:val="24"/>
              </w:rPr>
              <w:t>24,424</w:t>
            </w:r>
          </w:p>
        </w:tc>
        <w:tc>
          <w:tcPr>
            <w:tcW w:w="796" w:type="pct"/>
            <w:tcBorders>
              <w:top w:val="nil"/>
              <w:left w:val="single" w:sz="4" w:space="0" w:color="auto"/>
              <w:bottom w:val="single" w:sz="4" w:space="0" w:color="auto"/>
              <w:right w:val="single" w:sz="4" w:space="0" w:color="auto"/>
            </w:tcBorders>
            <w:shd w:val="clear" w:color="auto" w:fill="auto"/>
            <w:noWrap/>
            <w:vAlign w:val="bottom"/>
          </w:tcPr>
          <w:p w:rsidR="001A26B0" w:rsidRDefault="00E33A99">
            <w:pPr>
              <w:keepNext/>
              <w:tabs>
                <w:tab w:val="center" w:pos="1115"/>
              </w:tabs>
              <w:spacing w:after="120"/>
              <w:jc w:val="right"/>
              <w:rPr>
                <w:noProof/>
                <w:color w:val="000000"/>
                <w:szCs w:val="24"/>
              </w:rPr>
            </w:pPr>
            <w:r>
              <w:rPr>
                <w:noProof/>
                <w:color w:val="000000"/>
                <w:szCs w:val="24"/>
              </w:rPr>
              <w:t>52,785</w:t>
            </w:r>
          </w:p>
        </w:tc>
        <w:tc>
          <w:tcPr>
            <w:tcW w:w="797" w:type="pct"/>
            <w:tcBorders>
              <w:top w:val="nil"/>
              <w:left w:val="nil"/>
              <w:bottom w:val="single" w:sz="4" w:space="0" w:color="auto"/>
              <w:right w:val="single" w:sz="4" w:space="0" w:color="auto"/>
            </w:tcBorders>
            <w:shd w:val="clear" w:color="auto" w:fill="auto"/>
            <w:noWrap/>
            <w:vAlign w:val="bottom"/>
          </w:tcPr>
          <w:p w:rsidR="001A26B0" w:rsidRDefault="00E33A99">
            <w:pPr>
              <w:keepNext/>
              <w:tabs>
                <w:tab w:val="center" w:pos="1115"/>
              </w:tabs>
              <w:spacing w:after="120"/>
              <w:jc w:val="right"/>
              <w:rPr>
                <w:noProof/>
                <w:color w:val="000000"/>
                <w:szCs w:val="24"/>
              </w:rPr>
            </w:pPr>
            <w:r>
              <w:rPr>
                <w:noProof/>
                <w:color w:val="000000"/>
                <w:szCs w:val="24"/>
              </w:rPr>
              <w:t>88,590</w:t>
            </w:r>
          </w:p>
        </w:tc>
      </w:tr>
      <w:tr w:rsidR="001A26B0">
        <w:trPr>
          <w:trHeight w:val="300"/>
        </w:trPr>
        <w:tc>
          <w:tcPr>
            <w:tcW w:w="1482" w:type="pct"/>
            <w:vMerge/>
            <w:tcBorders>
              <w:left w:val="single" w:sz="4" w:space="0" w:color="auto"/>
              <w:right w:val="single" w:sz="4" w:space="0" w:color="auto"/>
            </w:tcBorders>
            <w:shd w:val="clear" w:color="auto" w:fill="auto"/>
            <w:noWrap/>
            <w:vAlign w:val="center"/>
            <w:hideMark/>
          </w:tcPr>
          <w:p w:rsidR="001A26B0" w:rsidRDefault="001A26B0">
            <w:pPr>
              <w:spacing w:after="120"/>
              <w:jc w:val="left"/>
              <w:rPr>
                <w:noProof/>
                <w:szCs w:val="24"/>
              </w:rPr>
            </w:pPr>
          </w:p>
        </w:tc>
        <w:tc>
          <w:tcPr>
            <w:tcW w:w="1039"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rPr>
                <w:noProof/>
                <w:szCs w:val="24"/>
              </w:rPr>
            </w:pPr>
            <w:r>
              <w:rPr>
                <w:noProof/>
                <w:szCs w:val="24"/>
              </w:rPr>
              <w:t>TL20</w:t>
            </w:r>
          </w:p>
        </w:tc>
        <w:tc>
          <w:tcPr>
            <w:tcW w:w="886" w:type="pct"/>
            <w:tcBorders>
              <w:top w:val="single" w:sz="4" w:space="0" w:color="auto"/>
              <w:left w:val="nil"/>
              <w:bottom w:val="single" w:sz="4" w:space="0" w:color="auto"/>
              <w:right w:val="single" w:sz="4" w:space="0" w:color="auto"/>
            </w:tcBorders>
            <w:vAlign w:val="bottom"/>
          </w:tcPr>
          <w:p w:rsidR="001A26B0" w:rsidRDefault="00E33A99">
            <w:pPr>
              <w:tabs>
                <w:tab w:val="center" w:pos="1115"/>
              </w:tabs>
              <w:spacing w:after="120"/>
              <w:jc w:val="right"/>
              <w:rPr>
                <w:noProof/>
                <w:szCs w:val="24"/>
              </w:rPr>
            </w:pPr>
            <w:r>
              <w:rPr>
                <w:noProof/>
                <w:szCs w:val="24"/>
              </w:rPr>
              <w:t>47.2%</w:t>
            </w:r>
          </w:p>
        </w:tc>
        <w:tc>
          <w:tcPr>
            <w:tcW w:w="796" w:type="pct"/>
            <w:tcBorders>
              <w:top w:val="nil"/>
              <w:left w:val="single" w:sz="4" w:space="0" w:color="auto"/>
              <w:bottom w:val="single" w:sz="4" w:space="0" w:color="auto"/>
              <w:right w:val="single" w:sz="4" w:space="0" w:color="auto"/>
            </w:tcBorders>
            <w:shd w:val="clear" w:color="auto" w:fill="auto"/>
            <w:noWrap/>
            <w:vAlign w:val="bottom"/>
            <w:hideMark/>
          </w:tcPr>
          <w:p w:rsidR="001A26B0" w:rsidRDefault="00E33A99">
            <w:pPr>
              <w:tabs>
                <w:tab w:val="center" w:pos="1115"/>
              </w:tabs>
              <w:spacing w:after="120"/>
              <w:jc w:val="right"/>
              <w:rPr>
                <w:noProof/>
                <w:szCs w:val="24"/>
              </w:rPr>
            </w:pPr>
            <w:r>
              <w:rPr>
                <w:noProof/>
                <w:szCs w:val="24"/>
              </w:rPr>
              <w:t>40.9%</w:t>
            </w:r>
          </w:p>
        </w:tc>
        <w:tc>
          <w:tcPr>
            <w:tcW w:w="797" w:type="pct"/>
            <w:tcBorders>
              <w:top w:val="nil"/>
              <w:left w:val="nil"/>
              <w:bottom w:val="single" w:sz="4" w:space="0" w:color="auto"/>
              <w:right w:val="single" w:sz="4" w:space="0" w:color="auto"/>
            </w:tcBorders>
            <w:shd w:val="clear" w:color="auto" w:fill="auto"/>
            <w:noWrap/>
            <w:vAlign w:val="bottom"/>
            <w:hideMark/>
          </w:tcPr>
          <w:p w:rsidR="001A26B0" w:rsidRDefault="00E33A99">
            <w:pPr>
              <w:tabs>
                <w:tab w:val="center" w:pos="1115"/>
              </w:tabs>
              <w:spacing w:after="120"/>
              <w:jc w:val="right"/>
              <w:rPr>
                <w:noProof/>
                <w:szCs w:val="24"/>
              </w:rPr>
            </w:pPr>
            <w:r>
              <w:rPr>
                <w:noProof/>
                <w:szCs w:val="24"/>
              </w:rPr>
              <w:t>49.6%</w:t>
            </w:r>
          </w:p>
        </w:tc>
      </w:tr>
      <w:tr w:rsidR="001A26B0">
        <w:trPr>
          <w:trHeight w:val="300"/>
        </w:trPr>
        <w:tc>
          <w:tcPr>
            <w:tcW w:w="1482" w:type="pct"/>
            <w:vMerge/>
            <w:tcBorders>
              <w:left w:val="single" w:sz="4" w:space="0" w:color="auto"/>
              <w:right w:val="single" w:sz="4" w:space="0" w:color="auto"/>
            </w:tcBorders>
            <w:vAlign w:val="center"/>
            <w:hideMark/>
          </w:tcPr>
          <w:p w:rsidR="001A26B0" w:rsidRDefault="001A26B0">
            <w:pPr>
              <w:spacing w:after="120"/>
              <w:jc w:val="left"/>
              <w:rPr>
                <w:noProof/>
                <w:szCs w:val="24"/>
              </w:rPr>
            </w:pPr>
          </w:p>
        </w:tc>
        <w:tc>
          <w:tcPr>
            <w:tcW w:w="1039"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rPr>
                <w:noProof/>
                <w:szCs w:val="24"/>
              </w:rPr>
            </w:pPr>
            <w:r>
              <w:rPr>
                <w:noProof/>
                <w:szCs w:val="24"/>
              </w:rPr>
              <w:t>TL30c/25v</w:t>
            </w:r>
          </w:p>
        </w:tc>
        <w:tc>
          <w:tcPr>
            <w:tcW w:w="886" w:type="pct"/>
            <w:tcBorders>
              <w:top w:val="single" w:sz="4" w:space="0" w:color="auto"/>
              <w:left w:val="nil"/>
              <w:bottom w:val="single" w:sz="4" w:space="0" w:color="auto"/>
              <w:right w:val="single" w:sz="4" w:space="0" w:color="auto"/>
            </w:tcBorders>
            <w:vAlign w:val="bottom"/>
          </w:tcPr>
          <w:p w:rsidR="001A26B0" w:rsidRDefault="00E33A99">
            <w:pPr>
              <w:tabs>
                <w:tab w:val="center" w:pos="1115"/>
              </w:tabs>
              <w:spacing w:after="120"/>
              <w:jc w:val="right"/>
              <w:rPr>
                <w:noProof/>
                <w:szCs w:val="24"/>
              </w:rPr>
            </w:pPr>
            <w:r>
              <w:rPr>
                <w:noProof/>
                <w:szCs w:val="24"/>
              </w:rPr>
              <w:t>49.8%</w:t>
            </w:r>
          </w:p>
        </w:tc>
        <w:tc>
          <w:tcPr>
            <w:tcW w:w="796" w:type="pct"/>
            <w:tcBorders>
              <w:top w:val="nil"/>
              <w:left w:val="single" w:sz="4" w:space="0" w:color="auto"/>
              <w:bottom w:val="single" w:sz="4" w:space="0" w:color="auto"/>
              <w:right w:val="single" w:sz="4" w:space="0" w:color="auto"/>
            </w:tcBorders>
            <w:shd w:val="clear" w:color="auto" w:fill="auto"/>
            <w:noWrap/>
            <w:vAlign w:val="bottom"/>
            <w:hideMark/>
          </w:tcPr>
          <w:p w:rsidR="001A26B0" w:rsidRDefault="00E33A99">
            <w:pPr>
              <w:tabs>
                <w:tab w:val="center" w:pos="1115"/>
              </w:tabs>
              <w:spacing w:after="120"/>
              <w:jc w:val="right"/>
              <w:rPr>
                <w:noProof/>
                <w:szCs w:val="24"/>
              </w:rPr>
            </w:pPr>
            <w:r>
              <w:rPr>
                <w:noProof/>
                <w:szCs w:val="24"/>
              </w:rPr>
              <w:t>57.4%</w:t>
            </w:r>
          </w:p>
        </w:tc>
        <w:tc>
          <w:tcPr>
            <w:tcW w:w="797" w:type="pct"/>
            <w:tcBorders>
              <w:top w:val="nil"/>
              <w:left w:val="nil"/>
              <w:bottom w:val="single" w:sz="4" w:space="0" w:color="auto"/>
              <w:right w:val="single" w:sz="4" w:space="0" w:color="auto"/>
            </w:tcBorders>
            <w:shd w:val="clear" w:color="auto" w:fill="auto"/>
            <w:noWrap/>
            <w:vAlign w:val="bottom"/>
            <w:hideMark/>
          </w:tcPr>
          <w:p w:rsidR="001A26B0" w:rsidRDefault="00E33A99">
            <w:pPr>
              <w:tabs>
                <w:tab w:val="center" w:pos="1115"/>
              </w:tabs>
              <w:spacing w:after="120"/>
              <w:jc w:val="right"/>
              <w:rPr>
                <w:noProof/>
                <w:szCs w:val="24"/>
              </w:rPr>
            </w:pPr>
            <w:r>
              <w:rPr>
                <w:noProof/>
                <w:szCs w:val="24"/>
              </w:rPr>
              <w:t>53.7%</w:t>
            </w:r>
          </w:p>
        </w:tc>
      </w:tr>
      <w:tr w:rsidR="001A26B0">
        <w:trPr>
          <w:trHeight w:val="300"/>
        </w:trPr>
        <w:tc>
          <w:tcPr>
            <w:tcW w:w="1482" w:type="pct"/>
            <w:vMerge/>
            <w:tcBorders>
              <w:left w:val="single" w:sz="4" w:space="0" w:color="auto"/>
              <w:bottom w:val="single" w:sz="4" w:space="0" w:color="auto"/>
              <w:right w:val="single" w:sz="4" w:space="0" w:color="auto"/>
            </w:tcBorders>
            <w:vAlign w:val="center"/>
            <w:hideMark/>
          </w:tcPr>
          <w:p w:rsidR="001A26B0" w:rsidRDefault="001A26B0">
            <w:pPr>
              <w:spacing w:after="120"/>
              <w:jc w:val="left"/>
              <w:rPr>
                <w:noProof/>
                <w:szCs w:val="24"/>
              </w:rPr>
            </w:pPr>
          </w:p>
        </w:tc>
        <w:tc>
          <w:tcPr>
            <w:tcW w:w="1039"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rPr>
                <w:noProof/>
                <w:szCs w:val="24"/>
              </w:rPr>
            </w:pPr>
            <w:r>
              <w:rPr>
                <w:noProof/>
                <w:szCs w:val="24"/>
              </w:rPr>
              <w:t>TL40</w:t>
            </w:r>
          </w:p>
        </w:tc>
        <w:tc>
          <w:tcPr>
            <w:tcW w:w="886" w:type="pct"/>
            <w:tcBorders>
              <w:top w:val="single" w:sz="4" w:space="0" w:color="auto"/>
              <w:left w:val="nil"/>
              <w:bottom w:val="single" w:sz="4" w:space="0" w:color="auto"/>
              <w:right w:val="single" w:sz="4" w:space="0" w:color="auto"/>
            </w:tcBorders>
            <w:vAlign w:val="bottom"/>
          </w:tcPr>
          <w:p w:rsidR="001A26B0" w:rsidRDefault="00E33A99">
            <w:pPr>
              <w:tabs>
                <w:tab w:val="center" w:pos="1115"/>
              </w:tabs>
              <w:spacing w:after="120"/>
              <w:jc w:val="right"/>
              <w:rPr>
                <w:noProof/>
                <w:szCs w:val="24"/>
              </w:rPr>
            </w:pPr>
            <w:r>
              <w:rPr>
                <w:noProof/>
                <w:szCs w:val="24"/>
              </w:rPr>
              <w:t>93.1%</w:t>
            </w:r>
          </w:p>
        </w:tc>
        <w:tc>
          <w:tcPr>
            <w:tcW w:w="796" w:type="pct"/>
            <w:tcBorders>
              <w:top w:val="nil"/>
              <w:left w:val="single" w:sz="4" w:space="0" w:color="auto"/>
              <w:bottom w:val="single" w:sz="4" w:space="0" w:color="auto"/>
              <w:right w:val="single" w:sz="4" w:space="0" w:color="auto"/>
            </w:tcBorders>
            <w:shd w:val="clear" w:color="auto" w:fill="auto"/>
            <w:noWrap/>
            <w:vAlign w:val="bottom"/>
            <w:hideMark/>
          </w:tcPr>
          <w:p w:rsidR="001A26B0" w:rsidRDefault="00E33A99">
            <w:pPr>
              <w:tabs>
                <w:tab w:val="center" w:pos="1115"/>
              </w:tabs>
              <w:spacing w:after="120"/>
              <w:jc w:val="right"/>
              <w:rPr>
                <w:noProof/>
                <w:szCs w:val="24"/>
              </w:rPr>
            </w:pPr>
            <w:r>
              <w:rPr>
                <w:noProof/>
                <w:szCs w:val="24"/>
              </w:rPr>
              <w:t>165.9%</w:t>
            </w:r>
          </w:p>
        </w:tc>
        <w:tc>
          <w:tcPr>
            <w:tcW w:w="797" w:type="pct"/>
            <w:tcBorders>
              <w:top w:val="nil"/>
              <w:left w:val="nil"/>
              <w:bottom w:val="single" w:sz="4" w:space="0" w:color="auto"/>
              <w:right w:val="single" w:sz="4" w:space="0" w:color="auto"/>
            </w:tcBorders>
            <w:shd w:val="clear" w:color="auto" w:fill="auto"/>
            <w:noWrap/>
            <w:vAlign w:val="bottom"/>
            <w:hideMark/>
          </w:tcPr>
          <w:p w:rsidR="001A26B0" w:rsidRDefault="00E33A99">
            <w:pPr>
              <w:tabs>
                <w:tab w:val="center" w:pos="1115"/>
              </w:tabs>
              <w:spacing w:after="120"/>
              <w:jc w:val="right"/>
              <w:rPr>
                <w:noProof/>
                <w:szCs w:val="24"/>
              </w:rPr>
            </w:pPr>
            <w:r>
              <w:rPr>
                <w:noProof/>
                <w:szCs w:val="24"/>
              </w:rPr>
              <w:t>94.2%</w:t>
            </w:r>
          </w:p>
        </w:tc>
      </w:tr>
      <w:tr w:rsidR="001A26B0">
        <w:trPr>
          <w:trHeight w:val="300"/>
        </w:trPr>
        <w:tc>
          <w:tcPr>
            <w:tcW w:w="1482" w:type="pct"/>
            <w:vMerge w:val="restart"/>
            <w:tcBorders>
              <w:top w:val="nil"/>
              <w:left w:val="single" w:sz="4" w:space="0" w:color="auto"/>
              <w:right w:val="single" w:sz="4" w:space="0" w:color="auto"/>
            </w:tcBorders>
            <w:shd w:val="clear" w:color="auto" w:fill="auto"/>
            <w:noWrap/>
            <w:vAlign w:val="center"/>
          </w:tcPr>
          <w:p w:rsidR="001A26B0" w:rsidRDefault="00E33A99">
            <w:pPr>
              <w:spacing w:after="120"/>
              <w:jc w:val="left"/>
              <w:rPr>
                <w:noProof/>
                <w:szCs w:val="24"/>
              </w:rPr>
            </w:pPr>
            <w:r>
              <w:rPr>
                <w:noProof/>
                <w:szCs w:val="24"/>
              </w:rPr>
              <w:t>Manufacturing of conventional vehicles</w:t>
            </w:r>
          </w:p>
        </w:tc>
        <w:tc>
          <w:tcPr>
            <w:tcW w:w="1039" w:type="pct"/>
            <w:tcBorders>
              <w:top w:val="nil"/>
              <w:left w:val="nil"/>
              <w:bottom w:val="single" w:sz="4" w:space="0" w:color="auto"/>
              <w:right w:val="single" w:sz="4" w:space="0" w:color="auto"/>
            </w:tcBorders>
            <w:shd w:val="clear" w:color="auto" w:fill="auto"/>
            <w:noWrap/>
            <w:vAlign w:val="bottom"/>
          </w:tcPr>
          <w:p w:rsidR="001A26B0" w:rsidRDefault="00E33A99">
            <w:pPr>
              <w:spacing w:after="120"/>
              <w:rPr>
                <w:noProof/>
                <w:szCs w:val="24"/>
              </w:rPr>
            </w:pPr>
            <w:r>
              <w:rPr>
                <w:noProof/>
                <w:szCs w:val="24"/>
              </w:rPr>
              <w:t>TL0 (Baseline)</w:t>
            </w:r>
          </w:p>
        </w:tc>
        <w:tc>
          <w:tcPr>
            <w:tcW w:w="886" w:type="pct"/>
            <w:tcBorders>
              <w:top w:val="single" w:sz="4" w:space="0" w:color="auto"/>
              <w:left w:val="nil"/>
              <w:bottom w:val="single" w:sz="4" w:space="0" w:color="auto"/>
              <w:right w:val="single" w:sz="4" w:space="0" w:color="auto"/>
            </w:tcBorders>
            <w:vAlign w:val="bottom"/>
          </w:tcPr>
          <w:p w:rsidR="001A26B0" w:rsidRDefault="00E33A99">
            <w:pPr>
              <w:tabs>
                <w:tab w:val="center" w:pos="1115"/>
              </w:tabs>
              <w:spacing w:after="120"/>
              <w:jc w:val="right"/>
              <w:rPr>
                <w:noProof/>
                <w:color w:val="000000"/>
                <w:szCs w:val="24"/>
              </w:rPr>
            </w:pPr>
            <w:r>
              <w:rPr>
                <w:noProof/>
                <w:color w:val="000000"/>
                <w:szCs w:val="24"/>
              </w:rPr>
              <w:t>845,066</w:t>
            </w:r>
          </w:p>
        </w:tc>
        <w:tc>
          <w:tcPr>
            <w:tcW w:w="796" w:type="pct"/>
            <w:tcBorders>
              <w:top w:val="nil"/>
              <w:left w:val="single" w:sz="4" w:space="0" w:color="auto"/>
              <w:bottom w:val="single" w:sz="4" w:space="0" w:color="auto"/>
              <w:right w:val="single" w:sz="4" w:space="0" w:color="auto"/>
            </w:tcBorders>
            <w:shd w:val="clear" w:color="auto" w:fill="auto"/>
            <w:noWrap/>
            <w:vAlign w:val="bottom"/>
          </w:tcPr>
          <w:p w:rsidR="001A26B0" w:rsidRDefault="00E33A99">
            <w:pPr>
              <w:tabs>
                <w:tab w:val="center" w:pos="1115"/>
              </w:tabs>
              <w:spacing w:after="120"/>
              <w:jc w:val="right"/>
              <w:rPr>
                <w:noProof/>
                <w:color w:val="000000"/>
                <w:szCs w:val="24"/>
              </w:rPr>
            </w:pPr>
            <w:r>
              <w:rPr>
                <w:noProof/>
                <w:color w:val="000000"/>
                <w:szCs w:val="24"/>
              </w:rPr>
              <w:t>893,707</w:t>
            </w:r>
          </w:p>
        </w:tc>
        <w:tc>
          <w:tcPr>
            <w:tcW w:w="797" w:type="pct"/>
            <w:tcBorders>
              <w:top w:val="nil"/>
              <w:left w:val="nil"/>
              <w:bottom w:val="single" w:sz="4" w:space="0" w:color="auto"/>
              <w:right w:val="single" w:sz="4" w:space="0" w:color="auto"/>
            </w:tcBorders>
            <w:shd w:val="clear" w:color="auto" w:fill="auto"/>
            <w:noWrap/>
            <w:vAlign w:val="bottom"/>
          </w:tcPr>
          <w:p w:rsidR="001A26B0" w:rsidRDefault="00E33A99">
            <w:pPr>
              <w:tabs>
                <w:tab w:val="center" w:pos="1115"/>
              </w:tabs>
              <w:spacing w:after="120"/>
              <w:jc w:val="right"/>
              <w:rPr>
                <w:noProof/>
                <w:color w:val="000000"/>
                <w:szCs w:val="24"/>
              </w:rPr>
            </w:pPr>
            <w:r>
              <w:rPr>
                <w:noProof/>
                <w:color w:val="000000"/>
                <w:szCs w:val="24"/>
              </w:rPr>
              <w:t>1,025,884</w:t>
            </w:r>
          </w:p>
        </w:tc>
      </w:tr>
      <w:tr w:rsidR="001A26B0">
        <w:trPr>
          <w:trHeight w:val="300"/>
        </w:trPr>
        <w:tc>
          <w:tcPr>
            <w:tcW w:w="1482" w:type="pct"/>
            <w:vMerge/>
            <w:tcBorders>
              <w:left w:val="single" w:sz="4" w:space="0" w:color="auto"/>
              <w:right w:val="single" w:sz="4" w:space="0" w:color="auto"/>
            </w:tcBorders>
            <w:shd w:val="clear" w:color="auto" w:fill="auto"/>
            <w:noWrap/>
            <w:vAlign w:val="center"/>
            <w:hideMark/>
          </w:tcPr>
          <w:p w:rsidR="001A26B0" w:rsidRDefault="001A26B0">
            <w:pPr>
              <w:spacing w:after="120"/>
              <w:jc w:val="left"/>
              <w:rPr>
                <w:noProof/>
                <w:szCs w:val="24"/>
              </w:rPr>
            </w:pPr>
          </w:p>
        </w:tc>
        <w:tc>
          <w:tcPr>
            <w:tcW w:w="1039"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rPr>
                <w:noProof/>
                <w:szCs w:val="24"/>
              </w:rPr>
            </w:pPr>
            <w:r>
              <w:rPr>
                <w:noProof/>
                <w:szCs w:val="24"/>
              </w:rPr>
              <w:t>TL20</w:t>
            </w:r>
          </w:p>
        </w:tc>
        <w:tc>
          <w:tcPr>
            <w:tcW w:w="886" w:type="pct"/>
            <w:tcBorders>
              <w:top w:val="single" w:sz="4" w:space="0" w:color="auto"/>
              <w:left w:val="nil"/>
              <w:bottom w:val="single" w:sz="4" w:space="0" w:color="auto"/>
              <w:right w:val="single" w:sz="4" w:space="0" w:color="auto"/>
            </w:tcBorders>
            <w:vAlign w:val="bottom"/>
          </w:tcPr>
          <w:p w:rsidR="001A26B0" w:rsidRDefault="00E33A99">
            <w:pPr>
              <w:tabs>
                <w:tab w:val="center" w:pos="1115"/>
              </w:tabs>
              <w:spacing w:after="120"/>
              <w:jc w:val="right"/>
              <w:rPr>
                <w:noProof/>
                <w:szCs w:val="24"/>
              </w:rPr>
            </w:pPr>
            <w:r>
              <w:rPr>
                <w:noProof/>
                <w:szCs w:val="24"/>
              </w:rPr>
              <w:t>-0.8%</w:t>
            </w:r>
          </w:p>
        </w:tc>
        <w:tc>
          <w:tcPr>
            <w:tcW w:w="796" w:type="pct"/>
            <w:tcBorders>
              <w:top w:val="nil"/>
              <w:left w:val="single" w:sz="4" w:space="0" w:color="auto"/>
              <w:bottom w:val="single" w:sz="4" w:space="0" w:color="auto"/>
              <w:right w:val="single" w:sz="4" w:space="0" w:color="auto"/>
            </w:tcBorders>
            <w:shd w:val="clear" w:color="auto" w:fill="auto"/>
            <w:noWrap/>
            <w:vAlign w:val="bottom"/>
            <w:hideMark/>
          </w:tcPr>
          <w:p w:rsidR="001A26B0" w:rsidRDefault="00E33A99">
            <w:pPr>
              <w:tabs>
                <w:tab w:val="center" w:pos="1115"/>
              </w:tabs>
              <w:spacing w:after="120"/>
              <w:jc w:val="right"/>
              <w:rPr>
                <w:noProof/>
                <w:szCs w:val="24"/>
              </w:rPr>
            </w:pPr>
            <w:r>
              <w:rPr>
                <w:noProof/>
                <w:szCs w:val="24"/>
              </w:rPr>
              <w:t>-1.3%</w:t>
            </w:r>
          </w:p>
        </w:tc>
        <w:tc>
          <w:tcPr>
            <w:tcW w:w="797" w:type="pct"/>
            <w:tcBorders>
              <w:top w:val="nil"/>
              <w:left w:val="nil"/>
              <w:bottom w:val="single" w:sz="4" w:space="0" w:color="auto"/>
              <w:right w:val="single" w:sz="4" w:space="0" w:color="auto"/>
            </w:tcBorders>
            <w:shd w:val="clear" w:color="auto" w:fill="auto"/>
            <w:noWrap/>
            <w:vAlign w:val="bottom"/>
            <w:hideMark/>
          </w:tcPr>
          <w:p w:rsidR="001A26B0" w:rsidRDefault="00E33A99">
            <w:pPr>
              <w:tabs>
                <w:tab w:val="center" w:pos="1115"/>
              </w:tabs>
              <w:spacing w:after="120"/>
              <w:jc w:val="right"/>
              <w:rPr>
                <w:noProof/>
                <w:szCs w:val="24"/>
              </w:rPr>
            </w:pPr>
            <w:r>
              <w:rPr>
                <w:noProof/>
                <w:szCs w:val="24"/>
              </w:rPr>
              <w:t>-2.4%</w:t>
            </w:r>
          </w:p>
        </w:tc>
      </w:tr>
      <w:tr w:rsidR="001A26B0">
        <w:trPr>
          <w:trHeight w:val="300"/>
        </w:trPr>
        <w:tc>
          <w:tcPr>
            <w:tcW w:w="1482" w:type="pct"/>
            <w:vMerge/>
            <w:tcBorders>
              <w:left w:val="single" w:sz="4" w:space="0" w:color="auto"/>
              <w:right w:val="single" w:sz="4" w:space="0" w:color="auto"/>
            </w:tcBorders>
            <w:vAlign w:val="center"/>
            <w:hideMark/>
          </w:tcPr>
          <w:p w:rsidR="001A26B0" w:rsidRDefault="001A26B0">
            <w:pPr>
              <w:spacing w:after="120"/>
              <w:jc w:val="left"/>
              <w:rPr>
                <w:noProof/>
                <w:szCs w:val="24"/>
              </w:rPr>
            </w:pPr>
          </w:p>
        </w:tc>
        <w:tc>
          <w:tcPr>
            <w:tcW w:w="1039"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rPr>
                <w:noProof/>
                <w:szCs w:val="24"/>
              </w:rPr>
            </w:pPr>
            <w:r>
              <w:rPr>
                <w:noProof/>
                <w:szCs w:val="24"/>
              </w:rPr>
              <w:t>TL30c/25v</w:t>
            </w:r>
          </w:p>
        </w:tc>
        <w:tc>
          <w:tcPr>
            <w:tcW w:w="886" w:type="pct"/>
            <w:tcBorders>
              <w:top w:val="single" w:sz="4" w:space="0" w:color="auto"/>
              <w:left w:val="nil"/>
              <w:bottom w:val="single" w:sz="4" w:space="0" w:color="auto"/>
              <w:right w:val="single" w:sz="4" w:space="0" w:color="auto"/>
            </w:tcBorders>
            <w:vAlign w:val="bottom"/>
          </w:tcPr>
          <w:p w:rsidR="001A26B0" w:rsidRDefault="00E33A99">
            <w:pPr>
              <w:tabs>
                <w:tab w:val="center" w:pos="1115"/>
              </w:tabs>
              <w:spacing w:after="120"/>
              <w:jc w:val="right"/>
              <w:rPr>
                <w:noProof/>
                <w:szCs w:val="24"/>
              </w:rPr>
            </w:pPr>
            <w:r>
              <w:rPr>
                <w:noProof/>
                <w:szCs w:val="24"/>
              </w:rPr>
              <w:t>-0.9%</w:t>
            </w:r>
          </w:p>
        </w:tc>
        <w:tc>
          <w:tcPr>
            <w:tcW w:w="796" w:type="pct"/>
            <w:tcBorders>
              <w:top w:val="nil"/>
              <w:left w:val="single" w:sz="4" w:space="0" w:color="auto"/>
              <w:bottom w:val="single" w:sz="4" w:space="0" w:color="auto"/>
              <w:right w:val="single" w:sz="4" w:space="0" w:color="auto"/>
            </w:tcBorders>
            <w:shd w:val="clear" w:color="auto" w:fill="auto"/>
            <w:noWrap/>
            <w:vAlign w:val="bottom"/>
            <w:hideMark/>
          </w:tcPr>
          <w:p w:rsidR="001A26B0" w:rsidRDefault="00E33A99">
            <w:pPr>
              <w:tabs>
                <w:tab w:val="center" w:pos="1115"/>
              </w:tabs>
              <w:spacing w:after="120"/>
              <w:jc w:val="right"/>
              <w:rPr>
                <w:noProof/>
                <w:szCs w:val="24"/>
              </w:rPr>
            </w:pPr>
            <w:r>
              <w:rPr>
                <w:noProof/>
                <w:szCs w:val="24"/>
              </w:rPr>
              <w:t>-1.9%</w:t>
            </w:r>
          </w:p>
        </w:tc>
        <w:tc>
          <w:tcPr>
            <w:tcW w:w="797" w:type="pct"/>
            <w:tcBorders>
              <w:top w:val="nil"/>
              <w:left w:val="nil"/>
              <w:bottom w:val="single" w:sz="4" w:space="0" w:color="auto"/>
              <w:right w:val="single" w:sz="4" w:space="0" w:color="auto"/>
            </w:tcBorders>
            <w:shd w:val="clear" w:color="auto" w:fill="auto"/>
            <w:noWrap/>
            <w:vAlign w:val="bottom"/>
            <w:hideMark/>
          </w:tcPr>
          <w:p w:rsidR="001A26B0" w:rsidRDefault="00E33A99">
            <w:pPr>
              <w:tabs>
                <w:tab w:val="center" w:pos="1115"/>
              </w:tabs>
              <w:spacing w:after="120"/>
              <w:jc w:val="right"/>
              <w:rPr>
                <w:noProof/>
                <w:szCs w:val="24"/>
              </w:rPr>
            </w:pPr>
            <w:r>
              <w:rPr>
                <w:noProof/>
                <w:szCs w:val="24"/>
              </w:rPr>
              <w:t>-2.4%</w:t>
            </w:r>
          </w:p>
        </w:tc>
      </w:tr>
      <w:tr w:rsidR="001A26B0">
        <w:trPr>
          <w:trHeight w:val="300"/>
        </w:trPr>
        <w:tc>
          <w:tcPr>
            <w:tcW w:w="1482" w:type="pct"/>
            <w:vMerge/>
            <w:tcBorders>
              <w:left w:val="single" w:sz="4" w:space="0" w:color="auto"/>
              <w:bottom w:val="single" w:sz="4" w:space="0" w:color="auto"/>
              <w:right w:val="single" w:sz="4" w:space="0" w:color="auto"/>
            </w:tcBorders>
            <w:vAlign w:val="center"/>
            <w:hideMark/>
          </w:tcPr>
          <w:p w:rsidR="001A26B0" w:rsidRDefault="001A26B0">
            <w:pPr>
              <w:spacing w:after="120"/>
              <w:jc w:val="left"/>
              <w:rPr>
                <w:noProof/>
                <w:szCs w:val="24"/>
              </w:rPr>
            </w:pPr>
          </w:p>
        </w:tc>
        <w:tc>
          <w:tcPr>
            <w:tcW w:w="1039"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rPr>
                <w:noProof/>
                <w:szCs w:val="24"/>
              </w:rPr>
            </w:pPr>
            <w:r>
              <w:rPr>
                <w:noProof/>
                <w:szCs w:val="24"/>
              </w:rPr>
              <w:t>TL40</w:t>
            </w:r>
          </w:p>
        </w:tc>
        <w:tc>
          <w:tcPr>
            <w:tcW w:w="886" w:type="pct"/>
            <w:tcBorders>
              <w:top w:val="single" w:sz="4" w:space="0" w:color="auto"/>
              <w:left w:val="nil"/>
              <w:bottom w:val="single" w:sz="4" w:space="0" w:color="auto"/>
              <w:right w:val="single" w:sz="4" w:space="0" w:color="auto"/>
            </w:tcBorders>
            <w:vAlign w:val="bottom"/>
          </w:tcPr>
          <w:p w:rsidR="001A26B0" w:rsidRDefault="00E33A99">
            <w:pPr>
              <w:tabs>
                <w:tab w:val="center" w:pos="1115"/>
              </w:tabs>
              <w:spacing w:after="120"/>
              <w:jc w:val="right"/>
              <w:rPr>
                <w:noProof/>
                <w:szCs w:val="24"/>
              </w:rPr>
            </w:pPr>
            <w:r>
              <w:rPr>
                <w:noProof/>
                <w:szCs w:val="24"/>
              </w:rPr>
              <w:t>-1.6%</w:t>
            </w:r>
          </w:p>
        </w:tc>
        <w:tc>
          <w:tcPr>
            <w:tcW w:w="796" w:type="pct"/>
            <w:tcBorders>
              <w:top w:val="nil"/>
              <w:left w:val="single" w:sz="4" w:space="0" w:color="auto"/>
              <w:bottom w:val="single" w:sz="4" w:space="0" w:color="auto"/>
              <w:right w:val="single" w:sz="4" w:space="0" w:color="auto"/>
            </w:tcBorders>
            <w:shd w:val="clear" w:color="auto" w:fill="auto"/>
            <w:noWrap/>
            <w:vAlign w:val="bottom"/>
            <w:hideMark/>
          </w:tcPr>
          <w:p w:rsidR="001A26B0" w:rsidRDefault="00E33A99">
            <w:pPr>
              <w:tabs>
                <w:tab w:val="center" w:pos="1115"/>
              </w:tabs>
              <w:spacing w:after="120"/>
              <w:jc w:val="right"/>
              <w:rPr>
                <w:noProof/>
                <w:szCs w:val="24"/>
              </w:rPr>
            </w:pPr>
            <w:r>
              <w:rPr>
                <w:noProof/>
                <w:szCs w:val="24"/>
              </w:rPr>
              <w:t>-5.6%</w:t>
            </w:r>
          </w:p>
        </w:tc>
        <w:tc>
          <w:tcPr>
            <w:tcW w:w="797" w:type="pct"/>
            <w:tcBorders>
              <w:top w:val="nil"/>
              <w:left w:val="nil"/>
              <w:bottom w:val="single" w:sz="4" w:space="0" w:color="auto"/>
              <w:right w:val="single" w:sz="4" w:space="0" w:color="auto"/>
            </w:tcBorders>
            <w:shd w:val="clear" w:color="auto" w:fill="auto"/>
            <w:noWrap/>
            <w:vAlign w:val="bottom"/>
            <w:hideMark/>
          </w:tcPr>
          <w:p w:rsidR="001A26B0" w:rsidRDefault="00E33A99">
            <w:pPr>
              <w:tabs>
                <w:tab w:val="center" w:pos="1115"/>
              </w:tabs>
              <w:spacing w:after="120"/>
              <w:jc w:val="right"/>
              <w:rPr>
                <w:noProof/>
                <w:szCs w:val="24"/>
              </w:rPr>
            </w:pPr>
            <w:r>
              <w:rPr>
                <w:noProof/>
                <w:szCs w:val="24"/>
              </w:rPr>
              <w:t>-4.2%</w:t>
            </w:r>
          </w:p>
        </w:tc>
      </w:tr>
      <w:tr w:rsidR="001A26B0">
        <w:trPr>
          <w:trHeight w:val="300"/>
        </w:trPr>
        <w:tc>
          <w:tcPr>
            <w:tcW w:w="1482" w:type="pct"/>
            <w:vMerge w:val="restart"/>
            <w:tcBorders>
              <w:top w:val="nil"/>
              <w:left w:val="single" w:sz="4" w:space="0" w:color="auto"/>
              <w:right w:val="single" w:sz="4" w:space="0" w:color="auto"/>
            </w:tcBorders>
            <w:shd w:val="clear" w:color="auto" w:fill="auto"/>
            <w:vAlign w:val="center"/>
          </w:tcPr>
          <w:p w:rsidR="001A26B0" w:rsidRDefault="00E33A99">
            <w:pPr>
              <w:spacing w:after="120"/>
              <w:jc w:val="left"/>
              <w:rPr>
                <w:noProof/>
                <w:szCs w:val="24"/>
              </w:rPr>
            </w:pPr>
            <w:r>
              <w:rPr>
                <w:noProof/>
                <w:szCs w:val="24"/>
              </w:rPr>
              <w:t>Electrical equipment</w:t>
            </w:r>
            <w:r>
              <w:rPr>
                <w:noProof/>
                <w:szCs w:val="24"/>
              </w:rPr>
              <w:br/>
              <w:t>(including batteries)</w:t>
            </w:r>
          </w:p>
        </w:tc>
        <w:tc>
          <w:tcPr>
            <w:tcW w:w="1039" w:type="pct"/>
            <w:tcBorders>
              <w:top w:val="nil"/>
              <w:left w:val="nil"/>
              <w:bottom w:val="single" w:sz="4" w:space="0" w:color="auto"/>
              <w:right w:val="single" w:sz="4" w:space="0" w:color="auto"/>
            </w:tcBorders>
            <w:shd w:val="clear" w:color="auto" w:fill="auto"/>
            <w:noWrap/>
            <w:vAlign w:val="bottom"/>
          </w:tcPr>
          <w:p w:rsidR="001A26B0" w:rsidRDefault="00E33A99">
            <w:pPr>
              <w:spacing w:after="120"/>
              <w:rPr>
                <w:noProof/>
                <w:szCs w:val="24"/>
              </w:rPr>
            </w:pPr>
            <w:r>
              <w:rPr>
                <w:noProof/>
                <w:szCs w:val="24"/>
              </w:rPr>
              <w:t>TL0 (Baseline)</w:t>
            </w:r>
          </w:p>
        </w:tc>
        <w:tc>
          <w:tcPr>
            <w:tcW w:w="886" w:type="pct"/>
            <w:tcBorders>
              <w:top w:val="single" w:sz="4" w:space="0" w:color="auto"/>
              <w:left w:val="nil"/>
              <w:bottom w:val="single" w:sz="4" w:space="0" w:color="auto"/>
              <w:right w:val="single" w:sz="4" w:space="0" w:color="auto"/>
            </w:tcBorders>
            <w:vAlign w:val="bottom"/>
          </w:tcPr>
          <w:p w:rsidR="001A26B0" w:rsidRDefault="00E33A99">
            <w:pPr>
              <w:tabs>
                <w:tab w:val="center" w:pos="1115"/>
              </w:tabs>
              <w:spacing w:after="120"/>
              <w:jc w:val="right"/>
              <w:rPr>
                <w:noProof/>
                <w:color w:val="000000"/>
                <w:szCs w:val="24"/>
              </w:rPr>
            </w:pPr>
            <w:r>
              <w:rPr>
                <w:noProof/>
                <w:color w:val="000000"/>
                <w:szCs w:val="24"/>
              </w:rPr>
              <w:t>923,368</w:t>
            </w:r>
          </w:p>
        </w:tc>
        <w:tc>
          <w:tcPr>
            <w:tcW w:w="796" w:type="pct"/>
            <w:tcBorders>
              <w:top w:val="nil"/>
              <w:left w:val="single" w:sz="4" w:space="0" w:color="auto"/>
              <w:bottom w:val="single" w:sz="4" w:space="0" w:color="auto"/>
              <w:right w:val="single" w:sz="4" w:space="0" w:color="auto"/>
            </w:tcBorders>
            <w:shd w:val="clear" w:color="auto" w:fill="auto"/>
            <w:noWrap/>
            <w:vAlign w:val="bottom"/>
          </w:tcPr>
          <w:p w:rsidR="001A26B0" w:rsidRDefault="00E33A99">
            <w:pPr>
              <w:tabs>
                <w:tab w:val="center" w:pos="1115"/>
              </w:tabs>
              <w:spacing w:after="120"/>
              <w:jc w:val="right"/>
              <w:rPr>
                <w:noProof/>
                <w:color w:val="000000"/>
                <w:szCs w:val="24"/>
              </w:rPr>
            </w:pPr>
            <w:r>
              <w:rPr>
                <w:noProof/>
                <w:color w:val="000000"/>
                <w:szCs w:val="24"/>
              </w:rPr>
              <w:t>950,849</w:t>
            </w:r>
          </w:p>
        </w:tc>
        <w:tc>
          <w:tcPr>
            <w:tcW w:w="797" w:type="pct"/>
            <w:tcBorders>
              <w:top w:val="nil"/>
              <w:left w:val="nil"/>
              <w:bottom w:val="single" w:sz="4" w:space="0" w:color="auto"/>
              <w:right w:val="single" w:sz="4" w:space="0" w:color="auto"/>
            </w:tcBorders>
            <w:shd w:val="clear" w:color="auto" w:fill="auto"/>
            <w:noWrap/>
            <w:vAlign w:val="bottom"/>
          </w:tcPr>
          <w:p w:rsidR="001A26B0" w:rsidRDefault="00E33A99">
            <w:pPr>
              <w:tabs>
                <w:tab w:val="center" w:pos="1115"/>
              </w:tabs>
              <w:spacing w:after="120"/>
              <w:jc w:val="right"/>
              <w:rPr>
                <w:noProof/>
                <w:color w:val="000000"/>
                <w:szCs w:val="24"/>
              </w:rPr>
            </w:pPr>
            <w:r>
              <w:rPr>
                <w:noProof/>
                <w:color w:val="000000"/>
                <w:szCs w:val="24"/>
              </w:rPr>
              <w:t>1,019,439</w:t>
            </w:r>
          </w:p>
        </w:tc>
      </w:tr>
      <w:tr w:rsidR="001A26B0">
        <w:trPr>
          <w:trHeight w:val="300"/>
        </w:trPr>
        <w:tc>
          <w:tcPr>
            <w:tcW w:w="1482" w:type="pct"/>
            <w:vMerge/>
            <w:tcBorders>
              <w:left w:val="single" w:sz="4" w:space="0" w:color="auto"/>
              <w:right w:val="single" w:sz="4" w:space="0" w:color="auto"/>
            </w:tcBorders>
            <w:shd w:val="clear" w:color="auto" w:fill="auto"/>
            <w:vAlign w:val="center"/>
            <w:hideMark/>
          </w:tcPr>
          <w:p w:rsidR="001A26B0" w:rsidRDefault="001A26B0">
            <w:pPr>
              <w:spacing w:after="120"/>
              <w:jc w:val="left"/>
              <w:rPr>
                <w:noProof/>
                <w:szCs w:val="24"/>
              </w:rPr>
            </w:pPr>
          </w:p>
        </w:tc>
        <w:tc>
          <w:tcPr>
            <w:tcW w:w="1039"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rPr>
                <w:noProof/>
                <w:szCs w:val="24"/>
              </w:rPr>
            </w:pPr>
            <w:r>
              <w:rPr>
                <w:noProof/>
                <w:szCs w:val="24"/>
              </w:rPr>
              <w:t>TL20</w:t>
            </w:r>
          </w:p>
        </w:tc>
        <w:tc>
          <w:tcPr>
            <w:tcW w:w="886" w:type="pct"/>
            <w:tcBorders>
              <w:top w:val="single" w:sz="4" w:space="0" w:color="auto"/>
              <w:left w:val="nil"/>
              <w:bottom w:val="single" w:sz="4" w:space="0" w:color="auto"/>
              <w:right w:val="single" w:sz="4" w:space="0" w:color="auto"/>
            </w:tcBorders>
            <w:vAlign w:val="bottom"/>
          </w:tcPr>
          <w:p w:rsidR="001A26B0" w:rsidRDefault="00E33A99">
            <w:pPr>
              <w:tabs>
                <w:tab w:val="center" w:pos="1115"/>
              </w:tabs>
              <w:spacing w:after="120"/>
              <w:jc w:val="right"/>
              <w:rPr>
                <w:noProof/>
                <w:szCs w:val="24"/>
              </w:rPr>
            </w:pPr>
            <w:r>
              <w:rPr>
                <w:noProof/>
                <w:szCs w:val="24"/>
              </w:rPr>
              <w:t>0.3%</w:t>
            </w:r>
          </w:p>
        </w:tc>
        <w:tc>
          <w:tcPr>
            <w:tcW w:w="796" w:type="pct"/>
            <w:tcBorders>
              <w:top w:val="nil"/>
              <w:left w:val="single" w:sz="4" w:space="0" w:color="auto"/>
              <w:bottom w:val="single" w:sz="4" w:space="0" w:color="auto"/>
              <w:right w:val="single" w:sz="4" w:space="0" w:color="auto"/>
            </w:tcBorders>
            <w:shd w:val="clear" w:color="auto" w:fill="auto"/>
            <w:noWrap/>
            <w:vAlign w:val="bottom"/>
            <w:hideMark/>
          </w:tcPr>
          <w:p w:rsidR="001A26B0" w:rsidRDefault="00E33A99">
            <w:pPr>
              <w:tabs>
                <w:tab w:val="center" w:pos="1115"/>
              </w:tabs>
              <w:spacing w:after="120"/>
              <w:jc w:val="right"/>
              <w:rPr>
                <w:noProof/>
                <w:szCs w:val="24"/>
              </w:rPr>
            </w:pPr>
            <w:r>
              <w:rPr>
                <w:noProof/>
                <w:szCs w:val="24"/>
              </w:rPr>
              <w:t>0.4%</w:t>
            </w:r>
          </w:p>
        </w:tc>
        <w:tc>
          <w:tcPr>
            <w:tcW w:w="797" w:type="pct"/>
            <w:tcBorders>
              <w:top w:val="nil"/>
              <w:left w:val="nil"/>
              <w:bottom w:val="single" w:sz="4" w:space="0" w:color="auto"/>
              <w:right w:val="single" w:sz="4" w:space="0" w:color="auto"/>
            </w:tcBorders>
            <w:shd w:val="clear" w:color="auto" w:fill="auto"/>
            <w:noWrap/>
            <w:vAlign w:val="bottom"/>
            <w:hideMark/>
          </w:tcPr>
          <w:p w:rsidR="001A26B0" w:rsidRDefault="00E33A99">
            <w:pPr>
              <w:tabs>
                <w:tab w:val="center" w:pos="1115"/>
              </w:tabs>
              <w:spacing w:after="120"/>
              <w:jc w:val="right"/>
              <w:rPr>
                <w:noProof/>
                <w:szCs w:val="24"/>
              </w:rPr>
            </w:pPr>
            <w:r>
              <w:rPr>
                <w:noProof/>
                <w:szCs w:val="24"/>
              </w:rPr>
              <w:t>0.7%</w:t>
            </w:r>
          </w:p>
        </w:tc>
      </w:tr>
      <w:tr w:rsidR="001A26B0">
        <w:trPr>
          <w:trHeight w:val="300"/>
        </w:trPr>
        <w:tc>
          <w:tcPr>
            <w:tcW w:w="1482" w:type="pct"/>
            <w:vMerge/>
            <w:tcBorders>
              <w:left w:val="single" w:sz="4" w:space="0" w:color="auto"/>
              <w:right w:val="single" w:sz="4" w:space="0" w:color="auto"/>
            </w:tcBorders>
            <w:vAlign w:val="center"/>
            <w:hideMark/>
          </w:tcPr>
          <w:p w:rsidR="001A26B0" w:rsidRDefault="001A26B0">
            <w:pPr>
              <w:spacing w:after="120"/>
              <w:jc w:val="left"/>
              <w:rPr>
                <w:noProof/>
                <w:szCs w:val="24"/>
              </w:rPr>
            </w:pPr>
          </w:p>
        </w:tc>
        <w:tc>
          <w:tcPr>
            <w:tcW w:w="1039"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rPr>
                <w:noProof/>
                <w:szCs w:val="24"/>
              </w:rPr>
            </w:pPr>
            <w:r>
              <w:rPr>
                <w:noProof/>
                <w:szCs w:val="24"/>
              </w:rPr>
              <w:t>TL30c/25v</w:t>
            </w:r>
          </w:p>
        </w:tc>
        <w:tc>
          <w:tcPr>
            <w:tcW w:w="886" w:type="pct"/>
            <w:tcBorders>
              <w:top w:val="single" w:sz="4" w:space="0" w:color="auto"/>
              <w:left w:val="nil"/>
              <w:bottom w:val="single" w:sz="4" w:space="0" w:color="auto"/>
              <w:right w:val="single" w:sz="4" w:space="0" w:color="auto"/>
            </w:tcBorders>
            <w:vAlign w:val="bottom"/>
          </w:tcPr>
          <w:p w:rsidR="001A26B0" w:rsidRDefault="00E33A99">
            <w:pPr>
              <w:tabs>
                <w:tab w:val="center" w:pos="1115"/>
              </w:tabs>
              <w:spacing w:after="120"/>
              <w:jc w:val="right"/>
              <w:rPr>
                <w:noProof/>
                <w:szCs w:val="24"/>
              </w:rPr>
            </w:pPr>
            <w:r>
              <w:rPr>
                <w:noProof/>
                <w:szCs w:val="24"/>
              </w:rPr>
              <w:t>0.3%</w:t>
            </w:r>
          </w:p>
        </w:tc>
        <w:tc>
          <w:tcPr>
            <w:tcW w:w="796" w:type="pct"/>
            <w:tcBorders>
              <w:top w:val="nil"/>
              <w:left w:val="single" w:sz="4" w:space="0" w:color="auto"/>
              <w:bottom w:val="single" w:sz="4" w:space="0" w:color="auto"/>
              <w:right w:val="single" w:sz="4" w:space="0" w:color="auto"/>
            </w:tcBorders>
            <w:shd w:val="clear" w:color="auto" w:fill="auto"/>
            <w:noWrap/>
            <w:vAlign w:val="bottom"/>
            <w:hideMark/>
          </w:tcPr>
          <w:p w:rsidR="001A26B0" w:rsidRDefault="00E33A99">
            <w:pPr>
              <w:tabs>
                <w:tab w:val="center" w:pos="1115"/>
              </w:tabs>
              <w:spacing w:after="120"/>
              <w:jc w:val="right"/>
              <w:rPr>
                <w:noProof/>
                <w:szCs w:val="24"/>
              </w:rPr>
            </w:pPr>
            <w:r>
              <w:rPr>
                <w:noProof/>
                <w:szCs w:val="24"/>
              </w:rPr>
              <w:t>0.6%</w:t>
            </w:r>
          </w:p>
        </w:tc>
        <w:tc>
          <w:tcPr>
            <w:tcW w:w="797" w:type="pct"/>
            <w:tcBorders>
              <w:top w:val="nil"/>
              <w:left w:val="nil"/>
              <w:bottom w:val="single" w:sz="4" w:space="0" w:color="auto"/>
              <w:right w:val="single" w:sz="4" w:space="0" w:color="auto"/>
            </w:tcBorders>
            <w:shd w:val="clear" w:color="auto" w:fill="auto"/>
            <w:noWrap/>
            <w:vAlign w:val="bottom"/>
            <w:hideMark/>
          </w:tcPr>
          <w:p w:rsidR="001A26B0" w:rsidRDefault="00E33A99">
            <w:pPr>
              <w:tabs>
                <w:tab w:val="center" w:pos="1115"/>
              </w:tabs>
              <w:spacing w:after="120"/>
              <w:jc w:val="right"/>
              <w:rPr>
                <w:noProof/>
                <w:szCs w:val="24"/>
              </w:rPr>
            </w:pPr>
            <w:r>
              <w:rPr>
                <w:noProof/>
                <w:szCs w:val="24"/>
              </w:rPr>
              <w:t>0.7%</w:t>
            </w:r>
          </w:p>
        </w:tc>
      </w:tr>
      <w:tr w:rsidR="001A26B0">
        <w:trPr>
          <w:trHeight w:val="300"/>
        </w:trPr>
        <w:tc>
          <w:tcPr>
            <w:tcW w:w="1482" w:type="pct"/>
            <w:vMerge/>
            <w:tcBorders>
              <w:left w:val="single" w:sz="4" w:space="0" w:color="auto"/>
              <w:bottom w:val="single" w:sz="4" w:space="0" w:color="auto"/>
              <w:right w:val="single" w:sz="4" w:space="0" w:color="auto"/>
            </w:tcBorders>
            <w:vAlign w:val="center"/>
            <w:hideMark/>
          </w:tcPr>
          <w:p w:rsidR="001A26B0" w:rsidRDefault="001A26B0">
            <w:pPr>
              <w:spacing w:after="120"/>
              <w:jc w:val="left"/>
              <w:rPr>
                <w:noProof/>
                <w:szCs w:val="24"/>
              </w:rPr>
            </w:pPr>
          </w:p>
        </w:tc>
        <w:tc>
          <w:tcPr>
            <w:tcW w:w="1039"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rPr>
                <w:noProof/>
                <w:szCs w:val="24"/>
              </w:rPr>
            </w:pPr>
            <w:r>
              <w:rPr>
                <w:noProof/>
                <w:szCs w:val="24"/>
              </w:rPr>
              <w:t>TL40</w:t>
            </w:r>
          </w:p>
        </w:tc>
        <w:tc>
          <w:tcPr>
            <w:tcW w:w="886" w:type="pct"/>
            <w:tcBorders>
              <w:top w:val="single" w:sz="4" w:space="0" w:color="auto"/>
              <w:left w:val="nil"/>
              <w:bottom w:val="single" w:sz="4" w:space="0" w:color="auto"/>
              <w:right w:val="single" w:sz="4" w:space="0" w:color="auto"/>
            </w:tcBorders>
            <w:vAlign w:val="bottom"/>
          </w:tcPr>
          <w:p w:rsidR="001A26B0" w:rsidRDefault="00E33A99">
            <w:pPr>
              <w:tabs>
                <w:tab w:val="center" w:pos="1115"/>
              </w:tabs>
              <w:spacing w:after="120"/>
              <w:jc w:val="right"/>
              <w:rPr>
                <w:noProof/>
                <w:szCs w:val="24"/>
              </w:rPr>
            </w:pPr>
            <w:r>
              <w:rPr>
                <w:noProof/>
                <w:szCs w:val="24"/>
              </w:rPr>
              <w:t>0.6%</w:t>
            </w:r>
          </w:p>
        </w:tc>
        <w:tc>
          <w:tcPr>
            <w:tcW w:w="796" w:type="pct"/>
            <w:tcBorders>
              <w:top w:val="nil"/>
              <w:left w:val="single" w:sz="4" w:space="0" w:color="auto"/>
              <w:bottom w:val="single" w:sz="4" w:space="0" w:color="auto"/>
              <w:right w:val="single" w:sz="4" w:space="0" w:color="auto"/>
            </w:tcBorders>
            <w:shd w:val="clear" w:color="auto" w:fill="auto"/>
            <w:noWrap/>
            <w:vAlign w:val="bottom"/>
            <w:hideMark/>
          </w:tcPr>
          <w:p w:rsidR="001A26B0" w:rsidRDefault="00E33A99">
            <w:pPr>
              <w:tabs>
                <w:tab w:val="center" w:pos="1115"/>
              </w:tabs>
              <w:spacing w:after="120"/>
              <w:jc w:val="right"/>
              <w:rPr>
                <w:noProof/>
                <w:szCs w:val="24"/>
              </w:rPr>
            </w:pPr>
            <w:r>
              <w:rPr>
                <w:noProof/>
                <w:szCs w:val="24"/>
              </w:rPr>
              <w:t>1.8%</w:t>
            </w:r>
          </w:p>
        </w:tc>
        <w:tc>
          <w:tcPr>
            <w:tcW w:w="797" w:type="pct"/>
            <w:tcBorders>
              <w:top w:val="nil"/>
              <w:left w:val="nil"/>
              <w:bottom w:val="single" w:sz="4" w:space="0" w:color="auto"/>
              <w:right w:val="single" w:sz="4" w:space="0" w:color="auto"/>
            </w:tcBorders>
            <w:shd w:val="clear" w:color="auto" w:fill="auto"/>
            <w:noWrap/>
            <w:vAlign w:val="bottom"/>
            <w:hideMark/>
          </w:tcPr>
          <w:p w:rsidR="001A26B0" w:rsidRDefault="00E33A99">
            <w:pPr>
              <w:tabs>
                <w:tab w:val="center" w:pos="1115"/>
              </w:tabs>
              <w:spacing w:after="120"/>
              <w:jc w:val="right"/>
              <w:rPr>
                <w:noProof/>
                <w:szCs w:val="24"/>
              </w:rPr>
            </w:pPr>
            <w:r>
              <w:rPr>
                <w:noProof/>
                <w:szCs w:val="24"/>
              </w:rPr>
              <w:t>1.3%</w:t>
            </w:r>
          </w:p>
        </w:tc>
      </w:tr>
      <w:tr w:rsidR="001A26B0">
        <w:trPr>
          <w:trHeight w:val="300"/>
        </w:trPr>
        <w:tc>
          <w:tcPr>
            <w:tcW w:w="1482" w:type="pct"/>
            <w:vMerge w:val="restart"/>
            <w:tcBorders>
              <w:top w:val="nil"/>
              <w:left w:val="single" w:sz="4" w:space="0" w:color="auto"/>
              <w:right w:val="single" w:sz="4" w:space="0" w:color="auto"/>
            </w:tcBorders>
            <w:shd w:val="clear" w:color="auto" w:fill="auto"/>
            <w:noWrap/>
            <w:vAlign w:val="center"/>
          </w:tcPr>
          <w:p w:rsidR="001A26B0" w:rsidRDefault="00E33A99">
            <w:pPr>
              <w:spacing w:after="120"/>
              <w:jc w:val="left"/>
              <w:rPr>
                <w:noProof/>
                <w:szCs w:val="24"/>
              </w:rPr>
            </w:pPr>
            <w:r>
              <w:rPr>
                <w:noProof/>
                <w:szCs w:val="24"/>
              </w:rPr>
              <w:t xml:space="preserve">Fossil </w:t>
            </w:r>
            <w:r>
              <w:rPr>
                <w:noProof/>
                <w:szCs w:val="24"/>
              </w:rPr>
              <w:t>Fuels</w:t>
            </w:r>
          </w:p>
        </w:tc>
        <w:tc>
          <w:tcPr>
            <w:tcW w:w="1039" w:type="pct"/>
            <w:tcBorders>
              <w:top w:val="nil"/>
              <w:left w:val="nil"/>
              <w:bottom w:val="single" w:sz="4" w:space="0" w:color="auto"/>
              <w:right w:val="single" w:sz="4" w:space="0" w:color="auto"/>
            </w:tcBorders>
            <w:shd w:val="clear" w:color="auto" w:fill="auto"/>
            <w:noWrap/>
            <w:vAlign w:val="bottom"/>
          </w:tcPr>
          <w:p w:rsidR="001A26B0" w:rsidRDefault="00E33A99">
            <w:pPr>
              <w:spacing w:after="120"/>
              <w:rPr>
                <w:noProof/>
                <w:szCs w:val="24"/>
              </w:rPr>
            </w:pPr>
            <w:r>
              <w:rPr>
                <w:noProof/>
                <w:szCs w:val="24"/>
              </w:rPr>
              <w:t>TL0 (Baseline)</w:t>
            </w:r>
          </w:p>
        </w:tc>
        <w:tc>
          <w:tcPr>
            <w:tcW w:w="886" w:type="pct"/>
            <w:tcBorders>
              <w:top w:val="single" w:sz="4" w:space="0" w:color="auto"/>
              <w:left w:val="nil"/>
              <w:bottom w:val="single" w:sz="4" w:space="0" w:color="auto"/>
              <w:right w:val="single" w:sz="4" w:space="0" w:color="auto"/>
            </w:tcBorders>
            <w:vAlign w:val="bottom"/>
          </w:tcPr>
          <w:p w:rsidR="001A26B0" w:rsidRDefault="00E33A99">
            <w:pPr>
              <w:tabs>
                <w:tab w:val="center" w:pos="1115"/>
              </w:tabs>
              <w:spacing w:after="120"/>
              <w:jc w:val="right"/>
              <w:rPr>
                <w:noProof/>
                <w:color w:val="000000"/>
                <w:szCs w:val="24"/>
              </w:rPr>
            </w:pPr>
            <w:r>
              <w:rPr>
                <w:noProof/>
                <w:color w:val="000000"/>
                <w:szCs w:val="24"/>
              </w:rPr>
              <w:t>589,878</w:t>
            </w:r>
          </w:p>
        </w:tc>
        <w:tc>
          <w:tcPr>
            <w:tcW w:w="796" w:type="pct"/>
            <w:tcBorders>
              <w:top w:val="nil"/>
              <w:left w:val="single" w:sz="4" w:space="0" w:color="auto"/>
              <w:bottom w:val="single" w:sz="4" w:space="0" w:color="auto"/>
              <w:right w:val="single" w:sz="4" w:space="0" w:color="auto"/>
            </w:tcBorders>
            <w:shd w:val="clear" w:color="auto" w:fill="auto"/>
            <w:noWrap/>
            <w:vAlign w:val="bottom"/>
          </w:tcPr>
          <w:p w:rsidR="001A26B0" w:rsidRDefault="00E33A99">
            <w:pPr>
              <w:tabs>
                <w:tab w:val="center" w:pos="1115"/>
              </w:tabs>
              <w:spacing w:after="120"/>
              <w:jc w:val="right"/>
              <w:rPr>
                <w:noProof/>
                <w:color w:val="000000"/>
                <w:szCs w:val="24"/>
              </w:rPr>
            </w:pPr>
            <w:r>
              <w:rPr>
                <w:noProof/>
                <w:color w:val="000000"/>
                <w:szCs w:val="24"/>
              </w:rPr>
              <w:t>579,307</w:t>
            </w:r>
          </w:p>
        </w:tc>
        <w:tc>
          <w:tcPr>
            <w:tcW w:w="797" w:type="pct"/>
            <w:tcBorders>
              <w:top w:val="nil"/>
              <w:left w:val="nil"/>
              <w:bottom w:val="single" w:sz="4" w:space="0" w:color="auto"/>
              <w:right w:val="single" w:sz="4" w:space="0" w:color="auto"/>
            </w:tcBorders>
            <w:shd w:val="clear" w:color="auto" w:fill="auto"/>
            <w:noWrap/>
            <w:vAlign w:val="bottom"/>
          </w:tcPr>
          <w:p w:rsidR="001A26B0" w:rsidRDefault="00E33A99">
            <w:pPr>
              <w:tabs>
                <w:tab w:val="center" w:pos="1115"/>
              </w:tabs>
              <w:spacing w:after="120"/>
              <w:jc w:val="right"/>
              <w:rPr>
                <w:noProof/>
                <w:color w:val="000000"/>
                <w:szCs w:val="24"/>
              </w:rPr>
            </w:pPr>
            <w:r>
              <w:rPr>
                <w:noProof/>
                <w:color w:val="000000"/>
                <w:szCs w:val="24"/>
              </w:rPr>
              <w:t>582,956</w:t>
            </w:r>
          </w:p>
        </w:tc>
      </w:tr>
      <w:tr w:rsidR="001A26B0">
        <w:trPr>
          <w:trHeight w:val="300"/>
        </w:trPr>
        <w:tc>
          <w:tcPr>
            <w:tcW w:w="1482" w:type="pct"/>
            <w:vMerge/>
            <w:tcBorders>
              <w:left w:val="single" w:sz="4" w:space="0" w:color="auto"/>
              <w:right w:val="single" w:sz="4" w:space="0" w:color="auto"/>
            </w:tcBorders>
            <w:shd w:val="clear" w:color="auto" w:fill="auto"/>
            <w:noWrap/>
            <w:vAlign w:val="center"/>
            <w:hideMark/>
          </w:tcPr>
          <w:p w:rsidR="001A26B0" w:rsidRDefault="001A26B0">
            <w:pPr>
              <w:spacing w:after="120"/>
              <w:jc w:val="left"/>
              <w:rPr>
                <w:noProof/>
                <w:szCs w:val="24"/>
              </w:rPr>
            </w:pPr>
          </w:p>
        </w:tc>
        <w:tc>
          <w:tcPr>
            <w:tcW w:w="1039"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rPr>
                <w:noProof/>
                <w:szCs w:val="24"/>
              </w:rPr>
            </w:pPr>
            <w:r>
              <w:rPr>
                <w:noProof/>
                <w:szCs w:val="24"/>
              </w:rPr>
              <w:t>TL20</w:t>
            </w:r>
          </w:p>
        </w:tc>
        <w:tc>
          <w:tcPr>
            <w:tcW w:w="886" w:type="pct"/>
            <w:tcBorders>
              <w:top w:val="single" w:sz="4" w:space="0" w:color="auto"/>
              <w:left w:val="nil"/>
              <w:bottom w:val="single" w:sz="4" w:space="0" w:color="auto"/>
              <w:right w:val="single" w:sz="4" w:space="0" w:color="auto"/>
            </w:tcBorders>
            <w:vAlign w:val="bottom"/>
          </w:tcPr>
          <w:p w:rsidR="001A26B0" w:rsidRDefault="00E33A99">
            <w:pPr>
              <w:tabs>
                <w:tab w:val="center" w:pos="1115"/>
              </w:tabs>
              <w:spacing w:after="120"/>
              <w:jc w:val="right"/>
              <w:rPr>
                <w:noProof/>
                <w:szCs w:val="24"/>
              </w:rPr>
            </w:pPr>
            <w:r>
              <w:rPr>
                <w:noProof/>
                <w:szCs w:val="24"/>
              </w:rPr>
              <w:t>-0.2%</w:t>
            </w:r>
          </w:p>
        </w:tc>
        <w:tc>
          <w:tcPr>
            <w:tcW w:w="796" w:type="pct"/>
            <w:tcBorders>
              <w:top w:val="nil"/>
              <w:left w:val="single" w:sz="4" w:space="0" w:color="auto"/>
              <w:bottom w:val="single" w:sz="4" w:space="0" w:color="auto"/>
              <w:right w:val="single" w:sz="4" w:space="0" w:color="auto"/>
            </w:tcBorders>
            <w:shd w:val="clear" w:color="auto" w:fill="auto"/>
            <w:noWrap/>
            <w:vAlign w:val="bottom"/>
            <w:hideMark/>
          </w:tcPr>
          <w:p w:rsidR="001A26B0" w:rsidRDefault="00E33A99">
            <w:pPr>
              <w:tabs>
                <w:tab w:val="center" w:pos="1115"/>
              </w:tabs>
              <w:spacing w:after="120"/>
              <w:jc w:val="right"/>
              <w:rPr>
                <w:noProof/>
                <w:szCs w:val="24"/>
              </w:rPr>
            </w:pPr>
            <w:r>
              <w:rPr>
                <w:noProof/>
                <w:szCs w:val="24"/>
              </w:rPr>
              <w:t>-0.4%</w:t>
            </w:r>
          </w:p>
        </w:tc>
        <w:tc>
          <w:tcPr>
            <w:tcW w:w="797" w:type="pct"/>
            <w:tcBorders>
              <w:top w:val="nil"/>
              <w:left w:val="nil"/>
              <w:bottom w:val="single" w:sz="4" w:space="0" w:color="auto"/>
              <w:right w:val="single" w:sz="4" w:space="0" w:color="auto"/>
            </w:tcBorders>
            <w:shd w:val="clear" w:color="auto" w:fill="auto"/>
            <w:noWrap/>
            <w:vAlign w:val="bottom"/>
            <w:hideMark/>
          </w:tcPr>
          <w:p w:rsidR="001A26B0" w:rsidRDefault="00E33A99">
            <w:pPr>
              <w:tabs>
                <w:tab w:val="center" w:pos="1115"/>
              </w:tabs>
              <w:spacing w:after="120"/>
              <w:jc w:val="right"/>
              <w:rPr>
                <w:noProof/>
                <w:szCs w:val="24"/>
              </w:rPr>
            </w:pPr>
            <w:r>
              <w:rPr>
                <w:noProof/>
                <w:szCs w:val="24"/>
              </w:rPr>
              <w:t>-0.8%</w:t>
            </w:r>
          </w:p>
        </w:tc>
      </w:tr>
      <w:tr w:rsidR="001A26B0">
        <w:trPr>
          <w:trHeight w:val="300"/>
        </w:trPr>
        <w:tc>
          <w:tcPr>
            <w:tcW w:w="1482" w:type="pct"/>
            <w:vMerge/>
            <w:tcBorders>
              <w:left w:val="single" w:sz="4" w:space="0" w:color="auto"/>
              <w:right w:val="single" w:sz="4" w:space="0" w:color="auto"/>
            </w:tcBorders>
            <w:vAlign w:val="center"/>
            <w:hideMark/>
          </w:tcPr>
          <w:p w:rsidR="001A26B0" w:rsidRDefault="001A26B0">
            <w:pPr>
              <w:spacing w:after="120"/>
              <w:jc w:val="left"/>
              <w:rPr>
                <w:noProof/>
                <w:szCs w:val="24"/>
              </w:rPr>
            </w:pPr>
          </w:p>
        </w:tc>
        <w:tc>
          <w:tcPr>
            <w:tcW w:w="1039"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rPr>
                <w:noProof/>
                <w:szCs w:val="24"/>
              </w:rPr>
            </w:pPr>
            <w:r>
              <w:rPr>
                <w:noProof/>
                <w:szCs w:val="24"/>
              </w:rPr>
              <w:t>TL30c/25v</w:t>
            </w:r>
          </w:p>
        </w:tc>
        <w:tc>
          <w:tcPr>
            <w:tcW w:w="886" w:type="pct"/>
            <w:tcBorders>
              <w:top w:val="single" w:sz="4" w:space="0" w:color="auto"/>
              <w:left w:val="nil"/>
              <w:bottom w:val="single" w:sz="4" w:space="0" w:color="auto"/>
              <w:right w:val="single" w:sz="4" w:space="0" w:color="auto"/>
            </w:tcBorders>
            <w:vAlign w:val="bottom"/>
          </w:tcPr>
          <w:p w:rsidR="001A26B0" w:rsidRDefault="00E33A99">
            <w:pPr>
              <w:tabs>
                <w:tab w:val="center" w:pos="1115"/>
              </w:tabs>
              <w:spacing w:after="120"/>
              <w:jc w:val="right"/>
              <w:rPr>
                <w:noProof/>
                <w:szCs w:val="24"/>
              </w:rPr>
            </w:pPr>
            <w:r>
              <w:rPr>
                <w:noProof/>
                <w:szCs w:val="24"/>
              </w:rPr>
              <w:t>-0.2%</w:t>
            </w:r>
          </w:p>
        </w:tc>
        <w:tc>
          <w:tcPr>
            <w:tcW w:w="796" w:type="pct"/>
            <w:tcBorders>
              <w:top w:val="nil"/>
              <w:left w:val="single" w:sz="4" w:space="0" w:color="auto"/>
              <w:bottom w:val="single" w:sz="4" w:space="0" w:color="auto"/>
              <w:right w:val="single" w:sz="4" w:space="0" w:color="auto"/>
            </w:tcBorders>
            <w:shd w:val="clear" w:color="auto" w:fill="auto"/>
            <w:noWrap/>
            <w:vAlign w:val="bottom"/>
            <w:hideMark/>
          </w:tcPr>
          <w:p w:rsidR="001A26B0" w:rsidRDefault="00E33A99">
            <w:pPr>
              <w:tabs>
                <w:tab w:val="center" w:pos="1115"/>
              </w:tabs>
              <w:spacing w:after="120"/>
              <w:jc w:val="right"/>
              <w:rPr>
                <w:noProof/>
                <w:szCs w:val="24"/>
              </w:rPr>
            </w:pPr>
            <w:r>
              <w:rPr>
                <w:noProof/>
                <w:szCs w:val="24"/>
              </w:rPr>
              <w:t>-0.5%</w:t>
            </w:r>
          </w:p>
        </w:tc>
        <w:tc>
          <w:tcPr>
            <w:tcW w:w="797" w:type="pct"/>
            <w:tcBorders>
              <w:top w:val="nil"/>
              <w:left w:val="nil"/>
              <w:bottom w:val="single" w:sz="4" w:space="0" w:color="auto"/>
              <w:right w:val="single" w:sz="4" w:space="0" w:color="auto"/>
            </w:tcBorders>
            <w:shd w:val="clear" w:color="auto" w:fill="auto"/>
            <w:noWrap/>
            <w:vAlign w:val="bottom"/>
            <w:hideMark/>
          </w:tcPr>
          <w:p w:rsidR="001A26B0" w:rsidRDefault="00E33A99">
            <w:pPr>
              <w:tabs>
                <w:tab w:val="center" w:pos="1115"/>
              </w:tabs>
              <w:spacing w:after="120"/>
              <w:jc w:val="right"/>
              <w:rPr>
                <w:noProof/>
                <w:szCs w:val="24"/>
              </w:rPr>
            </w:pPr>
            <w:r>
              <w:rPr>
                <w:noProof/>
                <w:szCs w:val="24"/>
              </w:rPr>
              <w:t>-1.0%</w:t>
            </w:r>
          </w:p>
        </w:tc>
      </w:tr>
      <w:tr w:rsidR="001A26B0">
        <w:trPr>
          <w:trHeight w:val="300"/>
        </w:trPr>
        <w:tc>
          <w:tcPr>
            <w:tcW w:w="1482" w:type="pct"/>
            <w:vMerge/>
            <w:tcBorders>
              <w:left w:val="single" w:sz="4" w:space="0" w:color="auto"/>
              <w:bottom w:val="single" w:sz="4" w:space="0" w:color="auto"/>
              <w:right w:val="single" w:sz="4" w:space="0" w:color="auto"/>
            </w:tcBorders>
            <w:vAlign w:val="center"/>
            <w:hideMark/>
          </w:tcPr>
          <w:p w:rsidR="001A26B0" w:rsidRDefault="001A26B0">
            <w:pPr>
              <w:spacing w:after="120"/>
              <w:jc w:val="left"/>
              <w:rPr>
                <w:noProof/>
                <w:szCs w:val="24"/>
              </w:rPr>
            </w:pPr>
          </w:p>
        </w:tc>
        <w:tc>
          <w:tcPr>
            <w:tcW w:w="1039"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rPr>
                <w:noProof/>
                <w:szCs w:val="24"/>
              </w:rPr>
            </w:pPr>
            <w:r>
              <w:rPr>
                <w:noProof/>
                <w:szCs w:val="24"/>
              </w:rPr>
              <w:t>TL40</w:t>
            </w:r>
          </w:p>
        </w:tc>
        <w:tc>
          <w:tcPr>
            <w:tcW w:w="886" w:type="pct"/>
            <w:tcBorders>
              <w:top w:val="single" w:sz="4" w:space="0" w:color="auto"/>
              <w:left w:val="nil"/>
              <w:bottom w:val="single" w:sz="4" w:space="0" w:color="auto"/>
              <w:right w:val="single" w:sz="4" w:space="0" w:color="auto"/>
            </w:tcBorders>
            <w:vAlign w:val="bottom"/>
          </w:tcPr>
          <w:p w:rsidR="001A26B0" w:rsidRDefault="00E33A99">
            <w:pPr>
              <w:tabs>
                <w:tab w:val="center" w:pos="1115"/>
              </w:tabs>
              <w:spacing w:after="120"/>
              <w:jc w:val="right"/>
              <w:rPr>
                <w:noProof/>
                <w:szCs w:val="24"/>
              </w:rPr>
            </w:pPr>
            <w:r>
              <w:rPr>
                <w:noProof/>
                <w:szCs w:val="24"/>
              </w:rPr>
              <w:t>-0.3%</w:t>
            </w:r>
          </w:p>
        </w:tc>
        <w:tc>
          <w:tcPr>
            <w:tcW w:w="796" w:type="pct"/>
            <w:tcBorders>
              <w:top w:val="nil"/>
              <w:left w:val="single" w:sz="4" w:space="0" w:color="auto"/>
              <w:bottom w:val="single" w:sz="4" w:space="0" w:color="auto"/>
              <w:right w:val="single" w:sz="4" w:space="0" w:color="auto"/>
            </w:tcBorders>
            <w:shd w:val="clear" w:color="auto" w:fill="auto"/>
            <w:noWrap/>
            <w:vAlign w:val="bottom"/>
            <w:hideMark/>
          </w:tcPr>
          <w:p w:rsidR="001A26B0" w:rsidRDefault="00E33A99">
            <w:pPr>
              <w:tabs>
                <w:tab w:val="center" w:pos="1115"/>
              </w:tabs>
              <w:spacing w:after="120"/>
              <w:jc w:val="right"/>
              <w:rPr>
                <w:noProof/>
                <w:szCs w:val="24"/>
              </w:rPr>
            </w:pPr>
            <w:r>
              <w:rPr>
                <w:noProof/>
                <w:szCs w:val="24"/>
              </w:rPr>
              <w:t>-1.3%</w:t>
            </w:r>
          </w:p>
        </w:tc>
        <w:tc>
          <w:tcPr>
            <w:tcW w:w="797" w:type="pct"/>
            <w:tcBorders>
              <w:top w:val="nil"/>
              <w:left w:val="nil"/>
              <w:bottom w:val="single" w:sz="4" w:space="0" w:color="auto"/>
              <w:right w:val="single" w:sz="4" w:space="0" w:color="auto"/>
            </w:tcBorders>
            <w:shd w:val="clear" w:color="auto" w:fill="auto"/>
            <w:noWrap/>
            <w:vAlign w:val="bottom"/>
            <w:hideMark/>
          </w:tcPr>
          <w:p w:rsidR="001A26B0" w:rsidRDefault="00E33A99">
            <w:pPr>
              <w:tabs>
                <w:tab w:val="center" w:pos="1115"/>
              </w:tabs>
              <w:spacing w:after="120"/>
              <w:jc w:val="right"/>
              <w:rPr>
                <w:noProof/>
                <w:szCs w:val="24"/>
              </w:rPr>
            </w:pPr>
            <w:r>
              <w:rPr>
                <w:noProof/>
                <w:szCs w:val="24"/>
              </w:rPr>
              <w:t>-1.9%</w:t>
            </w:r>
          </w:p>
        </w:tc>
      </w:tr>
      <w:tr w:rsidR="001A26B0">
        <w:trPr>
          <w:trHeight w:val="300"/>
        </w:trPr>
        <w:tc>
          <w:tcPr>
            <w:tcW w:w="1482" w:type="pct"/>
            <w:vMerge w:val="restart"/>
            <w:tcBorders>
              <w:top w:val="nil"/>
              <w:left w:val="single" w:sz="4" w:space="0" w:color="auto"/>
              <w:right w:val="single" w:sz="4" w:space="0" w:color="auto"/>
            </w:tcBorders>
            <w:shd w:val="clear" w:color="auto" w:fill="auto"/>
            <w:noWrap/>
            <w:vAlign w:val="center"/>
          </w:tcPr>
          <w:p w:rsidR="001A26B0" w:rsidRDefault="00E33A99">
            <w:pPr>
              <w:spacing w:after="120"/>
              <w:jc w:val="left"/>
              <w:rPr>
                <w:noProof/>
                <w:szCs w:val="24"/>
              </w:rPr>
            </w:pPr>
            <w:r>
              <w:rPr>
                <w:noProof/>
                <w:szCs w:val="24"/>
              </w:rPr>
              <w:t>Electricity</w:t>
            </w:r>
          </w:p>
        </w:tc>
        <w:tc>
          <w:tcPr>
            <w:tcW w:w="1039" w:type="pct"/>
            <w:tcBorders>
              <w:top w:val="nil"/>
              <w:left w:val="nil"/>
              <w:bottom w:val="single" w:sz="4" w:space="0" w:color="auto"/>
              <w:right w:val="single" w:sz="4" w:space="0" w:color="auto"/>
            </w:tcBorders>
            <w:shd w:val="clear" w:color="auto" w:fill="auto"/>
            <w:noWrap/>
            <w:vAlign w:val="bottom"/>
          </w:tcPr>
          <w:p w:rsidR="001A26B0" w:rsidRDefault="00E33A99">
            <w:pPr>
              <w:spacing w:after="120"/>
              <w:rPr>
                <w:noProof/>
                <w:szCs w:val="24"/>
              </w:rPr>
            </w:pPr>
            <w:r>
              <w:rPr>
                <w:noProof/>
                <w:szCs w:val="24"/>
              </w:rPr>
              <w:t>TL0 (Baseline)</w:t>
            </w:r>
          </w:p>
        </w:tc>
        <w:tc>
          <w:tcPr>
            <w:tcW w:w="886" w:type="pct"/>
            <w:tcBorders>
              <w:top w:val="single" w:sz="4" w:space="0" w:color="auto"/>
              <w:left w:val="nil"/>
              <w:bottom w:val="single" w:sz="4" w:space="0" w:color="auto"/>
              <w:right w:val="single" w:sz="4" w:space="0" w:color="auto"/>
            </w:tcBorders>
            <w:vAlign w:val="bottom"/>
          </w:tcPr>
          <w:p w:rsidR="001A26B0" w:rsidRDefault="00E33A99">
            <w:pPr>
              <w:tabs>
                <w:tab w:val="center" w:pos="1115"/>
              </w:tabs>
              <w:spacing w:after="120"/>
              <w:jc w:val="right"/>
              <w:rPr>
                <w:noProof/>
                <w:color w:val="000000"/>
                <w:szCs w:val="24"/>
              </w:rPr>
            </w:pPr>
            <w:r>
              <w:rPr>
                <w:noProof/>
                <w:color w:val="000000"/>
                <w:szCs w:val="24"/>
              </w:rPr>
              <w:t>1,054,960</w:t>
            </w:r>
          </w:p>
        </w:tc>
        <w:tc>
          <w:tcPr>
            <w:tcW w:w="796" w:type="pct"/>
            <w:tcBorders>
              <w:top w:val="nil"/>
              <w:left w:val="single" w:sz="4" w:space="0" w:color="auto"/>
              <w:bottom w:val="single" w:sz="4" w:space="0" w:color="auto"/>
              <w:right w:val="single" w:sz="4" w:space="0" w:color="auto"/>
            </w:tcBorders>
            <w:shd w:val="clear" w:color="auto" w:fill="auto"/>
            <w:noWrap/>
            <w:vAlign w:val="bottom"/>
          </w:tcPr>
          <w:p w:rsidR="001A26B0" w:rsidRDefault="00E33A99">
            <w:pPr>
              <w:tabs>
                <w:tab w:val="center" w:pos="1115"/>
              </w:tabs>
              <w:spacing w:after="120"/>
              <w:jc w:val="right"/>
              <w:rPr>
                <w:noProof/>
                <w:color w:val="000000"/>
                <w:szCs w:val="24"/>
              </w:rPr>
            </w:pPr>
            <w:r>
              <w:rPr>
                <w:noProof/>
                <w:color w:val="000000"/>
                <w:szCs w:val="24"/>
              </w:rPr>
              <w:t>1,134,433</w:t>
            </w:r>
          </w:p>
        </w:tc>
        <w:tc>
          <w:tcPr>
            <w:tcW w:w="797" w:type="pct"/>
            <w:tcBorders>
              <w:top w:val="nil"/>
              <w:left w:val="nil"/>
              <w:bottom w:val="single" w:sz="4" w:space="0" w:color="auto"/>
              <w:right w:val="single" w:sz="4" w:space="0" w:color="auto"/>
            </w:tcBorders>
            <w:shd w:val="clear" w:color="auto" w:fill="auto"/>
            <w:noWrap/>
            <w:vAlign w:val="bottom"/>
          </w:tcPr>
          <w:p w:rsidR="001A26B0" w:rsidRDefault="00E33A99">
            <w:pPr>
              <w:tabs>
                <w:tab w:val="center" w:pos="1115"/>
              </w:tabs>
              <w:spacing w:after="120"/>
              <w:jc w:val="right"/>
              <w:rPr>
                <w:noProof/>
                <w:color w:val="000000"/>
                <w:szCs w:val="24"/>
              </w:rPr>
            </w:pPr>
            <w:r>
              <w:rPr>
                <w:noProof/>
                <w:color w:val="000000"/>
                <w:szCs w:val="24"/>
              </w:rPr>
              <w:t>1,287,253</w:t>
            </w:r>
          </w:p>
        </w:tc>
      </w:tr>
      <w:tr w:rsidR="001A26B0">
        <w:trPr>
          <w:trHeight w:val="300"/>
        </w:trPr>
        <w:tc>
          <w:tcPr>
            <w:tcW w:w="1482" w:type="pct"/>
            <w:vMerge/>
            <w:tcBorders>
              <w:left w:val="single" w:sz="4" w:space="0" w:color="auto"/>
              <w:right w:val="single" w:sz="4" w:space="0" w:color="auto"/>
            </w:tcBorders>
            <w:shd w:val="clear" w:color="auto" w:fill="auto"/>
            <w:noWrap/>
            <w:vAlign w:val="center"/>
            <w:hideMark/>
          </w:tcPr>
          <w:p w:rsidR="001A26B0" w:rsidRDefault="001A26B0">
            <w:pPr>
              <w:spacing w:after="120"/>
              <w:jc w:val="left"/>
              <w:rPr>
                <w:noProof/>
                <w:szCs w:val="24"/>
              </w:rPr>
            </w:pPr>
          </w:p>
        </w:tc>
        <w:tc>
          <w:tcPr>
            <w:tcW w:w="1039"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rPr>
                <w:noProof/>
                <w:szCs w:val="24"/>
              </w:rPr>
            </w:pPr>
            <w:r>
              <w:rPr>
                <w:noProof/>
                <w:szCs w:val="24"/>
              </w:rPr>
              <w:t>TL20</w:t>
            </w:r>
          </w:p>
        </w:tc>
        <w:tc>
          <w:tcPr>
            <w:tcW w:w="886" w:type="pct"/>
            <w:tcBorders>
              <w:top w:val="single" w:sz="4" w:space="0" w:color="auto"/>
              <w:left w:val="nil"/>
              <w:bottom w:val="single" w:sz="4" w:space="0" w:color="auto"/>
              <w:right w:val="single" w:sz="4" w:space="0" w:color="auto"/>
            </w:tcBorders>
            <w:vAlign w:val="bottom"/>
          </w:tcPr>
          <w:p w:rsidR="001A26B0" w:rsidRDefault="00E33A99">
            <w:pPr>
              <w:tabs>
                <w:tab w:val="center" w:pos="1115"/>
              </w:tabs>
              <w:spacing w:after="120"/>
              <w:jc w:val="right"/>
              <w:rPr>
                <w:noProof/>
                <w:szCs w:val="24"/>
              </w:rPr>
            </w:pPr>
            <w:r>
              <w:rPr>
                <w:noProof/>
                <w:szCs w:val="24"/>
              </w:rPr>
              <w:t>0.2%</w:t>
            </w:r>
          </w:p>
        </w:tc>
        <w:tc>
          <w:tcPr>
            <w:tcW w:w="796" w:type="pct"/>
            <w:tcBorders>
              <w:top w:val="nil"/>
              <w:left w:val="single" w:sz="4" w:space="0" w:color="auto"/>
              <w:bottom w:val="single" w:sz="4" w:space="0" w:color="auto"/>
              <w:right w:val="single" w:sz="4" w:space="0" w:color="auto"/>
            </w:tcBorders>
            <w:shd w:val="clear" w:color="auto" w:fill="auto"/>
            <w:noWrap/>
            <w:vAlign w:val="bottom"/>
            <w:hideMark/>
          </w:tcPr>
          <w:p w:rsidR="001A26B0" w:rsidRDefault="00E33A99">
            <w:pPr>
              <w:tabs>
                <w:tab w:val="center" w:pos="1115"/>
              </w:tabs>
              <w:spacing w:after="120"/>
              <w:jc w:val="right"/>
              <w:rPr>
                <w:noProof/>
                <w:szCs w:val="24"/>
              </w:rPr>
            </w:pPr>
            <w:r>
              <w:rPr>
                <w:noProof/>
                <w:szCs w:val="24"/>
              </w:rPr>
              <w:t>0.4%</w:t>
            </w:r>
          </w:p>
        </w:tc>
        <w:tc>
          <w:tcPr>
            <w:tcW w:w="797" w:type="pct"/>
            <w:tcBorders>
              <w:top w:val="nil"/>
              <w:left w:val="nil"/>
              <w:bottom w:val="single" w:sz="4" w:space="0" w:color="auto"/>
              <w:right w:val="single" w:sz="4" w:space="0" w:color="auto"/>
            </w:tcBorders>
            <w:shd w:val="clear" w:color="auto" w:fill="auto"/>
            <w:noWrap/>
            <w:vAlign w:val="bottom"/>
            <w:hideMark/>
          </w:tcPr>
          <w:p w:rsidR="001A26B0" w:rsidRDefault="00E33A99">
            <w:pPr>
              <w:tabs>
                <w:tab w:val="center" w:pos="1115"/>
              </w:tabs>
              <w:spacing w:after="120"/>
              <w:jc w:val="right"/>
              <w:rPr>
                <w:noProof/>
                <w:szCs w:val="24"/>
              </w:rPr>
            </w:pPr>
            <w:r>
              <w:rPr>
                <w:noProof/>
                <w:szCs w:val="24"/>
              </w:rPr>
              <w:t>1.1%</w:t>
            </w:r>
          </w:p>
        </w:tc>
      </w:tr>
      <w:tr w:rsidR="001A26B0">
        <w:trPr>
          <w:trHeight w:val="300"/>
        </w:trPr>
        <w:tc>
          <w:tcPr>
            <w:tcW w:w="1482" w:type="pct"/>
            <w:vMerge/>
            <w:tcBorders>
              <w:left w:val="single" w:sz="4" w:space="0" w:color="auto"/>
              <w:right w:val="single" w:sz="4" w:space="0" w:color="auto"/>
            </w:tcBorders>
            <w:vAlign w:val="center"/>
            <w:hideMark/>
          </w:tcPr>
          <w:p w:rsidR="001A26B0" w:rsidRDefault="001A26B0">
            <w:pPr>
              <w:spacing w:after="120"/>
              <w:jc w:val="left"/>
              <w:rPr>
                <w:noProof/>
                <w:szCs w:val="24"/>
              </w:rPr>
            </w:pPr>
          </w:p>
        </w:tc>
        <w:tc>
          <w:tcPr>
            <w:tcW w:w="1039"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rPr>
                <w:noProof/>
                <w:szCs w:val="24"/>
              </w:rPr>
            </w:pPr>
            <w:r>
              <w:rPr>
                <w:noProof/>
                <w:szCs w:val="24"/>
              </w:rPr>
              <w:t>TL30c/25v</w:t>
            </w:r>
          </w:p>
        </w:tc>
        <w:tc>
          <w:tcPr>
            <w:tcW w:w="886" w:type="pct"/>
            <w:tcBorders>
              <w:top w:val="single" w:sz="4" w:space="0" w:color="auto"/>
              <w:left w:val="nil"/>
              <w:bottom w:val="single" w:sz="4" w:space="0" w:color="auto"/>
              <w:right w:val="single" w:sz="4" w:space="0" w:color="auto"/>
            </w:tcBorders>
            <w:vAlign w:val="bottom"/>
          </w:tcPr>
          <w:p w:rsidR="001A26B0" w:rsidRDefault="00E33A99">
            <w:pPr>
              <w:tabs>
                <w:tab w:val="center" w:pos="1115"/>
              </w:tabs>
              <w:spacing w:after="120"/>
              <w:jc w:val="right"/>
              <w:rPr>
                <w:noProof/>
                <w:szCs w:val="24"/>
              </w:rPr>
            </w:pPr>
            <w:r>
              <w:rPr>
                <w:noProof/>
                <w:szCs w:val="24"/>
              </w:rPr>
              <w:t>0.2%</w:t>
            </w:r>
          </w:p>
        </w:tc>
        <w:tc>
          <w:tcPr>
            <w:tcW w:w="796" w:type="pct"/>
            <w:tcBorders>
              <w:top w:val="nil"/>
              <w:left w:val="single" w:sz="4" w:space="0" w:color="auto"/>
              <w:bottom w:val="single" w:sz="4" w:space="0" w:color="auto"/>
              <w:right w:val="single" w:sz="4" w:space="0" w:color="auto"/>
            </w:tcBorders>
            <w:shd w:val="clear" w:color="auto" w:fill="auto"/>
            <w:noWrap/>
            <w:vAlign w:val="bottom"/>
            <w:hideMark/>
          </w:tcPr>
          <w:p w:rsidR="001A26B0" w:rsidRDefault="00E33A99">
            <w:pPr>
              <w:tabs>
                <w:tab w:val="center" w:pos="1115"/>
              </w:tabs>
              <w:spacing w:after="120"/>
              <w:jc w:val="right"/>
              <w:rPr>
                <w:noProof/>
                <w:szCs w:val="24"/>
              </w:rPr>
            </w:pPr>
            <w:r>
              <w:rPr>
                <w:noProof/>
                <w:szCs w:val="24"/>
              </w:rPr>
              <w:t>0.5%</w:t>
            </w:r>
          </w:p>
        </w:tc>
        <w:tc>
          <w:tcPr>
            <w:tcW w:w="797" w:type="pct"/>
            <w:tcBorders>
              <w:top w:val="nil"/>
              <w:left w:val="nil"/>
              <w:bottom w:val="single" w:sz="4" w:space="0" w:color="auto"/>
              <w:right w:val="single" w:sz="4" w:space="0" w:color="auto"/>
            </w:tcBorders>
            <w:shd w:val="clear" w:color="auto" w:fill="auto"/>
            <w:noWrap/>
            <w:vAlign w:val="bottom"/>
            <w:hideMark/>
          </w:tcPr>
          <w:p w:rsidR="001A26B0" w:rsidRDefault="00E33A99">
            <w:pPr>
              <w:tabs>
                <w:tab w:val="center" w:pos="1115"/>
              </w:tabs>
              <w:spacing w:after="120"/>
              <w:jc w:val="right"/>
              <w:rPr>
                <w:noProof/>
                <w:szCs w:val="24"/>
              </w:rPr>
            </w:pPr>
            <w:r>
              <w:rPr>
                <w:noProof/>
                <w:szCs w:val="24"/>
              </w:rPr>
              <w:t>1.2%</w:t>
            </w:r>
          </w:p>
        </w:tc>
      </w:tr>
      <w:tr w:rsidR="001A26B0">
        <w:trPr>
          <w:trHeight w:val="300"/>
        </w:trPr>
        <w:tc>
          <w:tcPr>
            <w:tcW w:w="1482" w:type="pct"/>
            <w:vMerge/>
            <w:tcBorders>
              <w:left w:val="single" w:sz="4" w:space="0" w:color="auto"/>
              <w:bottom w:val="single" w:sz="4" w:space="0" w:color="auto"/>
              <w:right w:val="single" w:sz="4" w:space="0" w:color="auto"/>
            </w:tcBorders>
            <w:vAlign w:val="center"/>
            <w:hideMark/>
          </w:tcPr>
          <w:p w:rsidR="001A26B0" w:rsidRDefault="001A26B0">
            <w:pPr>
              <w:spacing w:after="120"/>
              <w:jc w:val="left"/>
              <w:rPr>
                <w:noProof/>
                <w:szCs w:val="24"/>
              </w:rPr>
            </w:pPr>
          </w:p>
        </w:tc>
        <w:tc>
          <w:tcPr>
            <w:tcW w:w="1039"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rPr>
                <w:noProof/>
                <w:szCs w:val="24"/>
              </w:rPr>
            </w:pPr>
            <w:r>
              <w:rPr>
                <w:noProof/>
                <w:szCs w:val="24"/>
              </w:rPr>
              <w:t>TL40</w:t>
            </w:r>
          </w:p>
        </w:tc>
        <w:tc>
          <w:tcPr>
            <w:tcW w:w="886" w:type="pct"/>
            <w:tcBorders>
              <w:top w:val="single" w:sz="4" w:space="0" w:color="auto"/>
              <w:left w:val="nil"/>
              <w:bottom w:val="single" w:sz="4" w:space="0" w:color="auto"/>
              <w:right w:val="single" w:sz="4" w:space="0" w:color="auto"/>
            </w:tcBorders>
            <w:vAlign w:val="bottom"/>
          </w:tcPr>
          <w:p w:rsidR="001A26B0" w:rsidRDefault="00E33A99">
            <w:pPr>
              <w:tabs>
                <w:tab w:val="center" w:pos="1115"/>
              </w:tabs>
              <w:spacing w:after="120"/>
              <w:jc w:val="right"/>
              <w:rPr>
                <w:noProof/>
                <w:szCs w:val="24"/>
              </w:rPr>
            </w:pPr>
            <w:r>
              <w:rPr>
                <w:noProof/>
                <w:szCs w:val="24"/>
              </w:rPr>
              <w:t>0.3%</w:t>
            </w:r>
          </w:p>
        </w:tc>
        <w:tc>
          <w:tcPr>
            <w:tcW w:w="796" w:type="pct"/>
            <w:tcBorders>
              <w:top w:val="nil"/>
              <w:left w:val="single" w:sz="4" w:space="0" w:color="auto"/>
              <w:bottom w:val="single" w:sz="4" w:space="0" w:color="auto"/>
              <w:right w:val="single" w:sz="4" w:space="0" w:color="auto"/>
            </w:tcBorders>
            <w:shd w:val="clear" w:color="auto" w:fill="auto"/>
            <w:noWrap/>
            <w:vAlign w:val="bottom"/>
            <w:hideMark/>
          </w:tcPr>
          <w:p w:rsidR="001A26B0" w:rsidRDefault="00E33A99">
            <w:pPr>
              <w:tabs>
                <w:tab w:val="center" w:pos="1115"/>
              </w:tabs>
              <w:spacing w:after="120"/>
              <w:jc w:val="right"/>
              <w:rPr>
                <w:noProof/>
                <w:szCs w:val="24"/>
              </w:rPr>
            </w:pPr>
            <w:r>
              <w:rPr>
                <w:noProof/>
                <w:szCs w:val="24"/>
              </w:rPr>
              <w:t>1.2%</w:t>
            </w:r>
          </w:p>
        </w:tc>
        <w:tc>
          <w:tcPr>
            <w:tcW w:w="797" w:type="pct"/>
            <w:tcBorders>
              <w:top w:val="nil"/>
              <w:left w:val="nil"/>
              <w:bottom w:val="single" w:sz="4" w:space="0" w:color="auto"/>
              <w:right w:val="single" w:sz="4" w:space="0" w:color="auto"/>
            </w:tcBorders>
            <w:shd w:val="clear" w:color="auto" w:fill="auto"/>
            <w:noWrap/>
            <w:vAlign w:val="bottom"/>
            <w:hideMark/>
          </w:tcPr>
          <w:p w:rsidR="001A26B0" w:rsidRDefault="00E33A99">
            <w:pPr>
              <w:tabs>
                <w:tab w:val="center" w:pos="1115"/>
              </w:tabs>
              <w:spacing w:after="120"/>
              <w:jc w:val="right"/>
              <w:rPr>
                <w:noProof/>
                <w:szCs w:val="24"/>
              </w:rPr>
            </w:pPr>
            <w:r>
              <w:rPr>
                <w:noProof/>
                <w:szCs w:val="24"/>
              </w:rPr>
              <w:t>2.3%</w:t>
            </w:r>
          </w:p>
        </w:tc>
      </w:tr>
      <w:tr w:rsidR="001A26B0">
        <w:trPr>
          <w:trHeight w:val="300"/>
        </w:trPr>
        <w:tc>
          <w:tcPr>
            <w:tcW w:w="1482" w:type="pct"/>
            <w:vMerge w:val="restart"/>
            <w:tcBorders>
              <w:top w:val="nil"/>
              <w:left w:val="single" w:sz="4" w:space="0" w:color="auto"/>
              <w:right w:val="single" w:sz="4" w:space="0" w:color="auto"/>
            </w:tcBorders>
            <w:shd w:val="clear" w:color="auto" w:fill="auto"/>
            <w:noWrap/>
            <w:vAlign w:val="center"/>
          </w:tcPr>
          <w:p w:rsidR="001A26B0" w:rsidRDefault="00E33A99">
            <w:pPr>
              <w:spacing w:after="120"/>
              <w:jc w:val="left"/>
              <w:rPr>
                <w:noProof/>
                <w:szCs w:val="24"/>
              </w:rPr>
            </w:pPr>
            <w:r>
              <w:rPr>
                <w:noProof/>
                <w:szCs w:val="24"/>
              </w:rPr>
              <w:t>Other Sectors</w:t>
            </w:r>
          </w:p>
        </w:tc>
        <w:tc>
          <w:tcPr>
            <w:tcW w:w="1039" w:type="pct"/>
            <w:tcBorders>
              <w:top w:val="nil"/>
              <w:left w:val="nil"/>
              <w:bottom w:val="single" w:sz="4" w:space="0" w:color="auto"/>
              <w:right w:val="single" w:sz="4" w:space="0" w:color="auto"/>
            </w:tcBorders>
            <w:shd w:val="clear" w:color="auto" w:fill="auto"/>
            <w:noWrap/>
            <w:vAlign w:val="bottom"/>
          </w:tcPr>
          <w:p w:rsidR="001A26B0" w:rsidRDefault="00E33A99">
            <w:pPr>
              <w:spacing w:after="120"/>
              <w:rPr>
                <w:noProof/>
                <w:szCs w:val="24"/>
              </w:rPr>
            </w:pPr>
            <w:r>
              <w:rPr>
                <w:noProof/>
                <w:szCs w:val="24"/>
              </w:rPr>
              <w:t>TL0 (Baseline)</w:t>
            </w:r>
          </w:p>
        </w:tc>
        <w:tc>
          <w:tcPr>
            <w:tcW w:w="886" w:type="pct"/>
            <w:tcBorders>
              <w:top w:val="single" w:sz="4" w:space="0" w:color="auto"/>
              <w:left w:val="nil"/>
              <w:bottom w:val="single" w:sz="4" w:space="0" w:color="auto"/>
              <w:right w:val="single" w:sz="4" w:space="0" w:color="auto"/>
            </w:tcBorders>
            <w:vAlign w:val="bottom"/>
          </w:tcPr>
          <w:p w:rsidR="001A26B0" w:rsidRDefault="00E33A99">
            <w:pPr>
              <w:tabs>
                <w:tab w:val="center" w:pos="1115"/>
              </w:tabs>
              <w:spacing w:after="120"/>
              <w:jc w:val="right"/>
              <w:rPr>
                <w:noProof/>
                <w:color w:val="000000"/>
                <w:szCs w:val="24"/>
              </w:rPr>
            </w:pPr>
            <w:r>
              <w:rPr>
                <w:noProof/>
                <w:color w:val="000000"/>
                <w:szCs w:val="24"/>
              </w:rPr>
              <w:t>25,608,768</w:t>
            </w:r>
          </w:p>
        </w:tc>
        <w:tc>
          <w:tcPr>
            <w:tcW w:w="796" w:type="pct"/>
            <w:tcBorders>
              <w:top w:val="nil"/>
              <w:left w:val="single" w:sz="4" w:space="0" w:color="auto"/>
              <w:bottom w:val="single" w:sz="4" w:space="0" w:color="auto"/>
              <w:right w:val="single" w:sz="4" w:space="0" w:color="auto"/>
            </w:tcBorders>
            <w:shd w:val="clear" w:color="auto" w:fill="auto"/>
            <w:noWrap/>
            <w:vAlign w:val="bottom"/>
          </w:tcPr>
          <w:p w:rsidR="001A26B0" w:rsidRDefault="00E33A99">
            <w:pPr>
              <w:tabs>
                <w:tab w:val="center" w:pos="1115"/>
              </w:tabs>
              <w:spacing w:after="120"/>
              <w:jc w:val="right"/>
              <w:rPr>
                <w:noProof/>
                <w:color w:val="000000"/>
                <w:szCs w:val="24"/>
              </w:rPr>
            </w:pPr>
            <w:r>
              <w:rPr>
                <w:noProof/>
                <w:color w:val="000000"/>
                <w:szCs w:val="24"/>
              </w:rPr>
              <w:t>27,055,166</w:t>
            </w:r>
          </w:p>
        </w:tc>
        <w:tc>
          <w:tcPr>
            <w:tcW w:w="797" w:type="pct"/>
            <w:tcBorders>
              <w:top w:val="nil"/>
              <w:left w:val="nil"/>
              <w:bottom w:val="single" w:sz="4" w:space="0" w:color="auto"/>
              <w:right w:val="single" w:sz="4" w:space="0" w:color="auto"/>
            </w:tcBorders>
            <w:shd w:val="clear" w:color="auto" w:fill="auto"/>
            <w:noWrap/>
            <w:vAlign w:val="bottom"/>
          </w:tcPr>
          <w:p w:rsidR="001A26B0" w:rsidRDefault="00E33A99">
            <w:pPr>
              <w:tabs>
                <w:tab w:val="center" w:pos="1115"/>
              </w:tabs>
              <w:spacing w:after="120"/>
              <w:jc w:val="right"/>
              <w:rPr>
                <w:noProof/>
                <w:color w:val="000000"/>
                <w:szCs w:val="24"/>
              </w:rPr>
            </w:pPr>
            <w:r>
              <w:rPr>
                <w:noProof/>
                <w:color w:val="000000"/>
                <w:szCs w:val="24"/>
              </w:rPr>
              <w:t>30,723,227</w:t>
            </w:r>
          </w:p>
        </w:tc>
      </w:tr>
      <w:tr w:rsidR="001A26B0">
        <w:trPr>
          <w:trHeight w:val="300"/>
        </w:trPr>
        <w:tc>
          <w:tcPr>
            <w:tcW w:w="1482" w:type="pct"/>
            <w:vMerge/>
            <w:tcBorders>
              <w:left w:val="single" w:sz="4" w:space="0" w:color="auto"/>
              <w:right w:val="single" w:sz="4" w:space="0" w:color="auto"/>
            </w:tcBorders>
            <w:shd w:val="clear" w:color="auto" w:fill="auto"/>
            <w:noWrap/>
            <w:vAlign w:val="center"/>
            <w:hideMark/>
          </w:tcPr>
          <w:p w:rsidR="001A26B0" w:rsidRDefault="001A26B0">
            <w:pPr>
              <w:spacing w:after="120"/>
              <w:rPr>
                <w:noProof/>
                <w:szCs w:val="24"/>
              </w:rPr>
            </w:pPr>
          </w:p>
        </w:tc>
        <w:tc>
          <w:tcPr>
            <w:tcW w:w="1039"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rPr>
                <w:noProof/>
                <w:szCs w:val="24"/>
              </w:rPr>
            </w:pPr>
            <w:r>
              <w:rPr>
                <w:noProof/>
                <w:szCs w:val="24"/>
              </w:rPr>
              <w:t>TL20</w:t>
            </w:r>
          </w:p>
        </w:tc>
        <w:tc>
          <w:tcPr>
            <w:tcW w:w="886" w:type="pct"/>
            <w:tcBorders>
              <w:top w:val="single" w:sz="4" w:space="0" w:color="auto"/>
              <w:left w:val="nil"/>
              <w:bottom w:val="single" w:sz="4" w:space="0" w:color="auto"/>
              <w:right w:val="single" w:sz="4" w:space="0" w:color="auto"/>
            </w:tcBorders>
            <w:vAlign w:val="bottom"/>
          </w:tcPr>
          <w:p w:rsidR="001A26B0" w:rsidRDefault="00E33A99">
            <w:pPr>
              <w:tabs>
                <w:tab w:val="center" w:pos="1115"/>
              </w:tabs>
              <w:spacing w:after="120"/>
              <w:jc w:val="right"/>
              <w:rPr>
                <w:noProof/>
                <w:szCs w:val="24"/>
              </w:rPr>
            </w:pPr>
            <w:r>
              <w:rPr>
                <w:noProof/>
                <w:szCs w:val="24"/>
              </w:rPr>
              <w:t>0.02%</w:t>
            </w:r>
          </w:p>
        </w:tc>
        <w:tc>
          <w:tcPr>
            <w:tcW w:w="796" w:type="pct"/>
            <w:tcBorders>
              <w:top w:val="nil"/>
              <w:left w:val="single" w:sz="4" w:space="0" w:color="auto"/>
              <w:bottom w:val="single" w:sz="4" w:space="0" w:color="auto"/>
              <w:right w:val="single" w:sz="4" w:space="0" w:color="auto"/>
            </w:tcBorders>
            <w:shd w:val="clear" w:color="auto" w:fill="auto"/>
            <w:noWrap/>
            <w:vAlign w:val="bottom"/>
            <w:hideMark/>
          </w:tcPr>
          <w:p w:rsidR="001A26B0" w:rsidRDefault="00E33A99">
            <w:pPr>
              <w:tabs>
                <w:tab w:val="center" w:pos="1115"/>
              </w:tabs>
              <w:spacing w:after="120"/>
              <w:jc w:val="right"/>
              <w:rPr>
                <w:noProof/>
                <w:szCs w:val="24"/>
              </w:rPr>
            </w:pPr>
            <w:r>
              <w:rPr>
                <w:noProof/>
                <w:szCs w:val="24"/>
              </w:rPr>
              <w:t>0.03%</w:t>
            </w:r>
          </w:p>
        </w:tc>
        <w:tc>
          <w:tcPr>
            <w:tcW w:w="797" w:type="pct"/>
            <w:tcBorders>
              <w:top w:val="nil"/>
              <w:left w:val="nil"/>
              <w:bottom w:val="single" w:sz="4" w:space="0" w:color="auto"/>
              <w:right w:val="single" w:sz="4" w:space="0" w:color="auto"/>
            </w:tcBorders>
            <w:shd w:val="clear" w:color="auto" w:fill="auto"/>
            <w:noWrap/>
            <w:vAlign w:val="bottom"/>
            <w:hideMark/>
          </w:tcPr>
          <w:p w:rsidR="001A26B0" w:rsidRDefault="00E33A99">
            <w:pPr>
              <w:tabs>
                <w:tab w:val="center" w:pos="1115"/>
              </w:tabs>
              <w:spacing w:after="120"/>
              <w:jc w:val="right"/>
              <w:rPr>
                <w:noProof/>
                <w:szCs w:val="24"/>
              </w:rPr>
            </w:pPr>
            <w:r>
              <w:rPr>
                <w:noProof/>
                <w:szCs w:val="24"/>
              </w:rPr>
              <w:t>0.00%</w:t>
            </w:r>
          </w:p>
        </w:tc>
      </w:tr>
      <w:tr w:rsidR="001A26B0">
        <w:trPr>
          <w:trHeight w:val="300"/>
        </w:trPr>
        <w:tc>
          <w:tcPr>
            <w:tcW w:w="1482" w:type="pct"/>
            <w:vMerge/>
            <w:tcBorders>
              <w:left w:val="single" w:sz="4" w:space="0" w:color="auto"/>
              <w:right w:val="single" w:sz="4" w:space="0" w:color="auto"/>
            </w:tcBorders>
            <w:vAlign w:val="center"/>
            <w:hideMark/>
          </w:tcPr>
          <w:p w:rsidR="001A26B0" w:rsidRDefault="001A26B0">
            <w:pPr>
              <w:spacing w:after="120"/>
              <w:rPr>
                <w:noProof/>
                <w:szCs w:val="24"/>
              </w:rPr>
            </w:pPr>
          </w:p>
        </w:tc>
        <w:tc>
          <w:tcPr>
            <w:tcW w:w="1039"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rPr>
                <w:noProof/>
                <w:szCs w:val="24"/>
              </w:rPr>
            </w:pPr>
            <w:r>
              <w:rPr>
                <w:noProof/>
                <w:szCs w:val="24"/>
              </w:rPr>
              <w:t>TL30c/25v</w:t>
            </w:r>
          </w:p>
        </w:tc>
        <w:tc>
          <w:tcPr>
            <w:tcW w:w="886" w:type="pct"/>
            <w:tcBorders>
              <w:top w:val="single" w:sz="4" w:space="0" w:color="auto"/>
              <w:left w:val="nil"/>
              <w:bottom w:val="single" w:sz="4" w:space="0" w:color="auto"/>
              <w:right w:val="single" w:sz="4" w:space="0" w:color="auto"/>
            </w:tcBorders>
            <w:vAlign w:val="bottom"/>
          </w:tcPr>
          <w:p w:rsidR="001A26B0" w:rsidRDefault="00E33A99">
            <w:pPr>
              <w:tabs>
                <w:tab w:val="center" w:pos="1115"/>
              </w:tabs>
              <w:spacing w:after="120"/>
              <w:jc w:val="right"/>
              <w:rPr>
                <w:noProof/>
                <w:szCs w:val="24"/>
              </w:rPr>
            </w:pPr>
            <w:r>
              <w:rPr>
                <w:noProof/>
                <w:szCs w:val="24"/>
              </w:rPr>
              <w:t>0.02%</w:t>
            </w:r>
          </w:p>
        </w:tc>
        <w:tc>
          <w:tcPr>
            <w:tcW w:w="796" w:type="pct"/>
            <w:tcBorders>
              <w:top w:val="nil"/>
              <w:left w:val="single" w:sz="4" w:space="0" w:color="auto"/>
              <w:bottom w:val="single" w:sz="4" w:space="0" w:color="auto"/>
              <w:right w:val="single" w:sz="4" w:space="0" w:color="auto"/>
            </w:tcBorders>
            <w:shd w:val="clear" w:color="auto" w:fill="auto"/>
            <w:noWrap/>
            <w:vAlign w:val="bottom"/>
            <w:hideMark/>
          </w:tcPr>
          <w:p w:rsidR="001A26B0" w:rsidRDefault="00E33A99">
            <w:pPr>
              <w:tabs>
                <w:tab w:val="center" w:pos="1115"/>
              </w:tabs>
              <w:spacing w:after="120"/>
              <w:jc w:val="right"/>
              <w:rPr>
                <w:noProof/>
                <w:szCs w:val="24"/>
              </w:rPr>
            </w:pPr>
            <w:r>
              <w:rPr>
                <w:noProof/>
                <w:szCs w:val="24"/>
              </w:rPr>
              <w:t>0.04%</w:t>
            </w:r>
          </w:p>
        </w:tc>
        <w:tc>
          <w:tcPr>
            <w:tcW w:w="797" w:type="pct"/>
            <w:tcBorders>
              <w:top w:val="nil"/>
              <w:left w:val="nil"/>
              <w:bottom w:val="single" w:sz="4" w:space="0" w:color="auto"/>
              <w:right w:val="single" w:sz="4" w:space="0" w:color="auto"/>
            </w:tcBorders>
            <w:shd w:val="clear" w:color="auto" w:fill="auto"/>
            <w:noWrap/>
            <w:vAlign w:val="bottom"/>
            <w:hideMark/>
          </w:tcPr>
          <w:p w:rsidR="001A26B0" w:rsidRDefault="00E33A99">
            <w:pPr>
              <w:tabs>
                <w:tab w:val="center" w:pos="1115"/>
              </w:tabs>
              <w:spacing w:after="120"/>
              <w:jc w:val="right"/>
              <w:rPr>
                <w:noProof/>
                <w:szCs w:val="24"/>
              </w:rPr>
            </w:pPr>
            <w:r>
              <w:rPr>
                <w:noProof/>
                <w:szCs w:val="24"/>
              </w:rPr>
              <w:t>0.01%</w:t>
            </w:r>
          </w:p>
        </w:tc>
      </w:tr>
      <w:tr w:rsidR="001A26B0">
        <w:trPr>
          <w:trHeight w:val="300"/>
        </w:trPr>
        <w:tc>
          <w:tcPr>
            <w:tcW w:w="1482" w:type="pct"/>
            <w:vMerge/>
            <w:tcBorders>
              <w:left w:val="single" w:sz="4" w:space="0" w:color="auto"/>
              <w:bottom w:val="single" w:sz="4" w:space="0" w:color="auto"/>
              <w:right w:val="single" w:sz="4" w:space="0" w:color="auto"/>
            </w:tcBorders>
            <w:vAlign w:val="center"/>
            <w:hideMark/>
          </w:tcPr>
          <w:p w:rsidR="001A26B0" w:rsidRDefault="001A26B0">
            <w:pPr>
              <w:spacing w:after="120"/>
              <w:rPr>
                <w:noProof/>
                <w:szCs w:val="24"/>
              </w:rPr>
            </w:pPr>
          </w:p>
        </w:tc>
        <w:tc>
          <w:tcPr>
            <w:tcW w:w="1039"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rPr>
                <w:noProof/>
                <w:szCs w:val="24"/>
              </w:rPr>
            </w:pPr>
            <w:r>
              <w:rPr>
                <w:noProof/>
                <w:szCs w:val="24"/>
              </w:rPr>
              <w:t>TL40</w:t>
            </w:r>
          </w:p>
        </w:tc>
        <w:tc>
          <w:tcPr>
            <w:tcW w:w="886" w:type="pct"/>
            <w:tcBorders>
              <w:top w:val="single" w:sz="4" w:space="0" w:color="auto"/>
              <w:left w:val="nil"/>
              <w:bottom w:val="single" w:sz="4" w:space="0" w:color="auto"/>
              <w:right w:val="single" w:sz="4" w:space="0" w:color="auto"/>
            </w:tcBorders>
            <w:vAlign w:val="bottom"/>
          </w:tcPr>
          <w:p w:rsidR="001A26B0" w:rsidRDefault="00E33A99">
            <w:pPr>
              <w:tabs>
                <w:tab w:val="center" w:pos="1115"/>
              </w:tabs>
              <w:spacing w:after="120"/>
              <w:jc w:val="right"/>
              <w:rPr>
                <w:noProof/>
                <w:szCs w:val="24"/>
              </w:rPr>
            </w:pPr>
            <w:r>
              <w:rPr>
                <w:noProof/>
                <w:szCs w:val="24"/>
              </w:rPr>
              <w:t>0.02%</w:t>
            </w:r>
          </w:p>
        </w:tc>
        <w:tc>
          <w:tcPr>
            <w:tcW w:w="796" w:type="pct"/>
            <w:tcBorders>
              <w:top w:val="nil"/>
              <w:left w:val="single" w:sz="4" w:space="0" w:color="auto"/>
              <w:bottom w:val="single" w:sz="4" w:space="0" w:color="auto"/>
              <w:right w:val="single" w:sz="4" w:space="0" w:color="auto"/>
            </w:tcBorders>
            <w:shd w:val="clear" w:color="auto" w:fill="auto"/>
            <w:noWrap/>
            <w:vAlign w:val="bottom"/>
            <w:hideMark/>
          </w:tcPr>
          <w:p w:rsidR="001A26B0" w:rsidRDefault="00E33A99">
            <w:pPr>
              <w:tabs>
                <w:tab w:val="center" w:pos="1115"/>
              </w:tabs>
              <w:spacing w:after="120"/>
              <w:jc w:val="right"/>
              <w:rPr>
                <w:noProof/>
                <w:szCs w:val="24"/>
              </w:rPr>
            </w:pPr>
            <w:r>
              <w:rPr>
                <w:noProof/>
                <w:szCs w:val="24"/>
              </w:rPr>
              <w:t>0.05%</w:t>
            </w:r>
          </w:p>
        </w:tc>
        <w:tc>
          <w:tcPr>
            <w:tcW w:w="797" w:type="pct"/>
            <w:tcBorders>
              <w:top w:val="nil"/>
              <w:left w:val="nil"/>
              <w:bottom w:val="single" w:sz="4" w:space="0" w:color="auto"/>
              <w:right w:val="single" w:sz="4" w:space="0" w:color="auto"/>
            </w:tcBorders>
            <w:shd w:val="clear" w:color="auto" w:fill="auto"/>
            <w:noWrap/>
            <w:vAlign w:val="bottom"/>
            <w:hideMark/>
          </w:tcPr>
          <w:p w:rsidR="001A26B0" w:rsidRDefault="00E33A99">
            <w:pPr>
              <w:tabs>
                <w:tab w:val="center" w:pos="1115"/>
              </w:tabs>
              <w:spacing w:after="120"/>
              <w:jc w:val="right"/>
              <w:rPr>
                <w:noProof/>
                <w:szCs w:val="24"/>
              </w:rPr>
            </w:pPr>
            <w:r>
              <w:rPr>
                <w:noProof/>
                <w:szCs w:val="24"/>
              </w:rPr>
              <w:t>0.02%</w:t>
            </w:r>
          </w:p>
        </w:tc>
      </w:tr>
    </w:tbl>
    <w:p w:rsidR="001A26B0" w:rsidRDefault="00E33A99">
      <w:pPr>
        <w:pStyle w:val="Heading6"/>
        <w:spacing w:before="240"/>
        <w:rPr>
          <w:noProof/>
        </w:rPr>
      </w:pPr>
      <w:bookmarkStart w:id="310" w:name="_Ref493612691"/>
      <w:r>
        <w:rPr>
          <w:noProof/>
        </w:rPr>
        <w:t>Employment</w:t>
      </w:r>
      <w:bookmarkEnd w:id="310"/>
    </w:p>
    <w:p w:rsidR="001A26B0" w:rsidRDefault="00E33A99">
      <w:pPr>
        <w:spacing w:after="120"/>
        <w:rPr>
          <w:i/>
          <w:noProof/>
          <w:szCs w:val="24"/>
          <w:u w:val="single"/>
        </w:rPr>
      </w:pPr>
      <w:r>
        <w:rPr>
          <w:i/>
          <w:noProof/>
          <w:szCs w:val="24"/>
          <w:u w:val="single"/>
        </w:rPr>
        <w:t>E3ME modelling results on employment</w:t>
      </w:r>
    </w:p>
    <w:p w:rsidR="001A26B0" w:rsidRDefault="00E33A99">
      <w:pPr>
        <w:spacing w:after="120"/>
        <w:rPr>
          <w:noProof/>
          <w:color w:val="000000"/>
          <w:szCs w:val="24"/>
        </w:rPr>
      </w:pPr>
      <w:r>
        <w:rPr>
          <w:noProof/>
          <w:szCs w:val="24"/>
        </w:rPr>
        <w:t xml:space="preserve">As shown in </w:t>
      </w:r>
      <w:r>
        <w:rPr>
          <w:noProof/>
          <w:szCs w:val="24"/>
        </w:rPr>
        <w:fldChar w:fldCharType="begin"/>
      </w:r>
      <w:r>
        <w:rPr>
          <w:noProof/>
          <w:szCs w:val="24"/>
        </w:rPr>
        <w:instrText xml:space="preserve"> REF _Ref493002895 \h </w:instrText>
      </w:r>
      <w:r>
        <w:rPr>
          <w:noProof/>
          <w:szCs w:val="24"/>
        </w:rPr>
      </w:r>
      <w:r>
        <w:rPr>
          <w:noProof/>
          <w:szCs w:val="24"/>
        </w:rPr>
        <w:fldChar w:fldCharType="separate"/>
      </w:r>
      <w:r>
        <w:rPr>
          <w:noProof/>
        </w:rPr>
        <w:t>Table 25</w:t>
      </w:r>
      <w:r>
        <w:rPr>
          <w:noProof/>
          <w:szCs w:val="24"/>
        </w:rPr>
        <w:fldChar w:fldCharType="end"/>
      </w:r>
      <w:r>
        <w:rPr>
          <w:noProof/>
          <w:szCs w:val="24"/>
        </w:rPr>
        <w:t>, with stricter CO</w:t>
      </w:r>
      <w:r>
        <w:rPr>
          <w:noProof/>
          <w:szCs w:val="24"/>
          <w:vertAlign w:val="subscript"/>
        </w:rPr>
        <w:t>2</w:t>
      </w:r>
      <w:r>
        <w:rPr>
          <w:noProof/>
          <w:szCs w:val="24"/>
        </w:rPr>
        <w:t xml:space="preserve"> target levels resulting in an increase in economic output, there is also an increase of the number of jobs across the EU-28 compared to the baseline, be it overall in limit</w:t>
      </w:r>
      <w:r>
        <w:rPr>
          <w:noProof/>
          <w:szCs w:val="24"/>
        </w:rPr>
        <w:t xml:space="preserve">ed numbers. The number of additional jobs also increases over time. The main drivers behind the GDP impacts also explain the employment impacts. </w:t>
      </w:r>
      <w:r>
        <w:rPr>
          <w:noProof/>
          <w:color w:val="000000"/>
          <w:szCs w:val="24"/>
        </w:rPr>
        <w:t>The first table shows the results under the assumption that battery cells used in electric vehicles are importe</w:t>
      </w:r>
      <w:r>
        <w:rPr>
          <w:noProof/>
          <w:color w:val="000000"/>
          <w:szCs w:val="24"/>
        </w:rPr>
        <w:t>d in the EU from third countries, while for the second table it is assumed Europe develops its own battery sector. As can be seen, the impacts are more positive</w:t>
      </w:r>
    </w:p>
    <w:p w:rsidR="001A26B0" w:rsidRDefault="00E33A99">
      <w:pPr>
        <w:pStyle w:val="Caption"/>
        <w:keepNext/>
        <w:rPr>
          <w:noProof/>
          <w:szCs w:val="24"/>
        </w:rPr>
      </w:pPr>
      <w:bookmarkStart w:id="311" w:name="_Ref493002895"/>
      <w:r>
        <w:rPr>
          <w:noProof/>
        </w:rPr>
        <w:t xml:space="preserve">Table </w:t>
      </w:r>
      <w:r>
        <w:rPr>
          <w:noProof/>
        </w:rPr>
        <w:fldChar w:fldCharType="begin"/>
      </w:r>
      <w:r>
        <w:rPr>
          <w:noProof/>
        </w:rPr>
        <w:instrText xml:space="preserve"> SEQ Table \* ARABIC </w:instrText>
      </w:r>
      <w:r>
        <w:rPr>
          <w:noProof/>
        </w:rPr>
        <w:fldChar w:fldCharType="separate"/>
      </w:r>
      <w:r>
        <w:rPr>
          <w:noProof/>
        </w:rPr>
        <w:t>25</w:t>
      </w:r>
      <w:r>
        <w:rPr>
          <w:noProof/>
        </w:rPr>
        <w:fldChar w:fldCharType="end"/>
      </w:r>
      <w:bookmarkEnd w:id="311"/>
      <w:r>
        <w:rPr>
          <w:noProof/>
        </w:rPr>
        <w:t>: Total employment impacts (E3ME) in terms of number of jobs in</w:t>
      </w:r>
      <w:r>
        <w:rPr>
          <w:noProof/>
        </w:rPr>
        <w:t xml:space="preserve"> (000s) and changes to the baseline (000s jobs)</w:t>
      </w:r>
    </w:p>
    <w:tbl>
      <w:tblPr>
        <w:tblW w:w="5000" w:type="pct"/>
        <w:tblLayout w:type="fixed"/>
        <w:tblLook w:val="04A0" w:firstRow="1" w:lastRow="0" w:firstColumn="1" w:lastColumn="0" w:noHBand="0" w:noVBand="1"/>
      </w:tblPr>
      <w:tblGrid>
        <w:gridCol w:w="4188"/>
        <w:gridCol w:w="1547"/>
        <w:gridCol w:w="1547"/>
        <w:gridCol w:w="1547"/>
      </w:tblGrid>
      <w:tr w:rsidR="001A26B0">
        <w:trPr>
          <w:trHeight w:val="300"/>
        </w:trPr>
        <w:tc>
          <w:tcPr>
            <w:tcW w:w="23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B0" w:rsidRDefault="00E33A99">
            <w:pPr>
              <w:spacing w:after="120"/>
              <w:jc w:val="left"/>
              <w:rPr>
                <w:b/>
                <w:noProof/>
                <w:szCs w:val="24"/>
              </w:rPr>
            </w:pPr>
            <w:r>
              <w:rPr>
                <w:b/>
                <w:noProof/>
                <w:szCs w:val="24"/>
              </w:rPr>
              <w:t>Battery cells imported from third countries</w:t>
            </w:r>
          </w:p>
        </w:tc>
        <w:tc>
          <w:tcPr>
            <w:tcW w:w="876" w:type="pct"/>
            <w:tcBorders>
              <w:top w:val="single" w:sz="4" w:space="0" w:color="auto"/>
              <w:left w:val="nil"/>
              <w:bottom w:val="single" w:sz="4" w:space="0" w:color="auto"/>
              <w:right w:val="single" w:sz="4" w:space="0" w:color="auto"/>
            </w:tcBorders>
            <w:shd w:val="clear" w:color="auto" w:fill="auto"/>
            <w:noWrap/>
            <w:vAlign w:val="bottom"/>
            <w:hideMark/>
          </w:tcPr>
          <w:p w:rsidR="001A26B0" w:rsidRDefault="00E33A99">
            <w:pPr>
              <w:spacing w:after="120"/>
              <w:jc w:val="center"/>
              <w:rPr>
                <w:noProof/>
                <w:szCs w:val="24"/>
              </w:rPr>
            </w:pPr>
            <w:r>
              <w:rPr>
                <w:noProof/>
                <w:szCs w:val="24"/>
              </w:rPr>
              <w:t>2030</w:t>
            </w:r>
          </w:p>
        </w:tc>
        <w:tc>
          <w:tcPr>
            <w:tcW w:w="876" w:type="pct"/>
            <w:tcBorders>
              <w:top w:val="single" w:sz="4" w:space="0" w:color="auto"/>
              <w:left w:val="nil"/>
              <w:bottom w:val="single" w:sz="4" w:space="0" w:color="auto"/>
              <w:right w:val="single" w:sz="4" w:space="0" w:color="auto"/>
            </w:tcBorders>
            <w:shd w:val="clear" w:color="auto" w:fill="auto"/>
            <w:noWrap/>
            <w:vAlign w:val="bottom"/>
            <w:hideMark/>
          </w:tcPr>
          <w:p w:rsidR="001A26B0" w:rsidRDefault="00E33A99">
            <w:pPr>
              <w:spacing w:after="120"/>
              <w:jc w:val="center"/>
              <w:rPr>
                <w:noProof/>
                <w:szCs w:val="24"/>
              </w:rPr>
            </w:pPr>
            <w:r>
              <w:rPr>
                <w:noProof/>
                <w:szCs w:val="24"/>
              </w:rPr>
              <w:t>2035</w:t>
            </w:r>
          </w:p>
        </w:tc>
        <w:tc>
          <w:tcPr>
            <w:tcW w:w="876" w:type="pct"/>
            <w:tcBorders>
              <w:top w:val="single" w:sz="4" w:space="0" w:color="auto"/>
              <w:left w:val="nil"/>
              <w:bottom w:val="single" w:sz="4" w:space="0" w:color="auto"/>
              <w:right w:val="single" w:sz="4" w:space="0" w:color="auto"/>
            </w:tcBorders>
            <w:shd w:val="clear" w:color="auto" w:fill="auto"/>
            <w:noWrap/>
            <w:vAlign w:val="bottom"/>
            <w:hideMark/>
          </w:tcPr>
          <w:p w:rsidR="001A26B0" w:rsidRDefault="00E33A99">
            <w:pPr>
              <w:spacing w:after="120"/>
              <w:jc w:val="center"/>
              <w:rPr>
                <w:noProof/>
                <w:szCs w:val="24"/>
              </w:rPr>
            </w:pPr>
            <w:r>
              <w:rPr>
                <w:noProof/>
                <w:szCs w:val="24"/>
              </w:rPr>
              <w:t>2040</w:t>
            </w:r>
          </w:p>
        </w:tc>
      </w:tr>
      <w:tr w:rsidR="001A26B0">
        <w:trPr>
          <w:trHeight w:val="300"/>
        </w:trPr>
        <w:tc>
          <w:tcPr>
            <w:tcW w:w="2372" w:type="pct"/>
            <w:tcBorders>
              <w:top w:val="nil"/>
              <w:left w:val="single" w:sz="4" w:space="0" w:color="auto"/>
              <w:bottom w:val="single" w:sz="4" w:space="0" w:color="auto"/>
              <w:right w:val="single" w:sz="4" w:space="0" w:color="auto"/>
            </w:tcBorders>
            <w:shd w:val="clear" w:color="auto" w:fill="auto"/>
            <w:noWrap/>
            <w:vAlign w:val="bottom"/>
            <w:hideMark/>
          </w:tcPr>
          <w:p w:rsidR="001A26B0" w:rsidRDefault="00E33A99">
            <w:pPr>
              <w:spacing w:after="120"/>
              <w:rPr>
                <w:noProof/>
                <w:szCs w:val="24"/>
              </w:rPr>
            </w:pPr>
            <w:r>
              <w:rPr>
                <w:noProof/>
                <w:szCs w:val="24"/>
              </w:rPr>
              <w:t> Baseline</w:t>
            </w:r>
          </w:p>
        </w:tc>
        <w:tc>
          <w:tcPr>
            <w:tcW w:w="876"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ind w:right="153"/>
              <w:jc w:val="right"/>
              <w:rPr>
                <w:noProof/>
                <w:szCs w:val="24"/>
              </w:rPr>
            </w:pPr>
            <w:r>
              <w:rPr>
                <w:noProof/>
                <w:szCs w:val="24"/>
              </w:rPr>
              <w:t>230,207</w:t>
            </w:r>
          </w:p>
        </w:tc>
        <w:tc>
          <w:tcPr>
            <w:tcW w:w="876"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ind w:right="153"/>
              <w:jc w:val="right"/>
              <w:rPr>
                <w:noProof/>
                <w:szCs w:val="24"/>
              </w:rPr>
            </w:pPr>
            <w:r>
              <w:rPr>
                <w:noProof/>
                <w:szCs w:val="24"/>
              </w:rPr>
              <w:t>225,871</w:t>
            </w:r>
          </w:p>
        </w:tc>
        <w:tc>
          <w:tcPr>
            <w:tcW w:w="876"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ind w:right="153"/>
              <w:jc w:val="right"/>
              <w:rPr>
                <w:noProof/>
                <w:szCs w:val="24"/>
              </w:rPr>
            </w:pPr>
            <w:r>
              <w:rPr>
                <w:noProof/>
                <w:szCs w:val="24"/>
              </w:rPr>
              <w:t>223,148</w:t>
            </w:r>
          </w:p>
        </w:tc>
      </w:tr>
      <w:tr w:rsidR="001A26B0">
        <w:trPr>
          <w:trHeight w:val="300"/>
        </w:trPr>
        <w:tc>
          <w:tcPr>
            <w:tcW w:w="2372" w:type="pct"/>
            <w:tcBorders>
              <w:top w:val="nil"/>
              <w:left w:val="single" w:sz="4" w:space="0" w:color="auto"/>
              <w:bottom w:val="single" w:sz="4" w:space="0" w:color="auto"/>
              <w:right w:val="single" w:sz="4" w:space="0" w:color="auto"/>
            </w:tcBorders>
            <w:shd w:val="clear" w:color="auto" w:fill="auto"/>
            <w:noWrap/>
            <w:vAlign w:val="bottom"/>
            <w:hideMark/>
          </w:tcPr>
          <w:p w:rsidR="001A26B0" w:rsidRDefault="00E33A99">
            <w:pPr>
              <w:spacing w:after="120"/>
              <w:rPr>
                <w:noProof/>
                <w:szCs w:val="24"/>
              </w:rPr>
            </w:pPr>
            <w:r>
              <w:rPr>
                <w:noProof/>
                <w:szCs w:val="24"/>
              </w:rPr>
              <w:t> TL20</w:t>
            </w:r>
          </w:p>
        </w:tc>
        <w:tc>
          <w:tcPr>
            <w:tcW w:w="876"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ind w:right="153"/>
              <w:jc w:val="right"/>
              <w:rPr>
                <w:noProof/>
                <w:szCs w:val="24"/>
              </w:rPr>
            </w:pPr>
            <w:r>
              <w:rPr>
                <w:noProof/>
                <w:szCs w:val="24"/>
              </w:rPr>
              <w:t>20</w:t>
            </w:r>
          </w:p>
        </w:tc>
        <w:tc>
          <w:tcPr>
            <w:tcW w:w="876"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ind w:right="153"/>
              <w:jc w:val="right"/>
              <w:rPr>
                <w:noProof/>
                <w:szCs w:val="24"/>
              </w:rPr>
            </w:pPr>
            <w:r>
              <w:rPr>
                <w:noProof/>
                <w:szCs w:val="24"/>
              </w:rPr>
              <w:t>71</w:t>
            </w:r>
          </w:p>
        </w:tc>
        <w:tc>
          <w:tcPr>
            <w:tcW w:w="876"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ind w:right="153"/>
              <w:jc w:val="right"/>
              <w:rPr>
                <w:noProof/>
                <w:szCs w:val="24"/>
              </w:rPr>
            </w:pPr>
            <w:r>
              <w:rPr>
                <w:noProof/>
                <w:szCs w:val="24"/>
              </w:rPr>
              <w:t>122</w:t>
            </w:r>
          </w:p>
        </w:tc>
      </w:tr>
      <w:tr w:rsidR="001A26B0">
        <w:trPr>
          <w:trHeight w:val="300"/>
        </w:trPr>
        <w:tc>
          <w:tcPr>
            <w:tcW w:w="2372" w:type="pct"/>
            <w:tcBorders>
              <w:top w:val="nil"/>
              <w:left w:val="single" w:sz="4" w:space="0" w:color="auto"/>
              <w:bottom w:val="single" w:sz="4" w:space="0" w:color="auto"/>
              <w:right w:val="single" w:sz="4" w:space="0" w:color="auto"/>
            </w:tcBorders>
            <w:shd w:val="clear" w:color="auto" w:fill="auto"/>
            <w:noWrap/>
            <w:vAlign w:val="bottom"/>
            <w:hideMark/>
          </w:tcPr>
          <w:p w:rsidR="001A26B0" w:rsidRDefault="00E33A99">
            <w:pPr>
              <w:spacing w:after="120"/>
              <w:rPr>
                <w:noProof/>
                <w:szCs w:val="24"/>
              </w:rPr>
            </w:pPr>
            <w:r>
              <w:rPr>
                <w:noProof/>
                <w:szCs w:val="24"/>
              </w:rPr>
              <w:t> TL30c/25v</w:t>
            </w:r>
          </w:p>
        </w:tc>
        <w:tc>
          <w:tcPr>
            <w:tcW w:w="876"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ind w:right="153"/>
              <w:jc w:val="right"/>
              <w:rPr>
                <w:noProof/>
                <w:szCs w:val="24"/>
              </w:rPr>
            </w:pPr>
            <w:r>
              <w:rPr>
                <w:noProof/>
                <w:szCs w:val="24"/>
              </w:rPr>
              <w:t>20</w:t>
            </w:r>
          </w:p>
        </w:tc>
        <w:tc>
          <w:tcPr>
            <w:tcW w:w="876"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ind w:right="153"/>
              <w:jc w:val="right"/>
              <w:rPr>
                <w:noProof/>
                <w:szCs w:val="24"/>
              </w:rPr>
            </w:pPr>
            <w:r>
              <w:rPr>
                <w:noProof/>
                <w:szCs w:val="24"/>
              </w:rPr>
              <w:t>103</w:t>
            </w:r>
          </w:p>
        </w:tc>
        <w:tc>
          <w:tcPr>
            <w:tcW w:w="876"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ind w:right="153"/>
              <w:jc w:val="right"/>
              <w:rPr>
                <w:noProof/>
                <w:szCs w:val="24"/>
              </w:rPr>
            </w:pPr>
            <w:r>
              <w:rPr>
                <w:noProof/>
                <w:szCs w:val="24"/>
              </w:rPr>
              <w:t>149</w:t>
            </w:r>
          </w:p>
        </w:tc>
      </w:tr>
      <w:tr w:rsidR="001A26B0">
        <w:trPr>
          <w:trHeight w:val="300"/>
        </w:trPr>
        <w:tc>
          <w:tcPr>
            <w:tcW w:w="2372" w:type="pct"/>
            <w:tcBorders>
              <w:top w:val="nil"/>
              <w:left w:val="single" w:sz="4" w:space="0" w:color="auto"/>
              <w:bottom w:val="single" w:sz="4" w:space="0" w:color="auto"/>
              <w:right w:val="single" w:sz="4" w:space="0" w:color="auto"/>
            </w:tcBorders>
            <w:shd w:val="clear" w:color="auto" w:fill="auto"/>
            <w:noWrap/>
            <w:vAlign w:val="bottom"/>
            <w:hideMark/>
          </w:tcPr>
          <w:p w:rsidR="001A26B0" w:rsidRDefault="00E33A99">
            <w:pPr>
              <w:spacing w:after="120"/>
              <w:rPr>
                <w:noProof/>
                <w:szCs w:val="24"/>
              </w:rPr>
            </w:pPr>
            <w:r>
              <w:rPr>
                <w:noProof/>
                <w:szCs w:val="24"/>
              </w:rPr>
              <w:t> TL40</w:t>
            </w:r>
          </w:p>
        </w:tc>
        <w:tc>
          <w:tcPr>
            <w:tcW w:w="876"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ind w:right="153"/>
              <w:jc w:val="right"/>
              <w:rPr>
                <w:noProof/>
                <w:szCs w:val="24"/>
              </w:rPr>
            </w:pPr>
            <w:r>
              <w:rPr>
                <w:noProof/>
                <w:szCs w:val="24"/>
              </w:rPr>
              <w:t>86</w:t>
            </w:r>
          </w:p>
        </w:tc>
        <w:tc>
          <w:tcPr>
            <w:tcW w:w="876"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ind w:right="153"/>
              <w:jc w:val="right"/>
              <w:rPr>
                <w:noProof/>
                <w:szCs w:val="24"/>
              </w:rPr>
            </w:pPr>
            <w:r>
              <w:rPr>
                <w:noProof/>
                <w:szCs w:val="24"/>
              </w:rPr>
              <w:t>189</w:t>
            </w:r>
          </w:p>
        </w:tc>
        <w:tc>
          <w:tcPr>
            <w:tcW w:w="876"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ind w:right="153"/>
              <w:jc w:val="right"/>
              <w:rPr>
                <w:noProof/>
                <w:szCs w:val="24"/>
              </w:rPr>
            </w:pPr>
            <w:r>
              <w:rPr>
                <w:noProof/>
                <w:szCs w:val="24"/>
              </w:rPr>
              <w:t>213</w:t>
            </w:r>
          </w:p>
        </w:tc>
      </w:tr>
    </w:tbl>
    <w:p w:rsidR="001A26B0" w:rsidRDefault="001A26B0">
      <w:pPr>
        <w:pStyle w:val="Caption"/>
        <w:spacing w:before="0" w:after="0"/>
        <w:rPr>
          <w:b w:val="0"/>
          <w:noProof/>
          <w:szCs w:val="24"/>
        </w:rPr>
      </w:pPr>
    </w:p>
    <w:tbl>
      <w:tblPr>
        <w:tblW w:w="5000" w:type="pct"/>
        <w:tblLayout w:type="fixed"/>
        <w:tblLook w:val="04A0" w:firstRow="1" w:lastRow="0" w:firstColumn="1" w:lastColumn="0" w:noHBand="0" w:noVBand="1"/>
      </w:tblPr>
      <w:tblGrid>
        <w:gridCol w:w="4188"/>
        <w:gridCol w:w="1547"/>
        <w:gridCol w:w="1547"/>
        <w:gridCol w:w="1547"/>
      </w:tblGrid>
      <w:tr w:rsidR="001A26B0">
        <w:trPr>
          <w:trHeight w:val="300"/>
        </w:trPr>
        <w:tc>
          <w:tcPr>
            <w:tcW w:w="23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B0" w:rsidRDefault="00E33A99">
            <w:pPr>
              <w:spacing w:after="120"/>
              <w:jc w:val="left"/>
              <w:rPr>
                <w:noProof/>
                <w:szCs w:val="24"/>
              </w:rPr>
            </w:pPr>
            <w:r>
              <w:rPr>
                <w:b/>
                <w:noProof/>
                <w:szCs w:val="24"/>
              </w:rPr>
              <w:t>Battery cells manufactured in the EU</w:t>
            </w:r>
          </w:p>
        </w:tc>
        <w:tc>
          <w:tcPr>
            <w:tcW w:w="876" w:type="pct"/>
            <w:tcBorders>
              <w:top w:val="single" w:sz="4" w:space="0" w:color="auto"/>
              <w:left w:val="nil"/>
              <w:bottom w:val="single" w:sz="4" w:space="0" w:color="auto"/>
              <w:right w:val="single" w:sz="4" w:space="0" w:color="auto"/>
            </w:tcBorders>
            <w:shd w:val="clear" w:color="auto" w:fill="auto"/>
            <w:noWrap/>
            <w:vAlign w:val="bottom"/>
            <w:hideMark/>
          </w:tcPr>
          <w:p w:rsidR="001A26B0" w:rsidRDefault="00E33A99">
            <w:pPr>
              <w:spacing w:after="120"/>
              <w:jc w:val="center"/>
              <w:rPr>
                <w:noProof/>
                <w:szCs w:val="24"/>
              </w:rPr>
            </w:pPr>
            <w:r>
              <w:rPr>
                <w:noProof/>
                <w:szCs w:val="24"/>
              </w:rPr>
              <w:t>2030</w:t>
            </w:r>
          </w:p>
        </w:tc>
        <w:tc>
          <w:tcPr>
            <w:tcW w:w="876" w:type="pct"/>
            <w:tcBorders>
              <w:top w:val="single" w:sz="4" w:space="0" w:color="auto"/>
              <w:left w:val="nil"/>
              <w:bottom w:val="single" w:sz="4" w:space="0" w:color="auto"/>
              <w:right w:val="single" w:sz="4" w:space="0" w:color="auto"/>
            </w:tcBorders>
            <w:shd w:val="clear" w:color="auto" w:fill="auto"/>
            <w:noWrap/>
            <w:vAlign w:val="bottom"/>
            <w:hideMark/>
          </w:tcPr>
          <w:p w:rsidR="001A26B0" w:rsidRDefault="00E33A99">
            <w:pPr>
              <w:spacing w:after="120"/>
              <w:jc w:val="center"/>
              <w:rPr>
                <w:noProof/>
                <w:szCs w:val="24"/>
              </w:rPr>
            </w:pPr>
            <w:r>
              <w:rPr>
                <w:noProof/>
                <w:szCs w:val="24"/>
              </w:rPr>
              <w:t>2035</w:t>
            </w:r>
          </w:p>
        </w:tc>
        <w:tc>
          <w:tcPr>
            <w:tcW w:w="876" w:type="pct"/>
            <w:tcBorders>
              <w:top w:val="single" w:sz="4" w:space="0" w:color="auto"/>
              <w:left w:val="nil"/>
              <w:bottom w:val="single" w:sz="4" w:space="0" w:color="auto"/>
              <w:right w:val="single" w:sz="4" w:space="0" w:color="auto"/>
            </w:tcBorders>
            <w:shd w:val="clear" w:color="auto" w:fill="auto"/>
            <w:noWrap/>
            <w:vAlign w:val="bottom"/>
            <w:hideMark/>
          </w:tcPr>
          <w:p w:rsidR="001A26B0" w:rsidRDefault="00E33A99">
            <w:pPr>
              <w:spacing w:after="120"/>
              <w:jc w:val="center"/>
              <w:rPr>
                <w:noProof/>
                <w:szCs w:val="24"/>
              </w:rPr>
            </w:pPr>
            <w:r>
              <w:rPr>
                <w:noProof/>
                <w:szCs w:val="24"/>
              </w:rPr>
              <w:t>2040</w:t>
            </w:r>
          </w:p>
        </w:tc>
      </w:tr>
      <w:tr w:rsidR="001A26B0">
        <w:trPr>
          <w:trHeight w:val="300"/>
        </w:trPr>
        <w:tc>
          <w:tcPr>
            <w:tcW w:w="2372" w:type="pct"/>
            <w:tcBorders>
              <w:top w:val="nil"/>
              <w:left w:val="single" w:sz="4" w:space="0" w:color="auto"/>
              <w:bottom w:val="single" w:sz="4" w:space="0" w:color="auto"/>
              <w:right w:val="single" w:sz="4" w:space="0" w:color="auto"/>
            </w:tcBorders>
            <w:shd w:val="clear" w:color="auto" w:fill="auto"/>
            <w:noWrap/>
            <w:vAlign w:val="bottom"/>
            <w:hideMark/>
          </w:tcPr>
          <w:p w:rsidR="001A26B0" w:rsidRDefault="00E33A99">
            <w:pPr>
              <w:spacing w:after="120"/>
              <w:rPr>
                <w:noProof/>
                <w:szCs w:val="24"/>
              </w:rPr>
            </w:pPr>
            <w:r>
              <w:rPr>
                <w:noProof/>
                <w:szCs w:val="24"/>
              </w:rPr>
              <w:t> Baseline</w:t>
            </w:r>
          </w:p>
        </w:tc>
        <w:tc>
          <w:tcPr>
            <w:tcW w:w="876" w:type="pct"/>
            <w:tcBorders>
              <w:top w:val="nil"/>
              <w:left w:val="nil"/>
              <w:bottom w:val="single" w:sz="4" w:space="0" w:color="auto"/>
              <w:right w:val="single" w:sz="4" w:space="0" w:color="auto"/>
            </w:tcBorders>
            <w:shd w:val="clear" w:color="auto" w:fill="auto"/>
            <w:noWrap/>
            <w:vAlign w:val="bottom"/>
          </w:tcPr>
          <w:p w:rsidR="001A26B0" w:rsidRDefault="00E33A99">
            <w:pPr>
              <w:spacing w:after="120"/>
              <w:ind w:right="153"/>
              <w:jc w:val="right"/>
              <w:rPr>
                <w:noProof/>
                <w:szCs w:val="24"/>
              </w:rPr>
            </w:pPr>
            <w:r>
              <w:rPr>
                <w:noProof/>
                <w:szCs w:val="24"/>
              </w:rPr>
              <w:t>230,233</w:t>
            </w:r>
          </w:p>
        </w:tc>
        <w:tc>
          <w:tcPr>
            <w:tcW w:w="876" w:type="pct"/>
            <w:tcBorders>
              <w:top w:val="nil"/>
              <w:left w:val="nil"/>
              <w:bottom w:val="single" w:sz="4" w:space="0" w:color="auto"/>
              <w:right w:val="single" w:sz="4" w:space="0" w:color="auto"/>
            </w:tcBorders>
            <w:shd w:val="clear" w:color="auto" w:fill="auto"/>
            <w:noWrap/>
            <w:vAlign w:val="bottom"/>
          </w:tcPr>
          <w:p w:rsidR="001A26B0" w:rsidRDefault="00E33A99">
            <w:pPr>
              <w:spacing w:after="120"/>
              <w:ind w:right="153"/>
              <w:jc w:val="right"/>
              <w:rPr>
                <w:noProof/>
                <w:szCs w:val="24"/>
              </w:rPr>
            </w:pPr>
            <w:r>
              <w:rPr>
                <w:noProof/>
                <w:szCs w:val="24"/>
              </w:rPr>
              <w:t>225,905</w:t>
            </w:r>
          </w:p>
        </w:tc>
        <w:tc>
          <w:tcPr>
            <w:tcW w:w="876" w:type="pct"/>
            <w:tcBorders>
              <w:top w:val="nil"/>
              <w:left w:val="nil"/>
              <w:bottom w:val="single" w:sz="4" w:space="0" w:color="auto"/>
              <w:right w:val="single" w:sz="4" w:space="0" w:color="auto"/>
            </w:tcBorders>
            <w:shd w:val="clear" w:color="auto" w:fill="auto"/>
            <w:noWrap/>
            <w:vAlign w:val="bottom"/>
          </w:tcPr>
          <w:p w:rsidR="001A26B0" w:rsidRDefault="00E33A99">
            <w:pPr>
              <w:spacing w:after="120"/>
              <w:ind w:right="153"/>
              <w:jc w:val="right"/>
              <w:rPr>
                <w:noProof/>
                <w:szCs w:val="24"/>
              </w:rPr>
            </w:pPr>
            <w:r>
              <w:rPr>
                <w:noProof/>
                <w:szCs w:val="24"/>
              </w:rPr>
              <w:t>223,181</w:t>
            </w:r>
          </w:p>
        </w:tc>
      </w:tr>
      <w:tr w:rsidR="001A26B0">
        <w:trPr>
          <w:trHeight w:val="300"/>
        </w:trPr>
        <w:tc>
          <w:tcPr>
            <w:tcW w:w="2372" w:type="pct"/>
            <w:tcBorders>
              <w:top w:val="nil"/>
              <w:left w:val="single" w:sz="4" w:space="0" w:color="auto"/>
              <w:bottom w:val="single" w:sz="4" w:space="0" w:color="auto"/>
              <w:right w:val="single" w:sz="4" w:space="0" w:color="auto"/>
            </w:tcBorders>
            <w:shd w:val="clear" w:color="auto" w:fill="auto"/>
            <w:noWrap/>
            <w:vAlign w:val="bottom"/>
            <w:hideMark/>
          </w:tcPr>
          <w:p w:rsidR="001A26B0" w:rsidRDefault="00E33A99">
            <w:pPr>
              <w:spacing w:after="120"/>
              <w:rPr>
                <w:noProof/>
                <w:szCs w:val="24"/>
              </w:rPr>
            </w:pPr>
            <w:r>
              <w:rPr>
                <w:noProof/>
                <w:szCs w:val="24"/>
              </w:rPr>
              <w:t> TL20</w:t>
            </w:r>
          </w:p>
        </w:tc>
        <w:tc>
          <w:tcPr>
            <w:tcW w:w="876" w:type="pct"/>
            <w:tcBorders>
              <w:top w:val="nil"/>
              <w:left w:val="nil"/>
              <w:bottom w:val="single" w:sz="4" w:space="0" w:color="auto"/>
              <w:right w:val="single" w:sz="4" w:space="0" w:color="auto"/>
            </w:tcBorders>
            <w:shd w:val="clear" w:color="auto" w:fill="auto"/>
            <w:noWrap/>
            <w:vAlign w:val="bottom"/>
          </w:tcPr>
          <w:p w:rsidR="001A26B0" w:rsidRDefault="00E33A99">
            <w:pPr>
              <w:spacing w:after="120"/>
              <w:ind w:right="153"/>
              <w:jc w:val="right"/>
              <w:rPr>
                <w:noProof/>
                <w:szCs w:val="24"/>
              </w:rPr>
            </w:pPr>
            <w:r>
              <w:rPr>
                <w:noProof/>
                <w:szCs w:val="24"/>
              </w:rPr>
              <w:t>31</w:t>
            </w:r>
          </w:p>
        </w:tc>
        <w:tc>
          <w:tcPr>
            <w:tcW w:w="876" w:type="pct"/>
            <w:tcBorders>
              <w:top w:val="nil"/>
              <w:left w:val="nil"/>
              <w:bottom w:val="single" w:sz="4" w:space="0" w:color="auto"/>
              <w:right w:val="single" w:sz="4" w:space="0" w:color="auto"/>
            </w:tcBorders>
            <w:shd w:val="clear" w:color="auto" w:fill="auto"/>
            <w:noWrap/>
            <w:vAlign w:val="bottom"/>
          </w:tcPr>
          <w:p w:rsidR="001A26B0" w:rsidRDefault="00E33A99">
            <w:pPr>
              <w:spacing w:after="120"/>
              <w:ind w:right="153"/>
              <w:jc w:val="right"/>
              <w:rPr>
                <w:noProof/>
                <w:szCs w:val="24"/>
              </w:rPr>
            </w:pPr>
            <w:r>
              <w:rPr>
                <w:noProof/>
                <w:szCs w:val="24"/>
              </w:rPr>
              <w:t>111</w:t>
            </w:r>
          </w:p>
        </w:tc>
        <w:tc>
          <w:tcPr>
            <w:tcW w:w="876" w:type="pct"/>
            <w:tcBorders>
              <w:top w:val="nil"/>
              <w:left w:val="nil"/>
              <w:bottom w:val="single" w:sz="4" w:space="0" w:color="auto"/>
              <w:right w:val="single" w:sz="4" w:space="0" w:color="auto"/>
            </w:tcBorders>
            <w:shd w:val="clear" w:color="auto" w:fill="auto"/>
            <w:noWrap/>
            <w:vAlign w:val="bottom"/>
          </w:tcPr>
          <w:p w:rsidR="001A26B0" w:rsidRDefault="00E33A99">
            <w:pPr>
              <w:spacing w:after="120"/>
              <w:ind w:right="153"/>
              <w:jc w:val="right"/>
              <w:rPr>
                <w:noProof/>
                <w:szCs w:val="24"/>
              </w:rPr>
            </w:pPr>
            <w:r>
              <w:rPr>
                <w:noProof/>
                <w:szCs w:val="24"/>
              </w:rPr>
              <w:t>122</w:t>
            </w:r>
          </w:p>
        </w:tc>
      </w:tr>
      <w:tr w:rsidR="001A26B0">
        <w:trPr>
          <w:trHeight w:val="300"/>
        </w:trPr>
        <w:tc>
          <w:tcPr>
            <w:tcW w:w="2372" w:type="pct"/>
            <w:tcBorders>
              <w:top w:val="nil"/>
              <w:left w:val="single" w:sz="4" w:space="0" w:color="auto"/>
              <w:bottom w:val="single" w:sz="4" w:space="0" w:color="auto"/>
              <w:right w:val="single" w:sz="4" w:space="0" w:color="auto"/>
            </w:tcBorders>
            <w:shd w:val="clear" w:color="auto" w:fill="auto"/>
            <w:noWrap/>
            <w:vAlign w:val="bottom"/>
            <w:hideMark/>
          </w:tcPr>
          <w:p w:rsidR="001A26B0" w:rsidRDefault="00E33A99">
            <w:pPr>
              <w:spacing w:after="120"/>
              <w:rPr>
                <w:noProof/>
                <w:szCs w:val="24"/>
              </w:rPr>
            </w:pPr>
            <w:r>
              <w:rPr>
                <w:noProof/>
                <w:szCs w:val="24"/>
              </w:rPr>
              <w:t> TL30c/25v</w:t>
            </w:r>
          </w:p>
        </w:tc>
        <w:tc>
          <w:tcPr>
            <w:tcW w:w="876" w:type="pct"/>
            <w:tcBorders>
              <w:top w:val="nil"/>
              <w:left w:val="nil"/>
              <w:bottom w:val="single" w:sz="4" w:space="0" w:color="auto"/>
              <w:right w:val="single" w:sz="4" w:space="0" w:color="auto"/>
            </w:tcBorders>
            <w:shd w:val="clear" w:color="auto" w:fill="auto"/>
            <w:noWrap/>
            <w:vAlign w:val="bottom"/>
          </w:tcPr>
          <w:p w:rsidR="001A26B0" w:rsidRDefault="00E33A99">
            <w:pPr>
              <w:spacing w:after="120"/>
              <w:ind w:right="153"/>
              <w:jc w:val="right"/>
              <w:rPr>
                <w:noProof/>
                <w:szCs w:val="24"/>
              </w:rPr>
            </w:pPr>
            <w:r>
              <w:rPr>
                <w:noProof/>
                <w:szCs w:val="24"/>
              </w:rPr>
              <w:t>71</w:t>
            </w:r>
          </w:p>
        </w:tc>
        <w:tc>
          <w:tcPr>
            <w:tcW w:w="876" w:type="pct"/>
            <w:tcBorders>
              <w:top w:val="nil"/>
              <w:left w:val="nil"/>
              <w:bottom w:val="single" w:sz="4" w:space="0" w:color="auto"/>
              <w:right w:val="single" w:sz="4" w:space="0" w:color="auto"/>
            </w:tcBorders>
            <w:shd w:val="clear" w:color="auto" w:fill="auto"/>
            <w:noWrap/>
            <w:vAlign w:val="bottom"/>
          </w:tcPr>
          <w:p w:rsidR="001A26B0" w:rsidRDefault="00E33A99">
            <w:pPr>
              <w:spacing w:after="120"/>
              <w:ind w:right="153"/>
              <w:jc w:val="right"/>
              <w:rPr>
                <w:noProof/>
                <w:szCs w:val="24"/>
              </w:rPr>
            </w:pPr>
            <w:r>
              <w:rPr>
                <w:noProof/>
                <w:szCs w:val="24"/>
              </w:rPr>
              <w:t>133</w:t>
            </w:r>
          </w:p>
        </w:tc>
        <w:tc>
          <w:tcPr>
            <w:tcW w:w="876" w:type="pct"/>
            <w:tcBorders>
              <w:top w:val="nil"/>
              <w:left w:val="nil"/>
              <w:bottom w:val="single" w:sz="4" w:space="0" w:color="auto"/>
              <w:right w:val="single" w:sz="4" w:space="0" w:color="auto"/>
            </w:tcBorders>
            <w:shd w:val="clear" w:color="auto" w:fill="auto"/>
            <w:noWrap/>
            <w:vAlign w:val="bottom"/>
          </w:tcPr>
          <w:p w:rsidR="001A26B0" w:rsidRDefault="00E33A99">
            <w:pPr>
              <w:spacing w:after="120"/>
              <w:ind w:right="153"/>
              <w:jc w:val="right"/>
              <w:rPr>
                <w:noProof/>
                <w:szCs w:val="24"/>
              </w:rPr>
            </w:pPr>
            <w:r>
              <w:rPr>
                <w:noProof/>
                <w:szCs w:val="24"/>
              </w:rPr>
              <w:t>239</w:t>
            </w:r>
          </w:p>
        </w:tc>
      </w:tr>
      <w:tr w:rsidR="001A26B0">
        <w:trPr>
          <w:trHeight w:val="300"/>
        </w:trPr>
        <w:tc>
          <w:tcPr>
            <w:tcW w:w="2372" w:type="pct"/>
            <w:tcBorders>
              <w:top w:val="nil"/>
              <w:left w:val="single" w:sz="4" w:space="0" w:color="auto"/>
              <w:bottom w:val="single" w:sz="4" w:space="0" w:color="auto"/>
              <w:right w:val="single" w:sz="4" w:space="0" w:color="auto"/>
            </w:tcBorders>
            <w:shd w:val="clear" w:color="auto" w:fill="auto"/>
            <w:noWrap/>
            <w:vAlign w:val="bottom"/>
            <w:hideMark/>
          </w:tcPr>
          <w:p w:rsidR="001A26B0" w:rsidRDefault="00E33A99">
            <w:pPr>
              <w:spacing w:after="120"/>
              <w:rPr>
                <w:noProof/>
                <w:szCs w:val="24"/>
              </w:rPr>
            </w:pPr>
            <w:r>
              <w:rPr>
                <w:noProof/>
                <w:szCs w:val="24"/>
              </w:rPr>
              <w:t> TL40</w:t>
            </w:r>
          </w:p>
        </w:tc>
        <w:tc>
          <w:tcPr>
            <w:tcW w:w="876" w:type="pct"/>
            <w:tcBorders>
              <w:top w:val="nil"/>
              <w:left w:val="nil"/>
              <w:bottom w:val="single" w:sz="4" w:space="0" w:color="auto"/>
              <w:right w:val="single" w:sz="4" w:space="0" w:color="auto"/>
            </w:tcBorders>
            <w:shd w:val="clear" w:color="auto" w:fill="auto"/>
            <w:noWrap/>
            <w:vAlign w:val="bottom"/>
          </w:tcPr>
          <w:p w:rsidR="001A26B0" w:rsidRDefault="00E33A99">
            <w:pPr>
              <w:spacing w:after="120"/>
              <w:ind w:right="153"/>
              <w:jc w:val="right"/>
              <w:rPr>
                <w:noProof/>
                <w:szCs w:val="24"/>
              </w:rPr>
            </w:pPr>
            <w:r>
              <w:rPr>
                <w:noProof/>
                <w:szCs w:val="24"/>
              </w:rPr>
              <w:t>88</w:t>
            </w:r>
          </w:p>
        </w:tc>
        <w:tc>
          <w:tcPr>
            <w:tcW w:w="876" w:type="pct"/>
            <w:tcBorders>
              <w:top w:val="nil"/>
              <w:left w:val="nil"/>
              <w:bottom w:val="single" w:sz="4" w:space="0" w:color="auto"/>
              <w:right w:val="single" w:sz="4" w:space="0" w:color="auto"/>
            </w:tcBorders>
            <w:shd w:val="clear" w:color="auto" w:fill="auto"/>
            <w:noWrap/>
            <w:vAlign w:val="bottom"/>
          </w:tcPr>
          <w:p w:rsidR="001A26B0" w:rsidRDefault="00E33A99">
            <w:pPr>
              <w:spacing w:after="120"/>
              <w:ind w:right="153"/>
              <w:jc w:val="right"/>
              <w:rPr>
                <w:noProof/>
                <w:szCs w:val="24"/>
              </w:rPr>
            </w:pPr>
            <w:r>
              <w:rPr>
                <w:noProof/>
                <w:szCs w:val="24"/>
              </w:rPr>
              <w:t>197</w:t>
            </w:r>
          </w:p>
        </w:tc>
        <w:tc>
          <w:tcPr>
            <w:tcW w:w="876" w:type="pct"/>
            <w:tcBorders>
              <w:top w:val="nil"/>
              <w:left w:val="nil"/>
              <w:bottom w:val="single" w:sz="4" w:space="0" w:color="auto"/>
              <w:right w:val="single" w:sz="4" w:space="0" w:color="auto"/>
            </w:tcBorders>
            <w:shd w:val="clear" w:color="auto" w:fill="auto"/>
            <w:noWrap/>
            <w:vAlign w:val="bottom"/>
          </w:tcPr>
          <w:p w:rsidR="001A26B0" w:rsidRDefault="00E33A99">
            <w:pPr>
              <w:spacing w:after="120"/>
              <w:ind w:right="153"/>
              <w:jc w:val="right"/>
              <w:rPr>
                <w:noProof/>
                <w:szCs w:val="24"/>
              </w:rPr>
            </w:pPr>
            <w:r>
              <w:rPr>
                <w:noProof/>
                <w:szCs w:val="24"/>
              </w:rPr>
              <w:t>334</w:t>
            </w:r>
          </w:p>
        </w:tc>
      </w:tr>
    </w:tbl>
    <w:p w:rsidR="001A26B0" w:rsidRDefault="00E33A99">
      <w:pPr>
        <w:spacing w:before="120" w:after="120"/>
        <w:rPr>
          <w:noProof/>
        </w:rPr>
      </w:pPr>
      <w:r>
        <w:rPr>
          <w:noProof/>
        </w:rPr>
        <w:t xml:space="preserve">In the different options assessed, the market uptake of battery and plugin hybrid electric vehicles increases with respect to the baseline, but the conventional powertrains remains the large majority of the fleet, as shown in </w:t>
      </w:r>
      <w:r>
        <w:rPr>
          <w:noProof/>
        </w:rPr>
        <w:fldChar w:fldCharType="begin"/>
      </w:r>
      <w:r>
        <w:rPr>
          <w:noProof/>
        </w:rPr>
        <w:instrText xml:space="preserve"> REF _Ref493669036 \h  \* MERG</w:instrText>
      </w:r>
      <w:r>
        <w:rPr>
          <w:noProof/>
        </w:rPr>
        <w:instrText xml:space="preserve">EFORMAT </w:instrText>
      </w:r>
      <w:r>
        <w:rPr>
          <w:noProof/>
        </w:rPr>
      </w:r>
      <w:r>
        <w:rPr>
          <w:noProof/>
        </w:rPr>
        <w:fldChar w:fldCharType="separate"/>
      </w:r>
      <w:r>
        <w:rPr>
          <w:noProof/>
        </w:rPr>
        <w:t>Table 6</w:t>
      </w:r>
      <w:r>
        <w:rPr>
          <w:noProof/>
        </w:rPr>
        <w:fldChar w:fldCharType="end"/>
      </w:r>
      <w:r>
        <w:rPr>
          <w:noProof/>
        </w:rPr>
        <w:t>. While manufacturing battery electric vehicles has a lower labour intensity than conventional vehicles, the labour intensity of manufacturing of plug-in hybrid electric vehi</w:t>
      </w:r>
      <w:r>
        <w:rPr>
          <w:noProof/>
        </w:rPr>
        <w:t>cles is higher. As a consequence of the changes in the powertrain shares in the fleet, the impact on employment remains positive.</w:t>
      </w:r>
    </w:p>
    <w:p w:rsidR="001A26B0" w:rsidRDefault="00E33A99">
      <w:pPr>
        <w:pStyle w:val="Caption"/>
        <w:keepNext/>
        <w:spacing w:before="0"/>
        <w:rPr>
          <w:b w:val="0"/>
          <w:noProof/>
        </w:rPr>
      </w:pPr>
      <w:r>
        <w:rPr>
          <w:b w:val="0"/>
          <w:noProof/>
          <w:szCs w:val="24"/>
        </w:rPr>
        <w:t>At sectoral level, similar conclusions as for the impacts on the output can be drawn.  The overall impacts are small. Positive</w:t>
      </w:r>
      <w:r>
        <w:rPr>
          <w:b w:val="0"/>
          <w:noProof/>
          <w:szCs w:val="24"/>
        </w:rPr>
        <w:t xml:space="preserve"> impacts are mainly seen in the sectors supplying to the automotive sector as well as in the power sector. Other sectors enjoy some positive second order effects, e.g. as a result of overall increased consumer expenditure. As shown in </w:t>
      </w:r>
      <w:r>
        <w:rPr>
          <w:b w:val="0"/>
          <w:noProof/>
          <w:szCs w:val="24"/>
        </w:rPr>
        <w:fldChar w:fldCharType="begin"/>
      </w:r>
      <w:r>
        <w:rPr>
          <w:b w:val="0"/>
          <w:noProof/>
          <w:szCs w:val="24"/>
        </w:rPr>
        <w:instrText xml:space="preserve"> REF _Ref493003219 \h</w:instrText>
      </w:r>
      <w:r>
        <w:rPr>
          <w:b w:val="0"/>
          <w:noProof/>
          <w:szCs w:val="24"/>
        </w:rPr>
        <w:instrText xml:space="preserve">  \* MERGEFORMAT </w:instrText>
      </w:r>
      <w:r>
        <w:rPr>
          <w:b w:val="0"/>
          <w:noProof/>
          <w:szCs w:val="24"/>
        </w:rPr>
      </w:r>
      <w:r>
        <w:rPr>
          <w:b w:val="0"/>
          <w:noProof/>
          <w:szCs w:val="24"/>
        </w:rPr>
        <w:fldChar w:fldCharType="separate"/>
      </w:r>
      <w:r>
        <w:rPr>
          <w:b w:val="0"/>
          <w:noProof/>
        </w:rPr>
        <w:t>Table 26</w:t>
      </w:r>
      <w:r>
        <w:rPr>
          <w:b w:val="0"/>
          <w:noProof/>
          <w:szCs w:val="24"/>
        </w:rPr>
        <w:fldChar w:fldCharType="end"/>
      </w:r>
      <w:r>
        <w:rPr>
          <w:b w:val="0"/>
          <w:noProof/>
          <w:szCs w:val="24"/>
        </w:rPr>
        <w:t>, for these sectors combined, the TL30c/25v scenario results in 22,000 additional jobs in 2030, while 4,000 jobs are lost in the petroleum refining and the automoti</w:t>
      </w:r>
      <w:r>
        <w:rPr>
          <w:b w:val="0"/>
          <w:noProof/>
          <w:szCs w:val="24"/>
        </w:rPr>
        <w:t xml:space="preserve">ve sectors. </w:t>
      </w:r>
    </w:p>
    <w:p w:rsidR="001A26B0" w:rsidRDefault="00E33A99">
      <w:pPr>
        <w:pStyle w:val="Caption"/>
        <w:keepNext/>
        <w:rPr>
          <w:noProof/>
          <w:szCs w:val="24"/>
        </w:rPr>
      </w:pPr>
      <w:bookmarkStart w:id="312" w:name="_Ref493003219"/>
      <w:r>
        <w:rPr>
          <w:noProof/>
        </w:rPr>
        <w:t xml:space="preserve">Table </w:t>
      </w:r>
      <w:r>
        <w:rPr>
          <w:noProof/>
        </w:rPr>
        <w:fldChar w:fldCharType="begin"/>
      </w:r>
      <w:r>
        <w:rPr>
          <w:noProof/>
        </w:rPr>
        <w:instrText xml:space="preserve"> SEQ Table \* ARABIC </w:instrText>
      </w:r>
      <w:r>
        <w:rPr>
          <w:noProof/>
        </w:rPr>
        <w:fldChar w:fldCharType="separate"/>
      </w:r>
      <w:r>
        <w:rPr>
          <w:noProof/>
        </w:rPr>
        <w:t>26</w:t>
      </w:r>
      <w:r>
        <w:rPr>
          <w:noProof/>
        </w:rPr>
        <w:fldChar w:fldCharType="end"/>
      </w:r>
      <w:bookmarkEnd w:id="312"/>
      <w:r>
        <w:rPr>
          <w:noProof/>
        </w:rPr>
        <w:t>: Employment impacts, broken down by sector - 2030 (E3ME model)</w:t>
      </w:r>
    </w:p>
    <w:tbl>
      <w:tblPr>
        <w:tblStyle w:val="TableGrid"/>
        <w:tblW w:w="5000" w:type="pct"/>
        <w:tblLayout w:type="fixed"/>
        <w:tblLook w:val="04A0" w:firstRow="1" w:lastRow="0" w:firstColumn="1" w:lastColumn="0" w:noHBand="0" w:noVBand="1"/>
      </w:tblPr>
      <w:tblGrid>
        <w:gridCol w:w="1875"/>
        <w:gridCol w:w="1112"/>
        <w:gridCol w:w="841"/>
        <w:gridCol w:w="1199"/>
        <w:gridCol w:w="842"/>
        <w:gridCol w:w="961"/>
        <w:gridCol w:w="1197"/>
        <w:gridCol w:w="802"/>
      </w:tblGrid>
      <w:tr w:rsidR="001A26B0">
        <w:trPr>
          <w:trHeight w:val="288"/>
        </w:trPr>
        <w:tc>
          <w:tcPr>
            <w:tcW w:w="1062" w:type="pct"/>
            <w:tcBorders>
              <w:right w:val="single" w:sz="18" w:space="0" w:color="auto"/>
            </w:tcBorders>
            <w:noWrap/>
            <w:hideMark/>
          </w:tcPr>
          <w:p w:rsidR="001A26B0" w:rsidRDefault="001A26B0">
            <w:pPr>
              <w:spacing w:after="120"/>
              <w:rPr>
                <w:noProof/>
                <w:sz w:val="20"/>
              </w:rPr>
            </w:pPr>
          </w:p>
        </w:tc>
        <w:tc>
          <w:tcPr>
            <w:tcW w:w="630" w:type="pct"/>
            <w:tcBorders>
              <w:left w:val="single" w:sz="18" w:space="0" w:color="auto"/>
            </w:tcBorders>
            <w:noWrap/>
            <w:hideMark/>
          </w:tcPr>
          <w:p w:rsidR="001A26B0" w:rsidRDefault="00E33A99">
            <w:pPr>
              <w:spacing w:after="120"/>
              <w:jc w:val="center"/>
              <w:rPr>
                <w:noProof/>
                <w:sz w:val="20"/>
              </w:rPr>
            </w:pPr>
            <w:r>
              <w:rPr>
                <w:noProof/>
                <w:sz w:val="20"/>
              </w:rPr>
              <w:t>Baseline</w:t>
            </w:r>
          </w:p>
        </w:tc>
        <w:tc>
          <w:tcPr>
            <w:tcW w:w="476" w:type="pct"/>
            <w:noWrap/>
            <w:hideMark/>
          </w:tcPr>
          <w:p w:rsidR="001A26B0" w:rsidRDefault="00E33A99">
            <w:pPr>
              <w:spacing w:after="120"/>
              <w:jc w:val="center"/>
              <w:rPr>
                <w:noProof/>
                <w:sz w:val="20"/>
              </w:rPr>
            </w:pPr>
            <w:r>
              <w:rPr>
                <w:noProof/>
                <w:sz w:val="20"/>
              </w:rPr>
              <w:t>TL20</w:t>
            </w:r>
          </w:p>
        </w:tc>
        <w:tc>
          <w:tcPr>
            <w:tcW w:w="679" w:type="pct"/>
            <w:noWrap/>
            <w:hideMark/>
          </w:tcPr>
          <w:p w:rsidR="001A26B0" w:rsidRDefault="00E33A99">
            <w:pPr>
              <w:spacing w:after="120"/>
              <w:jc w:val="center"/>
              <w:rPr>
                <w:noProof/>
                <w:sz w:val="20"/>
              </w:rPr>
            </w:pPr>
            <w:r>
              <w:rPr>
                <w:noProof/>
                <w:sz w:val="20"/>
              </w:rPr>
              <w:t>TL30c/25v</w:t>
            </w:r>
          </w:p>
        </w:tc>
        <w:tc>
          <w:tcPr>
            <w:tcW w:w="477" w:type="pct"/>
            <w:tcBorders>
              <w:right w:val="single" w:sz="18" w:space="0" w:color="auto"/>
            </w:tcBorders>
            <w:noWrap/>
            <w:hideMark/>
          </w:tcPr>
          <w:p w:rsidR="001A26B0" w:rsidRDefault="00E33A99">
            <w:pPr>
              <w:spacing w:after="120"/>
              <w:jc w:val="center"/>
              <w:rPr>
                <w:noProof/>
                <w:sz w:val="20"/>
              </w:rPr>
            </w:pPr>
            <w:r>
              <w:rPr>
                <w:noProof/>
                <w:sz w:val="20"/>
              </w:rPr>
              <w:t>TL40</w:t>
            </w:r>
          </w:p>
        </w:tc>
        <w:tc>
          <w:tcPr>
            <w:tcW w:w="544" w:type="pct"/>
            <w:tcBorders>
              <w:left w:val="single" w:sz="18" w:space="0" w:color="auto"/>
            </w:tcBorders>
          </w:tcPr>
          <w:p w:rsidR="001A26B0" w:rsidRDefault="00E33A99">
            <w:pPr>
              <w:spacing w:after="120"/>
              <w:jc w:val="center"/>
              <w:rPr>
                <w:noProof/>
                <w:sz w:val="20"/>
              </w:rPr>
            </w:pPr>
            <w:r>
              <w:rPr>
                <w:noProof/>
                <w:sz w:val="20"/>
              </w:rPr>
              <w:t>TL20</w:t>
            </w:r>
          </w:p>
        </w:tc>
        <w:tc>
          <w:tcPr>
            <w:tcW w:w="678" w:type="pct"/>
          </w:tcPr>
          <w:p w:rsidR="001A26B0" w:rsidRDefault="00E33A99">
            <w:pPr>
              <w:spacing w:after="120"/>
              <w:jc w:val="center"/>
              <w:rPr>
                <w:noProof/>
                <w:sz w:val="20"/>
              </w:rPr>
            </w:pPr>
            <w:r>
              <w:rPr>
                <w:noProof/>
                <w:sz w:val="20"/>
              </w:rPr>
              <w:t>TL30c/25v</w:t>
            </w:r>
          </w:p>
        </w:tc>
        <w:tc>
          <w:tcPr>
            <w:tcW w:w="454" w:type="pct"/>
          </w:tcPr>
          <w:p w:rsidR="001A26B0" w:rsidRDefault="00E33A99">
            <w:pPr>
              <w:spacing w:after="120"/>
              <w:jc w:val="center"/>
              <w:rPr>
                <w:noProof/>
                <w:sz w:val="20"/>
              </w:rPr>
            </w:pPr>
            <w:r>
              <w:rPr>
                <w:noProof/>
                <w:sz w:val="20"/>
              </w:rPr>
              <w:t>TL40</w:t>
            </w:r>
          </w:p>
        </w:tc>
      </w:tr>
      <w:tr w:rsidR="001A26B0">
        <w:trPr>
          <w:trHeight w:val="288"/>
        </w:trPr>
        <w:tc>
          <w:tcPr>
            <w:tcW w:w="1062" w:type="pct"/>
            <w:tcBorders>
              <w:right w:val="single" w:sz="18" w:space="0" w:color="auto"/>
            </w:tcBorders>
            <w:noWrap/>
          </w:tcPr>
          <w:p w:rsidR="001A26B0" w:rsidRDefault="001A26B0">
            <w:pPr>
              <w:spacing w:after="120"/>
              <w:rPr>
                <w:noProof/>
                <w:sz w:val="20"/>
              </w:rPr>
            </w:pPr>
          </w:p>
        </w:tc>
        <w:tc>
          <w:tcPr>
            <w:tcW w:w="630" w:type="pct"/>
            <w:tcBorders>
              <w:left w:val="single" w:sz="18" w:space="0" w:color="auto"/>
            </w:tcBorders>
            <w:noWrap/>
          </w:tcPr>
          <w:p w:rsidR="001A26B0" w:rsidRDefault="00E33A99">
            <w:pPr>
              <w:spacing w:after="120"/>
              <w:jc w:val="center"/>
              <w:rPr>
                <w:noProof/>
                <w:sz w:val="20"/>
              </w:rPr>
            </w:pPr>
            <w:r>
              <w:rPr>
                <w:noProof/>
                <w:sz w:val="20"/>
              </w:rPr>
              <w:t>Number of jobs (000s)</w:t>
            </w:r>
          </w:p>
        </w:tc>
        <w:tc>
          <w:tcPr>
            <w:tcW w:w="1632" w:type="pct"/>
            <w:gridSpan w:val="3"/>
            <w:tcBorders>
              <w:right w:val="single" w:sz="18" w:space="0" w:color="auto"/>
            </w:tcBorders>
            <w:noWrap/>
          </w:tcPr>
          <w:p w:rsidR="001A26B0" w:rsidRDefault="00E33A99">
            <w:pPr>
              <w:spacing w:after="120"/>
              <w:jc w:val="center"/>
              <w:rPr>
                <w:noProof/>
                <w:sz w:val="20"/>
              </w:rPr>
            </w:pPr>
            <w:r>
              <w:rPr>
                <w:noProof/>
                <w:sz w:val="20"/>
              </w:rPr>
              <w:t xml:space="preserve">Number of jobs (000s) </w:t>
            </w:r>
            <w:r>
              <w:rPr>
                <w:noProof/>
                <w:sz w:val="20"/>
              </w:rPr>
              <w:br/>
              <w:t>change from baseline</w:t>
            </w:r>
          </w:p>
        </w:tc>
        <w:tc>
          <w:tcPr>
            <w:tcW w:w="1676" w:type="pct"/>
            <w:gridSpan w:val="3"/>
            <w:tcBorders>
              <w:left w:val="single" w:sz="18" w:space="0" w:color="auto"/>
            </w:tcBorders>
          </w:tcPr>
          <w:p w:rsidR="001A26B0" w:rsidRDefault="00E33A99">
            <w:pPr>
              <w:spacing w:after="120"/>
              <w:jc w:val="center"/>
              <w:rPr>
                <w:noProof/>
                <w:sz w:val="20"/>
              </w:rPr>
            </w:pPr>
            <w:r>
              <w:rPr>
                <w:noProof/>
                <w:sz w:val="20"/>
              </w:rPr>
              <w:t>% change from baseline</w:t>
            </w:r>
          </w:p>
        </w:tc>
      </w:tr>
      <w:tr w:rsidR="001A26B0">
        <w:trPr>
          <w:trHeight w:val="288"/>
        </w:trPr>
        <w:tc>
          <w:tcPr>
            <w:tcW w:w="1062" w:type="pct"/>
            <w:tcBorders>
              <w:right w:val="single" w:sz="18" w:space="0" w:color="auto"/>
            </w:tcBorders>
            <w:noWrap/>
            <w:hideMark/>
          </w:tcPr>
          <w:p w:rsidR="001A26B0" w:rsidRDefault="00E33A99">
            <w:pPr>
              <w:spacing w:after="120"/>
              <w:jc w:val="left"/>
              <w:rPr>
                <w:noProof/>
                <w:sz w:val="20"/>
              </w:rPr>
            </w:pPr>
            <w:r>
              <w:rPr>
                <w:noProof/>
                <w:sz w:val="20"/>
              </w:rPr>
              <w:t>Petroleum refining</w:t>
            </w:r>
          </w:p>
        </w:tc>
        <w:tc>
          <w:tcPr>
            <w:tcW w:w="630" w:type="pct"/>
            <w:tcBorders>
              <w:left w:val="single" w:sz="18" w:space="0" w:color="auto"/>
            </w:tcBorders>
            <w:noWrap/>
            <w:vAlign w:val="bottom"/>
            <w:hideMark/>
          </w:tcPr>
          <w:p w:rsidR="001A26B0" w:rsidRDefault="00E33A99">
            <w:pPr>
              <w:spacing w:after="120"/>
              <w:jc w:val="center"/>
              <w:rPr>
                <w:noProof/>
                <w:color w:val="000000"/>
                <w:sz w:val="20"/>
              </w:rPr>
            </w:pPr>
            <w:r>
              <w:rPr>
                <w:noProof/>
                <w:color w:val="000000"/>
                <w:sz w:val="20"/>
              </w:rPr>
              <w:t>151</w:t>
            </w:r>
          </w:p>
        </w:tc>
        <w:tc>
          <w:tcPr>
            <w:tcW w:w="476" w:type="pct"/>
            <w:noWrap/>
            <w:vAlign w:val="center"/>
          </w:tcPr>
          <w:p w:rsidR="001A26B0" w:rsidRDefault="00E33A99">
            <w:pPr>
              <w:spacing w:after="120"/>
              <w:jc w:val="center"/>
              <w:rPr>
                <w:noProof/>
                <w:color w:val="000000"/>
                <w:sz w:val="20"/>
              </w:rPr>
            </w:pPr>
            <w:r>
              <w:rPr>
                <w:noProof/>
                <w:color w:val="000000"/>
                <w:sz w:val="20"/>
              </w:rPr>
              <w:t>0</w:t>
            </w:r>
          </w:p>
        </w:tc>
        <w:tc>
          <w:tcPr>
            <w:tcW w:w="679" w:type="pct"/>
            <w:noWrap/>
            <w:vAlign w:val="center"/>
          </w:tcPr>
          <w:p w:rsidR="001A26B0" w:rsidRDefault="00E33A99">
            <w:pPr>
              <w:spacing w:after="120"/>
              <w:jc w:val="center"/>
              <w:rPr>
                <w:noProof/>
                <w:color w:val="000000"/>
                <w:sz w:val="20"/>
              </w:rPr>
            </w:pPr>
            <w:r>
              <w:rPr>
                <w:noProof/>
                <w:color w:val="000000"/>
                <w:sz w:val="20"/>
              </w:rPr>
              <w:t>-1</w:t>
            </w:r>
          </w:p>
        </w:tc>
        <w:tc>
          <w:tcPr>
            <w:tcW w:w="477" w:type="pct"/>
            <w:tcBorders>
              <w:right w:val="single" w:sz="18" w:space="0" w:color="auto"/>
            </w:tcBorders>
            <w:noWrap/>
            <w:vAlign w:val="center"/>
          </w:tcPr>
          <w:p w:rsidR="001A26B0" w:rsidRDefault="00E33A99">
            <w:pPr>
              <w:spacing w:after="120"/>
              <w:jc w:val="center"/>
              <w:rPr>
                <w:noProof/>
                <w:color w:val="000000"/>
                <w:sz w:val="20"/>
              </w:rPr>
            </w:pPr>
            <w:r>
              <w:rPr>
                <w:noProof/>
                <w:color w:val="000000"/>
                <w:sz w:val="20"/>
              </w:rPr>
              <w:t>-1</w:t>
            </w:r>
          </w:p>
        </w:tc>
        <w:tc>
          <w:tcPr>
            <w:tcW w:w="544" w:type="pct"/>
            <w:tcBorders>
              <w:left w:val="single" w:sz="18" w:space="0" w:color="auto"/>
            </w:tcBorders>
            <w:vAlign w:val="bottom"/>
          </w:tcPr>
          <w:p w:rsidR="001A26B0" w:rsidRDefault="00E33A99">
            <w:pPr>
              <w:spacing w:after="120"/>
              <w:jc w:val="center"/>
              <w:rPr>
                <w:noProof/>
                <w:color w:val="000000"/>
                <w:sz w:val="20"/>
              </w:rPr>
            </w:pPr>
            <w:r>
              <w:rPr>
                <w:noProof/>
                <w:color w:val="000000"/>
                <w:sz w:val="20"/>
              </w:rPr>
              <w:t>-0.2%</w:t>
            </w:r>
          </w:p>
        </w:tc>
        <w:tc>
          <w:tcPr>
            <w:tcW w:w="678" w:type="pct"/>
            <w:vAlign w:val="bottom"/>
          </w:tcPr>
          <w:p w:rsidR="001A26B0" w:rsidRDefault="00E33A99">
            <w:pPr>
              <w:spacing w:after="120"/>
              <w:jc w:val="center"/>
              <w:rPr>
                <w:noProof/>
                <w:color w:val="000000"/>
                <w:sz w:val="20"/>
              </w:rPr>
            </w:pPr>
            <w:r>
              <w:rPr>
                <w:noProof/>
                <w:color w:val="000000"/>
                <w:sz w:val="20"/>
              </w:rPr>
              <w:t>-0.3%</w:t>
            </w:r>
          </w:p>
        </w:tc>
        <w:tc>
          <w:tcPr>
            <w:tcW w:w="454" w:type="pct"/>
            <w:vAlign w:val="bottom"/>
          </w:tcPr>
          <w:p w:rsidR="001A26B0" w:rsidRDefault="00E33A99">
            <w:pPr>
              <w:spacing w:after="120"/>
              <w:jc w:val="center"/>
              <w:rPr>
                <w:noProof/>
                <w:color w:val="000000"/>
                <w:sz w:val="20"/>
              </w:rPr>
            </w:pPr>
            <w:r>
              <w:rPr>
                <w:noProof/>
                <w:color w:val="000000"/>
                <w:sz w:val="20"/>
              </w:rPr>
              <w:t>-0.5%</w:t>
            </w:r>
          </w:p>
        </w:tc>
      </w:tr>
      <w:tr w:rsidR="001A26B0">
        <w:trPr>
          <w:trHeight w:val="288"/>
        </w:trPr>
        <w:tc>
          <w:tcPr>
            <w:tcW w:w="1062" w:type="pct"/>
            <w:tcBorders>
              <w:right w:val="single" w:sz="18" w:space="0" w:color="auto"/>
            </w:tcBorders>
            <w:noWrap/>
            <w:hideMark/>
          </w:tcPr>
          <w:p w:rsidR="001A26B0" w:rsidRDefault="00E33A99">
            <w:pPr>
              <w:spacing w:after="120"/>
              <w:jc w:val="left"/>
              <w:rPr>
                <w:noProof/>
                <w:sz w:val="20"/>
              </w:rPr>
            </w:pPr>
            <w:r>
              <w:rPr>
                <w:noProof/>
                <w:sz w:val="20"/>
              </w:rPr>
              <w:t>Automotive</w:t>
            </w:r>
          </w:p>
        </w:tc>
        <w:tc>
          <w:tcPr>
            <w:tcW w:w="630" w:type="pct"/>
            <w:tcBorders>
              <w:left w:val="single" w:sz="18" w:space="0" w:color="auto"/>
            </w:tcBorders>
            <w:noWrap/>
            <w:vAlign w:val="bottom"/>
            <w:hideMark/>
          </w:tcPr>
          <w:p w:rsidR="001A26B0" w:rsidRDefault="00E33A99">
            <w:pPr>
              <w:spacing w:after="120"/>
              <w:jc w:val="center"/>
              <w:rPr>
                <w:noProof/>
                <w:color w:val="000000"/>
                <w:sz w:val="20"/>
              </w:rPr>
            </w:pPr>
            <w:r>
              <w:rPr>
                <w:noProof/>
                <w:color w:val="000000"/>
                <w:sz w:val="20"/>
              </w:rPr>
              <w:t>2,454</w:t>
            </w:r>
          </w:p>
        </w:tc>
        <w:tc>
          <w:tcPr>
            <w:tcW w:w="476" w:type="pct"/>
            <w:noWrap/>
            <w:vAlign w:val="center"/>
          </w:tcPr>
          <w:p w:rsidR="001A26B0" w:rsidRDefault="00E33A99">
            <w:pPr>
              <w:spacing w:after="120"/>
              <w:jc w:val="center"/>
              <w:rPr>
                <w:noProof/>
                <w:color w:val="000000"/>
                <w:sz w:val="20"/>
              </w:rPr>
            </w:pPr>
            <w:r>
              <w:rPr>
                <w:noProof/>
                <w:color w:val="000000"/>
                <w:sz w:val="20"/>
              </w:rPr>
              <w:t>0</w:t>
            </w:r>
          </w:p>
        </w:tc>
        <w:tc>
          <w:tcPr>
            <w:tcW w:w="679" w:type="pct"/>
            <w:noWrap/>
            <w:vAlign w:val="center"/>
          </w:tcPr>
          <w:p w:rsidR="001A26B0" w:rsidRDefault="00E33A99">
            <w:pPr>
              <w:spacing w:after="120"/>
              <w:jc w:val="center"/>
              <w:rPr>
                <w:noProof/>
                <w:color w:val="000000"/>
                <w:sz w:val="20"/>
              </w:rPr>
            </w:pPr>
            <w:r>
              <w:rPr>
                <w:noProof/>
                <w:color w:val="000000"/>
                <w:sz w:val="20"/>
              </w:rPr>
              <w:t>-3</w:t>
            </w:r>
          </w:p>
        </w:tc>
        <w:tc>
          <w:tcPr>
            <w:tcW w:w="477" w:type="pct"/>
            <w:tcBorders>
              <w:right w:val="single" w:sz="18" w:space="0" w:color="auto"/>
            </w:tcBorders>
            <w:noWrap/>
            <w:vAlign w:val="center"/>
          </w:tcPr>
          <w:p w:rsidR="001A26B0" w:rsidRDefault="00E33A99">
            <w:pPr>
              <w:spacing w:after="120"/>
              <w:jc w:val="center"/>
              <w:rPr>
                <w:noProof/>
                <w:color w:val="000000"/>
                <w:sz w:val="20"/>
              </w:rPr>
            </w:pPr>
            <w:r>
              <w:rPr>
                <w:noProof/>
                <w:color w:val="000000"/>
                <w:sz w:val="20"/>
              </w:rPr>
              <w:t>-12</w:t>
            </w:r>
          </w:p>
        </w:tc>
        <w:tc>
          <w:tcPr>
            <w:tcW w:w="544" w:type="pct"/>
            <w:tcBorders>
              <w:left w:val="single" w:sz="18" w:space="0" w:color="auto"/>
            </w:tcBorders>
            <w:vAlign w:val="bottom"/>
          </w:tcPr>
          <w:p w:rsidR="001A26B0" w:rsidRDefault="00E33A99">
            <w:pPr>
              <w:spacing w:after="120"/>
              <w:jc w:val="center"/>
              <w:rPr>
                <w:noProof/>
                <w:color w:val="000000"/>
                <w:sz w:val="20"/>
              </w:rPr>
            </w:pPr>
            <w:r>
              <w:rPr>
                <w:noProof/>
                <w:color w:val="000000"/>
                <w:sz w:val="20"/>
              </w:rPr>
              <w:t>0.0%</w:t>
            </w:r>
          </w:p>
        </w:tc>
        <w:tc>
          <w:tcPr>
            <w:tcW w:w="678" w:type="pct"/>
            <w:vAlign w:val="bottom"/>
          </w:tcPr>
          <w:p w:rsidR="001A26B0" w:rsidRDefault="00E33A99">
            <w:pPr>
              <w:spacing w:after="120"/>
              <w:jc w:val="center"/>
              <w:rPr>
                <w:noProof/>
                <w:color w:val="000000"/>
                <w:sz w:val="20"/>
              </w:rPr>
            </w:pPr>
            <w:r>
              <w:rPr>
                <w:noProof/>
                <w:color w:val="000000"/>
                <w:sz w:val="20"/>
              </w:rPr>
              <w:t>-0.1%</w:t>
            </w:r>
          </w:p>
        </w:tc>
        <w:tc>
          <w:tcPr>
            <w:tcW w:w="454" w:type="pct"/>
            <w:vAlign w:val="bottom"/>
          </w:tcPr>
          <w:p w:rsidR="001A26B0" w:rsidRDefault="00E33A99">
            <w:pPr>
              <w:spacing w:after="120"/>
              <w:jc w:val="center"/>
              <w:rPr>
                <w:noProof/>
                <w:color w:val="000000"/>
                <w:sz w:val="20"/>
              </w:rPr>
            </w:pPr>
            <w:r>
              <w:rPr>
                <w:noProof/>
                <w:color w:val="000000"/>
                <w:sz w:val="20"/>
              </w:rPr>
              <w:t>-0.5%</w:t>
            </w:r>
          </w:p>
        </w:tc>
      </w:tr>
      <w:tr w:rsidR="001A26B0">
        <w:trPr>
          <w:trHeight w:val="288"/>
        </w:trPr>
        <w:tc>
          <w:tcPr>
            <w:tcW w:w="1062" w:type="pct"/>
            <w:tcBorders>
              <w:right w:val="single" w:sz="18" w:space="0" w:color="auto"/>
            </w:tcBorders>
            <w:noWrap/>
            <w:hideMark/>
          </w:tcPr>
          <w:p w:rsidR="001A26B0" w:rsidRDefault="00E33A99">
            <w:pPr>
              <w:spacing w:after="120"/>
              <w:jc w:val="left"/>
              <w:rPr>
                <w:noProof/>
                <w:sz w:val="20"/>
              </w:rPr>
            </w:pPr>
            <w:r>
              <w:rPr>
                <w:noProof/>
                <w:sz w:val="20"/>
              </w:rPr>
              <w:t>Rubber and plastics</w:t>
            </w:r>
          </w:p>
        </w:tc>
        <w:tc>
          <w:tcPr>
            <w:tcW w:w="630" w:type="pct"/>
            <w:tcBorders>
              <w:left w:val="single" w:sz="18" w:space="0" w:color="auto"/>
            </w:tcBorders>
            <w:noWrap/>
            <w:vAlign w:val="bottom"/>
            <w:hideMark/>
          </w:tcPr>
          <w:p w:rsidR="001A26B0" w:rsidRDefault="00E33A99">
            <w:pPr>
              <w:spacing w:after="120"/>
              <w:jc w:val="center"/>
              <w:rPr>
                <w:noProof/>
                <w:color w:val="000000"/>
                <w:sz w:val="20"/>
              </w:rPr>
            </w:pPr>
            <w:r>
              <w:rPr>
                <w:noProof/>
                <w:color w:val="000000"/>
                <w:sz w:val="20"/>
              </w:rPr>
              <w:t>1,776</w:t>
            </w:r>
          </w:p>
        </w:tc>
        <w:tc>
          <w:tcPr>
            <w:tcW w:w="476" w:type="pct"/>
            <w:noWrap/>
            <w:vAlign w:val="center"/>
          </w:tcPr>
          <w:p w:rsidR="001A26B0" w:rsidRDefault="00E33A99">
            <w:pPr>
              <w:spacing w:after="120"/>
              <w:jc w:val="center"/>
              <w:rPr>
                <w:noProof/>
                <w:color w:val="000000"/>
                <w:sz w:val="20"/>
              </w:rPr>
            </w:pPr>
            <w:r>
              <w:rPr>
                <w:noProof/>
                <w:color w:val="000000"/>
                <w:sz w:val="20"/>
              </w:rPr>
              <w:t>5</w:t>
            </w:r>
          </w:p>
        </w:tc>
        <w:tc>
          <w:tcPr>
            <w:tcW w:w="679" w:type="pct"/>
            <w:noWrap/>
            <w:vAlign w:val="center"/>
          </w:tcPr>
          <w:p w:rsidR="001A26B0" w:rsidRDefault="00E33A99">
            <w:pPr>
              <w:spacing w:after="120"/>
              <w:jc w:val="center"/>
              <w:rPr>
                <w:noProof/>
                <w:color w:val="000000"/>
                <w:sz w:val="20"/>
              </w:rPr>
            </w:pPr>
            <w:r>
              <w:rPr>
                <w:noProof/>
                <w:color w:val="000000"/>
                <w:sz w:val="20"/>
              </w:rPr>
              <w:t>5</w:t>
            </w:r>
          </w:p>
        </w:tc>
        <w:tc>
          <w:tcPr>
            <w:tcW w:w="477" w:type="pct"/>
            <w:tcBorders>
              <w:right w:val="single" w:sz="18" w:space="0" w:color="auto"/>
            </w:tcBorders>
            <w:noWrap/>
            <w:vAlign w:val="center"/>
          </w:tcPr>
          <w:p w:rsidR="001A26B0" w:rsidRDefault="00E33A99">
            <w:pPr>
              <w:spacing w:after="120"/>
              <w:jc w:val="center"/>
              <w:rPr>
                <w:noProof/>
                <w:color w:val="000000"/>
                <w:sz w:val="20"/>
              </w:rPr>
            </w:pPr>
            <w:r>
              <w:rPr>
                <w:noProof/>
                <w:color w:val="000000"/>
                <w:sz w:val="20"/>
              </w:rPr>
              <w:t>7</w:t>
            </w:r>
          </w:p>
        </w:tc>
        <w:tc>
          <w:tcPr>
            <w:tcW w:w="544" w:type="pct"/>
            <w:tcBorders>
              <w:left w:val="single" w:sz="18" w:space="0" w:color="auto"/>
            </w:tcBorders>
            <w:vAlign w:val="bottom"/>
          </w:tcPr>
          <w:p w:rsidR="001A26B0" w:rsidRDefault="00E33A99">
            <w:pPr>
              <w:spacing w:after="120"/>
              <w:jc w:val="center"/>
              <w:rPr>
                <w:noProof/>
                <w:color w:val="000000"/>
                <w:sz w:val="20"/>
              </w:rPr>
            </w:pPr>
            <w:r>
              <w:rPr>
                <w:noProof/>
                <w:color w:val="000000"/>
                <w:sz w:val="20"/>
              </w:rPr>
              <w:t>0.3%</w:t>
            </w:r>
          </w:p>
        </w:tc>
        <w:tc>
          <w:tcPr>
            <w:tcW w:w="678" w:type="pct"/>
            <w:vAlign w:val="bottom"/>
          </w:tcPr>
          <w:p w:rsidR="001A26B0" w:rsidRDefault="00E33A99">
            <w:pPr>
              <w:spacing w:after="120"/>
              <w:jc w:val="center"/>
              <w:rPr>
                <w:noProof/>
                <w:color w:val="000000"/>
                <w:sz w:val="20"/>
              </w:rPr>
            </w:pPr>
            <w:r>
              <w:rPr>
                <w:noProof/>
                <w:color w:val="000000"/>
                <w:sz w:val="20"/>
              </w:rPr>
              <w:t>0.3%</w:t>
            </w:r>
          </w:p>
        </w:tc>
        <w:tc>
          <w:tcPr>
            <w:tcW w:w="454" w:type="pct"/>
            <w:vAlign w:val="bottom"/>
          </w:tcPr>
          <w:p w:rsidR="001A26B0" w:rsidRDefault="00E33A99">
            <w:pPr>
              <w:spacing w:after="120"/>
              <w:jc w:val="center"/>
              <w:rPr>
                <w:noProof/>
                <w:color w:val="000000"/>
                <w:sz w:val="20"/>
              </w:rPr>
            </w:pPr>
            <w:r>
              <w:rPr>
                <w:noProof/>
                <w:color w:val="000000"/>
                <w:sz w:val="20"/>
              </w:rPr>
              <w:t>0.4%</w:t>
            </w:r>
          </w:p>
        </w:tc>
      </w:tr>
      <w:tr w:rsidR="001A26B0">
        <w:trPr>
          <w:trHeight w:val="288"/>
        </w:trPr>
        <w:tc>
          <w:tcPr>
            <w:tcW w:w="1062" w:type="pct"/>
            <w:tcBorders>
              <w:right w:val="single" w:sz="18" w:space="0" w:color="auto"/>
            </w:tcBorders>
            <w:noWrap/>
            <w:hideMark/>
          </w:tcPr>
          <w:p w:rsidR="001A26B0" w:rsidRDefault="00E33A99">
            <w:pPr>
              <w:spacing w:after="120"/>
              <w:jc w:val="left"/>
              <w:rPr>
                <w:noProof/>
                <w:sz w:val="20"/>
              </w:rPr>
            </w:pPr>
            <w:r>
              <w:rPr>
                <w:noProof/>
                <w:sz w:val="20"/>
              </w:rPr>
              <w:t>Metals</w:t>
            </w:r>
          </w:p>
        </w:tc>
        <w:tc>
          <w:tcPr>
            <w:tcW w:w="630" w:type="pct"/>
            <w:tcBorders>
              <w:left w:val="single" w:sz="18" w:space="0" w:color="auto"/>
            </w:tcBorders>
            <w:noWrap/>
            <w:vAlign w:val="bottom"/>
            <w:hideMark/>
          </w:tcPr>
          <w:p w:rsidR="001A26B0" w:rsidRDefault="00E33A99">
            <w:pPr>
              <w:spacing w:after="120"/>
              <w:jc w:val="center"/>
              <w:rPr>
                <w:noProof/>
                <w:color w:val="000000"/>
                <w:sz w:val="20"/>
              </w:rPr>
            </w:pPr>
            <w:r>
              <w:rPr>
                <w:noProof/>
                <w:color w:val="000000"/>
                <w:sz w:val="20"/>
              </w:rPr>
              <w:t>4,288</w:t>
            </w:r>
          </w:p>
        </w:tc>
        <w:tc>
          <w:tcPr>
            <w:tcW w:w="476" w:type="pct"/>
            <w:noWrap/>
            <w:vAlign w:val="center"/>
          </w:tcPr>
          <w:p w:rsidR="001A26B0" w:rsidRDefault="00E33A99">
            <w:pPr>
              <w:spacing w:after="120"/>
              <w:jc w:val="center"/>
              <w:rPr>
                <w:noProof/>
                <w:color w:val="000000"/>
                <w:sz w:val="20"/>
              </w:rPr>
            </w:pPr>
            <w:r>
              <w:rPr>
                <w:noProof/>
                <w:color w:val="000000"/>
                <w:sz w:val="20"/>
              </w:rPr>
              <w:t>5</w:t>
            </w:r>
          </w:p>
        </w:tc>
        <w:tc>
          <w:tcPr>
            <w:tcW w:w="679" w:type="pct"/>
            <w:noWrap/>
            <w:vAlign w:val="center"/>
          </w:tcPr>
          <w:p w:rsidR="001A26B0" w:rsidRDefault="00E33A99">
            <w:pPr>
              <w:spacing w:after="120"/>
              <w:jc w:val="center"/>
              <w:rPr>
                <w:noProof/>
                <w:color w:val="000000"/>
                <w:sz w:val="20"/>
              </w:rPr>
            </w:pPr>
            <w:r>
              <w:rPr>
                <w:noProof/>
                <w:color w:val="000000"/>
                <w:sz w:val="20"/>
              </w:rPr>
              <w:t>5</w:t>
            </w:r>
          </w:p>
        </w:tc>
        <w:tc>
          <w:tcPr>
            <w:tcW w:w="477" w:type="pct"/>
            <w:tcBorders>
              <w:right w:val="single" w:sz="18" w:space="0" w:color="auto"/>
            </w:tcBorders>
            <w:noWrap/>
            <w:vAlign w:val="center"/>
          </w:tcPr>
          <w:p w:rsidR="001A26B0" w:rsidRDefault="00E33A99">
            <w:pPr>
              <w:spacing w:after="120"/>
              <w:jc w:val="center"/>
              <w:rPr>
                <w:noProof/>
                <w:color w:val="000000"/>
                <w:sz w:val="20"/>
              </w:rPr>
            </w:pPr>
            <w:r>
              <w:rPr>
                <w:noProof/>
                <w:color w:val="000000"/>
                <w:sz w:val="20"/>
              </w:rPr>
              <w:t>5</w:t>
            </w:r>
          </w:p>
        </w:tc>
        <w:tc>
          <w:tcPr>
            <w:tcW w:w="544" w:type="pct"/>
            <w:tcBorders>
              <w:left w:val="single" w:sz="18" w:space="0" w:color="auto"/>
            </w:tcBorders>
            <w:vAlign w:val="bottom"/>
          </w:tcPr>
          <w:p w:rsidR="001A26B0" w:rsidRDefault="00E33A99">
            <w:pPr>
              <w:spacing w:after="120"/>
              <w:jc w:val="center"/>
              <w:rPr>
                <w:noProof/>
                <w:color w:val="000000"/>
                <w:sz w:val="20"/>
              </w:rPr>
            </w:pPr>
            <w:r>
              <w:rPr>
                <w:noProof/>
                <w:color w:val="000000"/>
                <w:sz w:val="20"/>
              </w:rPr>
              <w:t>0.1%</w:t>
            </w:r>
          </w:p>
        </w:tc>
        <w:tc>
          <w:tcPr>
            <w:tcW w:w="678" w:type="pct"/>
            <w:vAlign w:val="bottom"/>
          </w:tcPr>
          <w:p w:rsidR="001A26B0" w:rsidRDefault="00E33A99">
            <w:pPr>
              <w:spacing w:after="120"/>
              <w:jc w:val="center"/>
              <w:rPr>
                <w:noProof/>
                <w:color w:val="000000"/>
                <w:sz w:val="20"/>
              </w:rPr>
            </w:pPr>
            <w:r>
              <w:rPr>
                <w:noProof/>
                <w:color w:val="000000"/>
                <w:sz w:val="20"/>
              </w:rPr>
              <w:t>0.1%</w:t>
            </w:r>
          </w:p>
        </w:tc>
        <w:tc>
          <w:tcPr>
            <w:tcW w:w="454" w:type="pct"/>
            <w:vAlign w:val="bottom"/>
          </w:tcPr>
          <w:p w:rsidR="001A26B0" w:rsidRDefault="00E33A99">
            <w:pPr>
              <w:spacing w:after="120"/>
              <w:jc w:val="center"/>
              <w:rPr>
                <w:noProof/>
                <w:color w:val="000000"/>
                <w:sz w:val="20"/>
              </w:rPr>
            </w:pPr>
            <w:r>
              <w:rPr>
                <w:noProof/>
                <w:color w:val="000000"/>
                <w:sz w:val="20"/>
              </w:rPr>
              <w:t>0.1%</w:t>
            </w:r>
          </w:p>
        </w:tc>
      </w:tr>
      <w:tr w:rsidR="001A26B0">
        <w:trPr>
          <w:trHeight w:val="288"/>
        </w:trPr>
        <w:tc>
          <w:tcPr>
            <w:tcW w:w="1062" w:type="pct"/>
            <w:tcBorders>
              <w:right w:val="single" w:sz="18" w:space="0" w:color="auto"/>
            </w:tcBorders>
            <w:noWrap/>
            <w:hideMark/>
          </w:tcPr>
          <w:p w:rsidR="001A26B0" w:rsidRDefault="00E33A99">
            <w:pPr>
              <w:spacing w:after="120"/>
              <w:jc w:val="left"/>
              <w:rPr>
                <w:noProof/>
                <w:sz w:val="20"/>
              </w:rPr>
            </w:pPr>
            <w:r>
              <w:rPr>
                <w:noProof/>
                <w:sz w:val="20"/>
              </w:rPr>
              <w:t>Electrical equipment</w:t>
            </w:r>
          </w:p>
        </w:tc>
        <w:tc>
          <w:tcPr>
            <w:tcW w:w="630" w:type="pct"/>
            <w:tcBorders>
              <w:left w:val="single" w:sz="18" w:space="0" w:color="auto"/>
            </w:tcBorders>
            <w:noWrap/>
            <w:vAlign w:val="bottom"/>
            <w:hideMark/>
          </w:tcPr>
          <w:p w:rsidR="001A26B0" w:rsidRDefault="00E33A99">
            <w:pPr>
              <w:spacing w:after="120"/>
              <w:jc w:val="center"/>
              <w:rPr>
                <w:noProof/>
                <w:color w:val="000000"/>
                <w:sz w:val="20"/>
              </w:rPr>
            </w:pPr>
            <w:r>
              <w:rPr>
                <w:noProof/>
                <w:color w:val="000000"/>
                <w:sz w:val="20"/>
              </w:rPr>
              <w:t>2,451</w:t>
            </w:r>
          </w:p>
        </w:tc>
        <w:tc>
          <w:tcPr>
            <w:tcW w:w="476" w:type="pct"/>
            <w:noWrap/>
            <w:vAlign w:val="center"/>
          </w:tcPr>
          <w:p w:rsidR="001A26B0" w:rsidRDefault="00E33A99">
            <w:pPr>
              <w:spacing w:after="120"/>
              <w:jc w:val="center"/>
              <w:rPr>
                <w:noProof/>
                <w:color w:val="000000"/>
                <w:sz w:val="20"/>
              </w:rPr>
            </w:pPr>
            <w:r>
              <w:rPr>
                <w:noProof/>
                <w:color w:val="000000"/>
                <w:sz w:val="20"/>
              </w:rPr>
              <w:t>5</w:t>
            </w:r>
          </w:p>
        </w:tc>
        <w:tc>
          <w:tcPr>
            <w:tcW w:w="679" w:type="pct"/>
            <w:noWrap/>
            <w:vAlign w:val="center"/>
          </w:tcPr>
          <w:p w:rsidR="001A26B0" w:rsidRDefault="00E33A99">
            <w:pPr>
              <w:spacing w:after="120"/>
              <w:jc w:val="center"/>
              <w:rPr>
                <w:noProof/>
                <w:color w:val="000000"/>
                <w:sz w:val="20"/>
              </w:rPr>
            </w:pPr>
            <w:r>
              <w:rPr>
                <w:noProof/>
                <w:color w:val="000000"/>
                <w:sz w:val="20"/>
              </w:rPr>
              <w:t>7</w:t>
            </w:r>
          </w:p>
        </w:tc>
        <w:tc>
          <w:tcPr>
            <w:tcW w:w="477" w:type="pct"/>
            <w:tcBorders>
              <w:right w:val="single" w:sz="18" w:space="0" w:color="auto"/>
            </w:tcBorders>
            <w:noWrap/>
            <w:vAlign w:val="center"/>
          </w:tcPr>
          <w:p w:rsidR="001A26B0" w:rsidRDefault="00E33A99">
            <w:pPr>
              <w:spacing w:after="120"/>
              <w:jc w:val="center"/>
              <w:rPr>
                <w:noProof/>
                <w:color w:val="000000"/>
                <w:sz w:val="20"/>
              </w:rPr>
            </w:pPr>
            <w:r>
              <w:rPr>
                <w:noProof/>
                <w:color w:val="000000"/>
                <w:sz w:val="20"/>
              </w:rPr>
              <w:t>12</w:t>
            </w:r>
          </w:p>
        </w:tc>
        <w:tc>
          <w:tcPr>
            <w:tcW w:w="544" w:type="pct"/>
            <w:tcBorders>
              <w:left w:val="single" w:sz="18" w:space="0" w:color="auto"/>
            </w:tcBorders>
            <w:vAlign w:val="bottom"/>
          </w:tcPr>
          <w:p w:rsidR="001A26B0" w:rsidRDefault="00E33A99">
            <w:pPr>
              <w:spacing w:after="120"/>
              <w:jc w:val="center"/>
              <w:rPr>
                <w:noProof/>
                <w:color w:val="000000"/>
                <w:sz w:val="20"/>
              </w:rPr>
            </w:pPr>
            <w:r>
              <w:rPr>
                <w:noProof/>
                <w:color w:val="000000"/>
                <w:sz w:val="20"/>
              </w:rPr>
              <w:t>0.2%</w:t>
            </w:r>
          </w:p>
        </w:tc>
        <w:tc>
          <w:tcPr>
            <w:tcW w:w="678" w:type="pct"/>
            <w:vAlign w:val="bottom"/>
          </w:tcPr>
          <w:p w:rsidR="001A26B0" w:rsidRDefault="00E33A99">
            <w:pPr>
              <w:spacing w:after="120"/>
              <w:jc w:val="center"/>
              <w:rPr>
                <w:noProof/>
                <w:color w:val="000000"/>
                <w:sz w:val="20"/>
              </w:rPr>
            </w:pPr>
            <w:r>
              <w:rPr>
                <w:noProof/>
                <w:color w:val="000000"/>
                <w:sz w:val="20"/>
              </w:rPr>
              <w:t>0.3%</w:t>
            </w:r>
          </w:p>
        </w:tc>
        <w:tc>
          <w:tcPr>
            <w:tcW w:w="454" w:type="pct"/>
            <w:vAlign w:val="bottom"/>
          </w:tcPr>
          <w:p w:rsidR="001A26B0" w:rsidRDefault="00E33A99">
            <w:pPr>
              <w:spacing w:after="120"/>
              <w:jc w:val="center"/>
              <w:rPr>
                <w:noProof/>
                <w:color w:val="000000"/>
                <w:sz w:val="20"/>
              </w:rPr>
            </w:pPr>
            <w:r>
              <w:rPr>
                <w:noProof/>
                <w:color w:val="000000"/>
                <w:sz w:val="20"/>
              </w:rPr>
              <w:t>0.5%</w:t>
            </w:r>
          </w:p>
        </w:tc>
      </w:tr>
      <w:tr w:rsidR="001A26B0">
        <w:trPr>
          <w:trHeight w:val="288"/>
        </w:trPr>
        <w:tc>
          <w:tcPr>
            <w:tcW w:w="1062" w:type="pct"/>
            <w:tcBorders>
              <w:right w:val="single" w:sz="18" w:space="0" w:color="auto"/>
            </w:tcBorders>
            <w:noWrap/>
            <w:hideMark/>
          </w:tcPr>
          <w:p w:rsidR="001A26B0" w:rsidRDefault="00E33A99">
            <w:pPr>
              <w:spacing w:after="120"/>
              <w:jc w:val="left"/>
              <w:rPr>
                <w:noProof/>
                <w:sz w:val="20"/>
              </w:rPr>
            </w:pPr>
            <w:r>
              <w:rPr>
                <w:noProof/>
                <w:sz w:val="20"/>
              </w:rPr>
              <w:t>Electricity, gas, water, etc</w:t>
            </w:r>
          </w:p>
        </w:tc>
        <w:tc>
          <w:tcPr>
            <w:tcW w:w="630" w:type="pct"/>
            <w:tcBorders>
              <w:left w:val="single" w:sz="18" w:space="0" w:color="auto"/>
            </w:tcBorders>
            <w:noWrap/>
            <w:vAlign w:val="bottom"/>
            <w:hideMark/>
          </w:tcPr>
          <w:p w:rsidR="001A26B0" w:rsidRDefault="00E33A99">
            <w:pPr>
              <w:spacing w:after="120"/>
              <w:jc w:val="center"/>
              <w:rPr>
                <w:noProof/>
                <w:color w:val="000000"/>
                <w:sz w:val="20"/>
              </w:rPr>
            </w:pPr>
            <w:r>
              <w:rPr>
                <w:noProof/>
                <w:color w:val="000000"/>
                <w:sz w:val="20"/>
              </w:rPr>
              <w:t>2,852</w:t>
            </w:r>
          </w:p>
        </w:tc>
        <w:tc>
          <w:tcPr>
            <w:tcW w:w="476" w:type="pct"/>
            <w:noWrap/>
            <w:vAlign w:val="center"/>
          </w:tcPr>
          <w:p w:rsidR="001A26B0" w:rsidRDefault="00E33A99">
            <w:pPr>
              <w:spacing w:after="120"/>
              <w:jc w:val="center"/>
              <w:rPr>
                <w:noProof/>
                <w:color w:val="000000"/>
                <w:sz w:val="20"/>
              </w:rPr>
            </w:pPr>
            <w:r>
              <w:rPr>
                <w:noProof/>
                <w:color w:val="000000"/>
                <w:sz w:val="20"/>
              </w:rPr>
              <w:t>2</w:t>
            </w:r>
          </w:p>
        </w:tc>
        <w:tc>
          <w:tcPr>
            <w:tcW w:w="679" w:type="pct"/>
            <w:noWrap/>
            <w:vAlign w:val="center"/>
          </w:tcPr>
          <w:p w:rsidR="001A26B0" w:rsidRDefault="00E33A99">
            <w:pPr>
              <w:spacing w:after="120"/>
              <w:jc w:val="center"/>
              <w:rPr>
                <w:noProof/>
                <w:color w:val="000000"/>
                <w:sz w:val="20"/>
              </w:rPr>
            </w:pPr>
            <w:r>
              <w:rPr>
                <w:noProof/>
                <w:color w:val="000000"/>
                <w:sz w:val="20"/>
              </w:rPr>
              <w:t>2</w:t>
            </w:r>
          </w:p>
        </w:tc>
        <w:tc>
          <w:tcPr>
            <w:tcW w:w="477" w:type="pct"/>
            <w:tcBorders>
              <w:right w:val="single" w:sz="18" w:space="0" w:color="auto"/>
            </w:tcBorders>
            <w:noWrap/>
            <w:vAlign w:val="center"/>
          </w:tcPr>
          <w:p w:rsidR="001A26B0" w:rsidRDefault="00E33A99">
            <w:pPr>
              <w:spacing w:after="120"/>
              <w:jc w:val="center"/>
              <w:rPr>
                <w:noProof/>
                <w:color w:val="000000"/>
                <w:sz w:val="20"/>
              </w:rPr>
            </w:pPr>
            <w:r>
              <w:rPr>
                <w:noProof/>
                <w:color w:val="000000"/>
                <w:sz w:val="20"/>
              </w:rPr>
              <w:t>5</w:t>
            </w:r>
          </w:p>
        </w:tc>
        <w:tc>
          <w:tcPr>
            <w:tcW w:w="544" w:type="pct"/>
            <w:tcBorders>
              <w:left w:val="single" w:sz="18" w:space="0" w:color="auto"/>
            </w:tcBorders>
            <w:vAlign w:val="bottom"/>
          </w:tcPr>
          <w:p w:rsidR="001A26B0" w:rsidRDefault="00E33A99">
            <w:pPr>
              <w:spacing w:after="120"/>
              <w:jc w:val="center"/>
              <w:rPr>
                <w:noProof/>
                <w:color w:val="000000"/>
                <w:sz w:val="20"/>
              </w:rPr>
            </w:pPr>
            <w:r>
              <w:rPr>
                <w:noProof/>
                <w:color w:val="000000"/>
                <w:sz w:val="20"/>
              </w:rPr>
              <w:t>0.1%</w:t>
            </w:r>
          </w:p>
        </w:tc>
        <w:tc>
          <w:tcPr>
            <w:tcW w:w="678" w:type="pct"/>
            <w:vAlign w:val="bottom"/>
          </w:tcPr>
          <w:p w:rsidR="001A26B0" w:rsidRDefault="00E33A99">
            <w:pPr>
              <w:spacing w:after="120"/>
              <w:jc w:val="center"/>
              <w:rPr>
                <w:noProof/>
                <w:color w:val="000000"/>
                <w:sz w:val="20"/>
              </w:rPr>
            </w:pPr>
            <w:r>
              <w:rPr>
                <w:noProof/>
                <w:color w:val="000000"/>
                <w:sz w:val="20"/>
              </w:rPr>
              <w:t>0.1%</w:t>
            </w:r>
          </w:p>
        </w:tc>
        <w:tc>
          <w:tcPr>
            <w:tcW w:w="454" w:type="pct"/>
            <w:vAlign w:val="bottom"/>
          </w:tcPr>
          <w:p w:rsidR="001A26B0" w:rsidRDefault="00E33A99">
            <w:pPr>
              <w:spacing w:after="120"/>
              <w:jc w:val="center"/>
              <w:rPr>
                <w:noProof/>
                <w:color w:val="000000"/>
                <w:sz w:val="20"/>
              </w:rPr>
            </w:pPr>
            <w:r>
              <w:rPr>
                <w:noProof/>
                <w:color w:val="000000"/>
                <w:sz w:val="20"/>
              </w:rPr>
              <w:t>0.2%</w:t>
            </w:r>
          </w:p>
        </w:tc>
      </w:tr>
      <w:tr w:rsidR="001A26B0">
        <w:trPr>
          <w:trHeight w:val="288"/>
        </w:trPr>
        <w:tc>
          <w:tcPr>
            <w:tcW w:w="1062" w:type="pct"/>
            <w:tcBorders>
              <w:right w:val="single" w:sz="18" w:space="0" w:color="auto"/>
            </w:tcBorders>
            <w:noWrap/>
          </w:tcPr>
          <w:p w:rsidR="001A26B0" w:rsidRDefault="00E33A99">
            <w:pPr>
              <w:spacing w:after="120"/>
              <w:jc w:val="left"/>
              <w:rPr>
                <w:noProof/>
                <w:sz w:val="20"/>
              </w:rPr>
            </w:pPr>
            <w:r>
              <w:rPr>
                <w:noProof/>
                <w:sz w:val="20"/>
              </w:rPr>
              <w:t>Other sectors</w:t>
            </w:r>
          </w:p>
        </w:tc>
        <w:tc>
          <w:tcPr>
            <w:tcW w:w="630" w:type="pct"/>
            <w:tcBorders>
              <w:left w:val="single" w:sz="18" w:space="0" w:color="auto"/>
            </w:tcBorders>
            <w:noWrap/>
            <w:vAlign w:val="bottom"/>
          </w:tcPr>
          <w:p w:rsidR="001A26B0" w:rsidRDefault="00E33A99">
            <w:pPr>
              <w:spacing w:after="120"/>
              <w:jc w:val="center"/>
              <w:rPr>
                <w:noProof/>
                <w:color w:val="000000"/>
                <w:sz w:val="20"/>
              </w:rPr>
            </w:pPr>
            <w:r>
              <w:rPr>
                <w:noProof/>
                <w:color w:val="000000"/>
                <w:sz w:val="20"/>
              </w:rPr>
              <w:t>200,427</w:t>
            </w:r>
          </w:p>
        </w:tc>
        <w:tc>
          <w:tcPr>
            <w:tcW w:w="476" w:type="pct"/>
            <w:noWrap/>
            <w:vAlign w:val="bottom"/>
          </w:tcPr>
          <w:p w:rsidR="001A26B0" w:rsidRDefault="00E33A99">
            <w:pPr>
              <w:spacing w:after="120"/>
              <w:jc w:val="center"/>
              <w:rPr>
                <w:noProof/>
                <w:color w:val="000000"/>
                <w:sz w:val="20"/>
              </w:rPr>
            </w:pPr>
            <w:r>
              <w:rPr>
                <w:noProof/>
                <w:color w:val="000000"/>
                <w:sz w:val="20"/>
              </w:rPr>
              <w:t>3</w:t>
            </w:r>
          </w:p>
        </w:tc>
        <w:tc>
          <w:tcPr>
            <w:tcW w:w="679" w:type="pct"/>
            <w:noWrap/>
            <w:vAlign w:val="bottom"/>
          </w:tcPr>
          <w:p w:rsidR="001A26B0" w:rsidRDefault="00E33A99">
            <w:pPr>
              <w:spacing w:after="120"/>
              <w:jc w:val="center"/>
              <w:rPr>
                <w:noProof/>
                <w:color w:val="000000"/>
                <w:sz w:val="20"/>
              </w:rPr>
            </w:pPr>
            <w:r>
              <w:rPr>
                <w:noProof/>
                <w:color w:val="000000"/>
                <w:sz w:val="20"/>
              </w:rPr>
              <w:t>3</w:t>
            </w:r>
          </w:p>
        </w:tc>
        <w:tc>
          <w:tcPr>
            <w:tcW w:w="477" w:type="pct"/>
            <w:tcBorders>
              <w:right w:val="single" w:sz="18" w:space="0" w:color="auto"/>
            </w:tcBorders>
            <w:noWrap/>
            <w:vAlign w:val="bottom"/>
          </w:tcPr>
          <w:p w:rsidR="001A26B0" w:rsidRDefault="00E33A99">
            <w:pPr>
              <w:spacing w:after="120"/>
              <w:jc w:val="center"/>
              <w:rPr>
                <w:noProof/>
                <w:color w:val="000000"/>
                <w:sz w:val="20"/>
              </w:rPr>
            </w:pPr>
            <w:r>
              <w:rPr>
                <w:noProof/>
                <w:color w:val="000000"/>
                <w:sz w:val="20"/>
              </w:rPr>
              <w:t>69</w:t>
            </w:r>
          </w:p>
        </w:tc>
        <w:tc>
          <w:tcPr>
            <w:tcW w:w="544" w:type="pct"/>
            <w:tcBorders>
              <w:left w:val="single" w:sz="18" w:space="0" w:color="auto"/>
            </w:tcBorders>
            <w:vAlign w:val="center"/>
          </w:tcPr>
          <w:p w:rsidR="001A26B0" w:rsidRDefault="00E33A99">
            <w:pPr>
              <w:spacing w:after="120"/>
              <w:jc w:val="center"/>
              <w:rPr>
                <w:noProof/>
                <w:color w:val="000000"/>
                <w:sz w:val="20"/>
              </w:rPr>
            </w:pPr>
            <w:r>
              <w:rPr>
                <w:noProof/>
                <w:color w:val="000000"/>
                <w:sz w:val="20"/>
              </w:rPr>
              <w:t>0.0%</w:t>
            </w:r>
          </w:p>
        </w:tc>
        <w:tc>
          <w:tcPr>
            <w:tcW w:w="678" w:type="pct"/>
            <w:vAlign w:val="center"/>
          </w:tcPr>
          <w:p w:rsidR="001A26B0" w:rsidRDefault="00E33A99">
            <w:pPr>
              <w:spacing w:after="120"/>
              <w:jc w:val="center"/>
              <w:rPr>
                <w:noProof/>
                <w:color w:val="000000"/>
                <w:sz w:val="20"/>
              </w:rPr>
            </w:pPr>
            <w:r>
              <w:rPr>
                <w:noProof/>
                <w:color w:val="000000"/>
                <w:sz w:val="20"/>
              </w:rPr>
              <w:t>0.0%</w:t>
            </w:r>
          </w:p>
        </w:tc>
        <w:tc>
          <w:tcPr>
            <w:tcW w:w="454" w:type="pct"/>
            <w:vAlign w:val="center"/>
          </w:tcPr>
          <w:p w:rsidR="001A26B0" w:rsidRDefault="00E33A99">
            <w:pPr>
              <w:spacing w:after="120"/>
              <w:jc w:val="center"/>
              <w:rPr>
                <w:noProof/>
                <w:color w:val="000000"/>
                <w:sz w:val="20"/>
              </w:rPr>
            </w:pPr>
            <w:r>
              <w:rPr>
                <w:noProof/>
                <w:color w:val="000000"/>
                <w:sz w:val="20"/>
              </w:rPr>
              <w:t>0.0%</w:t>
            </w:r>
          </w:p>
        </w:tc>
      </w:tr>
      <w:tr w:rsidR="001A26B0">
        <w:trPr>
          <w:trHeight w:val="288"/>
        </w:trPr>
        <w:tc>
          <w:tcPr>
            <w:tcW w:w="1062" w:type="pct"/>
            <w:tcBorders>
              <w:right w:val="single" w:sz="18" w:space="0" w:color="auto"/>
            </w:tcBorders>
            <w:noWrap/>
            <w:vAlign w:val="center"/>
          </w:tcPr>
          <w:p w:rsidR="001A26B0" w:rsidRDefault="00E33A99">
            <w:pPr>
              <w:spacing w:after="120"/>
              <w:rPr>
                <w:b/>
                <w:i/>
                <w:noProof/>
                <w:sz w:val="22"/>
              </w:rPr>
            </w:pPr>
            <w:r>
              <w:rPr>
                <w:b/>
                <w:i/>
                <w:noProof/>
                <w:color w:val="000000"/>
                <w:sz w:val="22"/>
              </w:rPr>
              <w:t>Total</w:t>
            </w:r>
          </w:p>
        </w:tc>
        <w:tc>
          <w:tcPr>
            <w:tcW w:w="630" w:type="pct"/>
            <w:tcBorders>
              <w:left w:val="single" w:sz="18" w:space="0" w:color="auto"/>
            </w:tcBorders>
            <w:noWrap/>
            <w:vAlign w:val="center"/>
          </w:tcPr>
          <w:p w:rsidR="001A26B0" w:rsidRDefault="00E33A99">
            <w:pPr>
              <w:spacing w:after="120"/>
              <w:jc w:val="center"/>
              <w:rPr>
                <w:b/>
                <w:i/>
                <w:noProof/>
                <w:color w:val="000000"/>
                <w:sz w:val="22"/>
              </w:rPr>
            </w:pPr>
            <w:r>
              <w:rPr>
                <w:b/>
                <w:i/>
                <w:noProof/>
                <w:color w:val="000000"/>
                <w:sz w:val="22"/>
              </w:rPr>
              <w:t>230,209</w:t>
            </w:r>
          </w:p>
        </w:tc>
        <w:tc>
          <w:tcPr>
            <w:tcW w:w="476" w:type="pct"/>
            <w:noWrap/>
            <w:vAlign w:val="center"/>
          </w:tcPr>
          <w:p w:rsidR="001A26B0" w:rsidRDefault="00E33A99">
            <w:pPr>
              <w:spacing w:after="120"/>
              <w:jc w:val="center"/>
              <w:rPr>
                <w:b/>
                <w:i/>
                <w:noProof/>
                <w:color w:val="000000"/>
                <w:sz w:val="22"/>
              </w:rPr>
            </w:pPr>
            <w:r>
              <w:rPr>
                <w:b/>
                <w:i/>
                <w:noProof/>
                <w:color w:val="000000"/>
                <w:sz w:val="22"/>
              </w:rPr>
              <w:t>20</w:t>
            </w:r>
          </w:p>
        </w:tc>
        <w:tc>
          <w:tcPr>
            <w:tcW w:w="679" w:type="pct"/>
            <w:noWrap/>
            <w:vAlign w:val="center"/>
          </w:tcPr>
          <w:p w:rsidR="001A26B0" w:rsidRDefault="00E33A99">
            <w:pPr>
              <w:spacing w:after="120"/>
              <w:jc w:val="center"/>
              <w:rPr>
                <w:b/>
                <w:i/>
                <w:noProof/>
                <w:color w:val="000000"/>
                <w:sz w:val="22"/>
              </w:rPr>
            </w:pPr>
            <w:r>
              <w:rPr>
                <w:b/>
                <w:i/>
                <w:noProof/>
                <w:color w:val="000000"/>
                <w:sz w:val="22"/>
              </w:rPr>
              <w:t>18</w:t>
            </w:r>
          </w:p>
        </w:tc>
        <w:tc>
          <w:tcPr>
            <w:tcW w:w="477" w:type="pct"/>
            <w:tcBorders>
              <w:right w:val="single" w:sz="18" w:space="0" w:color="auto"/>
            </w:tcBorders>
            <w:noWrap/>
            <w:vAlign w:val="center"/>
          </w:tcPr>
          <w:p w:rsidR="001A26B0" w:rsidRDefault="00E33A99">
            <w:pPr>
              <w:spacing w:after="120"/>
              <w:jc w:val="center"/>
              <w:rPr>
                <w:b/>
                <w:i/>
                <w:noProof/>
                <w:color w:val="000000"/>
                <w:sz w:val="22"/>
              </w:rPr>
            </w:pPr>
            <w:r>
              <w:rPr>
                <w:b/>
                <w:i/>
                <w:noProof/>
                <w:color w:val="000000"/>
                <w:sz w:val="22"/>
              </w:rPr>
              <w:t>86</w:t>
            </w:r>
          </w:p>
        </w:tc>
        <w:tc>
          <w:tcPr>
            <w:tcW w:w="544" w:type="pct"/>
            <w:tcBorders>
              <w:left w:val="single" w:sz="18" w:space="0" w:color="auto"/>
            </w:tcBorders>
            <w:vAlign w:val="center"/>
          </w:tcPr>
          <w:p w:rsidR="001A26B0" w:rsidRDefault="00E33A99">
            <w:pPr>
              <w:spacing w:after="120"/>
              <w:jc w:val="center"/>
              <w:rPr>
                <w:b/>
                <w:i/>
                <w:noProof/>
                <w:color w:val="000000"/>
                <w:sz w:val="22"/>
              </w:rPr>
            </w:pPr>
            <w:r>
              <w:rPr>
                <w:b/>
                <w:i/>
                <w:noProof/>
                <w:color w:val="000000"/>
                <w:sz w:val="22"/>
              </w:rPr>
              <w:t>0.01%</w:t>
            </w:r>
          </w:p>
        </w:tc>
        <w:tc>
          <w:tcPr>
            <w:tcW w:w="678" w:type="pct"/>
            <w:vAlign w:val="center"/>
          </w:tcPr>
          <w:p w:rsidR="001A26B0" w:rsidRDefault="00E33A99">
            <w:pPr>
              <w:spacing w:after="120"/>
              <w:jc w:val="center"/>
              <w:rPr>
                <w:b/>
                <w:i/>
                <w:noProof/>
                <w:color w:val="000000"/>
                <w:sz w:val="22"/>
              </w:rPr>
            </w:pPr>
            <w:r>
              <w:rPr>
                <w:b/>
                <w:i/>
                <w:noProof/>
                <w:color w:val="000000"/>
                <w:sz w:val="22"/>
              </w:rPr>
              <w:t>0.01%</w:t>
            </w:r>
          </w:p>
        </w:tc>
        <w:tc>
          <w:tcPr>
            <w:tcW w:w="454" w:type="pct"/>
            <w:vAlign w:val="center"/>
          </w:tcPr>
          <w:p w:rsidR="001A26B0" w:rsidRDefault="00E33A99">
            <w:pPr>
              <w:spacing w:after="120"/>
              <w:jc w:val="center"/>
              <w:rPr>
                <w:b/>
                <w:i/>
                <w:noProof/>
                <w:color w:val="000000"/>
                <w:sz w:val="22"/>
              </w:rPr>
            </w:pPr>
            <w:r>
              <w:rPr>
                <w:b/>
                <w:i/>
                <w:noProof/>
                <w:color w:val="000000"/>
                <w:sz w:val="22"/>
              </w:rPr>
              <w:t>0.04%</w:t>
            </w:r>
          </w:p>
        </w:tc>
      </w:tr>
    </w:tbl>
    <w:p w:rsidR="001A26B0" w:rsidRDefault="00E33A99">
      <w:pPr>
        <w:pStyle w:val="Default"/>
        <w:spacing w:before="240" w:after="120"/>
        <w:rPr>
          <w:i/>
          <w:noProof/>
          <w:sz w:val="23"/>
          <w:szCs w:val="23"/>
          <w:u w:val="single"/>
        </w:rPr>
      </w:pPr>
      <w:r>
        <w:rPr>
          <w:i/>
          <w:noProof/>
          <w:u w:val="single"/>
        </w:rPr>
        <w:t xml:space="preserve">GEM-E3 </w:t>
      </w:r>
      <w:r>
        <w:rPr>
          <w:i/>
          <w:noProof/>
          <w:sz w:val="23"/>
          <w:szCs w:val="23"/>
          <w:u w:val="single"/>
        </w:rPr>
        <w:t>modelling results</w:t>
      </w:r>
      <w:r>
        <w:rPr>
          <w:i/>
          <w:noProof/>
          <w:u w:val="single"/>
        </w:rPr>
        <w:t xml:space="preserve"> on employment</w:t>
      </w:r>
    </w:p>
    <w:p w:rsidR="001A26B0" w:rsidRDefault="00E33A99">
      <w:pPr>
        <w:spacing w:after="120"/>
        <w:rPr>
          <w:noProof/>
          <w:color w:val="000000"/>
          <w:szCs w:val="24"/>
        </w:rPr>
      </w:pPr>
      <w:r>
        <w:rPr>
          <w:noProof/>
          <w:szCs w:val="24"/>
        </w:rPr>
        <w:t xml:space="preserve">Total employment increases slightly with respect to the baseline in the policy scenarios. Higher </w:t>
      </w:r>
      <w:r>
        <w:rPr>
          <w:noProof/>
          <w:szCs w:val="24"/>
        </w:rPr>
        <w:t>levels of ambition for the CO</w:t>
      </w:r>
      <w:r>
        <w:rPr>
          <w:noProof/>
          <w:szCs w:val="24"/>
          <w:vertAlign w:val="subscript"/>
        </w:rPr>
        <w:t>2</w:t>
      </w:r>
      <w:r>
        <w:rPr>
          <w:noProof/>
          <w:szCs w:val="24"/>
        </w:rPr>
        <w:t xml:space="preserve"> target would lead to a higher increase in the number of jobs.</w:t>
      </w:r>
      <w:r>
        <w:rPr>
          <w:noProof/>
          <w:color w:val="000000"/>
          <w:szCs w:val="24"/>
        </w:rPr>
        <w:t xml:space="preserve"> The table below shows economy-wide results, based on the assumption that the batteries used in electric vehicles would be manufactured in the EU. </w:t>
      </w:r>
    </w:p>
    <w:p w:rsidR="001A26B0" w:rsidRDefault="00E33A99">
      <w:pPr>
        <w:pStyle w:val="Caption"/>
        <w:keepNext/>
        <w:rPr>
          <w:noProof/>
          <w:szCs w:val="24"/>
        </w:rPr>
      </w:pPr>
      <w:r>
        <w:rPr>
          <w:noProof/>
        </w:rPr>
        <w:t xml:space="preserve">Table </w:t>
      </w:r>
      <w:r>
        <w:rPr>
          <w:noProof/>
        </w:rPr>
        <w:fldChar w:fldCharType="begin"/>
      </w:r>
      <w:r>
        <w:rPr>
          <w:noProof/>
        </w:rPr>
        <w:instrText xml:space="preserve"> SEQ Table</w:instrText>
      </w:r>
      <w:r>
        <w:rPr>
          <w:noProof/>
        </w:rPr>
        <w:instrText xml:space="preserve"> \* ARABIC </w:instrText>
      </w:r>
      <w:r>
        <w:rPr>
          <w:noProof/>
        </w:rPr>
        <w:fldChar w:fldCharType="separate"/>
      </w:r>
      <w:r>
        <w:rPr>
          <w:noProof/>
        </w:rPr>
        <w:t>27</w:t>
      </w:r>
      <w:r>
        <w:rPr>
          <w:noProof/>
        </w:rPr>
        <w:fldChar w:fldCharType="end"/>
      </w:r>
      <w:r>
        <w:rPr>
          <w:noProof/>
        </w:rPr>
        <w:t>: Employment impacts under the Baseline (000s jobs) and policy scenarios (% change from Baseline) under the loan based financing variant – battery cells manufactured in the EU (GEM-E3)</w:t>
      </w:r>
    </w:p>
    <w:tbl>
      <w:tblPr>
        <w:tblW w:w="5000" w:type="pct"/>
        <w:tblLook w:val="04A0" w:firstRow="1" w:lastRow="0" w:firstColumn="1" w:lastColumn="0" w:noHBand="0" w:noVBand="1"/>
      </w:tblPr>
      <w:tblGrid>
        <w:gridCol w:w="3269"/>
        <w:gridCol w:w="1390"/>
        <w:gridCol w:w="1390"/>
        <w:gridCol w:w="1390"/>
        <w:gridCol w:w="1390"/>
      </w:tblGrid>
      <w:tr w:rsidR="001A26B0">
        <w:trPr>
          <w:trHeight w:val="315"/>
        </w:trPr>
        <w:tc>
          <w:tcPr>
            <w:tcW w:w="18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B0" w:rsidRDefault="00E33A99">
            <w:pPr>
              <w:spacing w:after="0"/>
              <w:rPr>
                <w:b/>
                <w:noProof/>
                <w:szCs w:val="24"/>
              </w:rPr>
            </w:pPr>
            <w:r>
              <w:rPr>
                <w:b/>
                <w:noProof/>
                <w:szCs w:val="24"/>
              </w:rPr>
              <w:t> Scenario</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B0" w:rsidRDefault="00E33A99">
            <w:pPr>
              <w:spacing w:after="0"/>
              <w:jc w:val="center"/>
              <w:rPr>
                <w:b/>
                <w:noProof/>
                <w:szCs w:val="24"/>
              </w:rPr>
            </w:pPr>
            <w:r>
              <w:rPr>
                <w:b/>
                <w:noProof/>
                <w:szCs w:val="24"/>
              </w:rPr>
              <w:t>2025</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B0" w:rsidRDefault="00E33A99">
            <w:pPr>
              <w:spacing w:after="0"/>
              <w:jc w:val="center"/>
              <w:rPr>
                <w:b/>
                <w:noProof/>
                <w:szCs w:val="24"/>
              </w:rPr>
            </w:pPr>
            <w:r>
              <w:rPr>
                <w:b/>
                <w:noProof/>
                <w:szCs w:val="24"/>
              </w:rPr>
              <w:t>2030</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B0" w:rsidRDefault="00E33A99">
            <w:pPr>
              <w:spacing w:after="0"/>
              <w:jc w:val="center"/>
              <w:rPr>
                <w:b/>
                <w:noProof/>
                <w:szCs w:val="24"/>
              </w:rPr>
            </w:pPr>
            <w:r>
              <w:rPr>
                <w:b/>
                <w:noProof/>
                <w:szCs w:val="24"/>
              </w:rPr>
              <w:t>2035</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B0" w:rsidRDefault="00E33A99">
            <w:pPr>
              <w:spacing w:after="0"/>
              <w:jc w:val="center"/>
              <w:rPr>
                <w:b/>
                <w:noProof/>
                <w:szCs w:val="24"/>
              </w:rPr>
            </w:pPr>
            <w:r>
              <w:rPr>
                <w:b/>
                <w:noProof/>
                <w:szCs w:val="24"/>
              </w:rPr>
              <w:t>2040</w:t>
            </w:r>
          </w:p>
        </w:tc>
      </w:tr>
      <w:tr w:rsidR="001A26B0">
        <w:trPr>
          <w:trHeight w:val="315"/>
        </w:trPr>
        <w:tc>
          <w:tcPr>
            <w:tcW w:w="1852"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rsidR="001A26B0" w:rsidRDefault="00E33A99">
            <w:pPr>
              <w:spacing w:after="0"/>
              <w:rPr>
                <w:noProof/>
                <w:szCs w:val="24"/>
              </w:rPr>
            </w:pPr>
            <w:r>
              <w:rPr>
                <w:noProof/>
                <w:szCs w:val="24"/>
              </w:rPr>
              <w:t>TL0 (Baseline)</w:t>
            </w:r>
          </w:p>
        </w:tc>
        <w:tc>
          <w:tcPr>
            <w:tcW w:w="787" w:type="pct"/>
            <w:tcBorders>
              <w:top w:val="single" w:sz="4" w:space="0" w:color="auto"/>
              <w:left w:val="nil"/>
              <w:bottom w:val="single" w:sz="8" w:space="0" w:color="auto"/>
              <w:right w:val="single" w:sz="8" w:space="0" w:color="auto"/>
            </w:tcBorders>
            <w:shd w:val="clear" w:color="auto" w:fill="auto"/>
            <w:noWrap/>
            <w:vAlign w:val="center"/>
            <w:hideMark/>
          </w:tcPr>
          <w:p w:rsidR="001A26B0" w:rsidRDefault="00E33A99">
            <w:pPr>
              <w:spacing w:after="0"/>
              <w:jc w:val="right"/>
              <w:rPr>
                <w:noProof/>
                <w:szCs w:val="24"/>
              </w:rPr>
            </w:pPr>
            <w:r>
              <w:rPr>
                <w:noProof/>
                <w:szCs w:val="24"/>
              </w:rPr>
              <w:t>218,609</w:t>
            </w:r>
          </w:p>
        </w:tc>
        <w:tc>
          <w:tcPr>
            <w:tcW w:w="787" w:type="pct"/>
            <w:tcBorders>
              <w:top w:val="single" w:sz="4" w:space="0" w:color="auto"/>
              <w:left w:val="nil"/>
              <w:bottom w:val="single" w:sz="8" w:space="0" w:color="auto"/>
              <w:right w:val="single" w:sz="8" w:space="0" w:color="auto"/>
            </w:tcBorders>
            <w:shd w:val="clear" w:color="auto" w:fill="auto"/>
            <w:noWrap/>
            <w:vAlign w:val="center"/>
            <w:hideMark/>
          </w:tcPr>
          <w:p w:rsidR="001A26B0" w:rsidRDefault="00E33A99">
            <w:pPr>
              <w:spacing w:after="0"/>
              <w:jc w:val="right"/>
              <w:rPr>
                <w:noProof/>
                <w:szCs w:val="24"/>
              </w:rPr>
            </w:pPr>
            <w:r>
              <w:rPr>
                <w:noProof/>
                <w:szCs w:val="24"/>
              </w:rPr>
              <w:t>216,367</w:t>
            </w:r>
          </w:p>
        </w:tc>
        <w:tc>
          <w:tcPr>
            <w:tcW w:w="787" w:type="pct"/>
            <w:tcBorders>
              <w:top w:val="single" w:sz="4" w:space="0" w:color="auto"/>
              <w:left w:val="nil"/>
              <w:bottom w:val="single" w:sz="8" w:space="0" w:color="auto"/>
              <w:right w:val="single" w:sz="8" w:space="0" w:color="auto"/>
            </w:tcBorders>
            <w:shd w:val="clear" w:color="auto" w:fill="auto"/>
            <w:noWrap/>
            <w:vAlign w:val="center"/>
            <w:hideMark/>
          </w:tcPr>
          <w:p w:rsidR="001A26B0" w:rsidRDefault="00E33A99">
            <w:pPr>
              <w:spacing w:after="0"/>
              <w:jc w:val="right"/>
              <w:rPr>
                <w:noProof/>
                <w:szCs w:val="24"/>
              </w:rPr>
            </w:pPr>
            <w:r>
              <w:rPr>
                <w:noProof/>
                <w:szCs w:val="24"/>
              </w:rPr>
              <w:t>214,265</w:t>
            </w:r>
          </w:p>
        </w:tc>
        <w:tc>
          <w:tcPr>
            <w:tcW w:w="787" w:type="pct"/>
            <w:tcBorders>
              <w:top w:val="single" w:sz="4" w:space="0" w:color="auto"/>
              <w:left w:val="nil"/>
              <w:bottom w:val="single" w:sz="8" w:space="0" w:color="auto"/>
              <w:right w:val="single" w:sz="8" w:space="0" w:color="auto"/>
            </w:tcBorders>
            <w:shd w:val="clear" w:color="auto" w:fill="auto"/>
            <w:noWrap/>
            <w:vAlign w:val="center"/>
            <w:hideMark/>
          </w:tcPr>
          <w:p w:rsidR="001A26B0" w:rsidRDefault="00E33A99">
            <w:pPr>
              <w:spacing w:after="0"/>
              <w:jc w:val="right"/>
              <w:rPr>
                <w:noProof/>
                <w:szCs w:val="24"/>
              </w:rPr>
            </w:pPr>
            <w:r>
              <w:rPr>
                <w:noProof/>
                <w:szCs w:val="24"/>
              </w:rPr>
              <w:t>212,852</w:t>
            </w:r>
          </w:p>
        </w:tc>
      </w:tr>
      <w:tr w:rsidR="001A26B0">
        <w:trPr>
          <w:trHeight w:val="315"/>
        </w:trPr>
        <w:tc>
          <w:tcPr>
            <w:tcW w:w="1852" w:type="pct"/>
            <w:tcBorders>
              <w:top w:val="nil"/>
              <w:left w:val="single" w:sz="8" w:space="0" w:color="auto"/>
              <w:bottom w:val="single" w:sz="8" w:space="0" w:color="auto"/>
              <w:right w:val="single" w:sz="8" w:space="0" w:color="auto"/>
            </w:tcBorders>
            <w:shd w:val="clear" w:color="auto" w:fill="auto"/>
            <w:noWrap/>
            <w:vAlign w:val="center"/>
            <w:hideMark/>
          </w:tcPr>
          <w:p w:rsidR="001A26B0" w:rsidRDefault="00E33A99">
            <w:pPr>
              <w:spacing w:after="0"/>
              <w:rPr>
                <w:noProof/>
                <w:szCs w:val="24"/>
              </w:rPr>
            </w:pPr>
            <w:r>
              <w:rPr>
                <w:noProof/>
                <w:szCs w:val="24"/>
              </w:rPr>
              <w:t>TL20 loan-based</w:t>
            </w:r>
          </w:p>
        </w:tc>
        <w:tc>
          <w:tcPr>
            <w:tcW w:w="787" w:type="pct"/>
            <w:tcBorders>
              <w:top w:val="nil"/>
              <w:left w:val="nil"/>
              <w:bottom w:val="single" w:sz="8" w:space="0" w:color="auto"/>
              <w:right w:val="single" w:sz="8" w:space="0" w:color="auto"/>
            </w:tcBorders>
            <w:shd w:val="clear" w:color="auto" w:fill="auto"/>
            <w:noWrap/>
            <w:vAlign w:val="center"/>
            <w:hideMark/>
          </w:tcPr>
          <w:p w:rsidR="001A26B0" w:rsidRDefault="00E33A99">
            <w:pPr>
              <w:spacing w:after="0"/>
              <w:jc w:val="right"/>
              <w:rPr>
                <w:noProof/>
                <w:szCs w:val="24"/>
              </w:rPr>
            </w:pPr>
            <w:r>
              <w:rPr>
                <w:noProof/>
                <w:szCs w:val="24"/>
              </w:rPr>
              <w:t>0.01%</w:t>
            </w:r>
          </w:p>
        </w:tc>
        <w:tc>
          <w:tcPr>
            <w:tcW w:w="787" w:type="pct"/>
            <w:tcBorders>
              <w:top w:val="nil"/>
              <w:left w:val="nil"/>
              <w:bottom w:val="single" w:sz="8" w:space="0" w:color="auto"/>
              <w:right w:val="single" w:sz="8" w:space="0" w:color="auto"/>
            </w:tcBorders>
            <w:shd w:val="clear" w:color="auto" w:fill="auto"/>
            <w:noWrap/>
            <w:vAlign w:val="center"/>
            <w:hideMark/>
          </w:tcPr>
          <w:p w:rsidR="001A26B0" w:rsidRDefault="00E33A99">
            <w:pPr>
              <w:spacing w:after="0"/>
              <w:jc w:val="right"/>
              <w:rPr>
                <w:noProof/>
                <w:szCs w:val="24"/>
              </w:rPr>
            </w:pPr>
            <w:r>
              <w:rPr>
                <w:noProof/>
                <w:szCs w:val="24"/>
              </w:rPr>
              <w:t>0.01%</w:t>
            </w:r>
          </w:p>
        </w:tc>
        <w:tc>
          <w:tcPr>
            <w:tcW w:w="787" w:type="pct"/>
            <w:tcBorders>
              <w:top w:val="nil"/>
              <w:left w:val="nil"/>
              <w:bottom w:val="single" w:sz="8" w:space="0" w:color="auto"/>
              <w:right w:val="single" w:sz="8" w:space="0" w:color="auto"/>
            </w:tcBorders>
            <w:shd w:val="clear" w:color="auto" w:fill="auto"/>
            <w:noWrap/>
            <w:vAlign w:val="center"/>
            <w:hideMark/>
          </w:tcPr>
          <w:p w:rsidR="001A26B0" w:rsidRDefault="00E33A99">
            <w:pPr>
              <w:spacing w:after="0"/>
              <w:jc w:val="right"/>
              <w:rPr>
                <w:noProof/>
                <w:szCs w:val="24"/>
              </w:rPr>
            </w:pPr>
            <w:r>
              <w:rPr>
                <w:noProof/>
                <w:szCs w:val="24"/>
              </w:rPr>
              <w:t>0.02%</w:t>
            </w:r>
          </w:p>
        </w:tc>
        <w:tc>
          <w:tcPr>
            <w:tcW w:w="787" w:type="pct"/>
            <w:tcBorders>
              <w:top w:val="nil"/>
              <w:left w:val="nil"/>
              <w:bottom w:val="single" w:sz="8" w:space="0" w:color="auto"/>
              <w:right w:val="single" w:sz="8" w:space="0" w:color="auto"/>
            </w:tcBorders>
            <w:shd w:val="clear" w:color="auto" w:fill="auto"/>
            <w:noWrap/>
            <w:vAlign w:val="center"/>
            <w:hideMark/>
          </w:tcPr>
          <w:p w:rsidR="001A26B0" w:rsidRDefault="00E33A99">
            <w:pPr>
              <w:spacing w:after="0"/>
              <w:jc w:val="right"/>
              <w:rPr>
                <w:noProof/>
                <w:szCs w:val="24"/>
              </w:rPr>
            </w:pPr>
            <w:r>
              <w:rPr>
                <w:noProof/>
                <w:szCs w:val="24"/>
              </w:rPr>
              <w:t>0.01%</w:t>
            </w:r>
          </w:p>
        </w:tc>
      </w:tr>
      <w:tr w:rsidR="001A26B0">
        <w:trPr>
          <w:trHeight w:val="315"/>
        </w:trPr>
        <w:tc>
          <w:tcPr>
            <w:tcW w:w="1852" w:type="pct"/>
            <w:tcBorders>
              <w:top w:val="nil"/>
              <w:left w:val="single" w:sz="8" w:space="0" w:color="auto"/>
              <w:bottom w:val="single" w:sz="8" w:space="0" w:color="auto"/>
              <w:right w:val="single" w:sz="8" w:space="0" w:color="auto"/>
            </w:tcBorders>
            <w:shd w:val="clear" w:color="auto" w:fill="auto"/>
            <w:noWrap/>
            <w:vAlign w:val="center"/>
            <w:hideMark/>
          </w:tcPr>
          <w:p w:rsidR="001A26B0" w:rsidRDefault="00E33A99">
            <w:pPr>
              <w:spacing w:after="0"/>
              <w:rPr>
                <w:noProof/>
                <w:szCs w:val="24"/>
              </w:rPr>
            </w:pPr>
            <w:r>
              <w:rPr>
                <w:noProof/>
                <w:szCs w:val="24"/>
              </w:rPr>
              <w:t>TL30c/25v loan-based</w:t>
            </w:r>
          </w:p>
        </w:tc>
        <w:tc>
          <w:tcPr>
            <w:tcW w:w="787" w:type="pct"/>
            <w:tcBorders>
              <w:top w:val="nil"/>
              <w:left w:val="nil"/>
              <w:bottom w:val="single" w:sz="8" w:space="0" w:color="auto"/>
              <w:right w:val="single" w:sz="8" w:space="0" w:color="auto"/>
            </w:tcBorders>
            <w:shd w:val="clear" w:color="auto" w:fill="auto"/>
            <w:noWrap/>
            <w:vAlign w:val="center"/>
            <w:hideMark/>
          </w:tcPr>
          <w:p w:rsidR="001A26B0" w:rsidRDefault="00E33A99">
            <w:pPr>
              <w:spacing w:after="0"/>
              <w:jc w:val="right"/>
              <w:rPr>
                <w:noProof/>
                <w:szCs w:val="24"/>
              </w:rPr>
            </w:pPr>
            <w:r>
              <w:rPr>
                <w:noProof/>
                <w:szCs w:val="24"/>
              </w:rPr>
              <w:t>0.01%</w:t>
            </w:r>
          </w:p>
        </w:tc>
        <w:tc>
          <w:tcPr>
            <w:tcW w:w="787" w:type="pct"/>
            <w:tcBorders>
              <w:top w:val="nil"/>
              <w:left w:val="nil"/>
              <w:bottom w:val="single" w:sz="8" w:space="0" w:color="auto"/>
              <w:right w:val="single" w:sz="8" w:space="0" w:color="auto"/>
            </w:tcBorders>
            <w:shd w:val="clear" w:color="auto" w:fill="auto"/>
            <w:noWrap/>
            <w:vAlign w:val="center"/>
            <w:hideMark/>
          </w:tcPr>
          <w:p w:rsidR="001A26B0" w:rsidRDefault="00E33A99">
            <w:pPr>
              <w:spacing w:after="0"/>
              <w:jc w:val="right"/>
              <w:rPr>
                <w:noProof/>
                <w:szCs w:val="24"/>
              </w:rPr>
            </w:pPr>
            <w:r>
              <w:rPr>
                <w:noProof/>
                <w:szCs w:val="24"/>
              </w:rPr>
              <w:t>0.02%</w:t>
            </w:r>
          </w:p>
        </w:tc>
        <w:tc>
          <w:tcPr>
            <w:tcW w:w="787" w:type="pct"/>
            <w:tcBorders>
              <w:top w:val="nil"/>
              <w:left w:val="nil"/>
              <w:bottom w:val="single" w:sz="8" w:space="0" w:color="auto"/>
              <w:right w:val="single" w:sz="8" w:space="0" w:color="auto"/>
            </w:tcBorders>
            <w:shd w:val="clear" w:color="auto" w:fill="auto"/>
            <w:noWrap/>
            <w:vAlign w:val="center"/>
            <w:hideMark/>
          </w:tcPr>
          <w:p w:rsidR="001A26B0" w:rsidRDefault="00E33A99">
            <w:pPr>
              <w:spacing w:after="0"/>
              <w:jc w:val="right"/>
              <w:rPr>
                <w:noProof/>
                <w:szCs w:val="24"/>
              </w:rPr>
            </w:pPr>
            <w:r>
              <w:rPr>
                <w:noProof/>
                <w:szCs w:val="24"/>
              </w:rPr>
              <w:t>0.02%</w:t>
            </w:r>
          </w:p>
        </w:tc>
        <w:tc>
          <w:tcPr>
            <w:tcW w:w="787" w:type="pct"/>
            <w:tcBorders>
              <w:top w:val="nil"/>
              <w:left w:val="nil"/>
              <w:bottom w:val="single" w:sz="8" w:space="0" w:color="auto"/>
              <w:right w:val="single" w:sz="8" w:space="0" w:color="auto"/>
            </w:tcBorders>
            <w:shd w:val="clear" w:color="auto" w:fill="auto"/>
            <w:noWrap/>
            <w:vAlign w:val="center"/>
            <w:hideMark/>
          </w:tcPr>
          <w:p w:rsidR="001A26B0" w:rsidRDefault="00E33A99">
            <w:pPr>
              <w:spacing w:after="0"/>
              <w:jc w:val="right"/>
              <w:rPr>
                <w:noProof/>
                <w:szCs w:val="24"/>
              </w:rPr>
            </w:pPr>
            <w:r>
              <w:rPr>
                <w:noProof/>
                <w:szCs w:val="24"/>
              </w:rPr>
              <w:t>0.02%</w:t>
            </w:r>
          </w:p>
        </w:tc>
      </w:tr>
      <w:tr w:rsidR="001A26B0">
        <w:trPr>
          <w:trHeight w:val="315"/>
        </w:trPr>
        <w:tc>
          <w:tcPr>
            <w:tcW w:w="1852" w:type="pct"/>
            <w:tcBorders>
              <w:top w:val="nil"/>
              <w:left w:val="single" w:sz="8" w:space="0" w:color="auto"/>
              <w:bottom w:val="single" w:sz="8" w:space="0" w:color="auto"/>
              <w:right w:val="single" w:sz="8" w:space="0" w:color="auto"/>
            </w:tcBorders>
            <w:shd w:val="clear" w:color="auto" w:fill="auto"/>
            <w:noWrap/>
            <w:vAlign w:val="center"/>
            <w:hideMark/>
          </w:tcPr>
          <w:p w:rsidR="001A26B0" w:rsidRDefault="00E33A99">
            <w:pPr>
              <w:spacing w:after="0"/>
              <w:rPr>
                <w:noProof/>
                <w:szCs w:val="24"/>
              </w:rPr>
            </w:pPr>
            <w:r>
              <w:rPr>
                <w:noProof/>
                <w:szCs w:val="24"/>
              </w:rPr>
              <w:t>TL40 loan-based</w:t>
            </w:r>
          </w:p>
        </w:tc>
        <w:tc>
          <w:tcPr>
            <w:tcW w:w="787" w:type="pct"/>
            <w:tcBorders>
              <w:top w:val="nil"/>
              <w:left w:val="nil"/>
              <w:bottom w:val="single" w:sz="8" w:space="0" w:color="auto"/>
              <w:right w:val="single" w:sz="8" w:space="0" w:color="auto"/>
            </w:tcBorders>
            <w:shd w:val="clear" w:color="auto" w:fill="auto"/>
            <w:noWrap/>
            <w:vAlign w:val="center"/>
            <w:hideMark/>
          </w:tcPr>
          <w:p w:rsidR="001A26B0" w:rsidRDefault="00E33A99">
            <w:pPr>
              <w:spacing w:after="0"/>
              <w:jc w:val="right"/>
              <w:rPr>
                <w:noProof/>
                <w:szCs w:val="24"/>
              </w:rPr>
            </w:pPr>
            <w:r>
              <w:rPr>
                <w:noProof/>
                <w:szCs w:val="24"/>
              </w:rPr>
              <w:t>0.01%</w:t>
            </w:r>
          </w:p>
        </w:tc>
        <w:tc>
          <w:tcPr>
            <w:tcW w:w="787" w:type="pct"/>
            <w:tcBorders>
              <w:top w:val="nil"/>
              <w:left w:val="nil"/>
              <w:bottom w:val="single" w:sz="8" w:space="0" w:color="auto"/>
              <w:right w:val="single" w:sz="8" w:space="0" w:color="auto"/>
            </w:tcBorders>
            <w:shd w:val="clear" w:color="auto" w:fill="auto"/>
            <w:noWrap/>
            <w:vAlign w:val="center"/>
            <w:hideMark/>
          </w:tcPr>
          <w:p w:rsidR="001A26B0" w:rsidRDefault="00E33A99">
            <w:pPr>
              <w:spacing w:after="0"/>
              <w:jc w:val="right"/>
              <w:rPr>
                <w:noProof/>
                <w:szCs w:val="24"/>
              </w:rPr>
            </w:pPr>
            <w:r>
              <w:rPr>
                <w:noProof/>
                <w:szCs w:val="24"/>
              </w:rPr>
              <w:t>0.04%</w:t>
            </w:r>
          </w:p>
        </w:tc>
        <w:tc>
          <w:tcPr>
            <w:tcW w:w="787" w:type="pct"/>
            <w:tcBorders>
              <w:top w:val="nil"/>
              <w:left w:val="nil"/>
              <w:bottom w:val="single" w:sz="8" w:space="0" w:color="auto"/>
              <w:right w:val="single" w:sz="8" w:space="0" w:color="auto"/>
            </w:tcBorders>
            <w:shd w:val="clear" w:color="auto" w:fill="auto"/>
            <w:noWrap/>
            <w:vAlign w:val="center"/>
            <w:hideMark/>
          </w:tcPr>
          <w:p w:rsidR="001A26B0" w:rsidRDefault="00E33A99">
            <w:pPr>
              <w:spacing w:after="0"/>
              <w:jc w:val="right"/>
              <w:rPr>
                <w:noProof/>
                <w:szCs w:val="24"/>
              </w:rPr>
            </w:pPr>
            <w:r>
              <w:rPr>
                <w:noProof/>
                <w:szCs w:val="24"/>
              </w:rPr>
              <w:t>0.05%</w:t>
            </w:r>
          </w:p>
        </w:tc>
        <w:tc>
          <w:tcPr>
            <w:tcW w:w="787" w:type="pct"/>
            <w:tcBorders>
              <w:top w:val="nil"/>
              <w:left w:val="nil"/>
              <w:bottom w:val="single" w:sz="8" w:space="0" w:color="auto"/>
              <w:right w:val="single" w:sz="8" w:space="0" w:color="auto"/>
            </w:tcBorders>
            <w:shd w:val="clear" w:color="auto" w:fill="auto"/>
            <w:noWrap/>
            <w:vAlign w:val="center"/>
            <w:hideMark/>
          </w:tcPr>
          <w:p w:rsidR="001A26B0" w:rsidRDefault="00E33A99">
            <w:pPr>
              <w:spacing w:after="0"/>
              <w:jc w:val="right"/>
              <w:rPr>
                <w:noProof/>
                <w:szCs w:val="24"/>
              </w:rPr>
            </w:pPr>
            <w:r>
              <w:rPr>
                <w:noProof/>
                <w:szCs w:val="24"/>
              </w:rPr>
              <w:t>0.04%</w:t>
            </w:r>
          </w:p>
        </w:tc>
      </w:tr>
    </w:tbl>
    <w:p w:rsidR="001A26B0" w:rsidRDefault="00E33A99">
      <w:pPr>
        <w:spacing w:before="240" w:after="120"/>
        <w:rPr>
          <w:noProof/>
          <w:szCs w:val="24"/>
        </w:rPr>
      </w:pPr>
      <w:bookmarkStart w:id="313" w:name="_Ref493232427"/>
      <w:r>
        <w:rPr>
          <w:noProof/>
          <w:szCs w:val="24"/>
        </w:rPr>
        <w:t xml:space="preserve">In the case where batteries are manufactured exclusively outside the EU, it was estimated for the </w:t>
      </w:r>
      <w:r>
        <w:rPr>
          <w:noProof/>
          <w:szCs w:val="24"/>
        </w:rPr>
        <w:t>TL30c/25v scenario that the number of jobs would slightly decrease by around 0.016% with respect to the baseline. Even if this scenario remains unlikely, it confirms the importance of additional measures to ensure battery production within the EU.</w:t>
      </w:r>
    </w:p>
    <w:p w:rsidR="001A26B0" w:rsidRDefault="00E33A99">
      <w:pPr>
        <w:rPr>
          <w:noProof/>
          <w:szCs w:val="24"/>
        </w:rPr>
      </w:pPr>
      <w:r>
        <w:rPr>
          <w:noProof/>
          <w:szCs w:val="24"/>
        </w:rPr>
        <w:t>The sect</w:t>
      </w:r>
      <w:r>
        <w:rPr>
          <w:noProof/>
          <w:szCs w:val="24"/>
        </w:rPr>
        <w:t xml:space="preserve">oral breakdown of the employment impact, in </w:t>
      </w:r>
      <w:r>
        <w:rPr>
          <w:noProof/>
          <w:szCs w:val="24"/>
        </w:rPr>
        <w:fldChar w:fldCharType="begin"/>
      </w:r>
      <w:r>
        <w:rPr>
          <w:noProof/>
          <w:szCs w:val="24"/>
        </w:rPr>
        <w:instrText xml:space="preserve"> REF _Ref493687488 \h  \* MERGEFORMAT </w:instrText>
      </w:r>
      <w:r>
        <w:rPr>
          <w:noProof/>
          <w:szCs w:val="24"/>
        </w:rPr>
      </w:r>
      <w:r>
        <w:rPr>
          <w:noProof/>
          <w:szCs w:val="24"/>
        </w:rPr>
        <w:fldChar w:fldCharType="separate"/>
      </w:r>
      <w:r>
        <w:rPr>
          <w:noProof/>
        </w:rPr>
        <w:t>Table 28</w:t>
      </w:r>
      <w:r>
        <w:rPr>
          <w:noProof/>
          <w:szCs w:val="24"/>
        </w:rPr>
        <w:fldChar w:fldCharType="end"/>
      </w:r>
      <w:r>
        <w:rPr>
          <w:noProof/>
          <w:szCs w:val="24"/>
        </w:rPr>
        <w:t>, shows that the new jobs are mainly created in three sectors: advanced vehicles manufacturing, ba</w:t>
      </w:r>
      <w:r>
        <w:rPr>
          <w:noProof/>
          <w:szCs w:val="24"/>
        </w:rPr>
        <w:t>tteries production, and electrical equipment.</w:t>
      </w:r>
    </w:p>
    <w:p w:rsidR="001A26B0" w:rsidRDefault="00E33A99">
      <w:pPr>
        <w:pStyle w:val="Caption"/>
        <w:keepNext/>
        <w:rPr>
          <w:noProof/>
          <w:szCs w:val="24"/>
        </w:rPr>
      </w:pPr>
      <w:bookmarkStart w:id="314" w:name="_Ref493687488"/>
      <w:r>
        <w:rPr>
          <w:noProof/>
        </w:rPr>
        <w:t xml:space="preserve">Table </w:t>
      </w:r>
      <w:r>
        <w:rPr>
          <w:noProof/>
        </w:rPr>
        <w:fldChar w:fldCharType="begin"/>
      </w:r>
      <w:r>
        <w:rPr>
          <w:noProof/>
        </w:rPr>
        <w:instrText xml:space="preserve"> SEQ Table \* ARABIC </w:instrText>
      </w:r>
      <w:r>
        <w:rPr>
          <w:noProof/>
        </w:rPr>
        <w:fldChar w:fldCharType="separate"/>
      </w:r>
      <w:r>
        <w:rPr>
          <w:noProof/>
        </w:rPr>
        <w:t>28</w:t>
      </w:r>
      <w:r>
        <w:rPr>
          <w:noProof/>
        </w:rPr>
        <w:fldChar w:fldCharType="end"/>
      </w:r>
      <w:bookmarkEnd w:id="314"/>
      <w:r>
        <w:rPr>
          <w:noProof/>
        </w:rPr>
        <w:t>: Employment impacts, broken down by sector under the Baseline (000s jobs) and policy scenarios (% change from Baseline) under the loan based financing variant – battery cells ma</w:t>
      </w:r>
      <w:r>
        <w:rPr>
          <w:noProof/>
        </w:rPr>
        <w:t>nufactured in the EU (GEM-E3 model)</w:t>
      </w:r>
    </w:p>
    <w:tbl>
      <w:tblPr>
        <w:tblW w:w="5000" w:type="pct"/>
        <w:tblLayout w:type="fixed"/>
        <w:tblLook w:val="04A0" w:firstRow="1" w:lastRow="0" w:firstColumn="1" w:lastColumn="0" w:noHBand="0" w:noVBand="1"/>
      </w:tblPr>
      <w:tblGrid>
        <w:gridCol w:w="3109"/>
        <w:gridCol w:w="1430"/>
        <w:gridCol w:w="1430"/>
        <w:gridCol w:w="1430"/>
        <w:gridCol w:w="1430"/>
      </w:tblGrid>
      <w:tr w:rsidR="001A26B0">
        <w:trPr>
          <w:trHeight w:val="300"/>
        </w:trPr>
        <w:tc>
          <w:tcPr>
            <w:tcW w:w="17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313"/>
          <w:p w:rsidR="001A26B0" w:rsidRDefault="00E33A99">
            <w:pPr>
              <w:spacing w:after="120"/>
              <w:rPr>
                <w:b/>
                <w:noProof/>
                <w:szCs w:val="24"/>
              </w:rPr>
            </w:pPr>
            <w:r>
              <w:rPr>
                <w:b/>
                <w:noProof/>
                <w:szCs w:val="24"/>
              </w:rPr>
              <w:t>Sectors</w:t>
            </w:r>
          </w:p>
        </w:tc>
        <w:tc>
          <w:tcPr>
            <w:tcW w:w="810" w:type="pct"/>
            <w:tcBorders>
              <w:top w:val="single" w:sz="4" w:space="0" w:color="auto"/>
              <w:left w:val="nil"/>
              <w:bottom w:val="single" w:sz="4" w:space="0" w:color="auto"/>
              <w:right w:val="single" w:sz="4" w:space="0" w:color="auto"/>
            </w:tcBorders>
            <w:shd w:val="clear" w:color="auto" w:fill="auto"/>
            <w:noWrap/>
            <w:vAlign w:val="bottom"/>
            <w:hideMark/>
          </w:tcPr>
          <w:p w:rsidR="001A26B0" w:rsidRDefault="00E33A99">
            <w:pPr>
              <w:spacing w:after="120"/>
              <w:rPr>
                <w:b/>
                <w:noProof/>
                <w:szCs w:val="24"/>
              </w:rPr>
            </w:pPr>
            <w:r>
              <w:rPr>
                <w:b/>
                <w:noProof/>
                <w:szCs w:val="24"/>
              </w:rPr>
              <w:t>Scenario</w:t>
            </w:r>
          </w:p>
        </w:tc>
        <w:tc>
          <w:tcPr>
            <w:tcW w:w="810" w:type="pct"/>
            <w:tcBorders>
              <w:top w:val="single" w:sz="4" w:space="0" w:color="auto"/>
              <w:left w:val="nil"/>
              <w:bottom w:val="single" w:sz="4" w:space="0" w:color="auto"/>
              <w:right w:val="single" w:sz="4" w:space="0" w:color="auto"/>
            </w:tcBorders>
          </w:tcPr>
          <w:p w:rsidR="001A26B0" w:rsidRDefault="00E33A99">
            <w:pPr>
              <w:spacing w:after="120"/>
              <w:jc w:val="center"/>
              <w:rPr>
                <w:b/>
                <w:noProof/>
                <w:szCs w:val="24"/>
              </w:rPr>
            </w:pPr>
            <w:r>
              <w:rPr>
                <w:b/>
                <w:noProof/>
                <w:szCs w:val="24"/>
              </w:rPr>
              <w:t>2025</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B0" w:rsidRDefault="00E33A99">
            <w:pPr>
              <w:spacing w:after="120"/>
              <w:jc w:val="center"/>
              <w:rPr>
                <w:b/>
                <w:noProof/>
                <w:szCs w:val="24"/>
              </w:rPr>
            </w:pPr>
            <w:r>
              <w:rPr>
                <w:b/>
                <w:noProof/>
                <w:szCs w:val="24"/>
              </w:rPr>
              <w:t>2030</w:t>
            </w:r>
          </w:p>
        </w:tc>
        <w:tc>
          <w:tcPr>
            <w:tcW w:w="810" w:type="pct"/>
            <w:tcBorders>
              <w:top w:val="single" w:sz="4" w:space="0" w:color="auto"/>
              <w:left w:val="nil"/>
              <w:bottom w:val="single" w:sz="4" w:space="0" w:color="auto"/>
              <w:right w:val="single" w:sz="4" w:space="0" w:color="auto"/>
            </w:tcBorders>
            <w:shd w:val="clear" w:color="auto" w:fill="auto"/>
            <w:noWrap/>
            <w:vAlign w:val="bottom"/>
            <w:hideMark/>
          </w:tcPr>
          <w:p w:rsidR="001A26B0" w:rsidRDefault="00E33A99">
            <w:pPr>
              <w:spacing w:after="120"/>
              <w:jc w:val="center"/>
              <w:rPr>
                <w:b/>
                <w:noProof/>
                <w:szCs w:val="24"/>
              </w:rPr>
            </w:pPr>
            <w:r>
              <w:rPr>
                <w:b/>
                <w:noProof/>
                <w:szCs w:val="24"/>
              </w:rPr>
              <w:t>2040</w:t>
            </w:r>
          </w:p>
        </w:tc>
      </w:tr>
      <w:tr w:rsidR="001A26B0">
        <w:trPr>
          <w:trHeight w:val="300"/>
        </w:trPr>
        <w:tc>
          <w:tcPr>
            <w:tcW w:w="1760" w:type="pct"/>
            <w:vMerge w:val="restart"/>
            <w:tcBorders>
              <w:top w:val="nil"/>
              <w:left w:val="single" w:sz="4" w:space="0" w:color="auto"/>
              <w:right w:val="single" w:sz="4" w:space="0" w:color="auto"/>
            </w:tcBorders>
            <w:shd w:val="clear" w:color="auto" w:fill="auto"/>
            <w:noWrap/>
            <w:vAlign w:val="center"/>
          </w:tcPr>
          <w:p w:rsidR="001A26B0" w:rsidRDefault="00E33A99">
            <w:pPr>
              <w:spacing w:after="120"/>
              <w:jc w:val="left"/>
              <w:rPr>
                <w:noProof/>
                <w:szCs w:val="24"/>
              </w:rPr>
            </w:pPr>
            <w:r>
              <w:rPr>
                <w:noProof/>
                <w:szCs w:val="24"/>
              </w:rPr>
              <w:t>Manufacturing of electric vehicles</w:t>
            </w:r>
          </w:p>
        </w:tc>
        <w:tc>
          <w:tcPr>
            <w:tcW w:w="810" w:type="pct"/>
            <w:tcBorders>
              <w:top w:val="nil"/>
              <w:left w:val="nil"/>
              <w:bottom w:val="single" w:sz="4" w:space="0" w:color="auto"/>
              <w:right w:val="single" w:sz="4" w:space="0" w:color="auto"/>
            </w:tcBorders>
            <w:shd w:val="clear" w:color="auto" w:fill="F2F2F2" w:themeFill="background1" w:themeFillShade="F2"/>
            <w:noWrap/>
            <w:vAlign w:val="bottom"/>
          </w:tcPr>
          <w:p w:rsidR="001A26B0" w:rsidRDefault="00E33A99">
            <w:pPr>
              <w:spacing w:after="120"/>
              <w:rPr>
                <w:noProof/>
                <w:szCs w:val="24"/>
              </w:rPr>
            </w:pPr>
            <w:r>
              <w:rPr>
                <w:noProof/>
                <w:szCs w:val="24"/>
              </w:rPr>
              <w:t>Baseline</w:t>
            </w:r>
          </w:p>
        </w:tc>
        <w:tc>
          <w:tcPr>
            <w:tcW w:w="810" w:type="pct"/>
            <w:tcBorders>
              <w:top w:val="single" w:sz="4" w:space="0" w:color="auto"/>
              <w:left w:val="nil"/>
              <w:bottom w:val="single" w:sz="4" w:space="0" w:color="auto"/>
              <w:right w:val="single" w:sz="4" w:space="0" w:color="auto"/>
            </w:tcBorders>
            <w:shd w:val="clear" w:color="auto" w:fill="F2F2F2" w:themeFill="background1" w:themeFillShade="F2"/>
            <w:vAlign w:val="bottom"/>
          </w:tcPr>
          <w:p w:rsidR="001A26B0" w:rsidRDefault="00E33A99">
            <w:pPr>
              <w:spacing w:after="120"/>
              <w:ind w:right="214"/>
              <w:jc w:val="right"/>
              <w:rPr>
                <w:noProof/>
                <w:color w:val="000000"/>
                <w:szCs w:val="24"/>
              </w:rPr>
            </w:pPr>
            <w:r>
              <w:rPr>
                <w:noProof/>
                <w:color w:val="000000"/>
                <w:szCs w:val="24"/>
              </w:rPr>
              <w:t>75</w:t>
            </w:r>
          </w:p>
        </w:tc>
        <w:tc>
          <w:tcPr>
            <w:tcW w:w="810" w:type="pct"/>
            <w:tcBorders>
              <w:top w:val="nil"/>
              <w:left w:val="single" w:sz="4" w:space="0" w:color="auto"/>
              <w:bottom w:val="single" w:sz="4" w:space="0" w:color="auto"/>
              <w:right w:val="single" w:sz="4" w:space="0" w:color="auto"/>
            </w:tcBorders>
            <w:shd w:val="clear" w:color="auto" w:fill="F2F2F2" w:themeFill="background1" w:themeFillShade="F2"/>
            <w:noWrap/>
            <w:vAlign w:val="bottom"/>
          </w:tcPr>
          <w:p w:rsidR="001A26B0" w:rsidRDefault="00E33A99">
            <w:pPr>
              <w:spacing w:after="120"/>
              <w:ind w:right="214"/>
              <w:jc w:val="right"/>
              <w:rPr>
                <w:noProof/>
                <w:color w:val="000000"/>
                <w:szCs w:val="24"/>
              </w:rPr>
            </w:pPr>
            <w:r>
              <w:rPr>
                <w:noProof/>
                <w:color w:val="000000"/>
                <w:szCs w:val="24"/>
              </w:rPr>
              <w:t>147</w:t>
            </w:r>
          </w:p>
        </w:tc>
        <w:tc>
          <w:tcPr>
            <w:tcW w:w="810" w:type="pct"/>
            <w:tcBorders>
              <w:top w:val="nil"/>
              <w:left w:val="nil"/>
              <w:bottom w:val="single" w:sz="4" w:space="0" w:color="auto"/>
              <w:right w:val="single" w:sz="4" w:space="0" w:color="auto"/>
            </w:tcBorders>
            <w:shd w:val="clear" w:color="auto" w:fill="F2F2F2" w:themeFill="background1" w:themeFillShade="F2"/>
            <w:noWrap/>
            <w:vAlign w:val="bottom"/>
          </w:tcPr>
          <w:p w:rsidR="001A26B0" w:rsidRDefault="00E33A99">
            <w:pPr>
              <w:spacing w:after="120"/>
              <w:ind w:right="214"/>
              <w:jc w:val="right"/>
              <w:rPr>
                <w:noProof/>
                <w:color w:val="000000"/>
                <w:szCs w:val="24"/>
              </w:rPr>
            </w:pPr>
            <w:r>
              <w:rPr>
                <w:noProof/>
                <w:color w:val="000000"/>
                <w:szCs w:val="24"/>
              </w:rPr>
              <w:t>206</w:t>
            </w:r>
          </w:p>
        </w:tc>
      </w:tr>
      <w:tr w:rsidR="001A26B0">
        <w:trPr>
          <w:trHeight w:val="300"/>
        </w:trPr>
        <w:tc>
          <w:tcPr>
            <w:tcW w:w="1760" w:type="pct"/>
            <w:vMerge/>
            <w:tcBorders>
              <w:left w:val="single" w:sz="4" w:space="0" w:color="auto"/>
              <w:right w:val="single" w:sz="4" w:space="0" w:color="auto"/>
            </w:tcBorders>
            <w:shd w:val="clear" w:color="auto" w:fill="auto"/>
            <w:noWrap/>
            <w:vAlign w:val="center"/>
            <w:hideMark/>
          </w:tcPr>
          <w:p w:rsidR="001A26B0" w:rsidRDefault="001A26B0">
            <w:pPr>
              <w:spacing w:after="120"/>
              <w:jc w:val="left"/>
              <w:rPr>
                <w:noProof/>
                <w:szCs w:val="24"/>
              </w:rPr>
            </w:pPr>
          </w:p>
        </w:tc>
        <w:tc>
          <w:tcPr>
            <w:tcW w:w="810"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rPr>
                <w:noProof/>
                <w:szCs w:val="24"/>
              </w:rPr>
            </w:pPr>
            <w:r>
              <w:rPr>
                <w:noProof/>
                <w:szCs w:val="24"/>
              </w:rPr>
              <w:t xml:space="preserve">TL20 </w:t>
            </w:r>
          </w:p>
        </w:tc>
        <w:tc>
          <w:tcPr>
            <w:tcW w:w="810" w:type="pct"/>
            <w:tcBorders>
              <w:top w:val="single" w:sz="4" w:space="0" w:color="auto"/>
              <w:left w:val="nil"/>
              <w:bottom w:val="single" w:sz="4" w:space="0" w:color="auto"/>
              <w:right w:val="single" w:sz="4" w:space="0" w:color="auto"/>
            </w:tcBorders>
            <w:vAlign w:val="bottom"/>
          </w:tcPr>
          <w:p w:rsidR="001A26B0" w:rsidRDefault="00E33A99">
            <w:pPr>
              <w:spacing w:after="120"/>
              <w:ind w:right="214"/>
              <w:jc w:val="right"/>
              <w:rPr>
                <w:noProof/>
                <w:szCs w:val="24"/>
              </w:rPr>
            </w:pPr>
            <w:r>
              <w:rPr>
                <w:noProof/>
                <w:szCs w:val="24"/>
              </w:rPr>
              <w:t>47.1%</w:t>
            </w:r>
          </w:p>
        </w:tc>
        <w:tc>
          <w:tcPr>
            <w:tcW w:w="810" w:type="pct"/>
            <w:tcBorders>
              <w:top w:val="nil"/>
              <w:left w:val="single" w:sz="4" w:space="0" w:color="auto"/>
              <w:bottom w:val="single" w:sz="4" w:space="0" w:color="auto"/>
              <w:right w:val="single" w:sz="4" w:space="0" w:color="auto"/>
            </w:tcBorders>
            <w:shd w:val="clear" w:color="auto" w:fill="auto"/>
            <w:noWrap/>
            <w:vAlign w:val="bottom"/>
            <w:hideMark/>
          </w:tcPr>
          <w:p w:rsidR="001A26B0" w:rsidRDefault="00E33A99">
            <w:pPr>
              <w:spacing w:after="120"/>
              <w:ind w:right="214"/>
              <w:jc w:val="right"/>
              <w:rPr>
                <w:noProof/>
                <w:szCs w:val="24"/>
              </w:rPr>
            </w:pPr>
            <w:r>
              <w:rPr>
                <w:noProof/>
                <w:szCs w:val="24"/>
              </w:rPr>
              <w:t>38.3%</w:t>
            </w:r>
          </w:p>
        </w:tc>
        <w:tc>
          <w:tcPr>
            <w:tcW w:w="810"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ind w:right="214"/>
              <w:jc w:val="right"/>
              <w:rPr>
                <w:noProof/>
                <w:szCs w:val="24"/>
              </w:rPr>
            </w:pPr>
            <w:r>
              <w:rPr>
                <w:noProof/>
                <w:szCs w:val="24"/>
              </w:rPr>
              <w:t>48.6%</w:t>
            </w:r>
          </w:p>
        </w:tc>
      </w:tr>
      <w:tr w:rsidR="001A26B0">
        <w:trPr>
          <w:trHeight w:val="300"/>
        </w:trPr>
        <w:tc>
          <w:tcPr>
            <w:tcW w:w="1760" w:type="pct"/>
            <w:vMerge/>
            <w:tcBorders>
              <w:left w:val="single" w:sz="4" w:space="0" w:color="auto"/>
              <w:right w:val="single" w:sz="4" w:space="0" w:color="auto"/>
            </w:tcBorders>
            <w:vAlign w:val="center"/>
            <w:hideMark/>
          </w:tcPr>
          <w:p w:rsidR="001A26B0" w:rsidRDefault="001A26B0">
            <w:pPr>
              <w:spacing w:after="120"/>
              <w:jc w:val="left"/>
              <w:rPr>
                <w:noProof/>
                <w:szCs w:val="24"/>
              </w:rPr>
            </w:pPr>
          </w:p>
        </w:tc>
        <w:tc>
          <w:tcPr>
            <w:tcW w:w="810"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rPr>
                <w:noProof/>
                <w:szCs w:val="24"/>
              </w:rPr>
            </w:pPr>
            <w:r>
              <w:rPr>
                <w:noProof/>
                <w:szCs w:val="24"/>
              </w:rPr>
              <w:t xml:space="preserve">TL30c/25v </w:t>
            </w:r>
          </w:p>
        </w:tc>
        <w:tc>
          <w:tcPr>
            <w:tcW w:w="810" w:type="pct"/>
            <w:tcBorders>
              <w:top w:val="single" w:sz="4" w:space="0" w:color="auto"/>
              <w:left w:val="nil"/>
              <w:bottom w:val="single" w:sz="4" w:space="0" w:color="auto"/>
              <w:right w:val="single" w:sz="4" w:space="0" w:color="auto"/>
            </w:tcBorders>
            <w:vAlign w:val="bottom"/>
          </w:tcPr>
          <w:p w:rsidR="001A26B0" w:rsidRDefault="00E33A99">
            <w:pPr>
              <w:spacing w:after="120"/>
              <w:ind w:right="214"/>
              <w:jc w:val="right"/>
              <w:rPr>
                <w:noProof/>
                <w:szCs w:val="24"/>
              </w:rPr>
            </w:pPr>
            <w:r>
              <w:rPr>
                <w:noProof/>
                <w:szCs w:val="24"/>
              </w:rPr>
              <w:t>49.8%</w:t>
            </w:r>
          </w:p>
        </w:tc>
        <w:tc>
          <w:tcPr>
            <w:tcW w:w="810" w:type="pct"/>
            <w:tcBorders>
              <w:top w:val="nil"/>
              <w:left w:val="single" w:sz="4" w:space="0" w:color="auto"/>
              <w:bottom w:val="single" w:sz="4" w:space="0" w:color="auto"/>
              <w:right w:val="single" w:sz="4" w:space="0" w:color="auto"/>
            </w:tcBorders>
            <w:shd w:val="clear" w:color="auto" w:fill="auto"/>
            <w:noWrap/>
            <w:vAlign w:val="bottom"/>
            <w:hideMark/>
          </w:tcPr>
          <w:p w:rsidR="001A26B0" w:rsidRDefault="00E33A99">
            <w:pPr>
              <w:spacing w:after="120"/>
              <w:ind w:right="214"/>
              <w:jc w:val="right"/>
              <w:rPr>
                <w:noProof/>
                <w:szCs w:val="24"/>
              </w:rPr>
            </w:pPr>
            <w:r>
              <w:rPr>
                <w:noProof/>
                <w:szCs w:val="24"/>
              </w:rPr>
              <w:t>55.6%</w:t>
            </w:r>
          </w:p>
        </w:tc>
        <w:tc>
          <w:tcPr>
            <w:tcW w:w="810"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ind w:right="214"/>
              <w:jc w:val="right"/>
              <w:rPr>
                <w:noProof/>
                <w:szCs w:val="24"/>
              </w:rPr>
            </w:pPr>
            <w:r>
              <w:rPr>
                <w:noProof/>
                <w:szCs w:val="24"/>
              </w:rPr>
              <w:t>51.1%</w:t>
            </w:r>
          </w:p>
        </w:tc>
      </w:tr>
      <w:tr w:rsidR="001A26B0">
        <w:trPr>
          <w:trHeight w:val="300"/>
        </w:trPr>
        <w:tc>
          <w:tcPr>
            <w:tcW w:w="1760" w:type="pct"/>
            <w:vMerge/>
            <w:tcBorders>
              <w:left w:val="single" w:sz="4" w:space="0" w:color="auto"/>
              <w:bottom w:val="single" w:sz="4" w:space="0" w:color="auto"/>
              <w:right w:val="single" w:sz="4" w:space="0" w:color="auto"/>
            </w:tcBorders>
            <w:vAlign w:val="center"/>
            <w:hideMark/>
          </w:tcPr>
          <w:p w:rsidR="001A26B0" w:rsidRDefault="001A26B0">
            <w:pPr>
              <w:spacing w:after="120"/>
              <w:jc w:val="left"/>
              <w:rPr>
                <w:noProof/>
                <w:szCs w:val="24"/>
              </w:rPr>
            </w:pPr>
          </w:p>
        </w:tc>
        <w:tc>
          <w:tcPr>
            <w:tcW w:w="810"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rPr>
                <w:noProof/>
                <w:szCs w:val="24"/>
              </w:rPr>
            </w:pPr>
            <w:r>
              <w:rPr>
                <w:noProof/>
                <w:szCs w:val="24"/>
              </w:rPr>
              <w:t xml:space="preserve">TL40 </w:t>
            </w:r>
          </w:p>
        </w:tc>
        <w:tc>
          <w:tcPr>
            <w:tcW w:w="810" w:type="pct"/>
            <w:tcBorders>
              <w:top w:val="single" w:sz="4" w:space="0" w:color="auto"/>
              <w:left w:val="nil"/>
              <w:bottom w:val="single" w:sz="4" w:space="0" w:color="auto"/>
              <w:right w:val="single" w:sz="4" w:space="0" w:color="auto"/>
            </w:tcBorders>
            <w:vAlign w:val="bottom"/>
          </w:tcPr>
          <w:p w:rsidR="001A26B0" w:rsidRDefault="00E33A99">
            <w:pPr>
              <w:spacing w:after="120"/>
              <w:ind w:right="214"/>
              <w:jc w:val="right"/>
              <w:rPr>
                <w:noProof/>
                <w:szCs w:val="24"/>
              </w:rPr>
            </w:pPr>
            <w:r>
              <w:rPr>
                <w:noProof/>
                <w:szCs w:val="24"/>
              </w:rPr>
              <w:t>93.8%</w:t>
            </w:r>
          </w:p>
        </w:tc>
        <w:tc>
          <w:tcPr>
            <w:tcW w:w="810" w:type="pct"/>
            <w:tcBorders>
              <w:top w:val="nil"/>
              <w:left w:val="single" w:sz="4" w:space="0" w:color="auto"/>
              <w:bottom w:val="single" w:sz="4" w:space="0" w:color="auto"/>
              <w:right w:val="single" w:sz="4" w:space="0" w:color="auto"/>
            </w:tcBorders>
            <w:shd w:val="clear" w:color="auto" w:fill="auto"/>
            <w:noWrap/>
            <w:vAlign w:val="bottom"/>
            <w:hideMark/>
          </w:tcPr>
          <w:p w:rsidR="001A26B0" w:rsidRDefault="00E33A99">
            <w:pPr>
              <w:spacing w:after="120"/>
              <w:ind w:right="214"/>
              <w:jc w:val="right"/>
              <w:rPr>
                <w:noProof/>
                <w:szCs w:val="24"/>
              </w:rPr>
            </w:pPr>
            <w:r>
              <w:rPr>
                <w:noProof/>
                <w:szCs w:val="24"/>
              </w:rPr>
              <w:t>159.8%</w:t>
            </w:r>
          </w:p>
        </w:tc>
        <w:tc>
          <w:tcPr>
            <w:tcW w:w="810"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ind w:right="214"/>
              <w:jc w:val="right"/>
              <w:rPr>
                <w:noProof/>
                <w:szCs w:val="24"/>
              </w:rPr>
            </w:pPr>
            <w:r>
              <w:rPr>
                <w:noProof/>
                <w:szCs w:val="24"/>
              </w:rPr>
              <w:t>85.6%</w:t>
            </w:r>
          </w:p>
        </w:tc>
      </w:tr>
      <w:tr w:rsidR="001A26B0">
        <w:trPr>
          <w:trHeight w:val="300"/>
        </w:trPr>
        <w:tc>
          <w:tcPr>
            <w:tcW w:w="1760" w:type="pct"/>
            <w:vMerge w:val="restart"/>
            <w:tcBorders>
              <w:top w:val="nil"/>
              <w:left w:val="single" w:sz="4" w:space="0" w:color="auto"/>
              <w:right w:val="single" w:sz="4" w:space="0" w:color="auto"/>
            </w:tcBorders>
            <w:shd w:val="clear" w:color="auto" w:fill="auto"/>
            <w:noWrap/>
            <w:vAlign w:val="center"/>
          </w:tcPr>
          <w:p w:rsidR="001A26B0" w:rsidRDefault="00E33A99">
            <w:pPr>
              <w:spacing w:after="120"/>
              <w:jc w:val="left"/>
              <w:rPr>
                <w:noProof/>
                <w:szCs w:val="24"/>
              </w:rPr>
            </w:pPr>
            <w:r>
              <w:rPr>
                <w:noProof/>
                <w:szCs w:val="24"/>
              </w:rPr>
              <w:t>Manufacturing of conventional vehicles</w:t>
            </w:r>
          </w:p>
        </w:tc>
        <w:tc>
          <w:tcPr>
            <w:tcW w:w="810" w:type="pct"/>
            <w:tcBorders>
              <w:top w:val="nil"/>
              <w:left w:val="nil"/>
              <w:bottom w:val="single" w:sz="4" w:space="0" w:color="auto"/>
              <w:right w:val="single" w:sz="4" w:space="0" w:color="auto"/>
            </w:tcBorders>
            <w:shd w:val="clear" w:color="auto" w:fill="F2F2F2" w:themeFill="background1" w:themeFillShade="F2"/>
            <w:noWrap/>
            <w:vAlign w:val="bottom"/>
          </w:tcPr>
          <w:p w:rsidR="001A26B0" w:rsidRDefault="00E33A99">
            <w:pPr>
              <w:spacing w:after="120"/>
              <w:rPr>
                <w:noProof/>
                <w:szCs w:val="24"/>
              </w:rPr>
            </w:pPr>
            <w:r>
              <w:rPr>
                <w:noProof/>
                <w:szCs w:val="24"/>
              </w:rPr>
              <w:t xml:space="preserve">Baseline </w:t>
            </w:r>
          </w:p>
        </w:tc>
        <w:tc>
          <w:tcPr>
            <w:tcW w:w="810" w:type="pct"/>
            <w:tcBorders>
              <w:top w:val="single" w:sz="4" w:space="0" w:color="auto"/>
              <w:left w:val="nil"/>
              <w:bottom w:val="single" w:sz="4" w:space="0" w:color="auto"/>
              <w:right w:val="single" w:sz="4" w:space="0" w:color="auto"/>
            </w:tcBorders>
            <w:shd w:val="clear" w:color="auto" w:fill="F2F2F2" w:themeFill="background1" w:themeFillShade="F2"/>
            <w:vAlign w:val="bottom"/>
          </w:tcPr>
          <w:p w:rsidR="001A26B0" w:rsidRDefault="00E33A99">
            <w:pPr>
              <w:spacing w:after="120"/>
              <w:ind w:right="214"/>
              <w:jc w:val="right"/>
              <w:rPr>
                <w:noProof/>
                <w:color w:val="000000"/>
                <w:szCs w:val="24"/>
              </w:rPr>
            </w:pPr>
            <w:r>
              <w:rPr>
                <w:noProof/>
                <w:color w:val="000000"/>
                <w:szCs w:val="24"/>
              </w:rPr>
              <w:t>3,340</w:t>
            </w:r>
          </w:p>
        </w:tc>
        <w:tc>
          <w:tcPr>
            <w:tcW w:w="810" w:type="pct"/>
            <w:tcBorders>
              <w:top w:val="nil"/>
              <w:left w:val="single" w:sz="4" w:space="0" w:color="auto"/>
              <w:bottom w:val="single" w:sz="4" w:space="0" w:color="auto"/>
              <w:right w:val="single" w:sz="4" w:space="0" w:color="auto"/>
            </w:tcBorders>
            <w:shd w:val="clear" w:color="auto" w:fill="F2F2F2" w:themeFill="background1" w:themeFillShade="F2"/>
            <w:noWrap/>
            <w:vAlign w:val="bottom"/>
          </w:tcPr>
          <w:p w:rsidR="001A26B0" w:rsidRDefault="00E33A99">
            <w:pPr>
              <w:spacing w:after="120"/>
              <w:ind w:right="214"/>
              <w:jc w:val="right"/>
              <w:rPr>
                <w:noProof/>
                <w:color w:val="000000"/>
                <w:szCs w:val="24"/>
              </w:rPr>
            </w:pPr>
            <w:r>
              <w:rPr>
                <w:noProof/>
                <w:color w:val="000000"/>
                <w:szCs w:val="24"/>
              </w:rPr>
              <w:t>3,174</w:t>
            </w:r>
          </w:p>
        </w:tc>
        <w:tc>
          <w:tcPr>
            <w:tcW w:w="810" w:type="pct"/>
            <w:tcBorders>
              <w:top w:val="nil"/>
              <w:left w:val="nil"/>
              <w:bottom w:val="single" w:sz="4" w:space="0" w:color="auto"/>
              <w:right w:val="single" w:sz="4" w:space="0" w:color="auto"/>
            </w:tcBorders>
            <w:shd w:val="clear" w:color="auto" w:fill="F2F2F2" w:themeFill="background1" w:themeFillShade="F2"/>
            <w:noWrap/>
            <w:vAlign w:val="bottom"/>
          </w:tcPr>
          <w:p w:rsidR="001A26B0" w:rsidRDefault="00E33A99">
            <w:pPr>
              <w:spacing w:after="120"/>
              <w:ind w:right="214"/>
              <w:jc w:val="right"/>
              <w:rPr>
                <w:noProof/>
                <w:color w:val="000000"/>
                <w:szCs w:val="24"/>
              </w:rPr>
            </w:pPr>
            <w:r>
              <w:rPr>
                <w:noProof/>
                <w:color w:val="000000"/>
                <w:szCs w:val="24"/>
              </w:rPr>
              <w:t>2,998</w:t>
            </w:r>
          </w:p>
        </w:tc>
      </w:tr>
      <w:tr w:rsidR="001A26B0">
        <w:trPr>
          <w:trHeight w:val="300"/>
        </w:trPr>
        <w:tc>
          <w:tcPr>
            <w:tcW w:w="1760" w:type="pct"/>
            <w:vMerge/>
            <w:tcBorders>
              <w:left w:val="single" w:sz="4" w:space="0" w:color="auto"/>
              <w:right w:val="single" w:sz="4" w:space="0" w:color="auto"/>
            </w:tcBorders>
            <w:shd w:val="clear" w:color="auto" w:fill="auto"/>
            <w:noWrap/>
            <w:vAlign w:val="center"/>
            <w:hideMark/>
          </w:tcPr>
          <w:p w:rsidR="001A26B0" w:rsidRDefault="001A26B0">
            <w:pPr>
              <w:spacing w:after="120"/>
              <w:jc w:val="left"/>
              <w:rPr>
                <w:noProof/>
                <w:szCs w:val="24"/>
              </w:rPr>
            </w:pPr>
          </w:p>
        </w:tc>
        <w:tc>
          <w:tcPr>
            <w:tcW w:w="810"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rPr>
                <w:noProof/>
                <w:szCs w:val="24"/>
              </w:rPr>
            </w:pPr>
            <w:r>
              <w:rPr>
                <w:noProof/>
                <w:szCs w:val="24"/>
              </w:rPr>
              <w:t xml:space="preserve">TL20 </w:t>
            </w:r>
          </w:p>
        </w:tc>
        <w:tc>
          <w:tcPr>
            <w:tcW w:w="810" w:type="pct"/>
            <w:tcBorders>
              <w:top w:val="single" w:sz="4" w:space="0" w:color="auto"/>
              <w:left w:val="nil"/>
              <w:bottom w:val="single" w:sz="4" w:space="0" w:color="auto"/>
              <w:right w:val="single" w:sz="4" w:space="0" w:color="auto"/>
            </w:tcBorders>
            <w:vAlign w:val="bottom"/>
          </w:tcPr>
          <w:p w:rsidR="001A26B0" w:rsidRDefault="00E33A99">
            <w:pPr>
              <w:spacing w:after="120"/>
              <w:ind w:right="214"/>
              <w:jc w:val="right"/>
              <w:rPr>
                <w:noProof/>
                <w:szCs w:val="24"/>
              </w:rPr>
            </w:pPr>
            <w:r>
              <w:rPr>
                <w:noProof/>
                <w:szCs w:val="24"/>
              </w:rPr>
              <w:t>-0.9%</w:t>
            </w:r>
          </w:p>
        </w:tc>
        <w:tc>
          <w:tcPr>
            <w:tcW w:w="810" w:type="pct"/>
            <w:tcBorders>
              <w:top w:val="nil"/>
              <w:left w:val="single" w:sz="4" w:space="0" w:color="auto"/>
              <w:bottom w:val="single" w:sz="4" w:space="0" w:color="auto"/>
              <w:right w:val="single" w:sz="4" w:space="0" w:color="auto"/>
            </w:tcBorders>
            <w:shd w:val="clear" w:color="auto" w:fill="auto"/>
            <w:noWrap/>
            <w:vAlign w:val="bottom"/>
            <w:hideMark/>
          </w:tcPr>
          <w:p w:rsidR="001A26B0" w:rsidRDefault="00E33A99">
            <w:pPr>
              <w:spacing w:after="120"/>
              <w:ind w:right="214"/>
              <w:jc w:val="right"/>
              <w:rPr>
                <w:noProof/>
                <w:szCs w:val="24"/>
              </w:rPr>
            </w:pPr>
            <w:r>
              <w:rPr>
                <w:noProof/>
                <w:szCs w:val="24"/>
              </w:rPr>
              <w:t>-1.4%</w:t>
            </w:r>
          </w:p>
        </w:tc>
        <w:tc>
          <w:tcPr>
            <w:tcW w:w="810"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ind w:right="214"/>
              <w:jc w:val="right"/>
              <w:rPr>
                <w:noProof/>
                <w:szCs w:val="24"/>
              </w:rPr>
            </w:pPr>
            <w:r>
              <w:rPr>
                <w:noProof/>
                <w:szCs w:val="24"/>
              </w:rPr>
              <w:t>-2.5%</w:t>
            </w:r>
          </w:p>
        </w:tc>
      </w:tr>
      <w:tr w:rsidR="001A26B0">
        <w:trPr>
          <w:trHeight w:val="300"/>
        </w:trPr>
        <w:tc>
          <w:tcPr>
            <w:tcW w:w="1760" w:type="pct"/>
            <w:vMerge/>
            <w:tcBorders>
              <w:left w:val="single" w:sz="4" w:space="0" w:color="auto"/>
              <w:right w:val="single" w:sz="4" w:space="0" w:color="auto"/>
            </w:tcBorders>
            <w:vAlign w:val="center"/>
            <w:hideMark/>
          </w:tcPr>
          <w:p w:rsidR="001A26B0" w:rsidRDefault="001A26B0">
            <w:pPr>
              <w:spacing w:after="120"/>
              <w:jc w:val="left"/>
              <w:rPr>
                <w:noProof/>
                <w:szCs w:val="24"/>
              </w:rPr>
            </w:pPr>
          </w:p>
        </w:tc>
        <w:tc>
          <w:tcPr>
            <w:tcW w:w="810"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rPr>
                <w:noProof/>
                <w:szCs w:val="24"/>
              </w:rPr>
            </w:pPr>
            <w:r>
              <w:rPr>
                <w:noProof/>
                <w:szCs w:val="24"/>
              </w:rPr>
              <w:t xml:space="preserve">TL30c/25v </w:t>
            </w:r>
          </w:p>
        </w:tc>
        <w:tc>
          <w:tcPr>
            <w:tcW w:w="810" w:type="pct"/>
            <w:tcBorders>
              <w:top w:val="single" w:sz="4" w:space="0" w:color="auto"/>
              <w:left w:val="nil"/>
              <w:bottom w:val="single" w:sz="4" w:space="0" w:color="auto"/>
              <w:right w:val="single" w:sz="4" w:space="0" w:color="auto"/>
            </w:tcBorders>
            <w:vAlign w:val="bottom"/>
          </w:tcPr>
          <w:p w:rsidR="001A26B0" w:rsidRDefault="00E33A99">
            <w:pPr>
              <w:spacing w:after="120"/>
              <w:ind w:right="214"/>
              <w:jc w:val="right"/>
              <w:rPr>
                <w:noProof/>
                <w:szCs w:val="24"/>
              </w:rPr>
            </w:pPr>
            <w:r>
              <w:rPr>
                <w:noProof/>
                <w:szCs w:val="24"/>
              </w:rPr>
              <w:t>-0.9%</w:t>
            </w:r>
          </w:p>
        </w:tc>
        <w:tc>
          <w:tcPr>
            <w:tcW w:w="810" w:type="pct"/>
            <w:tcBorders>
              <w:top w:val="nil"/>
              <w:left w:val="single" w:sz="4" w:space="0" w:color="auto"/>
              <w:bottom w:val="single" w:sz="4" w:space="0" w:color="auto"/>
              <w:right w:val="single" w:sz="4" w:space="0" w:color="auto"/>
            </w:tcBorders>
            <w:shd w:val="clear" w:color="auto" w:fill="auto"/>
            <w:noWrap/>
            <w:vAlign w:val="bottom"/>
            <w:hideMark/>
          </w:tcPr>
          <w:p w:rsidR="001A26B0" w:rsidRDefault="00E33A99">
            <w:pPr>
              <w:spacing w:after="120"/>
              <w:ind w:right="214"/>
              <w:jc w:val="right"/>
              <w:rPr>
                <w:noProof/>
                <w:szCs w:val="24"/>
              </w:rPr>
            </w:pPr>
            <w:r>
              <w:rPr>
                <w:noProof/>
                <w:szCs w:val="24"/>
              </w:rPr>
              <w:t>-2.0%</w:t>
            </w:r>
          </w:p>
        </w:tc>
        <w:tc>
          <w:tcPr>
            <w:tcW w:w="810"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ind w:right="214"/>
              <w:jc w:val="right"/>
              <w:rPr>
                <w:noProof/>
                <w:szCs w:val="24"/>
              </w:rPr>
            </w:pPr>
            <w:r>
              <w:rPr>
                <w:noProof/>
                <w:szCs w:val="24"/>
              </w:rPr>
              <w:t>-2.5%</w:t>
            </w:r>
          </w:p>
        </w:tc>
      </w:tr>
      <w:tr w:rsidR="001A26B0">
        <w:trPr>
          <w:trHeight w:val="300"/>
        </w:trPr>
        <w:tc>
          <w:tcPr>
            <w:tcW w:w="1760" w:type="pct"/>
            <w:vMerge/>
            <w:tcBorders>
              <w:left w:val="single" w:sz="4" w:space="0" w:color="auto"/>
              <w:bottom w:val="single" w:sz="4" w:space="0" w:color="auto"/>
              <w:right w:val="single" w:sz="4" w:space="0" w:color="auto"/>
            </w:tcBorders>
            <w:vAlign w:val="center"/>
            <w:hideMark/>
          </w:tcPr>
          <w:p w:rsidR="001A26B0" w:rsidRDefault="001A26B0">
            <w:pPr>
              <w:spacing w:after="120"/>
              <w:jc w:val="left"/>
              <w:rPr>
                <w:noProof/>
                <w:szCs w:val="24"/>
              </w:rPr>
            </w:pPr>
          </w:p>
        </w:tc>
        <w:tc>
          <w:tcPr>
            <w:tcW w:w="810"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rPr>
                <w:noProof/>
                <w:szCs w:val="24"/>
              </w:rPr>
            </w:pPr>
            <w:r>
              <w:rPr>
                <w:noProof/>
                <w:szCs w:val="24"/>
              </w:rPr>
              <w:t xml:space="preserve">TL40 </w:t>
            </w:r>
          </w:p>
        </w:tc>
        <w:tc>
          <w:tcPr>
            <w:tcW w:w="810" w:type="pct"/>
            <w:tcBorders>
              <w:top w:val="single" w:sz="4" w:space="0" w:color="auto"/>
              <w:left w:val="nil"/>
              <w:bottom w:val="single" w:sz="4" w:space="0" w:color="auto"/>
              <w:right w:val="single" w:sz="4" w:space="0" w:color="auto"/>
            </w:tcBorders>
            <w:vAlign w:val="bottom"/>
          </w:tcPr>
          <w:p w:rsidR="001A26B0" w:rsidRDefault="00E33A99">
            <w:pPr>
              <w:spacing w:after="120"/>
              <w:ind w:right="214"/>
              <w:jc w:val="right"/>
              <w:rPr>
                <w:noProof/>
                <w:szCs w:val="24"/>
              </w:rPr>
            </w:pPr>
            <w:r>
              <w:rPr>
                <w:noProof/>
                <w:szCs w:val="24"/>
              </w:rPr>
              <w:t>-1.6%</w:t>
            </w:r>
          </w:p>
        </w:tc>
        <w:tc>
          <w:tcPr>
            <w:tcW w:w="810" w:type="pct"/>
            <w:tcBorders>
              <w:top w:val="nil"/>
              <w:left w:val="single" w:sz="4" w:space="0" w:color="auto"/>
              <w:bottom w:val="single" w:sz="4" w:space="0" w:color="auto"/>
              <w:right w:val="single" w:sz="4" w:space="0" w:color="auto"/>
            </w:tcBorders>
            <w:shd w:val="clear" w:color="auto" w:fill="auto"/>
            <w:noWrap/>
            <w:vAlign w:val="bottom"/>
            <w:hideMark/>
          </w:tcPr>
          <w:p w:rsidR="001A26B0" w:rsidRDefault="00E33A99">
            <w:pPr>
              <w:spacing w:after="120"/>
              <w:ind w:right="214"/>
              <w:jc w:val="right"/>
              <w:rPr>
                <w:noProof/>
                <w:szCs w:val="24"/>
              </w:rPr>
            </w:pPr>
            <w:r>
              <w:rPr>
                <w:noProof/>
                <w:szCs w:val="24"/>
              </w:rPr>
              <w:t>-5.8%</w:t>
            </w:r>
          </w:p>
        </w:tc>
        <w:tc>
          <w:tcPr>
            <w:tcW w:w="810"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ind w:right="214"/>
              <w:jc w:val="right"/>
              <w:rPr>
                <w:noProof/>
                <w:szCs w:val="24"/>
              </w:rPr>
            </w:pPr>
            <w:r>
              <w:rPr>
                <w:noProof/>
                <w:szCs w:val="24"/>
              </w:rPr>
              <w:t>-4.3%</w:t>
            </w:r>
          </w:p>
        </w:tc>
      </w:tr>
      <w:tr w:rsidR="001A26B0">
        <w:trPr>
          <w:trHeight w:val="300"/>
        </w:trPr>
        <w:tc>
          <w:tcPr>
            <w:tcW w:w="1760" w:type="pct"/>
            <w:vMerge w:val="restart"/>
            <w:tcBorders>
              <w:top w:val="nil"/>
              <w:left w:val="single" w:sz="4" w:space="0" w:color="auto"/>
              <w:right w:val="single" w:sz="4" w:space="0" w:color="auto"/>
            </w:tcBorders>
            <w:shd w:val="clear" w:color="auto" w:fill="auto"/>
            <w:vAlign w:val="center"/>
          </w:tcPr>
          <w:p w:rsidR="001A26B0" w:rsidRDefault="00E33A99">
            <w:pPr>
              <w:spacing w:after="120"/>
              <w:jc w:val="left"/>
              <w:rPr>
                <w:noProof/>
                <w:szCs w:val="24"/>
              </w:rPr>
            </w:pPr>
            <w:r>
              <w:rPr>
                <w:noProof/>
                <w:szCs w:val="24"/>
              </w:rPr>
              <w:t>Electrical equipment goods (including batteries)</w:t>
            </w:r>
          </w:p>
        </w:tc>
        <w:tc>
          <w:tcPr>
            <w:tcW w:w="810" w:type="pct"/>
            <w:tcBorders>
              <w:top w:val="nil"/>
              <w:left w:val="nil"/>
              <w:bottom w:val="single" w:sz="4" w:space="0" w:color="auto"/>
              <w:right w:val="single" w:sz="4" w:space="0" w:color="auto"/>
            </w:tcBorders>
            <w:shd w:val="clear" w:color="auto" w:fill="F2F2F2" w:themeFill="background1" w:themeFillShade="F2"/>
            <w:noWrap/>
            <w:vAlign w:val="bottom"/>
          </w:tcPr>
          <w:p w:rsidR="001A26B0" w:rsidRDefault="00E33A99">
            <w:pPr>
              <w:spacing w:after="120"/>
              <w:rPr>
                <w:noProof/>
                <w:szCs w:val="24"/>
              </w:rPr>
            </w:pPr>
            <w:r>
              <w:rPr>
                <w:noProof/>
                <w:szCs w:val="24"/>
              </w:rPr>
              <w:t xml:space="preserve">Baseline </w:t>
            </w:r>
          </w:p>
        </w:tc>
        <w:tc>
          <w:tcPr>
            <w:tcW w:w="810" w:type="pct"/>
            <w:tcBorders>
              <w:top w:val="single" w:sz="4" w:space="0" w:color="auto"/>
              <w:left w:val="nil"/>
              <w:bottom w:val="single" w:sz="4" w:space="0" w:color="auto"/>
              <w:right w:val="single" w:sz="4" w:space="0" w:color="auto"/>
            </w:tcBorders>
            <w:shd w:val="clear" w:color="auto" w:fill="F2F2F2" w:themeFill="background1" w:themeFillShade="F2"/>
            <w:vAlign w:val="bottom"/>
          </w:tcPr>
          <w:p w:rsidR="001A26B0" w:rsidRDefault="00E33A99">
            <w:pPr>
              <w:spacing w:after="120"/>
              <w:ind w:right="214"/>
              <w:jc w:val="right"/>
              <w:rPr>
                <w:noProof/>
                <w:color w:val="000000"/>
                <w:szCs w:val="24"/>
              </w:rPr>
            </w:pPr>
            <w:r>
              <w:rPr>
                <w:noProof/>
                <w:color w:val="000000"/>
                <w:szCs w:val="24"/>
              </w:rPr>
              <w:t>4,002</w:t>
            </w:r>
          </w:p>
        </w:tc>
        <w:tc>
          <w:tcPr>
            <w:tcW w:w="810" w:type="pct"/>
            <w:tcBorders>
              <w:top w:val="nil"/>
              <w:left w:val="single" w:sz="4" w:space="0" w:color="auto"/>
              <w:bottom w:val="single" w:sz="4" w:space="0" w:color="auto"/>
              <w:right w:val="single" w:sz="4" w:space="0" w:color="auto"/>
            </w:tcBorders>
            <w:shd w:val="clear" w:color="auto" w:fill="F2F2F2" w:themeFill="background1" w:themeFillShade="F2"/>
            <w:noWrap/>
            <w:vAlign w:val="bottom"/>
          </w:tcPr>
          <w:p w:rsidR="001A26B0" w:rsidRDefault="00E33A99">
            <w:pPr>
              <w:spacing w:after="120"/>
              <w:ind w:right="214"/>
              <w:jc w:val="right"/>
              <w:rPr>
                <w:noProof/>
                <w:color w:val="000000"/>
                <w:szCs w:val="24"/>
              </w:rPr>
            </w:pPr>
            <w:r>
              <w:rPr>
                <w:noProof/>
                <w:color w:val="000000"/>
                <w:szCs w:val="24"/>
              </w:rPr>
              <w:t>3,740</w:t>
            </w:r>
          </w:p>
        </w:tc>
        <w:tc>
          <w:tcPr>
            <w:tcW w:w="810" w:type="pct"/>
            <w:tcBorders>
              <w:top w:val="nil"/>
              <w:left w:val="nil"/>
              <w:bottom w:val="single" w:sz="4" w:space="0" w:color="auto"/>
              <w:right w:val="single" w:sz="4" w:space="0" w:color="auto"/>
            </w:tcBorders>
            <w:shd w:val="clear" w:color="auto" w:fill="F2F2F2" w:themeFill="background1" w:themeFillShade="F2"/>
            <w:noWrap/>
            <w:vAlign w:val="bottom"/>
          </w:tcPr>
          <w:p w:rsidR="001A26B0" w:rsidRDefault="00E33A99">
            <w:pPr>
              <w:spacing w:after="120"/>
              <w:ind w:right="214"/>
              <w:jc w:val="right"/>
              <w:rPr>
                <w:noProof/>
                <w:color w:val="000000"/>
                <w:szCs w:val="24"/>
              </w:rPr>
            </w:pPr>
            <w:r>
              <w:rPr>
                <w:noProof/>
                <w:color w:val="000000"/>
                <w:szCs w:val="24"/>
              </w:rPr>
              <w:t>3,337</w:t>
            </w:r>
          </w:p>
        </w:tc>
      </w:tr>
      <w:tr w:rsidR="001A26B0">
        <w:trPr>
          <w:trHeight w:val="300"/>
        </w:trPr>
        <w:tc>
          <w:tcPr>
            <w:tcW w:w="1760" w:type="pct"/>
            <w:vMerge/>
            <w:tcBorders>
              <w:left w:val="single" w:sz="4" w:space="0" w:color="auto"/>
              <w:right w:val="single" w:sz="4" w:space="0" w:color="auto"/>
            </w:tcBorders>
            <w:shd w:val="clear" w:color="auto" w:fill="auto"/>
            <w:vAlign w:val="center"/>
            <w:hideMark/>
          </w:tcPr>
          <w:p w:rsidR="001A26B0" w:rsidRDefault="001A26B0">
            <w:pPr>
              <w:spacing w:after="120"/>
              <w:jc w:val="left"/>
              <w:rPr>
                <w:noProof/>
                <w:szCs w:val="24"/>
              </w:rPr>
            </w:pPr>
          </w:p>
        </w:tc>
        <w:tc>
          <w:tcPr>
            <w:tcW w:w="810"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rPr>
                <w:noProof/>
                <w:szCs w:val="24"/>
              </w:rPr>
            </w:pPr>
            <w:r>
              <w:rPr>
                <w:noProof/>
                <w:szCs w:val="24"/>
              </w:rPr>
              <w:t xml:space="preserve">TL20 </w:t>
            </w:r>
          </w:p>
        </w:tc>
        <w:tc>
          <w:tcPr>
            <w:tcW w:w="810" w:type="pct"/>
            <w:tcBorders>
              <w:top w:val="single" w:sz="4" w:space="0" w:color="auto"/>
              <w:left w:val="nil"/>
              <w:bottom w:val="single" w:sz="4" w:space="0" w:color="auto"/>
              <w:right w:val="single" w:sz="4" w:space="0" w:color="auto"/>
            </w:tcBorders>
            <w:vAlign w:val="bottom"/>
          </w:tcPr>
          <w:p w:rsidR="001A26B0" w:rsidRDefault="00E33A99">
            <w:pPr>
              <w:spacing w:after="120"/>
              <w:ind w:right="214"/>
              <w:jc w:val="right"/>
              <w:rPr>
                <w:noProof/>
                <w:szCs w:val="24"/>
              </w:rPr>
            </w:pPr>
            <w:r>
              <w:rPr>
                <w:noProof/>
                <w:szCs w:val="24"/>
              </w:rPr>
              <w:t>0.3%</w:t>
            </w:r>
          </w:p>
        </w:tc>
        <w:tc>
          <w:tcPr>
            <w:tcW w:w="810" w:type="pct"/>
            <w:tcBorders>
              <w:top w:val="nil"/>
              <w:left w:val="single" w:sz="4" w:space="0" w:color="auto"/>
              <w:bottom w:val="single" w:sz="4" w:space="0" w:color="auto"/>
              <w:right w:val="single" w:sz="4" w:space="0" w:color="auto"/>
            </w:tcBorders>
            <w:shd w:val="clear" w:color="auto" w:fill="auto"/>
            <w:noWrap/>
            <w:vAlign w:val="bottom"/>
            <w:hideMark/>
          </w:tcPr>
          <w:p w:rsidR="001A26B0" w:rsidRDefault="00E33A99">
            <w:pPr>
              <w:spacing w:after="120"/>
              <w:ind w:right="214"/>
              <w:jc w:val="right"/>
              <w:rPr>
                <w:noProof/>
                <w:szCs w:val="24"/>
              </w:rPr>
            </w:pPr>
            <w:r>
              <w:rPr>
                <w:noProof/>
                <w:szCs w:val="24"/>
              </w:rPr>
              <w:t>0.4%</w:t>
            </w:r>
          </w:p>
        </w:tc>
        <w:tc>
          <w:tcPr>
            <w:tcW w:w="810"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ind w:right="214"/>
              <w:jc w:val="right"/>
              <w:rPr>
                <w:noProof/>
                <w:szCs w:val="24"/>
              </w:rPr>
            </w:pPr>
            <w:r>
              <w:rPr>
                <w:noProof/>
                <w:szCs w:val="24"/>
              </w:rPr>
              <w:t>0.7%</w:t>
            </w:r>
          </w:p>
        </w:tc>
      </w:tr>
      <w:tr w:rsidR="001A26B0">
        <w:trPr>
          <w:trHeight w:val="300"/>
        </w:trPr>
        <w:tc>
          <w:tcPr>
            <w:tcW w:w="1760" w:type="pct"/>
            <w:vMerge/>
            <w:tcBorders>
              <w:left w:val="single" w:sz="4" w:space="0" w:color="auto"/>
              <w:right w:val="single" w:sz="4" w:space="0" w:color="auto"/>
            </w:tcBorders>
            <w:vAlign w:val="center"/>
            <w:hideMark/>
          </w:tcPr>
          <w:p w:rsidR="001A26B0" w:rsidRDefault="001A26B0">
            <w:pPr>
              <w:spacing w:after="120"/>
              <w:jc w:val="left"/>
              <w:rPr>
                <w:noProof/>
                <w:szCs w:val="24"/>
              </w:rPr>
            </w:pPr>
          </w:p>
        </w:tc>
        <w:tc>
          <w:tcPr>
            <w:tcW w:w="810"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rPr>
                <w:noProof/>
                <w:szCs w:val="24"/>
              </w:rPr>
            </w:pPr>
            <w:r>
              <w:rPr>
                <w:noProof/>
                <w:szCs w:val="24"/>
              </w:rPr>
              <w:t xml:space="preserve">TL30c/25v </w:t>
            </w:r>
          </w:p>
        </w:tc>
        <w:tc>
          <w:tcPr>
            <w:tcW w:w="810" w:type="pct"/>
            <w:tcBorders>
              <w:top w:val="single" w:sz="4" w:space="0" w:color="auto"/>
              <w:left w:val="nil"/>
              <w:bottom w:val="single" w:sz="4" w:space="0" w:color="auto"/>
              <w:right w:val="single" w:sz="4" w:space="0" w:color="auto"/>
            </w:tcBorders>
            <w:vAlign w:val="bottom"/>
          </w:tcPr>
          <w:p w:rsidR="001A26B0" w:rsidRDefault="00E33A99">
            <w:pPr>
              <w:spacing w:after="120"/>
              <w:ind w:right="214"/>
              <w:jc w:val="right"/>
              <w:rPr>
                <w:noProof/>
                <w:szCs w:val="24"/>
              </w:rPr>
            </w:pPr>
            <w:r>
              <w:rPr>
                <w:noProof/>
                <w:szCs w:val="24"/>
              </w:rPr>
              <w:t>0.3%</w:t>
            </w:r>
          </w:p>
        </w:tc>
        <w:tc>
          <w:tcPr>
            <w:tcW w:w="810" w:type="pct"/>
            <w:tcBorders>
              <w:top w:val="nil"/>
              <w:left w:val="single" w:sz="4" w:space="0" w:color="auto"/>
              <w:bottom w:val="single" w:sz="4" w:space="0" w:color="auto"/>
              <w:right w:val="single" w:sz="4" w:space="0" w:color="auto"/>
            </w:tcBorders>
            <w:shd w:val="clear" w:color="auto" w:fill="auto"/>
            <w:noWrap/>
            <w:vAlign w:val="bottom"/>
            <w:hideMark/>
          </w:tcPr>
          <w:p w:rsidR="001A26B0" w:rsidRDefault="00E33A99">
            <w:pPr>
              <w:spacing w:after="120"/>
              <w:ind w:right="214"/>
              <w:jc w:val="right"/>
              <w:rPr>
                <w:noProof/>
                <w:szCs w:val="24"/>
              </w:rPr>
            </w:pPr>
            <w:r>
              <w:rPr>
                <w:noProof/>
                <w:szCs w:val="24"/>
              </w:rPr>
              <w:t>0.6%</w:t>
            </w:r>
          </w:p>
        </w:tc>
        <w:tc>
          <w:tcPr>
            <w:tcW w:w="810"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ind w:right="214"/>
              <w:jc w:val="right"/>
              <w:rPr>
                <w:noProof/>
                <w:szCs w:val="24"/>
              </w:rPr>
            </w:pPr>
            <w:r>
              <w:rPr>
                <w:noProof/>
                <w:szCs w:val="24"/>
              </w:rPr>
              <w:t>0.7%</w:t>
            </w:r>
          </w:p>
        </w:tc>
      </w:tr>
      <w:tr w:rsidR="001A26B0">
        <w:trPr>
          <w:trHeight w:val="300"/>
        </w:trPr>
        <w:tc>
          <w:tcPr>
            <w:tcW w:w="1760" w:type="pct"/>
            <w:vMerge/>
            <w:tcBorders>
              <w:left w:val="single" w:sz="4" w:space="0" w:color="auto"/>
              <w:bottom w:val="single" w:sz="4" w:space="0" w:color="auto"/>
              <w:right w:val="single" w:sz="4" w:space="0" w:color="auto"/>
            </w:tcBorders>
            <w:vAlign w:val="center"/>
            <w:hideMark/>
          </w:tcPr>
          <w:p w:rsidR="001A26B0" w:rsidRDefault="001A26B0">
            <w:pPr>
              <w:spacing w:after="120"/>
              <w:jc w:val="left"/>
              <w:rPr>
                <w:noProof/>
                <w:szCs w:val="24"/>
              </w:rPr>
            </w:pPr>
          </w:p>
        </w:tc>
        <w:tc>
          <w:tcPr>
            <w:tcW w:w="810"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rPr>
                <w:noProof/>
                <w:szCs w:val="24"/>
              </w:rPr>
            </w:pPr>
            <w:r>
              <w:rPr>
                <w:noProof/>
                <w:szCs w:val="24"/>
              </w:rPr>
              <w:t xml:space="preserve">TL40 </w:t>
            </w:r>
          </w:p>
        </w:tc>
        <w:tc>
          <w:tcPr>
            <w:tcW w:w="810" w:type="pct"/>
            <w:tcBorders>
              <w:top w:val="single" w:sz="4" w:space="0" w:color="auto"/>
              <w:left w:val="nil"/>
              <w:bottom w:val="single" w:sz="4" w:space="0" w:color="auto"/>
              <w:right w:val="single" w:sz="4" w:space="0" w:color="auto"/>
            </w:tcBorders>
            <w:vAlign w:val="bottom"/>
          </w:tcPr>
          <w:p w:rsidR="001A26B0" w:rsidRDefault="00E33A99">
            <w:pPr>
              <w:spacing w:after="120"/>
              <w:ind w:right="214"/>
              <w:jc w:val="right"/>
              <w:rPr>
                <w:noProof/>
                <w:szCs w:val="24"/>
              </w:rPr>
            </w:pPr>
            <w:r>
              <w:rPr>
                <w:noProof/>
                <w:szCs w:val="24"/>
              </w:rPr>
              <w:t>0.5%</w:t>
            </w:r>
          </w:p>
        </w:tc>
        <w:tc>
          <w:tcPr>
            <w:tcW w:w="810" w:type="pct"/>
            <w:tcBorders>
              <w:top w:val="nil"/>
              <w:left w:val="single" w:sz="4" w:space="0" w:color="auto"/>
              <w:bottom w:val="single" w:sz="4" w:space="0" w:color="auto"/>
              <w:right w:val="single" w:sz="4" w:space="0" w:color="auto"/>
            </w:tcBorders>
            <w:shd w:val="clear" w:color="auto" w:fill="auto"/>
            <w:noWrap/>
            <w:vAlign w:val="bottom"/>
            <w:hideMark/>
          </w:tcPr>
          <w:p w:rsidR="001A26B0" w:rsidRDefault="00E33A99">
            <w:pPr>
              <w:spacing w:after="120"/>
              <w:ind w:right="214"/>
              <w:jc w:val="right"/>
              <w:rPr>
                <w:noProof/>
                <w:szCs w:val="24"/>
              </w:rPr>
            </w:pPr>
            <w:r>
              <w:rPr>
                <w:noProof/>
                <w:szCs w:val="24"/>
              </w:rPr>
              <w:t>1.7%</w:t>
            </w:r>
          </w:p>
        </w:tc>
        <w:tc>
          <w:tcPr>
            <w:tcW w:w="810"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ind w:right="214"/>
              <w:jc w:val="right"/>
              <w:rPr>
                <w:noProof/>
                <w:szCs w:val="24"/>
              </w:rPr>
            </w:pPr>
            <w:r>
              <w:rPr>
                <w:noProof/>
                <w:szCs w:val="24"/>
              </w:rPr>
              <w:t>1.2%</w:t>
            </w:r>
          </w:p>
        </w:tc>
      </w:tr>
      <w:tr w:rsidR="001A26B0">
        <w:trPr>
          <w:trHeight w:val="300"/>
        </w:trPr>
        <w:tc>
          <w:tcPr>
            <w:tcW w:w="1760" w:type="pct"/>
            <w:vMerge w:val="restart"/>
            <w:tcBorders>
              <w:top w:val="nil"/>
              <w:left w:val="single" w:sz="4" w:space="0" w:color="auto"/>
              <w:right w:val="single" w:sz="4" w:space="0" w:color="auto"/>
            </w:tcBorders>
            <w:shd w:val="clear" w:color="auto" w:fill="auto"/>
            <w:noWrap/>
            <w:vAlign w:val="center"/>
          </w:tcPr>
          <w:p w:rsidR="001A26B0" w:rsidRDefault="00E33A99">
            <w:pPr>
              <w:spacing w:after="120"/>
              <w:jc w:val="left"/>
              <w:rPr>
                <w:noProof/>
                <w:szCs w:val="24"/>
              </w:rPr>
            </w:pPr>
            <w:r>
              <w:rPr>
                <w:noProof/>
                <w:szCs w:val="24"/>
              </w:rPr>
              <w:t>Fossil Fuels</w:t>
            </w:r>
          </w:p>
        </w:tc>
        <w:tc>
          <w:tcPr>
            <w:tcW w:w="810" w:type="pct"/>
            <w:tcBorders>
              <w:top w:val="nil"/>
              <w:left w:val="nil"/>
              <w:bottom w:val="single" w:sz="4" w:space="0" w:color="auto"/>
              <w:right w:val="single" w:sz="4" w:space="0" w:color="auto"/>
            </w:tcBorders>
            <w:shd w:val="clear" w:color="auto" w:fill="F2F2F2" w:themeFill="background1" w:themeFillShade="F2"/>
            <w:noWrap/>
            <w:vAlign w:val="bottom"/>
          </w:tcPr>
          <w:p w:rsidR="001A26B0" w:rsidRDefault="00E33A99">
            <w:pPr>
              <w:spacing w:after="120"/>
              <w:rPr>
                <w:noProof/>
                <w:szCs w:val="24"/>
              </w:rPr>
            </w:pPr>
            <w:r>
              <w:rPr>
                <w:noProof/>
                <w:szCs w:val="24"/>
              </w:rPr>
              <w:t xml:space="preserve">Baseline </w:t>
            </w:r>
          </w:p>
        </w:tc>
        <w:tc>
          <w:tcPr>
            <w:tcW w:w="810" w:type="pct"/>
            <w:tcBorders>
              <w:top w:val="single" w:sz="4" w:space="0" w:color="auto"/>
              <w:left w:val="nil"/>
              <w:bottom w:val="single" w:sz="4" w:space="0" w:color="auto"/>
              <w:right w:val="single" w:sz="4" w:space="0" w:color="auto"/>
            </w:tcBorders>
            <w:shd w:val="clear" w:color="auto" w:fill="F2F2F2" w:themeFill="background1" w:themeFillShade="F2"/>
            <w:vAlign w:val="bottom"/>
          </w:tcPr>
          <w:p w:rsidR="001A26B0" w:rsidRDefault="00E33A99">
            <w:pPr>
              <w:spacing w:after="120"/>
              <w:ind w:right="214"/>
              <w:jc w:val="right"/>
              <w:rPr>
                <w:noProof/>
                <w:color w:val="000000"/>
                <w:szCs w:val="24"/>
              </w:rPr>
            </w:pPr>
            <w:r>
              <w:rPr>
                <w:noProof/>
                <w:color w:val="000000"/>
                <w:szCs w:val="24"/>
              </w:rPr>
              <w:t>697</w:t>
            </w:r>
          </w:p>
        </w:tc>
        <w:tc>
          <w:tcPr>
            <w:tcW w:w="810" w:type="pct"/>
            <w:tcBorders>
              <w:top w:val="nil"/>
              <w:left w:val="single" w:sz="4" w:space="0" w:color="auto"/>
              <w:bottom w:val="single" w:sz="4" w:space="0" w:color="auto"/>
              <w:right w:val="single" w:sz="4" w:space="0" w:color="auto"/>
            </w:tcBorders>
            <w:shd w:val="clear" w:color="auto" w:fill="F2F2F2" w:themeFill="background1" w:themeFillShade="F2"/>
            <w:noWrap/>
            <w:vAlign w:val="bottom"/>
          </w:tcPr>
          <w:p w:rsidR="001A26B0" w:rsidRDefault="00E33A99">
            <w:pPr>
              <w:spacing w:after="120"/>
              <w:ind w:right="214"/>
              <w:jc w:val="right"/>
              <w:rPr>
                <w:noProof/>
                <w:color w:val="000000"/>
                <w:szCs w:val="24"/>
              </w:rPr>
            </w:pPr>
            <w:r>
              <w:rPr>
                <w:noProof/>
                <w:color w:val="000000"/>
                <w:szCs w:val="24"/>
              </w:rPr>
              <w:t>632</w:t>
            </w:r>
          </w:p>
        </w:tc>
        <w:tc>
          <w:tcPr>
            <w:tcW w:w="810" w:type="pct"/>
            <w:tcBorders>
              <w:top w:val="nil"/>
              <w:left w:val="nil"/>
              <w:bottom w:val="single" w:sz="4" w:space="0" w:color="auto"/>
              <w:right w:val="single" w:sz="4" w:space="0" w:color="auto"/>
            </w:tcBorders>
            <w:shd w:val="clear" w:color="auto" w:fill="F2F2F2" w:themeFill="background1" w:themeFillShade="F2"/>
            <w:noWrap/>
            <w:vAlign w:val="bottom"/>
          </w:tcPr>
          <w:p w:rsidR="001A26B0" w:rsidRDefault="00E33A99">
            <w:pPr>
              <w:spacing w:after="120"/>
              <w:ind w:right="214"/>
              <w:jc w:val="right"/>
              <w:rPr>
                <w:noProof/>
                <w:color w:val="000000"/>
                <w:szCs w:val="24"/>
              </w:rPr>
            </w:pPr>
            <w:r>
              <w:rPr>
                <w:noProof/>
                <w:color w:val="000000"/>
                <w:szCs w:val="24"/>
              </w:rPr>
              <w:t>519</w:t>
            </w:r>
          </w:p>
        </w:tc>
      </w:tr>
      <w:tr w:rsidR="001A26B0">
        <w:trPr>
          <w:trHeight w:val="300"/>
        </w:trPr>
        <w:tc>
          <w:tcPr>
            <w:tcW w:w="1760" w:type="pct"/>
            <w:vMerge/>
            <w:tcBorders>
              <w:left w:val="single" w:sz="4" w:space="0" w:color="auto"/>
              <w:right w:val="single" w:sz="4" w:space="0" w:color="auto"/>
            </w:tcBorders>
            <w:shd w:val="clear" w:color="auto" w:fill="auto"/>
            <w:noWrap/>
            <w:vAlign w:val="center"/>
            <w:hideMark/>
          </w:tcPr>
          <w:p w:rsidR="001A26B0" w:rsidRDefault="001A26B0">
            <w:pPr>
              <w:spacing w:after="120"/>
              <w:jc w:val="left"/>
              <w:rPr>
                <w:noProof/>
                <w:szCs w:val="24"/>
              </w:rPr>
            </w:pPr>
          </w:p>
        </w:tc>
        <w:tc>
          <w:tcPr>
            <w:tcW w:w="810"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rPr>
                <w:noProof/>
                <w:szCs w:val="24"/>
              </w:rPr>
            </w:pPr>
            <w:r>
              <w:rPr>
                <w:noProof/>
                <w:szCs w:val="24"/>
              </w:rPr>
              <w:t xml:space="preserve">TL20 </w:t>
            </w:r>
          </w:p>
        </w:tc>
        <w:tc>
          <w:tcPr>
            <w:tcW w:w="810" w:type="pct"/>
            <w:tcBorders>
              <w:top w:val="single" w:sz="4" w:space="0" w:color="auto"/>
              <w:left w:val="nil"/>
              <w:bottom w:val="single" w:sz="4" w:space="0" w:color="auto"/>
              <w:right w:val="single" w:sz="4" w:space="0" w:color="auto"/>
            </w:tcBorders>
            <w:vAlign w:val="bottom"/>
          </w:tcPr>
          <w:p w:rsidR="001A26B0" w:rsidRDefault="00E33A99">
            <w:pPr>
              <w:spacing w:after="120"/>
              <w:ind w:right="214"/>
              <w:jc w:val="right"/>
              <w:rPr>
                <w:noProof/>
                <w:szCs w:val="24"/>
              </w:rPr>
            </w:pPr>
            <w:r>
              <w:rPr>
                <w:noProof/>
                <w:szCs w:val="24"/>
              </w:rPr>
              <w:t>-0.1%</w:t>
            </w:r>
          </w:p>
        </w:tc>
        <w:tc>
          <w:tcPr>
            <w:tcW w:w="810" w:type="pct"/>
            <w:tcBorders>
              <w:top w:val="nil"/>
              <w:left w:val="single" w:sz="4" w:space="0" w:color="auto"/>
              <w:bottom w:val="single" w:sz="4" w:space="0" w:color="auto"/>
              <w:right w:val="single" w:sz="4" w:space="0" w:color="auto"/>
            </w:tcBorders>
            <w:shd w:val="clear" w:color="auto" w:fill="auto"/>
            <w:noWrap/>
            <w:vAlign w:val="bottom"/>
            <w:hideMark/>
          </w:tcPr>
          <w:p w:rsidR="001A26B0" w:rsidRDefault="00E33A99">
            <w:pPr>
              <w:spacing w:after="120"/>
              <w:ind w:right="214"/>
              <w:jc w:val="right"/>
              <w:rPr>
                <w:noProof/>
                <w:szCs w:val="24"/>
              </w:rPr>
            </w:pPr>
            <w:r>
              <w:rPr>
                <w:noProof/>
                <w:szCs w:val="24"/>
              </w:rPr>
              <w:t>-0.1%</w:t>
            </w:r>
          </w:p>
        </w:tc>
        <w:tc>
          <w:tcPr>
            <w:tcW w:w="810"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ind w:right="214"/>
              <w:jc w:val="right"/>
              <w:rPr>
                <w:noProof/>
                <w:szCs w:val="24"/>
              </w:rPr>
            </w:pPr>
            <w:r>
              <w:rPr>
                <w:noProof/>
                <w:szCs w:val="24"/>
              </w:rPr>
              <w:t>-0.2%</w:t>
            </w:r>
          </w:p>
        </w:tc>
      </w:tr>
      <w:tr w:rsidR="001A26B0">
        <w:trPr>
          <w:trHeight w:val="300"/>
        </w:trPr>
        <w:tc>
          <w:tcPr>
            <w:tcW w:w="1760" w:type="pct"/>
            <w:vMerge/>
            <w:tcBorders>
              <w:left w:val="single" w:sz="4" w:space="0" w:color="auto"/>
              <w:right w:val="single" w:sz="4" w:space="0" w:color="auto"/>
            </w:tcBorders>
            <w:vAlign w:val="center"/>
            <w:hideMark/>
          </w:tcPr>
          <w:p w:rsidR="001A26B0" w:rsidRDefault="001A26B0">
            <w:pPr>
              <w:spacing w:after="120"/>
              <w:jc w:val="left"/>
              <w:rPr>
                <w:noProof/>
                <w:szCs w:val="24"/>
              </w:rPr>
            </w:pPr>
          </w:p>
        </w:tc>
        <w:tc>
          <w:tcPr>
            <w:tcW w:w="810"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rPr>
                <w:noProof/>
                <w:szCs w:val="24"/>
              </w:rPr>
            </w:pPr>
            <w:r>
              <w:rPr>
                <w:noProof/>
                <w:szCs w:val="24"/>
              </w:rPr>
              <w:t xml:space="preserve">TL30c/25v </w:t>
            </w:r>
          </w:p>
        </w:tc>
        <w:tc>
          <w:tcPr>
            <w:tcW w:w="810" w:type="pct"/>
            <w:tcBorders>
              <w:top w:val="single" w:sz="4" w:space="0" w:color="auto"/>
              <w:left w:val="nil"/>
              <w:bottom w:val="single" w:sz="4" w:space="0" w:color="auto"/>
              <w:right w:val="single" w:sz="4" w:space="0" w:color="auto"/>
            </w:tcBorders>
            <w:vAlign w:val="bottom"/>
          </w:tcPr>
          <w:p w:rsidR="001A26B0" w:rsidRDefault="00E33A99">
            <w:pPr>
              <w:spacing w:after="120"/>
              <w:ind w:right="214"/>
              <w:jc w:val="right"/>
              <w:rPr>
                <w:noProof/>
                <w:szCs w:val="24"/>
              </w:rPr>
            </w:pPr>
            <w:r>
              <w:rPr>
                <w:noProof/>
                <w:szCs w:val="24"/>
              </w:rPr>
              <w:t>-0.1%</w:t>
            </w:r>
          </w:p>
        </w:tc>
        <w:tc>
          <w:tcPr>
            <w:tcW w:w="810" w:type="pct"/>
            <w:tcBorders>
              <w:top w:val="nil"/>
              <w:left w:val="single" w:sz="4" w:space="0" w:color="auto"/>
              <w:bottom w:val="single" w:sz="4" w:space="0" w:color="auto"/>
              <w:right w:val="single" w:sz="4" w:space="0" w:color="auto"/>
            </w:tcBorders>
            <w:shd w:val="clear" w:color="auto" w:fill="auto"/>
            <w:noWrap/>
            <w:vAlign w:val="bottom"/>
            <w:hideMark/>
          </w:tcPr>
          <w:p w:rsidR="001A26B0" w:rsidRDefault="00E33A99">
            <w:pPr>
              <w:spacing w:after="120"/>
              <w:ind w:right="214"/>
              <w:jc w:val="right"/>
              <w:rPr>
                <w:noProof/>
                <w:szCs w:val="24"/>
              </w:rPr>
            </w:pPr>
            <w:r>
              <w:rPr>
                <w:noProof/>
                <w:szCs w:val="24"/>
              </w:rPr>
              <w:t>-0.2%</w:t>
            </w:r>
          </w:p>
        </w:tc>
        <w:tc>
          <w:tcPr>
            <w:tcW w:w="810"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ind w:right="214"/>
              <w:jc w:val="right"/>
              <w:rPr>
                <w:noProof/>
                <w:szCs w:val="24"/>
              </w:rPr>
            </w:pPr>
            <w:r>
              <w:rPr>
                <w:noProof/>
                <w:szCs w:val="24"/>
              </w:rPr>
              <w:t>-0.2%</w:t>
            </w:r>
          </w:p>
        </w:tc>
      </w:tr>
      <w:tr w:rsidR="001A26B0">
        <w:trPr>
          <w:trHeight w:val="300"/>
        </w:trPr>
        <w:tc>
          <w:tcPr>
            <w:tcW w:w="1760" w:type="pct"/>
            <w:vMerge/>
            <w:tcBorders>
              <w:left w:val="single" w:sz="4" w:space="0" w:color="auto"/>
              <w:bottom w:val="single" w:sz="4" w:space="0" w:color="auto"/>
              <w:right w:val="single" w:sz="4" w:space="0" w:color="auto"/>
            </w:tcBorders>
            <w:vAlign w:val="center"/>
            <w:hideMark/>
          </w:tcPr>
          <w:p w:rsidR="001A26B0" w:rsidRDefault="001A26B0">
            <w:pPr>
              <w:spacing w:after="120"/>
              <w:jc w:val="left"/>
              <w:rPr>
                <w:noProof/>
                <w:szCs w:val="24"/>
              </w:rPr>
            </w:pPr>
          </w:p>
        </w:tc>
        <w:tc>
          <w:tcPr>
            <w:tcW w:w="810"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rPr>
                <w:noProof/>
                <w:szCs w:val="24"/>
              </w:rPr>
            </w:pPr>
            <w:r>
              <w:rPr>
                <w:noProof/>
                <w:szCs w:val="24"/>
              </w:rPr>
              <w:t xml:space="preserve">TL40 </w:t>
            </w:r>
          </w:p>
        </w:tc>
        <w:tc>
          <w:tcPr>
            <w:tcW w:w="810" w:type="pct"/>
            <w:tcBorders>
              <w:top w:val="single" w:sz="4" w:space="0" w:color="auto"/>
              <w:left w:val="nil"/>
              <w:bottom w:val="single" w:sz="4" w:space="0" w:color="auto"/>
              <w:right w:val="single" w:sz="4" w:space="0" w:color="auto"/>
            </w:tcBorders>
            <w:vAlign w:val="bottom"/>
          </w:tcPr>
          <w:p w:rsidR="001A26B0" w:rsidRDefault="00E33A99">
            <w:pPr>
              <w:spacing w:after="120"/>
              <w:ind w:right="214"/>
              <w:jc w:val="right"/>
              <w:rPr>
                <w:noProof/>
                <w:szCs w:val="24"/>
              </w:rPr>
            </w:pPr>
            <w:r>
              <w:rPr>
                <w:noProof/>
                <w:szCs w:val="24"/>
              </w:rPr>
              <w:t>-0.1%</w:t>
            </w:r>
          </w:p>
        </w:tc>
        <w:tc>
          <w:tcPr>
            <w:tcW w:w="810" w:type="pct"/>
            <w:tcBorders>
              <w:top w:val="nil"/>
              <w:left w:val="single" w:sz="4" w:space="0" w:color="auto"/>
              <w:bottom w:val="single" w:sz="4" w:space="0" w:color="auto"/>
              <w:right w:val="single" w:sz="4" w:space="0" w:color="auto"/>
            </w:tcBorders>
            <w:shd w:val="clear" w:color="auto" w:fill="auto"/>
            <w:noWrap/>
            <w:vAlign w:val="bottom"/>
            <w:hideMark/>
          </w:tcPr>
          <w:p w:rsidR="001A26B0" w:rsidRDefault="00E33A99">
            <w:pPr>
              <w:spacing w:after="120"/>
              <w:ind w:right="214"/>
              <w:jc w:val="right"/>
              <w:rPr>
                <w:noProof/>
                <w:szCs w:val="24"/>
              </w:rPr>
            </w:pPr>
            <w:r>
              <w:rPr>
                <w:noProof/>
                <w:szCs w:val="24"/>
              </w:rPr>
              <w:t>-0.5%</w:t>
            </w:r>
          </w:p>
        </w:tc>
        <w:tc>
          <w:tcPr>
            <w:tcW w:w="810"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ind w:right="214"/>
              <w:jc w:val="right"/>
              <w:rPr>
                <w:noProof/>
                <w:szCs w:val="24"/>
              </w:rPr>
            </w:pPr>
            <w:r>
              <w:rPr>
                <w:noProof/>
                <w:szCs w:val="24"/>
              </w:rPr>
              <w:t>-0.6%</w:t>
            </w:r>
          </w:p>
        </w:tc>
      </w:tr>
      <w:tr w:rsidR="001A26B0">
        <w:trPr>
          <w:trHeight w:val="300"/>
        </w:trPr>
        <w:tc>
          <w:tcPr>
            <w:tcW w:w="1760" w:type="pct"/>
            <w:vMerge w:val="restart"/>
            <w:tcBorders>
              <w:top w:val="nil"/>
              <w:left w:val="single" w:sz="4" w:space="0" w:color="auto"/>
              <w:right w:val="single" w:sz="4" w:space="0" w:color="auto"/>
            </w:tcBorders>
            <w:shd w:val="clear" w:color="auto" w:fill="auto"/>
            <w:noWrap/>
            <w:vAlign w:val="center"/>
          </w:tcPr>
          <w:p w:rsidR="001A26B0" w:rsidRDefault="00E33A99">
            <w:pPr>
              <w:spacing w:after="120"/>
              <w:jc w:val="left"/>
              <w:rPr>
                <w:noProof/>
                <w:szCs w:val="24"/>
              </w:rPr>
            </w:pPr>
            <w:r>
              <w:rPr>
                <w:noProof/>
                <w:szCs w:val="24"/>
              </w:rPr>
              <w:t>Electricity</w:t>
            </w:r>
          </w:p>
        </w:tc>
        <w:tc>
          <w:tcPr>
            <w:tcW w:w="810" w:type="pct"/>
            <w:tcBorders>
              <w:top w:val="nil"/>
              <w:left w:val="nil"/>
              <w:bottom w:val="single" w:sz="4" w:space="0" w:color="auto"/>
              <w:right w:val="single" w:sz="4" w:space="0" w:color="auto"/>
            </w:tcBorders>
            <w:shd w:val="clear" w:color="auto" w:fill="F2F2F2" w:themeFill="background1" w:themeFillShade="F2"/>
            <w:noWrap/>
            <w:vAlign w:val="bottom"/>
          </w:tcPr>
          <w:p w:rsidR="001A26B0" w:rsidRDefault="00E33A99">
            <w:pPr>
              <w:spacing w:after="120"/>
              <w:rPr>
                <w:noProof/>
                <w:szCs w:val="24"/>
              </w:rPr>
            </w:pPr>
            <w:r>
              <w:rPr>
                <w:noProof/>
                <w:szCs w:val="24"/>
              </w:rPr>
              <w:t xml:space="preserve">Baseline </w:t>
            </w:r>
          </w:p>
        </w:tc>
        <w:tc>
          <w:tcPr>
            <w:tcW w:w="810" w:type="pct"/>
            <w:tcBorders>
              <w:top w:val="single" w:sz="4" w:space="0" w:color="auto"/>
              <w:left w:val="nil"/>
              <w:bottom w:val="single" w:sz="4" w:space="0" w:color="auto"/>
              <w:right w:val="single" w:sz="4" w:space="0" w:color="auto"/>
            </w:tcBorders>
            <w:shd w:val="clear" w:color="auto" w:fill="F2F2F2" w:themeFill="background1" w:themeFillShade="F2"/>
            <w:vAlign w:val="bottom"/>
          </w:tcPr>
          <w:p w:rsidR="001A26B0" w:rsidRDefault="00E33A99">
            <w:pPr>
              <w:spacing w:after="120"/>
              <w:ind w:right="214"/>
              <w:jc w:val="right"/>
              <w:rPr>
                <w:noProof/>
                <w:color w:val="000000"/>
                <w:szCs w:val="24"/>
              </w:rPr>
            </w:pPr>
            <w:r>
              <w:rPr>
                <w:noProof/>
                <w:color w:val="000000"/>
                <w:szCs w:val="24"/>
              </w:rPr>
              <w:t>2,351</w:t>
            </w:r>
          </w:p>
        </w:tc>
        <w:tc>
          <w:tcPr>
            <w:tcW w:w="810" w:type="pct"/>
            <w:tcBorders>
              <w:top w:val="nil"/>
              <w:left w:val="single" w:sz="4" w:space="0" w:color="auto"/>
              <w:bottom w:val="single" w:sz="4" w:space="0" w:color="auto"/>
              <w:right w:val="single" w:sz="4" w:space="0" w:color="auto"/>
            </w:tcBorders>
            <w:shd w:val="clear" w:color="auto" w:fill="F2F2F2" w:themeFill="background1" w:themeFillShade="F2"/>
            <w:noWrap/>
            <w:vAlign w:val="bottom"/>
          </w:tcPr>
          <w:p w:rsidR="001A26B0" w:rsidRDefault="00E33A99">
            <w:pPr>
              <w:spacing w:after="120"/>
              <w:ind w:right="214"/>
              <w:jc w:val="right"/>
              <w:rPr>
                <w:noProof/>
                <w:color w:val="000000"/>
                <w:szCs w:val="24"/>
              </w:rPr>
            </w:pPr>
            <w:r>
              <w:rPr>
                <w:noProof/>
                <w:color w:val="000000"/>
                <w:szCs w:val="24"/>
              </w:rPr>
              <w:t>2,528</w:t>
            </w:r>
          </w:p>
        </w:tc>
        <w:tc>
          <w:tcPr>
            <w:tcW w:w="810" w:type="pct"/>
            <w:tcBorders>
              <w:top w:val="nil"/>
              <w:left w:val="nil"/>
              <w:bottom w:val="single" w:sz="4" w:space="0" w:color="auto"/>
              <w:right w:val="single" w:sz="4" w:space="0" w:color="auto"/>
            </w:tcBorders>
            <w:shd w:val="clear" w:color="auto" w:fill="F2F2F2" w:themeFill="background1" w:themeFillShade="F2"/>
            <w:noWrap/>
            <w:vAlign w:val="bottom"/>
          </w:tcPr>
          <w:p w:rsidR="001A26B0" w:rsidRDefault="00E33A99">
            <w:pPr>
              <w:spacing w:after="120"/>
              <w:ind w:right="214"/>
              <w:jc w:val="right"/>
              <w:rPr>
                <w:noProof/>
                <w:color w:val="000000"/>
                <w:szCs w:val="24"/>
              </w:rPr>
            </w:pPr>
            <w:r>
              <w:rPr>
                <w:noProof/>
                <w:color w:val="000000"/>
                <w:szCs w:val="24"/>
              </w:rPr>
              <w:t>2,660</w:t>
            </w:r>
          </w:p>
        </w:tc>
      </w:tr>
      <w:tr w:rsidR="001A26B0">
        <w:trPr>
          <w:trHeight w:val="300"/>
        </w:trPr>
        <w:tc>
          <w:tcPr>
            <w:tcW w:w="1760" w:type="pct"/>
            <w:vMerge/>
            <w:tcBorders>
              <w:left w:val="single" w:sz="4" w:space="0" w:color="auto"/>
              <w:right w:val="single" w:sz="4" w:space="0" w:color="auto"/>
            </w:tcBorders>
            <w:shd w:val="clear" w:color="auto" w:fill="auto"/>
            <w:noWrap/>
            <w:vAlign w:val="center"/>
            <w:hideMark/>
          </w:tcPr>
          <w:p w:rsidR="001A26B0" w:rsidRDefault="001A26B0">
            <w:pPr>
              <w:spacing w:after="120"/>
              <w:jc w:val="left"/>
              <w:rPr>
                <w:noProof/>
                <w:szCs w:val="24"/>
              </w:rPr>
            </w:pPr>
          </w:p>
        </w:tc>
        <w:tc>
          <w:tcPr>
            <w:tcW w:w="810"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rPr>
                <w:noProof/>
                <w:szCs w:val="24"/>
              </w:rPr>
            </w:pPr>
            <w:r>
              <w:rPr>
                <w:noProof/>
                <w:szCs w:val="24"/>
              </w:rPr>
              <w:t xml:space="preserve">TL20 </w:t>
            </w:r>
          </w:p>
        </w:tc>
        <w:tc>
          <w:tcPr>
            <w:tcW w:w="810" w:type="pct"/>
            <w:tcBorders>
              <w:top w:val="single" w:sz="4" w:space="0" w:color="auto"/>
              <w:left w:val="nil"/>
              <w:bottom w:val="single" w:sz="4" w:space="0" w:color="auto"/>
              <w:right w:val="single" w:sz="4" w:space="0" w:color="auto"/>
            </w:tcBorders>
            <w:vAlign w:val="bottom"/>
          </w:tcPr>
          <w:p w:rsidR="001A26B0" w:rsidRDefault="00E33A99">
            <w:pPr>
              <w:spacing w:after="120"/>
              <w:ind w:right="214"/>
              <w:jc w:val="right"/>
              <w:rPr>
                <w:noProof/>
                <w:szCs w:val="24"/>
              </w:rPr>
            </w:pPr>
            <w:r>
              <w:rPr>
                <w:noProof/>
                <w:szCs w:val="24"/>
              </w:rPr>
              <w:t>0.2%</w:t>
            </w:r>
          </w:p>
        </w:tc>
        <w:tc>
          <w:tcPr>
            <w:tcW w:w="810" w:type="pct"/>
            <w:tcBorders>
              <w:top w:val="nil"/>
              <w:left w:val="single" w:sz="4" w:space="0" w:color="auto"/>
              <w:bottom w:val="single" w:sz="4" w:space="0" w:color="auto"/>
              <w:right w:val="single" w:sz="4" w:space="0" w:color="auto"/>
            </w:tcBorders>
            <w:shd w:val="clear" w:color="auto" w:fill="auto"/>
            <w:noWrap/>
            <w:vAlign w:val="bottom"/>
            <w:hideMark/>
          </w:tcPr>
          <w:p w:rsidR="001A26B0" w:rsidRDefault="00E33A99">
            <w:pPr>
              <w:spacing w:after="120"/>
              <w:ind w:right="214"/>
              <w:jc w:val="right"/>
              <w:rPr>
                <w:noProof/>
                <w:szCs w:val="24"/>
              </w:rPr>
            </w:pPr>
            <w:r>
              <w:rPr>
                <w:noProof/>
                <w:szCs w:val="24"/>
              </w:rPr>
              <w:t>0.4%</w:t>
            </w:r>
          </w:p>
        </w:tc>
        <w:tc>
          <w:tcPr>
            <w:tcW w:w="810"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ind w:right="214"/>
              <w:jc w:val="right"/>
              <w:rPr>
                <w:noProof/>
                <w:szCs w:val="24"/>
              </w:rPr>
            </w:pPr>
            <w:r>
              <w:rPr>
                <w:noProof/>
                <w:szCs w:val="24"/>
              </w:rPr>
              <w:t>1.1%</w:t>
            </w:r>
          </w:p>
        </w:tc>
      </w:tr>
      <w:tr w:rsidR="001A26B0">
        <w:trPr>
          <w:trHeight w:val="300"/>
        </w:trPr>
        <w:tc>
          <w:tcPr>
            <w:tcW w:w="1760" w:type="pct"/>
            <w:vMerge/>
            <w:tcBorders>
              <w:left w:val="single" w:sz="4" w:space="0" w:color="auto"/>
              <w:right w:val="single" w:sz="4" w:space="0" w:color="auto"/>
            </w:tcBorders>
            <w:vAlign w:val="center"/>
            <w:hideMark/>
          </w:tcPr>
          <w:p w:rsidR="001A26B0" w:rsidRDefault="001A26B0">
            <w:pPr>
              <w:spacing w:after="120"/>
              <w:jc w:val="left"/>
              <w:rPr>
                <w:noProof/>
                <w:szCs w:val="24"/>
              </w:rPr>
            </w:pPr>
          </w:p>
        </w:tc>
        <w:tc>
          <w:tcPr>
            <w:tcW w:w="810"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rPr>
                <w:noProof/>
                <w:szCs w:val="24"/>
              </w:rPr>
            </w:pPr>
            <w:r>
              <w:rPr>
                <w:noProof/>
                <w:szCs w:val="24"/>
              </w:rPr>
              <w:t xml:space="preserve">TL30c/25v </w:t>
            </w:r>
          </w:p>
        </w:tc>
        <w:tc>
          <w:tcPr>
            <w:tcW w:w="810" w:type="pct"/>
            <w:tcBorders>
              <w:top w:val="single" w:sz="4" w:space="0" w:color="auto"/>
              <w:left w:val="nil"/>
              <w:bottom w:val="single" w:sz="4" w:space="0" w:color="auto"/>
              <w:right w:val="single" w:sz="4" w:space="0" w:color="auto"/>
            </w:tcBorders>
            <w:vAlign w:val="bottom"/>
          </w:tcPr>
          <w:p w:rsidR="001A26B0" w:rsidRDefault="00E33A99">
            <w:pPr>
              <w:spacing w:after="120"/>
              <w:ind w:right="214"/>
              <w:jc w:val="right"/>
              <w:rPr>
                <w:noProof/>
                <w:szCs w:val="24"/>
              </w:rPr>
            </w:pPr>
            <w:r>
              <w:rPr>
                <w:noProof/>
                <w:szCs w:val="24"/>
              </w:rPr>
              <w:t>0.2%</w:t>
            </w:r>
          </w:p>
        </w:tc>
        <w:tc>
          <w:tcPr>
            <w:tcW w:w="810" w:type="pct"/>
            <w:tcBorders>
              <w:top w:val="nil"/>
              <w:left w:val="single" w:sz="4" w:space="0" w:color="auto"/>
              <w:bottom w:val="single" w:sz="4" w:space="0" w:color="auto"/>
              <w:right w:val="single" w:sz="4" w:space="0" w:color="auto"/>
            </w:tcBorders>
            <w:shd w:val="clear" w:color="auto" w:fill="auto"/>
            <w:noWrap/>
            <w:vAlign w:val="bottom"/>
            <w:hideMark/>
          </w:tcPr>
          <w:p w:rsidR="001A26B0" w:rsidRDefault="00E33A99">
            <w:pPr>
              <w:spacing w:after="120"/>
              <w:ind w:right="214"/>
              <w:jc w:val="right"/>
              <w:rPr>
                <w:noProof/>
                <w:szCs w:val="24"/>
              </w:rPr>
            </w:pPr>
            <w:r>
              <w:rPr>
                <w:noProof/>
                <w:szCs w:val="24"/>
              </w:rPr>
              <w:t>0.5%</w:t>
            </w:r>
          </w:p>
        </w:tc>
        <w:tc>
          <w:tcPr>
            <w:tcW w:w="810"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ind w:right="214"/>
              <w:jc w:val="right"/>
              <w:rPr>
                <w:noProof/>
                <w:szCs w:val="24"/>
              </w:rPr>
            </w:pPr>
            <w:r>
              <w:rPr>
                <w:noProof/>
                <w:szCs w:val="24"/>
              </w:rPr>
              <w:t>1.2%</w:t>
            </w:r>
          </w:p>
        </w:tc>
      </w:tr>
      <w:tr w:rsidR="001A26B0">
        <w:trPr>
          <w:trHeight w:val="300"/>
        </w:trPr>
        <w:tc>
          <w:tcPr>
            <w:tcW w:w="1760" w:type="pct"/>
            <w:vMerge/>
            <w:tcBorders>
              <w:left w:val="single" w:sz="4" w:space="0" w:color="auto"/>
              <w:bottom w:val="single" w:sz="4" w:space="0" w:color="auto"/>
              <w:right w:val="single" w:sz="4" w:space="0" w:color="auto"/>
            </w:tcBorders>
            <w:vAlign w:val="center"/>
            <w:hideMark/>
          </w:tcPr>
          <w:p w:rsidR="001A26B0" w:rsidRDefault="001A26B0">
            <w:pPr>
              <w:spacing w:after="120"/>
              <w:jc w:val="left"/>
              <w:rPr>
                <w:noProof/>
                <w:szCs w:val="24"/>
              </w:rPr>
            </w:pPr>
          </w:p>
        </w:tc>
        <w:tc>
          <w:tcPr>
            <w:tcW w:w="810"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rPr>
                <w:noProof/>
                <w:szCs w:val="24"/>
              </w:rPr>
            </w:pPr>
            <w:r>
              <w:rPr>
                <w:noProof/>
                <w:szCs w:val="24"/>
              </w:rPr>
              <w:t xml:space="preserve">TL40 </w:t>
            </w:r>
          </w:p>
        </w:tc>
        <w:tc>
          <w:tcPr>
            <w:tcW w:w="810" w:type="pct"/>
            <w:tcBorders>
              <w:top w:val="single" w:sz="4" w:space="0" w:color="auto"/>
              <w:left w:val="nil"/>
              <w:bottom w:val="single" w:sz="4" w:space="0" w:color="auto"/>
              <w:right w:val="single" w:sz="4" w:space="0" w:color="auto"/>
            </w:tcBorders>
            <w:vAlign w:val="bottom"/>
          </w:tcPr>
          <w:p w:rsidR="001A26B0" w:rsidRDefault="00E33A99">
            <w:pPr>
              <w:spacing w:after="120"/>
              <w:ind w:right="214"/>
              <w:jc w:val="right"/>
              <w:rPr>
                <w:noProof/>
                <w:szCs w:val="24"/>
              </w:rPr>
            </w:pPr>
            <w:r>
              <w:rPr>
                <w:noProof/>
                <w:szCs w:val="24"/>
              </w:rPr>
              <w:t>0.3%</w:t>
            </w:r>
          </w:p>
        </w:tc>
        <w:tc>
          <w:tcPr>
            <w:tcW w:w="810" w:type="pct"/>
            <w:tcBorders>
              <w:top w:val="nil"/>
              <w:left w:val="single" w:sz="4" w:space="0" w:color="auto"/>
              <w:bottom w:val="single" w:sz="4" w:space="0" w:color="auto"/>
              <w:right w:val="single" w:sz="4" w:space="0" w:color="auto"/>
            </w:tcBorders>
            <w:shd w:val="clear" w:color="auto" w:fill="auto"/>
            <w:noWrap/>
            <w:vAlign w:val="bottom"/>
            <w:hideMark/>
          </w:tcPr>
          <w:p w:rsidR="001A26B0" w:rsidRDefault="00E33A99">
            <w:pPr>
              <w:spacing w:after="120"/>
              <w:ind w:right="214"/>
              <w:jc w:val="right"/>
              <w:rPr>
                <w:noProof/>
                <w:szCs w:val="24"/>
              </w:rPr>
            </w:pPr>
            <w:r>
              <w:rPr>
                <w:noProof/>
                <w:szCs w:val="24"/>
              </w:rPr>
              <w:t>1.2%</w:t>
            </w:r>
          </w:p>
        </w:tc>
        <w:tc>
          <w:tcPr>
            <w:tcW w:w="810"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ind w:right="214"/>
              <w:jc w:val="right"/>
              <w:rPr>
                <w:noProof/>
                <w:szCs w:val="24"/>
              </w:rPr>
            </w:pPr>
            <w:r>
              <w:rPr>
                <w:noProof/>
                <w:szCs w:val="24"/>
              </w:rPr>
              <w:t>2.3%</w:t>
            </w:r>
          </w:p>
        </w:tc>
      </w:tr>
      <w:tr w:rsidR="001A26B0">
        <w:trPr>
          <w:trHeight w:val="300"/>
        </w:trPr>
        <w:tc>
          <w:tcPr>
            <w:tcW w:w="1760" w:type="pct"/>
            <w:vMerge w:val="restart"/>
            <w:tcBorders>
              <w:top w:val="nil"/>
              <w:left w:val="single" w:sz="4" w:space="0" w:color="auto"/>
              <w:right w:val="single" w:sz="4" w:space="0" w:color="auto"/>
            </w:tcBorders>
            <w:shd w:val="clear" w:color="auto" w:fill="auto"/>
            <w:noWrap/>
            <w:vAlign w:val="center"/>
          </w:tcPr>
          <w:p w:rsidR="001A26B0" w:rsidRDefault="00E33A99">
            <w:pPr>
              <w:spacing w:after="120"/>
              <w:jc w:val="left"/>
              <w:rPr>
                <w:noProof/>
                <w:szCs w:val="24"/>
              </w:rPr>
            </w:pPr>
            <w:r>
              <w:rPr>
                <w:noProof/>
                <w:szCs w:val="24"/>
              </w:rPr>
              <w:t xml:space="preserve">Other </w:t>
            </w:r>
            <w:r>
              <w:rPr>
                <w:noProof/>
                <w:szCs w:val="24"/>
              </w:rPr>
              <w:t>Sectors</w:t>
            </w:r>
          </w:p>
        </w:tc>
        <w:tc>
          <w:tcPr>
            <w:tcW w:w="810" w:type="pct"/>
            <w:tcBorders>
              <w:top w:val="nil"/>
              <w:left w:val="nil"/>
              <w:bottom w:val="single" w:sz="4" w:space="0" w:color="auto"/>
              <w:right w:val="single" w:sz="4" w:space="0" w:color="auto"/>
            </w:tcBorders>
            <w:shd w:val="clear" w:color="auto" w:fill="F2F2F2" w:themeFill="background1" w:themeFillShade="F2"/>
            <w:noWrap/>
            <w:vAlign w:val="bottom"/>
          </w:tcPr>
          <w:p w:rsidR="001A26B0" w:rsidRDefault="00E33A99">
            <w:pPr>
              <w:spacing w:after="120"/>
              <w:rPr>
                <w:noProof/>
                <w:szCs w:val="24"/>
              </w:rPr>
            </w:pPr>
            <w:r>
              <w:rPr>
                <w:noProof/>
                <w:szCs w:val="24"/>
              </w:rPr>
              <w:t xml:space="preserve">Baseline </w:t>
            </w:r>
          </w:p>
        </w:tc>
        <w:tc>
          <w:tcPr>
            <w:tcW w:w="810" w:type="pct"/>
            <w:tcBorders>
              <w:top w:val="single" w:sz="4" w:space="0" w:color="auto"/>
              <w:left w:val="nil"/>
              <w:bottom w:val="single" w:sz="4" w:space="0" w:color="auto"/>
              <w:right w:val="single" w:sz="4" w:space="0" w:color="auto"/>
            </w:tcBorders>
            <w:shd w:val="clear" w:color="auto" w:fill="F2F2F2" w:themeFill="background1" w:themeFillShade="F2"/>
            <w:vAlign w:val="bottom"/>
          </w:tcPr>
          <w:p w:rsidR="001A26B0" w:rsidRDefault="00E33A99">
            <w:pPr>
              <w:spacing w:after="120"/>
              <w:ind w:right="214"/>
              <w:jc w:val="right"/>
              <w:rPr>
                <w:noProof/>
                <w:color w:val="000000"/>
                <w:szCs w:val="24"/>
              </w:rPr>
            </w:pPr>
            <w:r>
              <w:rPr>
                <w:noProof/>
                <w:color w:val="000000"/>
                <w:szCs w:val="24"/>
              </w:rPr>
              <w:t>208,144</w:t>
            </w:r>
          </w:p>
        </w:tc>
        <w:tc>
          <w:tcPr>
            <w:tcW w:w="810" w:type="pct"/>
            <w:tcBorders>
              <w:top w:val="nil"/>
              <w:left w:val="single" w:sz="4" w:space="0" w:color="auto"/>
              <w:bottom w:val="single" w:sz="4" w:space="0" w:color="auto"/>
              <w:right w:val="single" w:sz="4" w:space="0" w:color="auto"/>
            </w:tcBorders>
            <w:shd w:val="clear" w:color="auto" w:fill="F2F2F2" w:themeFill="background1" w:themeFillShade="F2"/>
            <w:noWrap/>
            <w:vAlign w:val="bottom"/>
          </w:tcPr>
          <w:p w:rsidR="001A26B0" w:rsidRDefault="00E33A99">
            <w:pPr>
              <w:spacing w:after="120"/>
              <w:ind w:right="214"/>
              <w:jc w:val="right"/>
              <w:rPr>
                <w:noProof/>
                <w:color w:val="000000"/>
                <w:szCs w:val="24"/>
              </w:rPr>
            </w:pPr>
            <w:r>
              <w:rPr>
                <w:noProof/>
                <w:color w:val="000000"/>
                <w:szCs w:val="24"/>
              </w:rPr>
              <w:t>206,146</w:t>
            </w:r>
          </w:p>
        </w:tc>
        <w:tc>
          <w:tcPr>
            <w:tcW w:w="810" w:type="pct"/>
            <w:tcBorders>
              <w:top w:val="nil"/>
              <w:left w:val="nil"/>
              <w:bottom w:val="single" w:sz="4" w:space="0" w:color="auto"/>
              <w:right w:val="single" w:sz="4" w:space="0" w:color="auto"/>
            </w:tcBorders>
            <w:shd w:val="clear" w:color="auto" w:fill="F2F2F2" w:themeFill="background1" w:themeFillShade="F2"/>
            <w:noWrap/>
            <w:vAlign w:val="bottom"/>
          </w:tcPr>
          <w:p w:rsidR="001A26B0" w:rsidRDefault="00E33A99">
            <w:pPr>
              <w:spacing w:after="120"/>
              <w:ind w:right="214"/>
              <w:jc w:val="right"/>
              <w:rPr>
                <w:noProof/>
                <w:color w:val="000000"/>
                <w:szCs w:val="24"/>
              </w:rPr>
            </w:pPr>
            <w:r>
              <w:rPr>
                <w:noProof/>
                <w:color w:val="000000"/>
                <w:szCs w:val="24"/>
              </w:rPr>
              <w:t>203,132</w:t>
            </w:r>
          </w:p>
        </w:tc>
      </w:tr>
      <w:tr w:rsidR="001A26B0">
        <w:trPr>
          <w:trHeight w:val="300"/>
        </w:trPr>
        <w:tc>
          <w:tcPr>
            <w:tcW w:w="1760" w:type="pct"/>
            <w:vMerge/>
            <w:tcBorders>
              <w:left w:val="single" w:sz="4" w:space="0" w:color="auto"/>
              <w:right w:val="single" w:sz="4" w:space="0" w:color="auto"/>
            </w:tcBorders>
            <w:shd w:val="clear" w:color="auto" w:fill="auto"/>
            <w:noWrap/>
            <w:vAlign w:val="center"/>
            <w:hideMark/>
          </w:tcPr>
          <w:p w:rsidR="001A26B0" w:rsidRDefault="001A26B0">
            <w:pPr>
              <w:spacing w:after="120"/>
              <w:rPr>
                <w:noProof/>
                <w:szCs w:val="24"/>
              </w:rPr>
            </w:pPr>
          </w:p>
        </w:tc>
        <w:tc>
          <w:tcPr>
            <w:tcW w:w="810"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rPr>
                <w:noProof/>
                <w:szCs w:val="24"/>
              </w:rPr>
            </w:pPr>
            <w:r>
              <w:rPr>
                <w:noProof/>
                <w:szCs w:val="24"/>
              </w:rPr>
              <w:t xml:space="preserve">TL20 </w:t>
            </w:r>
          </w:p>
        </w:tc>
        <w:tc>
          <w:tcPr>
            <w:tcW w:w="810" w:type="pct"/>
            <w:tcBorders>
              <w:top w:val="single" w:sz="4" w:space="0" w:color="auto"/>
              <w:left w:val="nil"/>
              <w:bottom w:val="single" w:sz="4" w:space="0" w:color="auto"/>
              <w:right w:val="single" w:sz="4" w:space="0" w:color="auto"/>
            </w:tcBorders>
            <w:vAlign w:val="bottom"/>
          </w:tcPr>
          <w:p w:rsidR="001A26B0" w:rsidRDefault="00E33A99">
            <w:pPr>
              <w:spacing w:after="120"/>
              <w:ind w:right="214"/>
              <w:jc w:val="right"/>
              <w:rPr>
                <w:noProof/>
                <w:szCs w:val="24"/>
              </w:rPr>
            </w:pPr>
            <w:r>
              <w:rPr>
                <w:noProof/>
                <w:szCs w:val="24"/>
              </w:rPr>
              <w:t>0.00%</w:t>
            </w:r>
          </w:p>
        </w:tc>
        <w:tc>
          <w:tcPr>
            <w:tcW w:w="810" w:type="pct"/>
            <w:tcBorders>
              <w:top w:val="nil"/>
              <w:left w:val="single" w:sz="4" w:space="0" w:color="auto"/>
              <w:bottom w:val="single" w:sz="4" w:space="0" w:color="auto"/>
              <w:right w:val="single" w:sz="4" w:space="0" w:color="auto"/>
            </w:tcBorders>
            <w:shd w:val="clear" w:color="auto" w:fill="auto"/>
            <w:noWrap/>
            <w:vAlign w:val="bottom"/>
            <w:hideMark/>
          </w:tcPr>
          <w:p w:rsidR="001A26B0" w:rsidRDefault="00E33A99">
            <w:pPr>
              <w:spacing w:after="120"/>
              <w:ind w:right="214"/>
              <w:jc w:val="right"/>
              <w:rPr>
                <w:noProof/>
                <w:szCs w:val="24"/>
              </w:rPr>
            </w:pPr>
            <w:r>
              <w:rPr>
                <w:noProof/>
                <w:szCs w:val="24"/>
              </w:rPr>
              <w:t>0.00%</w:t>
            </w:r>
          </w:p>
        </w:tc>
        <w:tc>
          <w:tcPr>
            <w:tcW w:w="810"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ind w:right="214"/>
              <w:jc w:val="right"/>
              <w:rPr>
                <w:noProof/>
                <w:szCs w:val="24"/>
              </w:rPr>
            </w:pPr>
            <w:r>
              <w:rPr>
                <w:noProof/>
                <w:szCs w:val="24"/>
              </w:rPr>
              <w:t>-0.02%</w:t>
            </w:r>
          </w:p>
        </w:tc>
      </w:tr>
      <w:tr w:rsidR="001A26B0">
        <w:trPr>
          <w:trHeight w:val="300"/>
        </w:trPr>
        <w:tc>
          <w:tcPr>
            <w:tcW w:w="1760" w:type="pct"/>
            <w:vMerge/>
            <w:tcBorders>
              <w:left w:val="single" w:sz="4" w:space="0" w:color="auto"/>
              <w:right w:val="single" w:sz="4" w:space="0" w:color="auto"/>
            </w:tcBorders>
            <w:vAlign w:val="center"/>
            <w:hideMark/>
          </w:tcPr>
          <w:p w:rsidR="001A26B0" w:rsidRDefault="001A26B0">
            <w:pPr>
              <w:spacing w:after="120"/>
              <w:rPr>
                <w:noProof/>
                <w:szCs w:val="24"/>
              </w:rPr>
            </w:pPr>
          </w:p>
        </w:tc>
        <w:tc>
          <w:tcPr>
            <w:tcW w:w="810"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rPr>
                <w:noProof/>
                <w:szCs w:val="24"/>
              </w:rPr>
            </w:pPr>
            <w:r>
              <w:rPr>
                <w:noProof/>
                <w:szCs w:val="24"/>
              </w:rPr>
              <w:t xml:space="preserve">TL30c/25v </w:t>
            </w:r>
          </w:p>
        </w:tc>
        <w:tc>
          <w:tcPr>
            <w:tcW w:w="810" w:type="pct"/>
            <w:tcBorders>
              <w:top w:val="single" w:sz="4" w:space="0" w:color="auto"/>
              <w:left w:val="nil"/>
              <w:bottom w:val="single" w:sz="4" w:space="0" w:color="auto"/>
              <w:right w:val="single" w:sz="4" w:space="0" w:color="auto"/>
            </w:tcBorders>
            <w:vAlign w:val="bottom"/>
          </w:tcPr>
          <w:p w:rsidR="001A26B0" w:rsidRDefault="00E33A99">
            <w:pPr>
              <w:spacing w:after="120"/>
              <w:ind w:right="214"/>
              <w:jc w:val="right"/>
              <w:rPr>
                <w:noProof/>
                <w:szCs w:val="24"/>
              </w:rPr>
            </w:pPr>
            <w:r>
              <w:rPr>
                <w:noProof/>
                <w:szCs w:val="24"/>
              </w:rPr>
              <w:t>0.00%</w:t>
            </w:r>
          </w:p>
        </w:tc>
        <w:tc>
          <w:tcPr>
            <w:tcW w:w="810" w:type="pct"/>
            <w:tcBorders>
              <w:top w:val="nil"/>
              <w:left w:val="single" w:sz="4" w:space="0" w:color="auto"/>
              <w:bottom w:val="single" w:sz="4" w:space="0" w:color="auto"/>
              <w:right w:val="single" w:sz="4" w:space="0" w:color="auto"/>
            </w:tcBorders>
            <w:shd w:val="clear" w:color="auto" w:fill="auto"/>
            <w:noWrap/>
            <w:vAlign w:val="bottom"/>
            <w:hideMark/>
          </w:tcPr>
          <w:p w:rsidR="001A26B0" w:rsidRDefault="00E33A99">
            <w:pPr>
              <w:spacing w:after="120"/>
              <w:ind w:right="214"/>
              <w:jc w:val="right"/>
              <w:rPr>
                <w:noProof/>
                <w:szCs w:val="24"/>
              </w:rPr>
            </w:pPr>
            <w:r>
              <w:rPr>
                <w:noProof/>
                <w:szCs w:val="24"/>
              </w:rPr>
              <w:t>-0.01%</w:t>
            </w:r>
          </w:p>
        </w:tc>
        <w:tc>
          <w:tcPr>
            <w:tcW w:w="810"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ind w:right="214"/>
              <w:jc w:val="right"/>
              <w:rPr>
                <w:noProof/>
                <w:szCs w:val="24"/>
              </w:rPr>
            </w:pPr>
            <w:r>
              <w:rPr>
                <w:noProof/>
                <w:szCs w:val="24"/>
              </w:rPr>
              <w:t>-0.02%</w:t>
            </w:r>
          </w:p>
        </w:tc>
      </w:tr>
      <w:tr w:rsidR="001A26B0">
        <w:trPr>
          <w:trHeight w:val="300"/>
        </w:trPr>
        <w:tc>
          <w:tcPr>
            <w:tcW w:w="1760" w:type="pct"/>
            <w:vMerge/>
            <w:tcBorders>
              <w:left w:val="single" w:sz="4" w:space="0" w:color="auto"/>
              <w:bottom w:val="single" w:sz="4" w:space="0" w:color="auto"/>
              <w:right w:val="single" w:sz="4" w:space="0" w:color="auto"/>
            </w:tcBorders>
            <w:vAlign w:val="center"/>
            <w:hideMark/>
          </w:tcPr>
          <w:p w:rsidR="001A26B0" w:rsidRDefault="001A26B0">
            <w:pPr>
              <w:spacing w:after="120"/>
              <w:rPr>
                <w:noProof/>
                <w:szCs w:val="24"/>
              </w:rPr>
            </w:pPr>
          </w:p>
        </w:tc>
        <w:tc>
          <w:tcPr>
            <w:tcW w:w="810"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rPr>
                <w:noProof/>
                <w:szCs w:val="24"/>
              </w:rPr>
            </w:pPr>
            <w:r>
              <w:rPr>
                <w:noProof/>
                <w:szCs w:val="24"/>
              </w:rPr>
              <w:t xml:space="preserve">TL40 </w:t>
            </w:r>
          </w:p>
        </w:tc>
        <w:tc>
          <w:tcPr>
            <w:tcW w:w="810" w:type="pct"/>
            <w:tcBorders>
              <w:top w:val="single" w:sz="4" w:space="0" w:color="auto"/>
              <w:left w:val="nil"/>
              <w:bottom w:val="single" w:sz="4" w:space="0" w:color="auto"/>
              <w:right w:val="single" w:sz="4" w:space="0" w:color="auto"/>
            </w:tcBorders>
            <w:vAlign w:val="bottom"/>
          </w:tcPr>
          <w:p w:rsidR="001A26B0" w:rsidRDefault="00E33A99">
            <w:pPr>
              <w:spacing w:after="120"/>
              <w:ind w:right="214"/>
              <w:jc w:val="right"/>
              <w:rPr>
                <w:noProof/>
                <w:szCs w:val="24"/>
              </w:rPr>
            </w:pPr>
            <w:r>
              <w:rPr>
                <w:noProof/>
                <w:szCs w:val="24"/>
              </w:rPr>
              <w:t>-0.01%</w:t>
            </w:r>
          </w:p>
        </w:tc>
        <w:tc>
          <w:tcPr>
            <w:tcW w:w="810" w:type="pct"/>
            <w:tcBorders>
              <w:top w:val="nil"/>
              <w:left w:val="single" w:sz="4" w:space="0" w:color="auto"/>
              <w:bottom w:val="single" w:sz="4" w:space="0" w:color="auto"/>
              <w:right w:val="single" w:sz="4" w:space="0" w:color="auto"/>
            </w:tcBorders>
            <w:shd w:val="clear" w:color="auto" w:fill="auto"/>
            <w:noWrap/>
            <w:vAlign w:val="bottom"/>
            <w:hideMark/>
          </w:tcPr>
          <w:p w:rsidR="001A26B0" w:rsidRDefault="00E33A99">
            <w:pPr>
              <w:spacing w:after="120"/>
              <w:ind w:right="214"/>
              <w:jc w:val="right"/>
              <w:rPr>
                <w:noProof/>
                <w:szCs w:val="24"/>
              </w:rPr>
            </w:pPr>
            <w:r>
              <w:rPr>
                <w:noProof/>
                <w:szCs w:val="24"/>
              </w:rPr>
              <w:t>-0.03%</w:t>
            </w:r>
          </w:p>
        </w:tc>
        <w:tc>
          <w:tcPr>
            <w:tcW w:w="810" w:type="pct"/>
            <w:tcBorders>
              <w:top w:val="nil"/>
              <w:left w:val="nil"/>
              <w:bottom w:val="single" w:sz="4" w:space="0" w:color="auto"/>
              <w:right w:val="single" w:sz="4" w:space="0" w:color="auto"/>
            </w:tcBorders>
            <w:shd w:val="clear" w:color="auto" w:fill="auto"/>
            <w:noWrap/>
            <w:vAlign w:val="bottom"/>
            <w:hideMark/>
          </w:tcPr>
          <w:p w:rsidR="001A26B0" w:rsidRDefault="00E33A99">
            <w:pPr>
              <w:spacing w:after="120"/>
              <w:ind w:right="214"/>
              <w:jc w:val="right"/>
              <w:rPr>
                <w:noProof/>
                <w:szCs w:val="24"/>
              </w:rPr>
            </w:pPr>
            <w:r>
              <w:rPr>
                <w:noProof/>
                <w:szCs w:val="24"/>
              </w:rPr>
              <w:t>-0.03%</w:t>
            </w:r>
          </w:p>
        </w:tc>
      </w:tr>
    </w:tbl>
    <w:p w:rsidR="001A26B0" w:rsidRDefault="00E33A99">
      <w:pPr>
        <w:spacing w:before="240" w:after="120"/>
        <w:rPr>
          <w:i/>
          <w:noProof/>
          <w:szCs w:val="24"/>
        </w:rPr>
      </w:pPr>
      <w:r>
        <w:rPr>
          <w:i/>
          <w:noProof/>
          <w:szCs w:val="24"/>
        </w:rPr>
        <w:t>Other studies</w:t>
      </w:r>
    </w:p>
    <w:p w:rsidR="001A26B0" w:rsidRDefault="00E33A99">
      <w:pPr>
        <w:pStyle w:val="Indented"/>
        <w:ind w:left="0"/>
        <w:jc w:val="both"/>
        <w:rPr>
          <w:rFonts w:ascii="Times New Roman" w:hAnsi="Times New Roman"/>
          <w:noProof/>
          <w:sz w:val="24"/>
          <w:szCs w:val="24"/>
        </w:rPr>
      </w:pPr>
      <w:bookmarkStart w:id="315" w:name="_Toc492405202"/>
      <w:bookmarkStart w:id="316" w:name="_Toc492405203"/>
      <w:bookmarkStart w:id="317" w:name="_Toc492405204"/>
      <w:bookmarkStart w:id="318" w:name="_Toc491160323"/>
      <w:bookmarkStart w:id="319" w:name="_Toc491879074"/>
      <w:bookmarkStart w:id="320" w:name="_Toc491973035"/>
      <w:bookmarkStart w:id="321" w:name="_Toc491973999"/>
      <w:bookmarkStart w:id="322" w:name="_Toc492056493"/>
      <w:bookmarkStart w:id="323" w:name="_Toc492300923"/>
      <w:bookmarkStart w:id="324" w:name="_Toc492405228"/>
      <w:bookmarkStart w:id="325" w:name="_Toc492406604"/>
      <w:bookmarkStart w:id="326" w:name="_Toc492541591"/>
      <w:bookmarkStart w:id="327" w:name="_Toc492405229"/>
      <w:bookmarkStart w:id="328" w:name="_Toc492405230"/>
      <w:bookmarkStart w:id="329" w:name="_Toc492405231"/>
      <w:bookmarkStart w:id="330" w:name="_Toc491879078"/>
      <w:bookmarkStart w:id="331" w:name="_Toc491973039"/>
      <w:bookmarkStart w:id="332" w:name="_Toc491974003"/>
      <w:bookmarkStart w:id="333" w:name="_Toc492056497"/>
      <w:bookmarkStart w:id="334" w:name="_Toc492300927"/>
      <w:bookmarkStart w:id="335" w:name="_Toc492405232"/>
      <w:bookmarkStart w:id="336" w:name="_Toc492406608"/>
      <w:bookmarkStart w:id="337" w:name="_Toc492541595"/>
      <w:bookmarkStart w:id="338" w:name="_Toc491183404"/>
      <w:bookmarkStart w:id="339" w:name="_Toc491284011"/>
      <w:bookmarkStart w:id="340" w:name="_Toc491285095"/>
      <w:bookmarkStart w:id="341" w:name="_Toc491286181"/>
      <w:bookmarkStart w:id="342" w:name="_Toc491160324"/>
      <w:bookmarkStart w:id="343" w:name="_Toc491183405"/>
      <w:bookmarkStart w:id="344" w:name="_Toc491284012"/>
      <w:bookmarkStart w:id="345" w:name="_Toc491285096"/>
      <w:bookmarkStart w:id="346" w:name="_Toc491286182"/>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r>
        <w:rPr>
          <w:rFonts w:ascii="Times New Roman" w:hAnsi="Times New Roman"/>
          <w:noProof/>
          <w:sz w:val="24"/>
          <w:szCs w:val="24"/>
        </w:rPr>
        <w:t xml:space="preserve">External studies assessing the possible impacts of an accelerated uptake of low- and zero-emission vehicles </w:t>
      </w:r>
      <w:r>
        <w:rPr>
          <w:rFonts w:ascii="Times New Roman" w:hAnsi="Times New Roman"/>
          <w:noProof/>
          <w:sz w:val="24"/>
          <w:szCs w:val="24"/>
        </w:rPr>
        <w:t>conclude that this would lead to an increase in overall employment. A series of macroeconomic studies – both for the EU-28 as a whole</w:t>
      </w:r>
      <w:r>
        <w:rPr>
          <w:rStyle w:val="FootnoteReference"/>
          <w:rFonts w:ascii="Times New Roman" w:hAnsi="Times New Roman"/>
          <w:noProof/>
          <w:sz w:val="24"/>
          <w:szCs w:val="24"/>
        </w:rPr>
        <w:footnoteReference w:id="165"/>
      </w:r>
      <w:r>
        <w:rPr>
          <w:rFonts w:ascii="Times New Roman" w:hAnsi="Times New Roman"/>
          <w:noProof/>
          <w:sz w:val="24"/>
          <w:szCs w:val="24"/>
        </w:rPr>
        <w:t xml:space="preserve"> and for some individual Member States</w:t>
      </w:r>
      <w:r>
        <w:rPr>
          <w:rFonts w:ascii="Times New Roman" w:hAnsi="Times New Roman"/>
          <w:noProof/>
          <w:sz w:val="24"/>
          <w:szCs w:val="24"/>
          <w:vertAlign w:val="superscript"/>
        </w:rPr>
        <w:footnoteReference w:id="166"/>
      </w:r>
      <w:r>
        <w:rPr>
          <w:rFonts w:ascii="Times New Roman" w:hAnsi="Times New Roman"/>
          <w:noProof/>
          <w:sz w:val="24"/>
          <w:szCs w:val="24"/>
        </w:rPr>
        <w:t xml:space="preserve"> – show positive impacts on the wider economy, including growth in GDP and employment. </w:t>
      </w:r>
    </w:p>
    <w:p w:rsidR="001A26B0" w:rsidRDefault="00E33A99">
      <w:pPr>
        <w:pStyle w:val="Indented"/>
        <w:ind w:left="0"/>
        <w:jc w:val="both"/>
        <w:rPr>
          <w:rFonts w:ascii="Times New Roman" w:hAnsi="Times New Roman"/>
          <w:noProof/>
          <w:sz w:val="24"/>
          <w:szCs w:val="24"/>
        </w:rPr>
      </w:pPr>
      <w:r>
        <w:rPr>
          <w:rFonts w:ascii="Times New Roman" w:hAnsi="Times New Roman"/>
          <w:noProof/>
          <w:sz w:val="24"/>
          <w:szCs w:val="24"/>
        </w:rPr>
        <w:t xml:space="preserve">Positive impacts are also confirmed at the level of car manufacturing even for scenarios with significantly higher shares of electrified powertrains as high as 100%. </w:t>
      </w:r>
    </w:p>
    <w:p w:rsidR="001A26B0" w:rsidRDefault="00E33A99">
      <w:pPr>
        <w:pStyle w:val="Indented"/>
        <w:ind w:left="0"/>
        <w:jc w:val="both"/>
        <w:rPr>
          <w:rFonts w:ascii="Times New Roman" w:hAnsi="Times New Roman"/>
          <w:noProof/>
          <w:sz w:val="24"/>
          <w:szCs w:val="24"/>
        </w:rPr>
      </w:pPr>
      <w:r>
        <w:rPr>
          <w:rFonts w:ascii="Times New Roman" w:hAnsi="Times New Roman"/>
          <w:noProof/>
          <w:sz w:val="24"/>
          <w:szCs w:val="24"/>
        </w:rPr>
        <w:t>H</w:t>
      </w:r>
      <w:r>
        <w:rPr>
          <w:rFonts w:ascii="Times New Roman" w:hAnsi="Times New Roman"/>
          <w:noProof/>
          <w:sz w:val="24"/>
          <w:szCs w:val="24"/>
        </w:rPr>
        <w:t xml:space="preserve">owever, the overall employment impacts will be influenced by the actual technology mix and how other transformative processes such as digitalisation or new business models, e.g. car sharing, will affect the automotive sector. </w:t>
      </w:r>
    </w:p>
    <w:p w:rsidR="001A26B0" w:rsidRDefault="00E33A99">
      <w:pPr>
        <w:pStyle w:val="Indented"/>
        <w:ind w:left="0"/>
        <w:jc w:val="both"/>
        <w:rPr>
          <w:rFonts w:ascii="Times New Roman" w:hAnsi="Times New Roman"/>
          <w:noProof/>
          <w:sz w:val="24"/>
          <w:szCs w:val="24"/>
        </w:rPr>
      </w:pPr>
      <w:r>
        <w:rPr>
          <w:rFonts w:ascii="Times New Roman" w:hAnsi="Times New Roman"/>
          <w:noProof/>
          <w:sz w:val="24"/>
          <w:szCs w:val="24"/>
        </w:rPr>
        <w:t>A literature review</w:t>
      </w:r>
      <w:r>
        <w:rPr>
          <w:rFonts w:ascii="Times New Roman" w:hAnsi="Times New Roman"/>
          <w:noProof/>
          <w:sz w:val="24"/>
          <w:szCs w:val="24"/>
          <w:vertAlign w:val="superscript"/>
        </w:rPr>
        <w:footnoteReference w:id="167"/>
      </w:r>
      <w:r>
        <w:rPr>
          <w:rFonts w:ascii="Times New Roman" w:hAnsi="Times New Roman"/>
          <w:noProof/>
          <w:sz w:val="24"/>
          <w:szCs w:val="24"/>
        </w:rPr>
        <w:t xml:space="preserve"> of recen</w:t>
      </w:r>
      <w:r>
        <w:rPr>
          <w:rFonts w:ascii="Times New Roman" w:hAnsi="Times New Roman"/>
          <w:noProof/>
          <w:sz w:val="24"/>
          <w:szCs w:val="24"/>
        </w:rPr>
        <w:t xml:space="preserve">t studies on employment impacts of a higher share of electrified powertrains confirms that the majority of studies conclude with positive impacts on employment. However, the review points out that the positive impacts on employment rely </w:t>
      </w:r>
      <w:r>
        <w:rPr>
          <w:rFonts w:ascii="Times New Roman" w:hAnsi="Times New Roman"/>
          <w:i/>
          <w:noProof/>
          <w:sz w:val="24"/>
          <w:szCs w:val="24"/>
        </w:rPr>
        <w:t>inter alia</w:t>
      </w:r>
      <w:r>
        <w:rPr>
          <w:rFonts w:ascii="Times New Roman" w:hAnsi="Times New Roman"/>
          <w:noProof/>
          <w:sz w:val="24"/>
          <w:szCs w:val="24"/>
        </w:rPr>
        <w:t xml:space="preserve"> on the a</w:t>
      </w:r>
      <w:r>
        <w:rPr>
          <w:rFonts w:ascii="Times New Roman" w:hAnsi="Times New Roman"/>
          <w:noProof/>
          <w:sz w:val="24"/>
          <w:szCs w:val="24"/>
        </w:rPr>
        <w:t xml:space="preserve">ssumption that the EU would retain its technological leadership also in the area of electrified powertrains. </w:t>
      </w:r>
    </w:p>
    <w:p w:rsidR="001A26B0" w:rsidRDefault="00E33A99">
      <w:pPr>
        <w:pStyle w:val="Indented"/>
        <w:ind w:left="0"/>
        <w:jc w:val="both"/>
        <w:rPr>
          <w:noProof/>
          <w:szCs w:val="24"/>
        </w:rPr>
      </w:pPr>
      <w:r>
        <w:rPr>
          <w:rFonts w:ascii="Times New Roman" w:hAnsi="Times New Roman"/>
          <w:noProof/>
          <w:sz w:val="24"/>
          <w:szCs w:val="24"/>
        </w:rPr>
        <w:t xml:space="preserve">A more detailed summary of the external studies on employment and qualifications is presented in Annex 7. </w:t>
      </w:r>
    </w:p>
    <w:p w:rsidR="001A26B0" w:rsidRDefault="00E33A99">
      <w:pPr>
        <w:spacing w:after="120"/>
        <w:rPr>
          <w:i/>
          <w:noProof/>
        </w:rPr>
      </w:pPr>
      <w:r>
        <w:rPr>
          <w:i/>
          <w:noProof/>
        </w:rPr>
        <w:t xml:space="preserve">Broader impacts on employment and qualification of workers </w:t>
      </w:r>
    </w:p>
    <w:p w:rsidR="001A26B0" w:rsidRDefault="00E33A99">
      <w:pPr>
        <w:pStyle w:val="Briefingspdef"/>
        <w:spacing w:after="120"/>
        <w:rPr>
          <w:noProof/>
        </w:rPr>
      </w:pPr>
      <w:r>
        <w:rPr>
          <w:noProof/>
        </w:rPr>
        <w:t>A higher share of electronic components will require different and additional skills compared to the skills needed for the development, manufacturing and maintaining of conventional powertrains ('</w:t>
      </w:r>
      <w:r>
        <w:rPr>
          <w:noProof/>
        </w:rPr>
        <w:t>reskilling'). At the components level, the assembly of electric engines is technically more complex compared to a conventional engine combined with a more important role for electronics and digitalisation. This will require better qualified people ('upskil</w:t>
      </w:r>
      <w:r>
        <w:rPr>
          <w:noProof/>
        </w:rPr>
        <w:t xml:space="preserve">ling'). The consequences for employment and qualification will be different for each actor in the automotive supply chain. It is expected that some parts of the value chain will shift from manufacturers to other parts of the supply chain and vice versa. </w:t>
      </w:r>
    </w:p>
    <w:p w:rsidR="001A26B0" w:rsidRDefault="00E33A99">
      <w:pPr>
        <w:pStyle w:val="Briefingspdef"/>
        <w:spacing w:after="120"/>
        <w:rPr>
          <w:noProof/>
        </w:rPr>
      </w:pPr>
      <w:r>
        <w:rPr>
          <w:noProof/>
        </w:rPr>
        <w:t>A</w:t>
      </w:r>
      <w:r>
        <w:rPr>
          <w:noProof/>
        </w:rPr>
        <w:t xml:space="preserve"> stakeholder meeting organised during the preparation of this impact assessment</w:t>
      </w:r>
      <w:r>
        <w:rPr>
          <w:rStyle w:val="FootnoteReference"/>
          <w:noProof/>
        </w:rPr>
        <w:footnoteReference w:id="168"/>
      </w:r>
      <w:r>
        <w:rPr>
          <w:noProof/>
        </w:rPr>
        <w:t xml:space="preserve"> was dedicated to better understand the potential social impacts of the transition to electrified powertrains. It brought together key results of recent studies as well as stak</w:t>
      </w:r>
      <w:r>
        <w:rPr>
          <w:noProof/>
        </w:rPr>
        <w:t>eholder views on how the uptake of low- and zero-emission vehicles may affect employment and skills (see Annex 2). It showed positive effects on total employment in the automotive sector and for the economy as a whole by 2030 also when penetration rates as</w:t>
      </w:r>
      <w:r>
        <w:rPr>
          <w:noProof/>
        </w:rPr>
        <w:t xml:space="preserve"> high as 40% BEV or FCEV and 30% PHEV were assumed.</w:t>
      </w:r>
      <w:r>
        <w:rPr>
          <w:rStyle w:val="FootnoteReference"/>
          <w:noProof/>
        </w:rPr>
        <w:footnoteReference w:id="169"/>
      </w:r>
      <w:r>
        <w:rPr>
          <w:noProof/>
        </w:rPr>
        <w:t xml:space="preserve"> However, the magnitude of the impacts on employment in particular in car manufacturing will depend on the scale and speed of other on-going transformative processes in the automotive industry, e.g. digit</w:t>
      </w:r>
      <w:r>
        <w:rPr>
          <w:noProof/>
        </w:rPr>
        <w:t>alisation, new business models such as car sharing will affect the sector.</w:t>
      </w:r>
      <w:r>
        <w:rPr>
          <w:rStyle w:val="FootnoteReference"/>
          <w:noProof/>
        </w:rPr>
        <w:footnoteReference w:id="170"/>
      </w:r>
      <w:r>
        <w:rPr>
          <w:noProof/>
        </w:rPr>
        <w:t xml:space="preserve"> </w:t>
      </w:r>
    </w:p>
    <w:p w:rsidR="001A26B0" w:rsidRDefault="00E33A99">
      <w:pPr>
        <w:pStyle w:val="Briefingspdef"/>
        <w:spacing w:after="120"/>
        <w:rPr>
          <w:noProof/>
        </w:rPr>
      </w:pPr>
      <w:r>
        <w:rPr>
          <w:noProof/>
        </w:rPr>
        <w:t>The adaptive capacity to cope with these changes varies across the automotive value chain both for companies and employees. SMEs that are highly specialised in certain elements of</w:t>
      </w:r>
      <w:r>
        <w:rPr>
          <w:noProof/>
        </w:rPr>
        <w:t xml:space="preserve"> conventional powertrains may need more time to identify and develop new business opportunities. Unqualified or low qualified workers may have more difficulties in acquiring the new skills and qualifications needed. Similarly, regions with industry cluster</w:t>
      </w:r>
      <w:r>
        <w:rPr>
          <w:noProof/>
        </w:rPr>
        <w:t>s built around conventional powertrains or with a strong refining industry may be more negatively affected.</w:t>
      </w:r>
    </w:p>
    <w:p w:rsidR="001A26B0" w:rsidRDefault="00E33A99">
      <w:pPr>
        <w:pStyle w:val="Briefingspdef"/>
        <w:spacing w:after="120"/>
        <w:rPr>
          <w:noProof/>
        </w:rPr>
      </w:pPr>
      <w:r>
        <w:rPr>
          <w:noProof/>
        </w:rPr>
        <w:t>However, the challenges and opportunities in particular for SMEs will be influenced by the speed of the transition to low- and zero-emission vehicle</w:t>
      </w:r>
      <w:r>
        <w:rPr>
          <w:noProof/>
        </w:rPr>
        <w:t>s. While the policy options considered will require different transition speeds, all of them would only lead to a gradual transition and not disruptive technological change. In all scenarios  by 2030, conventional powertrains, either as stand-alone or as h</w:t>
      </w:r>
      <w:r>
        <w:rPr>
          <w:noProof/>
        </w:rPr>
        <w:t>ybrid technologies, will still be fitted in the majority of new vehicles and therefore continue to play a key role. This will provide also highly specialised SMEs and their employees with flexibility to adjust to new technologies and enter new markets whil</w:t>
      </w:r>
      <w:r>
        <w:rPr>
          <w:noProof/>
        </w:rPr>
        <w:t xml:space="preserve">e still benefitting from their strengths in incumbent technologies. </w:t>
      </w:r>
    </w:p>
    <w:p w:rsidR="001A26B0" w:rsidRDefault="00E33A99">
      <w:pPr>
        <w:spacing w:after="120"/>
        <w:rPr>
          <w:noProof/>
        </w:rPr>
      </w:pPr>
      <w:r>
        <w:rPr>
          <w:noProof/>
        </w:rPr>
        <w:t>Independently from the uptake of alternative powertrains, the automotive industry – as all other sectors – will be faced with fundamental changes in labour markets. Demographic changes wi</w:t>
      </w:r>
      <w:r>
        <w:rPr>
          <w:noProof/>
        </w:rPr>
        <w:t>ll significantly reduce the labour force potential until 2030 and beyond. According to the 2015 Ageing Report</w:t>
      </w:r>
      <w:r>
        <w:rPr>
          <w:rStyle w:val="FootnoteReference"/>
          <w:noProof/>
        </w:rPr>
        <w:footnoteReference w:id="171"/>
      </w:r>
      <w:r>
        <w:rPr>
          <w:noProof/>
        </w:rPr>
        <w:t>, total labour supply in the EU28 is projected to almost stabilise between 2013 and 2023, while it is expected to decline by 8.2% between 2023 and</w:t>
      </w:r>
      <w:r>
        <w:rPr>
          <w:noProof/>
        </w:rPr>
        <w:t xml:space="preserve"> 2060, equivalent to roughly 19 million people. As a result, the automotive sector may be faced with a shortage of qualified employees.</w:t>
      </w:r>
      <w:r>
        <w:rPr>
          <w:rStyle w:val="FootnoteReference"/>
          <w:noProof/>
        </w:rPr>
        <w:t xml:space="preserve"> </w:t>
      </w:r>
      <w:r>
        <w:rPr>
          <w:noProof/>
        </w:rPr>
        <w:t>Against these labour market issues in the EU it was suggested that less labour intensive technologies such as BEVs could</w:t>
      </w:r>
      <w:r>
        <w:rPr>
          <w:noProof/>
        </w:rPr>
        <w:t xml:space="preserve"> indeed improve the EU's competitiveness</w:t>
      </w:r>
      <w:r>
        <w:rPr>
          <w:rStyle w:val="FootnoteReference"/>
          <w:noProof/>
        </w:rPr>
        <w:footnoteReference w:id="172"/>
      </w:r>
      <w:r>
        <w:rPr>
          <w:noProof/>
        </w:rPr>
        <w:t>.</w:t>
      </w:r>
    </w:p>
    <w:p w:rsidR="001A26B0" w:rsidRDefault="00E33A99">
      <w:pPr>
        <w:spacing w:after="120"/>
        <w:rPr>
          <w:noProof/>
        </w:rPr>
      </w:pPr>
      <w:r>
        <w:rPr>
          <w:noProof/>
        </w:rPr>
        <w:t>A number of measures have been identified on how to allow the workforce to adapt to the new qualification needs and to make the transition socially fair</w:t>
      </w:r>
      <w:r>
        <w:rPr>
          <w:rStyle w:val="FootnoteReference"/>
          <w:noProof/>
        </w:rPr>
        <w:footnoteReference w:id="173"/>
      </w:r>
      <w:r>
        <w:rPr>
          <w:noProof/>
        </w:rPr>
        <w:t>. Possible actions include industrial collaboration, buildin</w:t>
      </w:r>
      <w:r>
        <w:rPr>
          <w:noProof/>
        </w:rPr>
        <w:t xml:space="preserve">g new value chains, creating social dialogue, supporting the employability and retraining of workers / lifelong learning, stimulating entrepreneurship and creating new job opportunities in the circular economy. </w:t>
      </w:r>
    </w:p>
    <w:p w:rsidR="001A26B0" w:rsidRDefault="00E33A99">
      <w:pPr>
        <w:spacing w:after="120"/>
        <w:rPr>
          <w:noProof/>
        </w:rPr>
      </w:pPr>
      <w:r>
        <w:rPr>
          <w:noProof/>
        </w:rPr>
        <w:t>For this reason, as part of the High Level G</w:t>
      </w:r>
      <w:r>
        <w:rPr>
          <w:noProof/>
        </w:rPr>
        <w:t>roup for the automotive industry GEAR 2030</w:t>
      </w:r>
      <w:r>
        <w:rPr>
          <w:rStyle w:val="FootnoteReference"/>
          <w:noProof/>
        </w:rPr>
        <w:footnoteReference w:id="174"/>
      </w:r>
      <w:r>
        <w:rPr>
          <w:noProof/>
        </w:rPr>
        <w:t xml:space="preserve"> a "Human Capital" Project Team was established to “identify the impact on employment in the EU, prepare approaches for mitigating possible negative consequences and develop a strategy for ensuring that the necess</w:t>
      </w:r>
      <w:r>
        <w:rPr>
          <w:noProof/>
        </w:rPr>
        <w:t>ary skills will be available in 2030” for the EU automotive industry. The Project Team assessed the landscape of existing initiatives across the EU, looked at what trends will impact the sector up to 2030. Specifically, it investigated the skills and human</w:t>
      </w:r>
      <w:r>
        <w:rPr>
          <w:noProof/>
        </w:rPr>
        <w:t xml:space="preserve"> capital needs and concluded with specific recommendations on EU and Member State actions on developing digital skills and supporting (re-)qualification programmes.</w:t>
      </w:r>
    </w:p>
    <w:p w:rsidR="001A26B0" w:rsidRDefault="00E33A99">
      <w:pPr>
        <w:spacing w:after="120"/>
        <w:rPr>
          <w:noProof/>
        </w:rPr>
      </w:pPr>
      <w:r>
        <w:rPr>
          <w:noProof/>
        </w:rPr>
        <w:t>In addition, the Commission's Blueprint-initiative</w:t>
      </w:r>
      <w:r>
        <w:rPr>
          <w:rStyle w:val="FootnoteReference"/>
          <w:noProof/>
        </w:rPr>
        <w:footnoteReference w:id="175"/>
      </w:r>
      <w:r>
        <w:rPr>
          <w:noProof/>
        </w:rPr>
        <w:t xml:space="preserve"> launched in May 2017 includes the autom</w:t>
      </w:r>
      <w:r>
        <w:rPr>
          <w:noProof/>
        </w:rPr>
        <w:t>otive sector as one of the sectors targeted. It offers the possibility for project applications to bring together key stakeholders from the social partners to identify qualification / skills challenges combined with the roll-out of tailored strategies at n</w:t>
      </w:r>
      <w:r>
        <w:rPr>
          <w:noProof/>
        </w:rPr>
        <w:t xml:space="preserve">ational/regional level to address these challenges.  </w:t>
      </w:r>
    </w:p>
    <w:p w:rsidR="001A26B0" w:rsidRDefault="00E33A99">
      <w:pPr>
        <w:pStyle w:val="Heading4"/>
        <w:rPr>
          <w:noProof/>
        </w:rPr>
      </w:pPr>
      <w:bookmarkStart w:id="347" w:name="_Toc496635615"/>
      <w:r>
        <w:rPr>
          <w:noProof/>
        </w:rPr>
        <w:t>Social Impacts</w:t>
      </w:r>
      <w:bookmarkEnd w:id="347"/>
    </w:p>
    <w:p w:rsidR="001A26B0" w:rsidRDefault="00E33A99">
      <w:pPr>
        <w:spacing w:after="120"/>
        <w:rPr>
          <w:noProof/>
          <w:szCs w:val="24"/>
        </w:rPr>
      </w:pPr>
      <w:r>
        <w:rPr>
          <w:noProof/>
          <w:szCs w:val="24"/>
        </w:rPr>
        <w:t>A first element considered as regards social impacts is whether and to what extent the EU-wide CO</w:t>
      </w:r>
      <w:r>
        <w:rPr>
          <w:noProof/>
          <w:szCs w:val="24"/>
          <w:vertAlign w:val="subscript"/>
        </w:rPr>
        <w:t>2</w:t>
      </w:r>
      <w:r>
        <w:rPr>
          <w:noProof/>
          <w:szCs w:val="24"/>
        </w:rPr>
        <w:t xml:space="preserve"> fleet targets affect different population groups differentiated according to income groups.</w:t>
      </w:r>
    </w:p>
    <w:p w:rsidR="001A26B0" w:rsidRDefault="00E33A99">
      <w:pPr>
        <w:spacing w:after="120"/>
        <w:rPr>
          <w:rFonts w:eastAsiaTheme="minorHAnsi"/>
          <w:noProof/>
          <w:color w:val="000000"/>
          <w:szCs w:val="24"/>
        </w:rPr>
      </w:pPr>
      <w:r>
        <w:rPr>
          <w:noProof/>
          <w:szCs w:val="24"/>
        </w:rPr>
        <w:t>A study</w:t>
      </w:r>
      <w:r>
        <w:rPr>
          <w:rStyle w:val="FootnoteReference"/>
          <w:noProof/>
          <w:szCs w:val="24"/>
        </w:rPr>
        <w:footnoteReference w:id="176"/>
      </w:r>
      <w:r>
        <w:rPr>
          <w:noProof/>
          <w:szCs w:val="24"/>
        </w:rPr>
        <w:t xml:space="preserve"> looking at the dynamics of the used car market and the distribution of costs and benefits of the EU legislation on CO</w:t>
      </w:r>
      <w:r>
        <w:rPr>
          <w:noProof/>
          <w:szCs w:val="24"/>
          <w:vertAlign w:val="subscript"/>
        </w:rPr>
        <w:t>2</w:t>
      </w:r>
      <w:r>
        <w:rPr>
          <w:noProof/>
          <w:szCs w:val="24"/>
        </w:rPr>
        <w:t xml:space="preserve"> emission standards for LDV confirme</w:t>
      </w:r>
      <w:r>
        <w:rPr>
          <w:noProof/>
          <w:szCs w:val="24"/>
        </w:rPr>
        <w:t xml:space="preserve">d that </w:t>
      </w:r>
      <w:r>
        <w:rPr>
          <w:rFonts w:eastAsiaTheme="minorHAnsi"/>
          <w:noProof/>
          <w:color w:val="000000"/>
          <w:szCs w:val="24"/>
        </w:rPr>
        <w:t xml:space="preserve">used vehicles are far more important for lower income groups and showed that used vehicles tend to be older among lower income groups. </w:t>
      </w:r>
    </w:p>
    <w:p w:rsidR="001A26B0" w:rsidRDefault="00E33A99">
      <w:pPr>
        <w:spacing w:after="120"/>
        <w:rPr>
          <w:rFonts w:eastAsiaTheme="minorHAnsi"/>
          <w:noProof/>
          <w:color w:val="000000"/>
          <w:szCs w:val="24"/>
        </w:rPr>
      </w:pPr>
      <w:r>
        <w:rPr>
          <w:rFonts w:eastAsiaTheme="minorHAnsi"/>
          <w:noProof/>
          <w:color w:val="000000"/>
          <w:szCs w:val="24"/>
        </w:rPr>
        <w:t xml:space="preserve">The study </w:t>
      </w:r>
      <w:r>
        <w:rPr>
          <w:noProof/>
          <w:szCs w:val="24"/>
        </w:rPr>
        <w:t xml:space="preserve">identified </w:t>
      </w:r>
      <w:r>
        <w:rPr>
          <w:rFonts w:eastAsiaTheme="minorHAnsi"/>
          <w:noProof/>
          <w:szCs w:val="24"/>
        </w:rPr>
        <w:t>a correlation between the fuel efficiency of a vehicle and its purchase price on the used ve</w:t>
      </w:r>
      <w:r>
        <w:rPr>
          <w:rFonts w:eastAsiaTheme="minorHAnsi"/>
          <w:noProof/>
          <w:szCs w:val="24"/>
        </w:rPr>
        <w:t>hicle market. Reduced CO</w:t>
      </w:r>
      <w:r>
        <w:rPr>
          <w:rFonts w:eastAsiaTheme="minorHAnsi"/>
          <w:noProof/>
          <w:szCs w:val="24"/>
          <w:vertAlign w:val="subscript"/>
        </w:rPr>
        <w:t>2</w:t>
      </w:r>
      <w:r>
        <w:rPr>
          <w:rFonts w:eastAsiaTheme="minorHAnsi"/>
          <w:noProof/>
          <w:szCs w:val="24"/>
        </w:rPr>
        <w:t xml:space="preserve"> emissions were found to have a positive effect on the value of a passenger car on the second hand market of around 22 EUR per gram CO</w:t>
      </w:r>
      <w:r>
        <w:rPr>
          <w:rFonts w:eastAsiaTheme="minorHAnsi"/>
          <w:noProof/>
          <w:szCs w:val="24"/>
          <w:vertAlign w:val="subscript"/>
        </w:rPr>
        <w:t>2</w:t>
      </w:r>
      <w:r>
        <w:rPr>
          <w:rFonts w:eastAsiaTheme="minorHAnsi"/>
          <w:noProof/>
          <w:szCs w:val="24"/>
        </w:rPr>
        <w:t xml:space="preserve"> per km. This means that the lower the CO</w:t>
      </w:r>
      <w:r>
        <w:rPr>
          <w:rFonts w:eastAsiaTheme="minorHAnsi"/>
          <w:noProof/>
          <w:szCs w:val="24"/>
          <w:vertAlign w:val="subscript"/>
        </w:rPr>
        <w:t>2</w:t>
      </w:r>
      <w:r>
        <w:rPr>
          <w:rFonts w:eastAsiaTheme="minorHAnsi"/>
          <w:noProof/>
          <w:szCs w:val="24"/>
        </w:rPr>
        <w:t xml:space="preserve"> emissions of a used car, the higher the price an owne</w:t>
      </w:r>
      <w:r>
        <w:rPr>
          <w:rFonts w:eastAsiaTheme="minorHAnsi"/>
          <w:noProof/>
          <w:szCs w:val="24"/>
        </w:rPr>
        <w:t xml:space="preserve">r can ask for when selling its used car. This price </w:t>
      </w:r>
      <w:r>
        <w:rPr>
          <w:rFonts w:eastAsiaTheme="minorHAnsi"/>
          <w:noProof/>
          <w:color w:val="000000"/>
          <w:szCs w:val="24"/>
        </w:rPr>
        <w:t xml:space="preserve">premium is passed on between subsequent car owners and increases with the sequence of owners. There is progressive pricing of fuel efficiency with increasing vehicle age. </w:t>
      </w:r>
    </w:p>
    <w:p w:rsidR="001A26B0" w:rsidRDefault="00E33A99">
      <w:pPr>
        <w:spacing w:after="120"/>
        <w:rPr>
          <w:rFonts w:eastAsiaTheme="minorHAnsi"/>
          <w:noProof/>
          <w:color w:val="000000"/>
          <w:szCs w:val="24"/>
        </w:rPr>
      </w:pPr>
      <w:r>
        <w:rPr>
          <w:rFonts w:eastAsiaTheme="minorHAnsi"/>
          <w:noProof/>
          <w:color w:val="000000"/>
          <w:szCs w:val="24"/>
        </w:rPr>
        <w:t>Due to the socio-economic proper</w:t>
      </w:r>
      <w:r>
        <w:rPr>
          <w:rFonts w:eastAsiaTheme="minorHAnsi"/>
          <w:noProof/>
          <w:color w:val="000000"/>
          <w:szCs w:val="24"/>
        </w:rPr>
        <w:t xml:space="preserve">ties of the used vehicle market, this in turn causes a redistribution of the benefits of fuel efficiency measures towards the lower income groups and, consequently, towards regions where a larger share of the population belongs to those income groups.  </w:t>
      </w:r>
    </w:p>
    <w:p w:rsidR="001A26B0" w:rsidRDefault="00E33A99">
      <w:pPr>
        <w:spacing w:after="120"/>
        <w:rPr>
          <w:noProof/>
        </w:rPr>
      </w:pPr>
      <w:r>
        <w:rPr>
          <w:noProof/>
        </w:rPr>
        <w:t>In</w:t>
      </w:r>
      <w:r>
        <w:rPr>
          <w:noProof/>
        </w:rPr>
        <w:t xml:space="preserve"> view of this, the quantitative assessment of the options for the fleet-wide CO</w:t>
      </w:r>
      <w:r>
        <w:rPr>
          <w:noProof/>
          <w:vertAlign w:val="subscript"/>
        </w:rPr>
        <w:t>2</w:t>
      </w:r>
      <w:r>
        <w:rPr>
          <w:noProof/>
        </w:rPr>
        <w:t xml:space="preserve"> targets for new vehicles looked also at the total cost of ownership for the second users. This parameter reflects the difference </w:t>
      </w:r>
      <w:r>
        <w:rPr>
          <w:noProof/>
          <w:szCs w:val="24"/>
        </w:rPr>
        <w:t>between a policy scenario and the baseline</w:t>
      </w:r>
      <w:r>
        <w:rPr>
          <w:noProof/>
        </w:rPr>
        <w:t xml:space="preserve"> in </w:t>
      </w:r>
      <w:r>
        <w:rPr>
          <w:rFonts w:eastAsiaTheme="minorHAnsi"/>
          <w:noProof/>
          <w:color w:val="000000"/>
          <w:szCs w:val="24"/>
        </w:rPr>
        <w:t>the capital costs, O&amp;M costs and fuel cost savings</w:t>
      </w:r>
      <w:r>
        <w:rPr>
          <w:noProof/>
        </w:rPr>
        <w:t xml:space="preserve">, during the </w:t>
      </w:r>
      <w:r>
        <w:rPr>
          <w:noProof/>
          <w:szCs w:val="24"/>
        </w:rPr>
        <w:t>sixth to tenth year of use of a vehicle registered in 2025 or 2030</w:t>
      </w:r>
      <w:r>
        <w:rPr>
          <w:noProof/>
        </w:rPr>
        <w:t xml:space="preserve">. </w:t>
      </w:r>
    </w:p>
    <w:p w:rsidR="001A26B0" w:rsidRDefault="00E33A99">
      <w:pPr>
        <w:spacing w:after="120"/>
        <w:rPr>
          <w:noProof/>
        </w:rPr>
      </w:pPr>
      <w:r>
        <w:rPr>
          <w:noProof/>
        </w:rPr>
        <w:t xml:space="preserve">As for the TCO for the first user (see Section 6.3.2.2.2.3), taxes are included and a discount rate of 11% </w:t>
      </w:r>
      <w:bookmarkStart w:id="348" w:name="_Ref491957416"/>
      <w:r>
        <w:rPr>
          <w:noProof/>
        </w:rPr>
        <w:t xml:space="preserve">for cars or 9.5% </w:t>
      </w:r>
      <w:r>
        <w:rPr>
          <w:noProof/>
        </w:rPr>
        <w:t>for vans is used and the calculation takes account of the residual value of the vehicle (and the technology added) with depreciation</w:t>
      </w:r>
    </w:p>
    <w:p w:rsidR="001A26B0" w:rsidRDefault="00E33A99">
      <w:pPr>
        <w:pStyle w:val="Heading5"/>
        <w:rPr>
          <w:noProof/>
        </w:rPr>
      </w:pPr>
      <w:r>
        <w:rPr>
          <w:noProof/>
        </w:rPr>
        <w:t>TCO for second user - passenger cars (TLC)</w:t>
      </w:r>
      <w:bookmarkEnd w:id="348"/>
      <w:r>
        <w:rPr>
          <w:noProof/>
        </w:rPr>
        <w:t xml:space="preserve"> </w:t>
      </w:r>
    </w:p>
    <w:p w:rsidR="001A26B0" w:rsidRDefault="00E33A99">
      <w:pPr>
        <w:spacing w:after="120"/>
        <w:rPr>
          <w:noProof/>
          <w:szCs w:val="24"/>
        </w:rPr>
      </w:pPr>
      <w:r>
        <w:rPr>
          <w:noProof/>
          <w:szCs w:val="24"/>
        </w:rPr>
        <w:t xml:space="preserve">The results of the analysis </w:t>
      </w:r>
      <w:r>
        <w:rPr>
          <w:noProof/>
        </w:rPr>
        <w:t>of the TCO for the second user</w:t>
      </w:r>
      <w:r>
        <w:rPr>
          <w:noProof/>
          <w:szCs w:val="24"/>
        </w:rPr>
        <w:t xml:space="preserve"> are summarised in </w:t>
      </w:r>
      <w:r>
        <w:rPr>
          <w:noProof/>
          <w:szCs w:val="24"/>
        </w:rPr>
        <w:fldChar w:fldCharType="begin"/>
      </w:r>
      <w:r>
        <w:rPr>
          <w:noProof/>
          <w:szCs w:val="24"/>
        </w:rPr>
        <w:instrText xml:space="preserve"> R</w:instrText>
      </w:r>
      <w:r>
        <w:rPr>
          <w:noProof/>
          <w:szCs w:val="24"/>
        </w:rPr>
        <w:instrText xml:space="preserve">EF _Ref493775319 \h </w:instrText>
      </w:r>
      <w:r>
        <w:rPr>
          <w:noProof/>
          <w:szCs w:val="24"/>
        </w:rPr>
      </w:r>
      <w:r>
        <w:rPr>
          <w:noProof/>
          <w:szCs w:val="24"/>
        </w:rPr>
        <w:fldChar w:fldCharType="separate"/>
      </w:r>
      <w:r>
        <w:rPr>
          <w:noProof/>
        </w:rPr>
        <w:t>Figure 22</w:t>
      </w:r>
      <w:r>
        <w:rPr>
          <w:noProof/>
          <w:szCs w:val="24"/>
        </w:rPr>
        <w:fldChar w:fldCharType="end"/>
      </w:r>
      <w:r>
        <w:rPr>
          <w:noProof/>
          <w:szCs w:val="24"/>
        </w:rPr>
        <w:t xml:space="preserve">. </w:t>
      </w:r>
      <w:bookmarkStart w:id="349" w:name="_Ref493270052"/>
      <w:r>
        <w:rPr>
          <w:noProof/>
          <w:szCs w:val="24"/>
        </w:rPr>
        <w:t xml:space="preserve">Compared to the first user, the second user will benefit from higher net savings under all options and in both years. The highest net savings are found under </w:t>
      </w:r>
      <w:r>
        <w:rPr>
          <w:noProof/>
          <w:szCs w:val="24"/>
        </w:rPr>
        <w:t>options TLC40 and TLC_EP40.</w:t>
      </w:r>
    </w:p>
    <w:p w:rsidR="001A26B0" w:rsidRDefault="00E33A99">
      <w:pPr>
        <w:pStyle w:val="Caption"/>
        <w:keepNext/>
        <w:rPr>
          <w:noProof/>
        </w:rPr>
      </w:pPr>
      <w:bookmarkStart w:id="350" w:name="_Ref493775319"/>
      <w:bookmarkStart w:id="351" w:name="_Toc496688568"/>
      <w:r>
        <w:rPr>
          <w:noProof/>
        </w:rPr>
        <w:t xml:space="preserve">Figure </w:t>
      </w:r>
      <w:r>
        <w:rPr>
          <w:noProof/>
        </w:rPr>
        <w:fldChar w:fldCharType="begin"/>
      </w:r>
      <w:r>
        <w:rPr>
          <w:noProof/>
        </w:rPr>
        <w:instrText xml:space="preserve"> SEQ Figure \* ARABIC </w:instrText>
      </w:r>
      <w:r>
        <w:rPr>
          <w:noProof/>
        </w:rPr>
        <w:fldChar w:fldCharType="separate"/>
      </w:r>
      <w:r>
        <w:rPr>
          <w:noProof/>
        </w:rPr>
        <w:t>22</w:t>
      </w:r>
      <w:r>
        <w:rPr>
          <w:noProof/>
        </w:rPr>
        <w:fldChar w:fldCharType="end"/>
      </w:r>
      <w:bookmarkEnd w:id="349"/>
      <w:bookmarkEnd w:id="350"/>
      <w:r>
        <w:rPr>
          <w:noProof/>
        </w:rPr>
        <w:t>: TCO-second user (years 6-10) (EUR/car) – 2025 and 2030</w:t>
      </w:r>
      <w:bookmarkEnd w:id="351"/>
    </w:p>
    <w:p w:rsidR="001A26B0" w:rsidRDefault="00E33A99">
      <w:pPr>
        <w:tabs>
          <w:tab w:val="left" w:pos="1835"/>
          <w:tab w:val="left" w:pos="2982"/>
          <w:tab w:val="left" w:pos="4260"/>
          <w:tab w:val="left" w:pos="5419"/>
          <w:tab w:val="left" w:pos="6589"/>
          <w:tab w:val="left" w:pos="8072"/>
        </w:tabs>
        <w:spacing w:after="60" w:line="276" w:lineRule="auto"/>
        <w:jc w:val="center"/>
        <w:rPr>
          <w:i/>
          <w:noProof/>
        </w:rPr>
      </w:pPr>
      <w:r>
        <w:rPr>
          <w:i/>
          <w:noProof/>
          <w:lang w:eastAsia="en-GB"/>
        </w:rPr>
        <w:drawing>
          <wp:inline distT="0" distB="0" distL="0" distR="0">
            <wp:extent cx="3810000" cy="29995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10000" cy="2999562"/>
                    </a:xfrm>
                    <a:prstGeom prst="rect">
                      <a:avLst/>
                    </a:prstGeom>
                    <a:noFill/>
                  </pic:spPr>
                </pic:pic>
              </a:graphicData>
            </a:graphic>
          </wp:inline>
        </w:drawing>
      </w:r>
    </w:p>
    <w:p w:rsidR="001A26B0" w:rsidRDefault="00E33A99">
      <w:pPr>
        <w:spacing w:before="240" w:after="120"/>
        <w:rPr>
          <w:noProof/>
        </w:rPr>
      </w:pPr>
      <w:r>
        <w:rPr>
          <w:noProof/>
        </w:rPr>
        <w:t>The results of the sensitivity regarding the effect of varying cost assumptions are given in Annex 8.</w:t>
      </w:r>
    </w:p>
    <w:p w:rsidR="001A26B0" w:rsidRDefault="00E33A99">
      <w:pPr>
        <w:spacing w:after="200" w:line="276" w:lineRule="auto"/>
        <w:jc w:val="left"/>
        <w:rPr>
          <w:noProof/>
        </w:rPr>
      </w:pPr>
      <w:bookmarkStart w:id="352" w:name="_Ref493689519"/>
      <w:r>
        <w:rPr>
          <w:noProof/>
        </w:rPr>
        <w:br w:type="page"/>
      </w:r>
    </w:p>
    <w:p w:rsidR="001A26B0" w:rsidRDefault="00E33A99">
      <w:pPr>
        <w:pStyle w:val="Heading5"/>
        <w:rPr>
          <w:noProof/>
        </w:rPr>
      </w:pPr>
      <w:r>
        <w:rPr>
          <w:noProof/>
        </w:rPr>
        <w:t xml:space="preserve">TCO for second user - vans </w:t>
      </w:r>
      <w:r>
        <w:rPr>
          <w:noProof/>
        </w:rPr>
        <w:t>(TLV)</w:t>
      </w:r>
      <w:bookmarkEnd w:id="352"/>
    </w:p>
    <w:p w:rsidR="001A26B0" w:rsidRDefault="00E33A99">
      <w:pPr>
        <w:spacing w:after="120"/>
        <w:rPr>
          <w:noProof/>
          <w:color w:val="000000" w:themeColor="text1"/>
          <w:szCs w:val="24"/>
        </w:rPr>
      </w:pPr>
      <w:r>
        <w:rPr>
          <w:noProof/>
          <w:color w:val="000000" w:themeColor="text1"/>
        </w:rPr>
        <w:fldChar w:fldCharType="begin"/>
      </w:r>
      <w:r>
        <w:rPr>
          <w:noProof/>
          <w:color w:val="000000" w:themeColor="text1"/>
        </w:rPr>
        <w:instrText xml:space="preserve"> REF _Ref493587195  \* MERGEFORMAT </w:instrText>
      </w:r>
      <w:r>
        <w:rPr>
          <w:noProof/>
          <w:color w:val="000000" w:themeColor="text1"/>
        </w:rPr>
        <w:fldChar w:fldCharType="separate"/>
      </w:r>
      <w:r>
        <w:rPr>
          <w:noProof/>
        </w:rPr>
        <w:t>Figure 23</w:t>
      </w:r>
      <w:r>
        <w:rPr>
          <w:noProof/>
          <w:color w:val="000000" w:themeColor="text1"/>
        </w:rPr>
        <w:fldChar w:fldCharType="end"/>
      </w:r>
      <w:r>
        <w:rPr>
          <w:noProof/>
          <w:color w:val="000000" w:themeColor="text1"/>
        </w:rPr>
        <w:t xml:space="preserve"> </w:t>
      </w:r>
      <w:r>
        <w:rPr>
          <w:noProof/>
          <w:color w:val="000000" w:themeColor="text1"/>
          <w:szCs w:val="24"/>
        </w:rPr>
        <w:t xml:space="preserve">shows the net savings from a second end-user perspective for an average new van registered in 2025 and in 2030 under the different options (expressed as the difference with the baseline). </w:t>
      </w:r>
    </w:p>
    <w:p w:rsidR="001A26B0" w:rsidRDefault="00E33A99">
      <w:pPr>
        <w:spacing w:after="120"/>
        <w:rPr>
          <w:rFonts w:eastAsiaTheme="minorHAnsi"/>
          <w:noProof/>
          <w:color w:val="000000" w:themeColor="text1"/>
          <w:szCs w:val="24"/>
        </w:rPr>
      </w:pPr>
      <w:r>
        <w:rPr>
          <w:noProof/>
          <w:color w:val="000000" w:themeColor="text1"/>
          <w:szCs w:val="24"/>
        </w:rPr>
        <w:t>There are net</w:t>
      </w:r>
      <w:r>
        <w:rPr>
          <w:noProof/>
          <w:color w:val="000000" w:themeColor="text1"/>
          <w:szCs w:val="24"/>
        </w:rPr>
        <w:t xml:space="preserve"> savings for the second user under all options, and the highest savings are achieved under option TLV_EP40 in 2025 and under options TLV40 and TVL_EP50 in 2030. However, the second user savings for vans are lower than</w:t>
      </w:r>
      <w:r>
        <w:rPr>
          <w:rFonts w:eastAsiaTheme="minorHAnsi"/>
          <w:noProof/>
          <w:color w:val="000000" w:themeColor="text1"/>
          <w:szCs w:val="24"/>
        </w:rPr>
        <w:t xml:space="preserve"> for the first user </w:t>
      </w:r>
      <w:r>
        <w:rPr>
          <w:noProof/>
          <w:color w:val="000000" w:themeColor="text1"/>
          <w:szCs w:val="24"/>
        </w:rPr>
        <w:t>(see Section 6.3.2.</w:t>
      </w:r>
      <w:r>
        <w:rPr>
          <w:noProof/>
          <w:color w:val="000000" w:themeColor="text1"/>
          <w:szCs w:val="24"/>
        </w:rPr>
        <w:t xml:space="preserve">2.2). </w:t>
      </w:r>
    </w:p>
    <w:p w:rsidR="001A26B0" w:rsidRDefault="00E33A99">
      <w:pPr>
        <w:pStyle w:val="Heading6"/>
        <w:keepNext/>
        <w:numPr>
          <w:ilvl w:val="0"/>
          <w:numId w:val="0"/>
        </w:numPr>
        <w:spacing w:before="240"/>
        <w:rPr>
          <w:b/>
          <w:i w:val="0"/>
          <w:noProof/>
        </w:rPr>
      </w:pPr>
      <w:bookmarkStart w:id="353" w:name="_Ref493587195"/>
      <w:bookmarkStart w:id="354" w:name="_Toc496688569"/>
      <w:r>
        <w:rPr>
          <w:b/>
          <w:i w:val="0"/>
          <w:noProof/>
        </w:rPr>
        <w:t xml:space="preserve">Figure </w:t>
      </w:r>
      <w:r>
        <w:rPr>
          <w:b/>
          <w:i w:val="0"/>
          <w:noProof/>
        </w:rPr>
        <w:fldChar w:fldCharType="begin"/>
      </w:r>
      <w:r>
        <w:rPr>
          <w:b/>
          <w:i w:val="0"/>
          <w:noProof/>
        </w:rPr>
        <w:instrText xml:space="preserve"> SEQ Figure \* ARABIC </w:instrText>
      </w:r>
      <w:r>
        <w:rPr>
          <w:b/>
          <w:i w:val="0"/>
          <w:noProof/>
        </w:rPr>
        <w:fldChar w:fldCharType="separate"/>
      </w:r>
      <w:r>
        <w:rPr>
          <w:b/>
          <w:i w:val="0"/>
          <w:noProof/>
        </w:rPr>
        <w:t>23</w:t>
      </w:r>
      <w:r>
        <w:rPr>
          <w:b/>
          <w:i w:val="0"/>
          <w:noProof/>
        </w:rPr>
        <w:fldChar w:fldCharType="end"/>
      </w:r>
      <w:bookmarkEnd w:id="353"/>
      <w:r>
        <w:rPr>
          <w:b/>
          <w:i w:val="0"/>
          <w:noProof/>
        </w:rPr>
        <w:t>:  TCO-second user (years 6-10) (EUR/van) – 2025 and 2030</w:t>
      </w:r>
      <w:bookmarkEnd w:id="354"/>
    </w:p>
    <w:p w:rsidR="001A26B0" w:rsidRDefault="00E33A99">
      <w:pPr>
        <w:tabs>
          <w:tab w:val="left" w:pos="1835"/>
          <w:tab w:val="left" w:pos="2982"/>
          <w:tab w:val="left" w:pos="4260"/>
          <w:tab w:val="left" w:pos="5419"/>
          <w:tab w:val="left" w:pos="6589"/>
          <w:tab w:val="left" w:pos="8072"/>
        </w:tabs>
        <w:spacing w:after="60" w:line="276" w:lineRule="auto"/>
        <w:jc w:val="center"/>
        <w:rPr>
          <w:i/>
          <w:noProof/>
        </w:rPr>
      </w:pPr>
      <w:r>
        <w:rPr>
          <w:i/>
          <w:noProof/>
          <w:lang w:eastAsia="en-GB"/>
        </w:rPr>
        <w:drawing>
          <wp:inline distT="0" distB="0" distL="0" distR="0">
            <wp:extent cx="3810000" cy="299956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10000" cy="2999562"/>
                    </a:xfrm>
                    <a:prstGeom prst="rect">
                      <a:avLst/>
                    </a:prstGeom>
                    <a:noFill/>
                  </pic:spPr>
                </pic:pic>
              </a:graphicData>
            </a:graphic>
          </wp:inline>
        </w:drawing>
      </w:r>
    </w:p>
    <w:p w:rsidR="001A26B0" w:rsidRDefault="00E33A99">
      <w:pPr>
        <w:spacing w:before="240" w:after="120"/>
        <w:rPr>
          <w:noProof/>
        </w:rPr>
      </w:pPr>
      <w:r>
        <w:rPr>
          <w:noProof/>
        </w:rPr>
        <w:t>The results of the sensitivity regarding the effect of varying cost assumptions are given in Annex 8.</w:t>
      </w:r>
    </w:p>
    <w:p w:rsidR="001A26B0" w:rsidRDefault="00E33A99">
      <w:pPr>
        <w:pStyle w:val="Heading4"/>
        <w:rPr>
          <w:noProof/>
        </w:rPr>
      </w:pPr>
      <w:bookmarkStart w:id="355" w:name="_Toc494098657"/>
      <w:bookmarkStart w:id="356" w:name="_Toc493623275"/>
      <w:bookmarkStart w:id="357" w:name="_Toc493689247"/>
      <w:bookmarkStart w:id="358" w:name="_Toc493689357"/>
      <w:bookmarkStart w:id="359" w:name="_Toc493689469"/>
      <w:bookmarkStart w:id="360" w:name="_Toc493623276"/>
      <w:bookmarkStart w:id="361" w:name="_Toc493689248"/>
      <w:bookmarkStart w:id="362" w:name="_Toc493689358"/>
      <w:bookmarkStart w:id="363" w:name="_Toc493689470"/>
      <w:bookmarkStart w:id="364" w:name="_Toc493623277"/>
      <w:bookmarkStart w:id="365" w:name="_Toc493689249"/>
      <w:bookmarkStart w:id="366" w:name="_Toc493689359"/>
      <w:bookmarkStart w:id="367" w:name="_Toc493689471"/>
      <w:bookmarkStart w:id="368" w:name="_Toc496635616"/>
      <w:bookmarkEnd w:id="355"/>
      <w:bookmarkEnd w:id="356"/>
      <w:bookmarkEnd w:id="357"/>
      <w:bookmarkEnd w:id="358"/>
      <w:bookmarkEnd w:id="359"/>
      <w:bookmarkEnd w:id="360"/>
      <w:bookmarkEnd w:id="361"/>
      <w:bookmarkEnd w:id="362"/>
      <w:bookmarkEnd w:id="363"/>
      <w:bookmarkEnd w:id="364"/>
      <w:bookmarkEnd w:id="365"/>
      <w:bookmarkEnd w:id="366"/>
      <w:bookmarkEnd w:id="367"/>
      <w:r>
        <w:rPr>
          <w:noProof/>
        </w:rPr>
        <w:t>Environmental impacts</w:t>
      </w:r>
      <w:bookmarkEnd w:id="368"/>
      <w:r>
        <w:rPr>
          <w:noProof/>
        </w:rPr>
        <w:t xml:space="preserve"> </w:t>
      </w:r>
    </w:p>
    <w:p w:rsidR="001A26B0" w:rsidRDefault="00E33A99">
      <w:pPr>
        <w:spacing w:after="120"/>
        <w:rPr>
          <w:noProof/>
          <w:szCs w:val="22"/>
        </w:rPr>
      </w:pPr>
      <w:r>
        <w:rPr>
          <w:noProof/>
          <w:szCs w:val="22"/>
        </w:rPr>
        <w:t xml:space="preserve">The main environmental impact </w:t>
      </w:r>
      <w:r>
        <w:rPr>
          <w:noProof/>
          <w:szCs w:val="22"/>
        </w:rPr>
        <w:t>of EU-wide CO</w:t>
      </w:r>
      <w:r>
        <w:rPr>
          <w:noProof/>
          <w:szCs w:val="22"/>
          <w:vertAlign w:val="subscript"/>
        </w:rPr>
        <w:t>2</w:t>
      </w:r>
      <w:r>
        <w:rPr>
          <w:noProof/>
          <w:szCs w:val="22"/>
        </w:rPr>
        <w:t xml:space="preserve"> targets for the new LDV fleet concern the tailpipe CO</w:t>
      </w:r>
      <w:r>
        <w:rPr>
          <w:noProof/>
          <w:szCs w:val="22"/>
          <w:vertAlign w:val="subscript"/>
        </w:rPr>
        <w:t>2</w:t>
      </w:r>
      <w:r>
        <w:rPr>
          <w:noProof/>
          <w:szCs w:val="22"/>
        </w:rPr>
        <w:t xml:space="preserve"> emissions within the sector. The full effect of setting new CO2 targets for newly registered vehicles in the period 2021-2030 will only be realised over time as a larger share of the ove</w:t>
      </w:r>
      <w:r>
        <w:rPr>
          <w:noProof/>
          <w:szCs w:val="22"/>
        </w:rPr>
        <w:t>rall vehicle stock becomes subject to the new targets due to fleet renewal. Therefore, the environmental impacts up to 2040 are shown in this section.</w:t>
      </w:r>
    </w:p>
    <w:p w:rsidR="001A26B0" w:rsidRDefault="00E33A99">
      <w:pPr>
        <w:spacing w:after="120"/>
        <w:rPr>
          <w:noProof/>
        </w:rPr>
      </w:pPr>
      <w:r>
        <w:rPr>
          <w:noProof/>
        </w:rPr>
        <w:t xml:space="preserve">Furthermore, next to 2020, also 2005 is considered as a reference year where this is relevant to put the </w:t>
      </w:r>
      <w:r>
        <w:rPr>
          <w:noProof/>
        </w:rPr>
        <w:t>emission reductions observed in the sector in a broader policy perspective</w:t>
      </w:r>
      <w:r>
        <w:rPr>
          <w:rStyle w:val="FootnoteReference"/>
          <w:noProof/>
        </w:rPr>
        <w:footnoteReference w:id="177"/>
      </w:r>
      <w:r>
        <w:rPr>
          <w:noProof/>
        </w:rPr>
        <w:t>.</w:t>
      </w:r>
    </w:p>
    <w:p w:rsidR="001A26B0" w:rsidRDefault="00E33A99">
      <w:pPr>
        <w:spacing w:after="120"/>
        <w:rPr>
          <w:noProof/>
          <w:szCs w:val="22"/>
        </w:rPr>
      </w:pPr>
      <w:r>
        <w:rPr>
          <w:noProof/>
          <w:szCs w:val="22"/>
        </w:rPr>
        <w:t>Well-to-wheel CO</w:t>
      </w:r>
      <w:r>
        <w:rPr>
          <w:noProof/>
          <w:szCs w:val="22"/>
          <w:vertAlign w:val="subscript"/>
        </w:rPr>
        <w:t>2</w:t>
      </w:r>
      <w:r>
        <w:rPr>
          <w:noProof/>
          <w:szCs w:val="22"/>
        </w:rPr>
        <w:t xml:space="preserve"> emissions have also been assessed</w:t>
      </w:r>
      <w:r>
        <w:rPr>
          <w:rStyle w:val="FootnoteReference"/>
          <w:noProof/>
          <w:szCs w:val="22"/>
        </w:rPr>
        <w:footnoteReference w:id="178"/>
      </w:r>
      <w:r>
        <w:rPr>
          <w:noProof/>
          <w:szCs w:val="22"/>
        </w:rPr>
        <w:t xml:space="preserve">. However, due to the interactions with the EU ETS, care must be taken when interpreting these figures in a causal fashion. </w:t>
      </w:r>
      <w:r>
        <w:rPr>
          <w:noProof/>
          <w:szCs w:val="22"/>
        </w:rPr>
        <w:t>While indicative of a part of upstream emissions as traditionally defined in LCAs, they should not be interpreted as the impact on CO</w:t>
      </w:r>
      <w:r>
        <w:rPr>
          <w:noProof/>
          <w:szCs w:val="22"/>
          <w:vertAlign w:val="subscript"/>
        </w:rPr>
        <w:t>2</w:t>
      </w:r>
      <w:r>
        <w:rPr>
          <w:noProof/>
          <w:szCs w:val="22"/>
        </w:rPr>
        <w:t xml:space="preserve"> emissions of the vehicle standards alone. Furthermore, the assessment looked at possible changes in the embedded CO</w:t>
      </w:r>
      <w:r>
        <w:rPr>
          <w:noProof/>
          <w:szCs w:val="22"/>
          <w:vertAlign w:val="subscript"/>
        </w:rPr>
        <w:t>2</w:t>
      </w:r>
      <w:r>
        <w:rPr>
          <w:noProof/>
          <w:szCs w:val="22"/>
        </w:rPr>
        <w:t xml:space="preserve"> emis</w:t>
      </w:r>
      <w:r>
        <w:rPr>
          <w:noProof/>
          <w:szCs w:val="22"/>
        </w:rPr>
        <w:t xml:space="preserve">sions (related to the manufacturing of the vehicle and its components) triggered by the targets. </w:t>
      </w:r>
    </w:p>
    <w:p w:rsidR="001A26B0" w:rsidRDefault="00E33A99">
      <w:pPr>
        <w:spacing w:after="120"/>
        <w:rPr>
          <w:noProof/>
          <w:szCs w:val="22"/>
        </w:rPr>
      </w:pPr>
      <w:r>
        <w:rPr>
          <w:noProof/>
          <w:szCs w:val="22"/>
        </w:rPr>
        <w:t>A change in fuel consumption or mix will not only affect greenhouse gas emissions, but also those of air pollutants (esp. NO</w:t>
      </w:r>
      <w:r>
        <w:rPr>
          <w:noProof/>
          <w:szCs w:val="22"/>
          <w:vertAlign w:val="subscript"/>
        </w:rPr>
        <w:t>x</w:t>
      </w:r>
      <w:r>
        <w:rPr>
          <w:noProof/>
          <w:szCs w:val="22"/>
        </w:rPr>
        <w:t xml:space="preserve"> and particulate matter). These c</w:t>
      </w:r>
      <w:r>
        <w:rPr>
          <w:noProof/>
          <w:szCs w:val="22"/>
        </w:rPr>
        <w:t>o-benefits of the policy options have also been quantified and assessed.</w:t>
      </w:r>
    </w:p>
    <w:p w:rsidR="001A26B0" w:rsidRDefault="00E33A99">
      <w:pPr>
        <w:pStyle w:val="Heading5"/>
        <w:keepNext/>
        <w:rPr>
          <w:noProof/>
        </w:rPr>
      </w:pPr>
      <w:bookmarkStart w:id="369" w:name="_Ref491959691"/>
      <w:r>
        <w:rPr>
          <w:noProof/>
        </w:rPr>
        <w:t>Passenger cars (TLC)</w:t>
      </w:r>
      <w:bookmarkEnd w:id="369"/>
      <w:r>
        <w:rPr>
          <w:noProof/>
        </w:rPr>
        <w:t xml:space="preserve"> </w:t>
      </w:r>
    </w:p>
    <w:p w:rsidR="001A26B0" w:rsidRDefault="00E33A99">
      <w:pPr>
        <w:spacing w:after="120"/>
        <w:rPr>
          <w:i/>
          <w:noProof/>
        </w:rPr>
      </w:pPr>
      <w:r>
        <w:rPr>
          <w:i/>
          <w:noProof/>
        </w:rPr>
        <w:t>CO</w:t>
      </w:r>
      <w:r>
        <w:rPr>
          <w:i/>
          <w:noProof/>
          <w:vertAlign w:val="subscript"/>
        </w:rPr>
        <w:t>2</w:t>
      </w:r>
      <w:r>
        <w:rPr>
          <w:i/>
          <w:noProof/>
        </w:rPr>
        <w:t xml:space="preserve"> emissions (tailpipe)</w:t>
      </w:r>
    </w:p>
    <w:p w:rsidR="001A26B0" w:rsidRDefault="00E33A99">
      <w:pPr>
        <w:spacing w:after="120"/>
        <w:rPr>
          <w:noProof/>
        </w:rPr>
      </w:pPr>
      <w:r>
        <w:rPr>
          <w:noProof/>
        </w:rPr>
        <w:t xml:space="preserve">Under the baseline (TLC 0), </w:t>
      </w:r>
      <w:r>
        <w:rPr>
          <w:noProof/>
          <w:szCs w:val="22"/>
        </w:rPr>
        <w:t>tailpipe CO</w:t>
      </w:r>
      <w:r>
        <w:rPr>
          <w:noProof/>
          <w:szCs w:val="22"/>
          <w:vertAlign w:val="subscript"/>
        </w:rPr>
        <w:t>2</w:t>
      </w:r>
      <w:r>
        <w:rPr>
          <w:noProof/>
          <w:szCs w:val="22"/>
        </w:rPr>
        <w:t xml:space="preserve"> emissions from cars in the EU-28 are </w:t>
      </w:r>
      <w:r>
        <w:rPr>
          <w:noProof/>
        </w:rPr>
        <w:t xml:space="preserve">reduced by 26% between 2005 (543 Mt) and 2030 (402 Mt). A </w:t>
      </w:r>
      <w:r>
        <w:rPr>
          <w:noProof/>
        </w:rPr>
        <w:t>stronger reduction is observed since 2015, when the first CO</w:t>
      </w:r>
      <w:r>
        <w:rPr>
          <w:noProof/>
          <w:vertAlign w:val="subscript"/>
        </w:rPr>
        <w:t xml:space="preserve">2 </w:t>
      </w:r>
      <w:r>
        <w:rPr>
          <w:noProof/>
        </w:rPr>
        <w:t>targets for new cars took effect and the reduction is slowing down after 2030 as no new targets are set beyond 2021.</w:t>
      </w:r>
    </w:p>
    <w:p w:rsidR="001A26B0" w:rsidRDefault="00E33A99">
      <w:pPr>
        <w:spacing w:after="120"/>
        <w:rPr>
          <w:noProof/>
          <w:szCs w:val="22"/>
        </w:rPr>
      </w:pPr>
      <w:r>
        <w:rPr>
          <w:noProof/>
          <w:szCs w:val="22"/>
        </w:rPr>
        <w:fldChar w:fldCharType="begin"/>
      </w:r>
      <w:r>
        <w:rPr>
          <w:noProof/>
          <w:szCs w:val="22"/>
        </w:rPr>
        <w:instrText xml:space="preserve"> REF _Ref493775386 \h  \* MERGEFORMAT </w:instrText>
      </w:r>
      <w:r>
        <w:rPr>
          <w:noProof/>
          <w:szCs w:val="22"/>
        </w:rPr>
      </w:r>
      <w:r>
        <w:rPr>
          <w:noProof/>
          <w:szCs w:val="22"/>
        </w:rPr>
        <w:fldChar w:fldCharType="separate"/>
      </w:r>
      <w:r>
        <w:rPr>
          <w:noProof/>
        </w:rPr>
        <w:t>Figure 24</w:t>
      </w:r>
      <w:r>
        <w:rPr>
          <w:noProof/>
          <w:szCs w:val="22"/>
        </w:rPr>
        <w:fldChar w:fldCharType="end"/>
      </w:r>
      <w:r>
        <w:rPr>
          <w:noProof/>
          <w:szCs w:val="22"/>
        </w:rPr>
        <w:t xml:space="preserve"> shows the evolution of the emissions between 2025 and 2040 under the baseline and the </w:t>
      </w:r>
      <w:bookmarkStart w:id="370" w:name="_Ref493587223"/>
      <w:r>
        <w:rPr>
          <w:noProof/>
          <w:szCs w:val="22"/>
        </w:rPr>
        <w:t xml:space="preserve">TLC policy options comparing them to the 2005 emissions. </w:t>
      </w:r>
    </w:p>
    <w:p w:rsidR="001A26B0" w:rsidRDefault="00E33A99">
      <w:pPr>
        <w:spacing w:after="120"/>
        <w:rPr>
          <w:noProof/>
          <w:szCs w:val="22"/>
        </w:rPr>
      </w:pPr>
      <w:r>
        <w:rPr>
          <w:noProof/>
          <w:szCs w:val="22"/>
        </w:rPr>
        <w:t>Across the options considered, the additional reductions in 2030 on top o</w:t>
      </w:r>
      <w:r>
        <w:rPr>
          <w:noProof/>
          <w:szCs w:val="22"/>
        </w:rPr>
        <w:t>f the baseline range from 4 percentage points (TLC20) to 11.4 percentage points (TLC_EP50). In 2040, the range is from 19.1 percentage point (TLC20) to 30.3 percentage points (TLC_EP50).</w:t>
      </w:r>
    </w:p>
    <w:p w:rsidR="001A26B0" w:rsidRDefault="00E33A99">
      <w:pPr>
        <w:keepNext/>
        <w:spacing w:after="120"/>
        <w:rPr>
          <w:b/>
          <w:noProof/>
        </w:rPr>
      </w:pPr>
      <w:bookmarkStart w:id="371" w:name="_Ref493775386"/>
      <w:bookmarkStart w:id="372" w:name="_Toc496688570"/>
      <w:r>
        <w:rPr>
          <w:b/>
          <w:noProof/>
        </w:rPr>
        <w:t xml:space="preserve">Figure </w:t>
      </w:r>
      <w:r>
        <w:rPr>
          <w:b/>
          <w:noProof/>
        </w:rPr>
        <w:fldChar w:fldCharType="begin"/>
      </w:r>
      <w:r>
        <w:rPr>
          <w:b/>
          <w:noProof/>
        </w:rPr>
        <w:instrText xml:space="preserve"> SEQ Figure \* ARABIC </w:instrText>
      </w:r>
      <w:r>
        <w:rPr>
          <w:b/>
          <w:noProof/>
        </w:rPr>
        <w:fldChar w:fldCharType="separate"/>
      </w:r>
      <w:r>
        <w:rPr>
          <w:b/>
          <w:noProof/>
        </w:rPr>
        <w:t>24</w:t>
      </w:r>
      <w:r>
        <w:rPr>
          <w:b/>
          <w:noProof/>
        </w:rPr>
        <w:fldChar w:fldCharType="end"/>
      </w:r>
      <w:bookmarkEnd w:id="370"/>
      <w:bookmarkEnd w:id="371"/>
      <w:r>
        <w:rPr>
          <w:b/>
          <w:noProof/>
        </w:rPr>
        <w:t>: (Tailpipe) CO</w:t>
      </w:r>
      <w:r>
        <w:rPr>
          <w:b/>
          <w:noProof/>
          <w:vertAlign w:val="subscript"/>
        </w:rPr>
        <w:t>2</w:t>
      </w:r>
      <w:r>
        <w:rPr>
          <w:b/>
          <w:noProof/>
        </w:rPr>
        <w:t xml:space="preserve"> emissions of passe</w:t>
      </w:r>
      <w:r>
        <w:rPr>
          <w:b/>
          <w:noProof/>
        </w:rPr>
        <w:t>nger cars in EU-28 - % reduction compared to 2005</w:t>
      </w:r>
      <w:bookmarkEnd w:id="372"/>
      <w:r>
        <w:rPr>
          <w:b/>
          <w:noProof/>
        </w:rPr>
        <w:t xml:space="preserve">  </w:t>
      </w:r>
    </w:p>
    <w:p w:rsidR="001A26B0" w:rsidRDefault="00E33A99">
      <w:pPr>
        <w:jc w:val="center"/>
        <w:rPr>
          <w:noProof/>
        </w:rPr>
      </w:pPr>
      <w:r>
        <w:rPr>
          <w:noProof/>
          <w:lang w:eastAsia="en-GB"/>
        </w:rPr>
        <w:drawing>
          <wp:inline distT="0" distB="0" distL="0" distR="0">
            <wp:extent cx="5080000" cy="3603787"/>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80000" cy="3603787"/>
                    </a:xfrm>
                    <a:prstGeom prst="rect">
                      <a:avLst/>
                    </a:prstGeom>
                    <a:noFill/>
                  </pic:spPr>
                </pic:pic>
              </a:graphicData>
            </a:graphic>
          </wp:inline>
        </w:drawing>
      </w:r>
    </w:p>
    <w:p w:rsidR="001A26B0" w:rsidRDefault="00E33A99">
      <w:pPr>
        <w:spacing w:after="120"/>
        <w:rPr>
          <w:noProof/>
          <w:szCs w:val="22"/>
        </w:rPr>
      </w:pPr>
      <w:r>
        <w:rPr>
          <w:noProof/>
          <w:szCs w:val="22"/>
        </w:rPr>
        <w:fldChar w:fldCharType="begin"/>
      </w:r>
      <w:r>
        <w:rPr>
          <w:noProof/>
          <w:szCs w:val="22"/>
        </w:rPr>
        <w:instrText xml:space="preserve"> REF _Ref493615465 \h </w:instrText>
      </w:r>
      <w:r>
        <w:rPr>
          <w:noProof/>
          <w:szCs w:val="22"/>
        </w:rPr>
      </w:r>
      <w:r>
        <w:rPr>
          <w:noProof/>
          <w:szCs w:val="22"/>
        </w:rPr>
        <w:fldChar w:fldCharType="separate"/>
      </w:r>
      <w:r>
        <w:rPr>
          <w:noProof/>
        </w:rPr>
        <w:t>Figure 25</w:t>
      </w:r>
      <w:r>
        <w:rPr>
          <w:noProof/>
          <w:szCs w:val="22"/>
        </w:rPr>
        <w:fldChar w:fldCharType="end"/>
      </w:r>
      <w:r>
        <w:rPr>
          <w:noProof/>
          <w:szCs w:val="22"/>
        </w:rPr>
        <w:t xml:space="preserve"> shows the reduction of the cumulative CO</w:t>
      </w:r>
      <w:r>
        <w:rPr>
          <w:noProof/>
          <w:szCs w:val="22"/>
          <w:vertAlign w:val="subscript"/>
        </w:rPr>
        <w:t>2</w:t>
      </w:r>
      <w:r>
        <w:rPr>
          <w:noProof/>
          <w:szCs w:val="22"/>
        </w:rPr>
        <w:t xml:space="preserve"> emissions over the period 2020-2040 (compared to the baseline) for the different scenarios. For cars, these emission reductions range from about 700 </w:t>
      </w:r>
      <w:r>
        <w:rPr>
          <w:noProof/>
          <w:szCs w:val="22"/>
        </w:rPr>
        <w:t>Mt (TLC20) up to nearly 1,500 Mt (TLC_EP50).</w:t>
      </w:r>
    </w:p>
    <w:p w:rsidR="001A26B0" w:rsidRDefault="001A26B0">
      <w:pPr>
        <w:jc w:val="left"/>
        <w:rPr>
          <w:noProof/>
        </w:rPr>
      </w:pPr>
    </w:p>
    <w:p w:rsidR="001A26B0" w:rsidRDefault="00E33A99">
      <w:pPr>
        <w:pStyle w:val="Caption"/>
        <w:keepNext/>
        <w:rPr>
          <w:noProof/>
          <w:szCs w:val="22"/>
        </w:rPr>
      </w:pPr>
      <w:bookmarkStart w:id="373" w:name="_Ref493615465"/>
      <w:bookmarkStart w:id="374" w:name="_Toc496688571"/>
      <w:r>
        <w:rPr>
          <w:noProof/>
        </w:rPr>
        <w:t xml:space="preserve">Figure </w:t>
      </w:r>
      <w:r>
        <w:rPr>
          <w:noProof/>
        </w:rPr>
        <w:fldChar w:fldCharType="begin"/>
      </w:r>
      <w:r>
        <w:rPr>
          <w:noProof/>
        </w:rPr>
        <w:instrText xml:space="preserve"> SEQ Figure \* ARABIC </w:instrText>
      </w:r>
      <w:r>
        <w:rPr>
          <w:noProof/>
        </w:rPr>
        <w:fldChar w:fldCharType="separate"/>
      </w:r>
      <w:r>
        <w:rPr>
          <w:noProof/>
        </w:rPr>
        <w:t>25</w:t>
      </w:r>
      <w:r>
        <w:rPr>
          <w:noProof/>
        </w:rPr>
        <w:fldChar w:fldCharType="end"/>
      </w:r>
      <w:bookmarkEnd w:id="373"/>
      <w:r>
        <w:rPr>
          <w:noProof/>
        </w:rPr>
        <w:t>: Cumulative (tailpipe) 2020-2040 CO</w:t>
      </w:r>
      <w:r>
        <w:rPr>
          <w:noProof/>
          <w:vertAlign w:val="subscript"/>
        </w:rPr>
        <w:t>2</w:t>
      </w:r>
      <w:r>
        <w:rPr>
          <w:noProof/>
        </w:rPr>
        <w:t xml:space="preserve"> emissions of cars for EU-28 – emission reduction from the baseline (kt)</w:t>
      </w:r>
      <w:bookmarkEnd w:id="374"/>
    </w:p>
    <w:p w:rsidR="001A26B0" w:rsidRDefault="00E33A99">
      <w:pPr>
        <w:autoSpaceDE w:val="0"/>
        <w:autoSpaceDN w:val="0"/>
        <w:jc w:val="center"/>
        <w:rPr>
          <w:noProof/>
          <w:color w:val="FF0000"/>
        </w:rPr>
      </w:pPr>
      <w:r>
        <w:rPr>
          <w:noProof/>
          <w:color w:val="FF0000"/>
          <w:lang w:eastAsia="en-GB"/>
        </w:rPr>
        <w:drawing>
          <wp:inline distT="0" distB="0" distL="0" distR="0">
            <wp:extent cx="5080000" cy="3603787"/>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80000" cy="3603787"/>
                    </a:xfrm>
                    <a:prstGeom prst="rect">
                      <a:avLst/>
                    </a:prstGeom>
                    <a:noFill/>
                  </pic:spPr>
                </pic:pic>
              </a:graphicData>
            </a:graphic>
          </wp:inline>
        </w:drawing>
      </w:r>
    </w:p>
    <w:p w:rsidR="001A26B0" w:rsidRDefault="00E33A99">
      <w:pPr>
        <w:spacing w:after="120"/>
        <w:rPr>
          <w:i/>
          <w:noProof/>
        </w:rPr>
      </w:pPr>
      <w:r>
        <w:rPr>
          <w:i/>
          <w:noProof/>
        </w:rPr>
        <w:t>CO</w:t>
      </w:r>
      <w:r>
        <w:rPr>
          <w:i/>
          <w:noProof/>
          <w:vertAlign w:val="subscript"/>
        </w:rPr>
        <w:t>2</w:t>
      </w:r>
      <w:r>
        <w:rPr>
          <w:i/>
          <w:noProof/>
        </w:rPr>
        <w:t xml:space="preserve"> emissions (WTW)</w:t>
      </w:r>
    </w:p>
    <w:p w:rsidR="001A26B0" w:rsidRDefault="00E33A99">
      <w:pPr>
        <w:spacing w:after="120"/>
        <w:rPr>
          <w:noProof/>
          <w:szCs w:val="22"/>
        </w:rPr>
      </w:pPr>
      <w:r>
        <w:rPr>
          <w:noProof/>
          <w:szCs w:val="22"/>
        </w:rPr>
        <w:t>When considering the well-to-wheel CO</w:t>
      </w:r>
      <w:r>
        <w:rPr>
          <w:noProof/>
          <w:szCs w:val="22"/>
          <w:vertAlign w:val="subscript"/>
        </w:rPr>
        <w:t>2</w:t>
      </w:r>
      <w:r>
        <w:rPr>
          <w:noProof/>
          <w:szCs w:val="22"/>
        </w:rPr>
        <w:t xml:space="preserve"> emissions, the trends are very similar, with slightly lower emission reductions. Under the baseline, emissions reduce by 24.8</w:t>
      </w:r>
      <w:r>
        <w:rPr>
          <w:noProof/>
        </w:rPr>
        <w:t xml:space="preserve">% between 2005 (658 Mt) and 2030 (495 Mt). </w:t>
      </w:r>
    </w:p>
    <w:p w:rsidR="001A26B0" w:rsidRDefault="00E33A99">
      <w:pPr>
        <w:spacing w:after="120"/>
        <w:rPr>
          <w:noProof/>
          <w:szCs w:val="22"/>
        </w:rPr>
      </w:pPr>
      <w:r>
        <w:rPr>
          <w:noProof/>
          <w:szCs w:val="22"/>
        </w:rPr>
        <w:t>Across the options considered, the additional reductions in 2030 on top of the baselin</w:t>
      </w:r>
      <w:r>
        <w:rPr>
          <w:noProof/>
          <w:szCs w:val="22"/>
        </w:rPr>
        <w:t>e range from 3.6 percentage points (TLC20) to 10.2 percentage points (TLC_EP50). In 2040, the range is from 17.8 percentage points (TLC20) to 28.9 percentage points (TLC_EP50).</w:t>
      </w:r>
    </w:p>
    <w:p w:rsidR="001A26B0" w:rsidRDefault="00E33A99">
      <w:pPr>
        <w:spacing w:after="120"/>
        <w:rPr>
          <w:i/>
          <w:noProof/>
          <w:szCs w:val="24"/>
        </w:rPr>
      </w:pPr>
      <w:r>
        <w:rPr>
          <w:i/>
          <w:noProof/>
          <w:szCs w:val="24"/>
        </w:rPr>
        <w:t>Air pollutant emissions</w:t>
      </w:r>
    </w:p>
    <w:p w:rsidR="001A26B0" w:rsidRDefault="00E33A99">
      <w:pPr>
        <w:spacing w:after="120"/>
        <w:rPr>
          <w:noProof/>
          <w:szCs w:val="24"/>
        </w:rPr>
      </w:pPr>
      <w:r>
        <w:rPr>
          <w:noProof/>
          <w:szCs w:val="24"/>
        </w:rPr>
        <w:t>Due to the change in fleet composition under the differ</w:t>
      </w:r>
      <w:r>
        <w:rPr>
          <w:noProof/>
          <w:szCs w:val="24"/>
        </w:rPr>
        <w:t>ent policy options concerning the fleet-wide CO</w:t>
      </w:r>
      <w:r>
        <w:rPr>
          <w:noProof/>
          <w:szCs w:val="24"/>
          <w:vertAlign w:val="subscript"/>
        </w:rPr>
        <w:t>2</w:t>
      </w:r>
      <w:r>
        <w:rPr>
          <w:noProof/>
          <w:szCs w:val="24"/>
        </w:rPr>
        <w:t xml:space="preserve"> target, also the emissions of air pollutants are affected. Under the baseline and TLC options, compared to 2020, emissions of nitrogen oxides and particulate matter (PM2.5) from cars are reduced as shown in the tables below.  </w:t>
      </w:r>
    </w:p>
    <w:p w:rsidR="001A26B0" w:rsidRDefault="00E33A99">
      <w:pPr>
        <w:pStyle w:val="Caption"/>
        <w:keepNext/>
        <w:rPr>
          <w:noProof/>
          <w:szCs w:val="22"/>
        </w:rPr>
      </w:pPr>
      <w:r>
        <w:rPr>
          <w:noProof/>
        </w:rPr>
        <w:t xml:space="preserve">Table </w:t>
      </w:r>
      <w:r>
        <w:rPr>
          <w:noProof/>
        </w:rPr>
        <w:fldChar w:fldCharType="begin"/>
      </w:r>
      <w:r>
        <w:rPr>
          <w:noProof/>
        </w:rPr>
        <w:instrText xml:space="preserve"> SEQ Table \* ARABIC </w:instrText>
      </w:r>
      <w:r>
        <w:rPr>
          <w:noProof/>
        </w:rPr>
        <w:fldChar w:fldCharType="separate"/>
      </w:r>
      <w:r>
        <w:rPr>
          <w:noProof/>
        </w:rPr>
        <w:t>2</w:t>
      </w:r>
      <w:r>
        <w:rPr>
          <w:noProof/>
        </w:rPr>
        <w:t>9</w:t>
      </w:r>
      <w:r>
        <w:rPr>
          <w:noProof/>
        </w:rPr>
        <w:fldChar w:fldCharType="end"/>
      </w:r>
      <w:r>
        <w:rPr>
          <w:noProof/>
        </w:rPr>
        <w:t>: NO</w:t>
      </w:r>
      <w:r>
        <w:rPr>
          <w:noProof/>
          <w:vertAlign w:val="subscript"/>
        </w:rPr>
        <w:t>x</w:t>
      </w:r>
      <w:r>
        <w:rPr>
          <w:noProof/>
        </w:rPr>
        <w:t xml:space="preserve"> emissions of passenger cars in EU-28 - % reduction compared to 2020</w:t>
      </w:r>
    </w:p>
    <w:tbl>
      <w:tblPr>
        <w:tblStyle w:val="TableGrid"/>
        <w:tblW w:w="2567" w:type="pct"/>
        <w:tblInd w:w="228" w:type="dxa"/>
        <w:tblLook w:val="04A0" w:firstRow="1" w:lastRow="0" w:firstColumn="1" w:lastColumn="0" w:noHBand="0" w:noVBand="1"/>
      </w:tblPr>
      <w:tblGrid>
        <w:gridCol w:w="2511"/>
        <w:gridCol w:w="1076"/>
        <w:gridCol w:w="946"/>
      </w:tblGrid>
      <w:tr w:rsidR="001A26B0">
        <w:trPr>
          <w:trHeight w:val="264"/>
        </w:trPr>
        <w:tc>
          <w:tcPr>
            <w:tcW w:w="2770" w:type="pct"/>
          </w:tcPr>
          <w:p w:rsidR="001A26B0" w:rsidRDefault="00E33A99">
            <w:pPr>
              <w:spacing w:after="120"/>
              <w:rPr>
                <w:b/>
                <w:noProof/>
                <w:szCs w:val="24"/>
              </w:rPr>
            </w:pPr>
            <w:r>
              <w:rPr>
                <w:b/>
                <w:noProof/>
                <w:szCs w:val="24"/>
              </w:rPr>
              <w:t>NO</w:t>
            </w:r>
            <w:r>
              <w:rPr>
                <w:b/>
                <w:noProof/>
                <w:szCs w:val="24"/>
                <w:vertAlign w:val="subscript"/>
              </w:rPr>
              <w:t>x</w:t>
            </w:r>
            <w:r>
              <w:rPr>
                <w:b/>
                <w:noProof/>
                <w:szCs w:val="24"/>
              </w:rPr>
              <w:t xml:space="preserve"> emissions</w:t>
            </w:r>
          </w:p>
        </w:tc>
        <w:tc>
          <w:tcPr>
            <w:tcW w:w="1187" w:type="pct"/>
          </w:tcPr>
          <w:p w:rsidR="001A26B0" w:rsidRDefault="00E33A99">
            <w:pPr>
              <w:spacing w:after="120"/>
              <w:jc w:val="right"/>
              <w:rPr>
                <w:b/>
                <w:noProof/>
                <w:szCs w:val="24"/>
              </w:rPr>
            </w:pPr>
            <w:r>
              <w:rPr>
                <w:b/>
                <w:bCs/>
                <w:noProof/>
                <w:szCs w:val="24"/>
              </w:rPr>
              <w:t>2025</w:t>
            </w:r>
          </w:p>
        </w:tc>
        <w:tc>
          <w:tcPr>
            <w:tcW w:w="1043" w:type="pct"/>
          </w:tcPr>
          <w:p w:rsidR="001A26B0" w:rsidRDefault="00E33A99">
            <w:pPr>
              <w:spacing w:after="120"/>
              <w:jc w:val="right"/>
              <w:rPr>
                <w:b/>
                <w:noProof/>
                <w:szCs w:val="24"/>
              </w:rPr>
            </w:pPr>
            <w:r>
              <w:rPr>
                <w:b/>
                <w:bCs/>
                <w:noProof/>
                <w:szCs w:val="24"/>
              </w:rPr>
              <w:t>2030</w:t>
            </w:r>
          </w:p>
        </w:tc>
      </w:tr>
      <w:tr w:rsidR="001A26B0">
        <w:trPr>
          <w:trHeight w:val="264"/>
        </w:trPr>
        <w:tc>
          <w:tcPr>
            <w:tcW w:w="2770" w:type="pct"/>
          </w:tcPr>
          <w:p w:rsidR="001A26B0" w:rsidRDefault="00E33A99">
            <w:pPr>
              <w:spacing w:after="120"/>
              <w:rPr>
                <w:b/>
                <w:bCs/>
                <w:noProof/>
                <w:szCs w:val="24"/>
              </w:rPr>
            </w:pPr>
            <w:r>
              <w:rPr>
                <w:b/>
                <w:bCs/>
                <w:noProof/>
                <w:szCs w:val="24"/>
              </w:rPr>
              <w:t>TLC 0</w:t>
            </w:r>
          </w:p>
        </w:tc>
        <w:tc>
          <w:tcPr>
            <w:tcW w:w="1187" w:type="pct"/>
            <w:vAlign w:val="bottom"/>
          </w:tcPr>
          <w:p w:rsidR="001A26B0" w:rsidRDefault="00E33A99">
            <w:pPr>
              <w:spacing w:after="120"/>
              <w:jc w:val="right"/>
              <w:rPr>
                <w:b/>
                <w:bCs/>
                <w:noProof/>
                <w:szCs w:val="24"/>
              </w:rPr>
            </w:pPr>
            <w:r>
              <w:rPr>
                <w:noProof/>
                <w:szCs w:val="24"/>
              </w:rPr>
              <w:t>27%</w:t>
            </w:r>
          </w:p>
        </w:tc>
        <w:tc>
          <w:tcPr>
            <w:tcW w:w="1043" w:type="pct"/>
            <w:vAlign w:val="bottom"/>
          </w:tcPr>
          <w:p w:rsidR="001A26B0" w:rsidRDefault="00E33A99">
            <w:pPr>
              <w:spacing w:after="120"/>
              <w:jc w:val="right"/>
              <w:rPr>
                <w:b/>
                <w:bCs/>
                <w:noProof/>
                <w:szCs w:val="24"/>
              </w:rPr>
            </w:pPr>
            <w:r>
              <w:rPr>
                <w:noProof/>
                <w:szCs w:val="24"/>
              </w:rPr>
              <w:t>36%</w:t>
            </w:r>
          </w:p>
        </w:tc>
      </w:tr>
      <w:tr w:rsidR="001A26B0">
        <w:trPr>
          <w:trHeight w:val="264"/>
        </w:trPr>
        <w:tc>
          <w:tcPr>
            <w:tcW w:w="2770" w:type="pct"/>
          </w:tcPr>
          <w:p w:rsidR="001A26B0" w:rsidRDefault="00E33A99">
            <w:pPr>
              <w:spacing w:after="120"/>
              <w:rPr>
                <w:b/>
                <w:bCs/>
                <w:noProof/>
                <w:szCs w:val="24"/>
              </w:rPr>
            </w:pPr>
            <w:r>
              <w:rPr>
                <w:b/>
                <w:bCs/>
                <w:noProof/>
                <w:szCs w:val="24"/>
              </w:rPr>
              <w:t>TLC20</w:t>
            </w:r>
          </w:p>
        </w:tc>
        <w:tc>
          <w:tcPr>
            <w:tcW w:w="1187" w:type="pct"/>
            <w:vAlign w:val="bottom"/>
          </w:tcPr>
          <w:p w:rsidR="001A26B0" w:rsidRDefault="00E33A99">
            <w:pPr>
              <w:spacing w:after="120"/>
              <w:jc w:val="right"/>
              <w:rPr>
                <w:b/>
                <w:bCs/>
                <w:noProof/>
                <w:szCs w:val="24"/>
              </w:rPr>
            </w:pPr>
            <w:r>
              <w:rPr>
                <w:noProof/>
                <w:szCs w:val="24"/>
              </w:rPr>
              <w:t>28%</w:t>
            </w:r>
          </w:p>
        </w:tc>
        <w:tc>
          <w:tcPr>
            <w:tcW w:w="1043" w:type="pct"/>
            <w:vAlign w:val="bottom"/>
          </w:tcPr>
          <w:p w:rsidR="001A26B0" w:rsidRDefault="00E33A99">
            <w:pPr>
              <w:spacing w:after="120"/>
              <w:jc w:val="right"/>
              <w:rPr>
                <w:b/>
                <w:bCs/>
                <w:noProof/>
                <w:szCs w:val="24"/>
              </w:rPr>
            </w:pPr>
            <w:r>
              <w:rPr>
                <w:noProof/>
                <w:szCs w:val="24"/>
              </w:rPr>
              <w:t>38%</w:t>
            </w:r>
          </w:p>
        </w:tc>
      </w:tr>
      <w:tr w:rsidR="001A26B0">
        <w:trPr>
          <w:trHeight w:val="264"/>
        </w:trPr>
        <w:tc>
          <w:tcPr>
            <w:tcW w:w="2770" w:type="pct"/>
          </w:tcPr>
          <w:p w:rsidR="001A26B0" w:rsidRDefault="00E33A99">
            <w:pPr>
              <w:spacing w:after="120"/>
              <w:rPr>
                <w:b/>
                <w:bCs/>
                <w:noProof/>
                <w:szCs w:val="24"/>
              </w:rPr>
            </w:pPr>
            <w:r>
              <w:rPr>
                <w:b/>
                <w:bCs/>
                <w:noProof/>
                <w:szCs w:val="24"/>
              </w:rPr>
              <w:t>TLC25</w:t>
            </w:r>
          </w:p>
        </w:tc>
        <w:tc>
          <w:tcPr>
            <w:tcW w:w="1187" w:type="pct"/>
            <w:vAlign w:val="bottom"/>
          </w:tcPr>
          <w:p w:rsidR="001A26B0" w:rsidRDefault="00E33A99">
            <w:pPr>
              <w:spacing w:after="120"/>
              <w:jc w:val="right"/>
              <w:rPr>
                <w:noProof/>
                <w:szCs w:val="24"/>
              </w:rPr>
            </w:pPr>
            <w:r>
              <w:rPr>
                <w:noProof/>
                <w:szCs w:val="24"/>
              </w:rPr>
              <w:t>28%</w:t>
            </w:r>
          </w:p>
        </w:tc>
        <w:tc>
          <w:tcPr>
            <w:tcW w:w="1043" w:type="pct"/>
            <w:vAlign w:val="bottom"/>
          </w:tcPr>
          <w:p w:rsidR="001A26B0" w:rsidRDefault="00E33A99">
            <w:pPr>
              <w:spacing w:after="120"/>
              <w:jc w:val="right"/>
              <w:rPr>
                <w:noProof/>
                <w:szCs w:val="24"/>
              </w:rPr>
            </w:pPr>
            <w:r>
              <w:rPr>
                <w:noProof/>
                <w:szCs w:val="24"/>
              </w:rPr>
              <w:t>39%</w:t>
            </w:r>
          </w:p>
        </w:tc>
      </w:tr>
      <w:tr w:rsidR="001A26B0">
        <w:trPr>
          <w:trHeight w:val="264"/>
        </w:trPr>
        <w:tc>
          <w:tcPr>
            <w:tcW w:w="2770" w:type="pct"/>
          </w:tcPr>
          <w:p w:rsidR="001A26B0" w:rsidRDefault="00E33A99">
            <w:pPr>
              <w:spacing w:after="120"/>
              <w:rPr>
                <w:b/>
                <w:bCs/>
                <w:noProof/>
                <w:szCs w:val="24"/>
              </w:rPr>
            </w:pPr>
            <w:r>
              <w:rPr>
                <w:b/>
                <w:bCs/>
                <w:noProof/>
                <w:szCs w:val="24"/>
              </w:rPr>
              <w:t>TLC30</w:t>
            </w:r>
          </w:p>
        </w:tc>
        <w:tc>
          <w:tcPr>
            <w:tcW w:w="1187" w:type="pct"/>
            <w:vAlign w:val="bottom"/>
          </w:tcPr>
          <w:p w:rsidR="001A26B0" w:rsidRDefault="00E33A99">
            <w:pPr>
              <w:spacing w:after="120"/>
              <w:jc w:val="right"/>
              <w:rPr>
                <w:b/>
                <w:bCs/>
                <w:noProof/>
                <w:szCs w:val="24"/>
              </w:rPr>
            </w:pPr>
            <w:r>
              <w:rPr>
                <w:noProof/>
                <w:szCs w:val="24"/>
              </w:rPr>
              <w:t>28%</w:t>
            </w:r>
          </w:p>
        </w:tc>
        <w:tc>
          <w:tcPr>
            <w:tcW w:w="1043" w:type="pct"/>
            <w:vAlign w:val="bottom"/>
          </w:tcPr>
          <w:p w:rsidR="001A26B0" w:rsidRDefault="00E33A99">
            <w:pPr>
              <w:spacing w:after="120"/>
              <w:jc w:val="right"/>
              <w:rPr>
                <w:b/>
                <w:bCs/>
                <w:noProof/>
                <w:szCs w:val="24"/>
              </w:rPr>
            </w:pPr>
            <w:r>
              <w:rPr>
                <w:noProof/>
                <w:szCs w:val="24"/>
              </w:rPr>
              <w:t>39%</w:t>
            </w:r>
          </w:p>
        </w:tc>
      </w:tr>
      <w:tr w:rsidR="001A26B0">
        <w:trPr>
          <w:trHeight w:val="264"/>
        </w:trPr>
        <w:tc>
          <w:tcPr>
            <w:tcW w:w="2770" w:type="pct"/>
          </w:tcPr>
          <w:p w:rsidR="001A26B0" w:rsidRDefault="00E33A99">
            <w:pPr>
              <w:spacing w:after="120"/>
              <w:rPr>
                <w:b/>
                <w:bCs/>
                <w:noProof/>
                <w:szCs w:val="24"/>
              </w:rPr>
            </w:pPr>
            <w:r>
              <w:rPr>
                <w:b/>
                <w:bCs/>
                <w:noProof/>
                <w:szCs w:val="24"/>
              </w:rPr>
              <w:t>TLC40</w:t>
            </w:r>
          </w:p>
        </w:tc>
        <w:tc>
          <w:tcPr>
            <w:tcW w:w="1187" w:type="pct"/>
            <w:vAlign w:val="bottom"/>
          </w:tcPr>
          <w:p w:rsidR="001A26B0" w:rsidRDefault="00E33A99">
            <w:pPr>
              <w:spacing w:after="120"/>
              <w:jc w:val="right"/>
              <w:rPr>
                <w:b/>
                <w:bCs/>
                <w:noProof/>
                <w:szCs w:val="24"/>
              </w:rPr>
            </w:pPr>
            <w:r>
              <w:rPr>
                <w:noProof/>
                <w:szCs w:val="24"/>
              </w:rPr>
              <w:t>29%</w:t>
            </w:r>
          </w:p>
        </w:tc>
        <w:tc>
          <w:tcPr>
            <w:tcW w:w="1043" w:type="pct"/>
            <w:vAlign w:val="bottom"/>
          </w:tcPr>
          <w:p w:rsidR="001A26B0" w:rsidRDefault="00E33A99">
            <w:pPr>
              <w:spacing w:after="120"/>
              <w:jc w:val="right"/>
              <w:rPr>
                <w:b/>
                <w:bCs/>
                <w:noProof/>
                <w:szCs w:val="24"/>
              </w:rPr>
            </w:pPr>
            <w:r>
              <w:rPr>
                <w:noProof/>
                <w:szCs w:val="24"/>
              </w:rPr>
              <w:t>42%</w:t>
            </w:r>
          </w:p>
        </w:tc>
      </w:tr>
      <w:tr w:rsidR="001A26B0">
        <w:trPr>
          <w:trHeight w:val="264"/>
        </w:trPr>
        <w:tc>
          <w:tcPr>
            <w:tcW w:w="2770" w:type="pct"/>
          </w:tcPr>
          <w:p w:rsidR="001A26B0" w:rsidRDefault="00E33A99">
            <w:pPr>
              <w:spacing w:after="120"/>
              <w:rPr>
                <w:b/>
                <w:bCs/>
                <w:noProof/>
                <w:szCs w:val="24"/>
              </w:rPr>
            </w:pPr>
            <w:r>
              <w:rPr>
                <w:b/>
                <w:bCs/>
                <w:noProof/>
                <w:szCs w:val="24"/>
              </w:rPr>
              <w:t>TLC_EP40</w:t>
            </w:r>
          </w:p>
        </w:tc>
        <w:tc>
          <w:tcPr>
            <w:tcW w:w="1187" w:type="pct"/>
            <w:vAlign w:val="bottom"/>
          </w:tcPr>
          <w:p w:rsidR="001A26B0" w:rsidRDefault="00E33A99">
            <w:pPr>
              <w:spacing w:after="120"/>
              <w:jc w:val="right"/>
              <w:rPr>
                <w:b/>
                <w:bCs/>
                <w:noProof/>
                <w:szCs w:val="24"/>
              </w:rPr>
            </w:pPr>
            <w:r>
              <w:rPr>
                <w:noProof/>
                <w:szCs w:val="24"/>
              </w:rPr>
              <w:t>29%</w:t>
            </w:r>
          </w:p>
        </w:tc>
        <w:tc>
          <w:tcPr>
            <w:tcW w:w="1043" w:type="pct"/>
            <w:vAlign w:val="bottom"/>
          </w:tcPr>
          <w:p w:rsidR="001A26B0" w:rsidRDefault="00E33A99">
            <w:pPr>
              <w:spacing w:after="120"/>
              <w:jc w:val="right"/>
              <w:rPr>
                <w:b/>
                <w:bCs/>
                <w:noProof/>
                <w:szCs w:val="24"/>
              </w:rPr>
            </w:pPr>
            <w:r>
              <w:rPr>
                <w:noProof/>
                <w:szCs w:val="24"/>
              </w:rPr>
              <w:t>43%</w:t>
            </w:r>
          </w:p>
        </w:tc>
      </w:tr>
      <w:tr w:rsidR="001A26B0">
        <w:trPr>
          <w:trHeight w:val="264"/>
        </w:trPr>
        <w:tc>
          <w:tcPr>
            <w:tcW w:w="2770" w:type="pct"/>
          </w:tcPr>
          <w:p w:rsidR="001A26B0" w:rsidRDefault="00E33A99">
            <w:pPr>
              <w:spacing w:after="120"/>
              <w:rPr>
                <w:b/>
                <w:bCs/>
                <w:noProof/>
                <w:szCs w:val="24"/>
              </w:rPr>
            </w:pPr>
            <w:r>
              <w:rPr>
                <w:b/>
                <w:bCs/>
                <w:noProof/>
                <w:szCs w:val="24"/>
              </w:rPr>
              <w:t>TLC_EP50</w:t>
            </w:r>
          </w:p>
        </w:tc>
        <w:tc>
          <w:tcPr>
            <w:tcW w:w="1187" w:type="pct"/>
            <w:vAlign w:val="bottom"/>
          </w:tcPr>
          <w:p w:rsidR="001A26B0" w:rsidRDefault="00E33A99">
            <w:pPr>
              <w:spacing w:after="120"/>
              <w:jc w:val="right"/>
              <w:rPr>
                <w:b/>
                <w:bCs/>
                <w:noProof/>
                <w:szCs w:val="24"/>
              </w:rPr>
            </w:pPr>
            <w:r>
              <w:rPr>
                <w:noProof/>
                <w:szCs w:val="24"/>
              </w:rPr>
              <w:t>29%</w:t>
            </w:r>
          </w:p>
        </w:tc>
        <w:tc>
          <w:tcPr>
            <w:tcW w:w="1043" w:type="pct"/>
            <w:vAlign w:val="bottom"/>
          </w:tcPr>
          <w:p w:rsidR="001A26B0" w:rsidRDefault="00E33A99">
            <w:pPr>
              <w:spacing w:after="120"/>
              <w:jc w:val="right"/>
              <w:rPr>
                <w:b/>
                <w:bCs/>
                <w:noProof/>
                <w:szCs w:val="24"/>
              </w:rPr>
            </w:pPr>
            <w:r>
              <w:rPr>
                <w:noProof/>
                <w:szCs w:val="24"/>
              </w:rPr>
              <w:t>44%</w:t>
            </w:r>
          </w:p>
        </w:tc>
      </w:tr>
    </w:tbl>
    <w:p w:rsidR="001A26B0" w:rsidRDefault="00E33A99">
      <w:pPr>
        <w:pStyle w:val="Caption"/>
        <w:keepNext/>
        <w:rPr>
          <w:noProof/>
          <w:szCs w:val="22"/>
        </w:rPr>
      </w:pPr>
      <w:r>
        <w:rPr>
          <w:noProof/>
        </w:rPr>
        <w:t xml:space="preserve">Table </w:t>
      </w:r>
      <w:r>
        <w:rPr>
          <w:noProof/>
        </w:rPr>
        <w:fldChar w:fldCharType="begin"/>
      </w:r>
      <w:r>
        <w:rPr>
          <w:noProof/>
        </w:rPr>
        <w:instrText xml:space="preserve"> SEQ Table \* ARABIC </w:instrText>
      </w:r>
      <w:r>
        <w:rPr>
          <w:noProof/>
        </w:rPr>
        <w:fldChar w:fldCharType="separate"/>
      </w:r>
      <w:r>
        <w:rPr>
          <w:noProof/>
        </w:rPr>
        <w:t>30</w:t>
      </w:r>
      <w:r>
        <w:rPr>
          <w:noProof/>
        </w:rPr>
        <w:fldChar w:fldCharType="end"/>
      </w:r>
      <w:r>
        <w:rPr>
          <w:noProof/>
        </w:rPr>
        <w:t>: PM</w:t>
      </w:r>
      <w:r>
        <w:rPr>
          <w:noProof/>
          <w:vertAlign w:val="subscript"/>
        </w:rPr>
        <w:t>2.5</w:t>
      </w:r>
      <w:r>
        <w:rPr>
          <w:noProof/>
        </w:rPr>
        <w:t xml:space="preserve"> emissions of passenger cars in EU-28 - % reduction compared to 2020</w:t>
      </w:r>
    </w:p>
    <w:tbl>
      <w:tblPr>
        <w:tblStyle w:val="TableGrid"/>
        <w:tblW w:w="2475" w:type="pct"/>
        <w:tblInd w:w="228" w:type="dxa"/>
        <w:tblLook w:val="04A0" w:firstRow="1" w:lastRow="0" w:firstColumn="1" w:lastColumn="0" w:noHBand="0" w:noVBand="1"/>
      </w:tblPr>
      <w:tblGrid>
        <w:gridCol w:w="2481"/>
        <w:gridCol w:w="856"/>
        <w:gridCol w:w="1033"/>
      </w:tblGrid>
      <w:tr w:rsidR="001A26B0">
        <w:trPr>
          <w:trHeight w:val="264"/>
        </w:trPr>
        <w:tc>
          <w:tcPr>
            <w:tcW w:w="2839" w:type="pct"/>
          </w:tcPr>
          <w:p w:rsidR="001A26B0" w:rsidRDefault="00E33A99">
            <w:pPr>
              <w:spacing w:after="120"/>
              <w:rPr>
                <w:b/>
                <w:noProof/>
                <w:szCs w:val="24"/>
              </w:rPr>
            </w:pPr>
            <w:r>
              <w:rPr>
                <w:b/>
                <w:noProof/>
              </w:rPr>
              <w:t>PM</w:t>
            </w:r>
            <w:r>
              <w:rPr>
                <w:b/>
                <w:noProof/>
                <w:vertAlign w:val="subscript"/>
              </w:rPr>
              <w:t>2.5</w:t>
            </w:r>
            <w:r>
              <w:rPr>
                <w:b/>
                <w:noProof/>
              </w:rPr>
              <w:t xml:space="preserve"> </w:t>
            </w:r>
            <w:r>
              <w:rPr>
                <w:b/>
                <w:noProof/>
                <w:szCs w:val="24"/>
              </w:rPr>
              <w:t>emissions</w:t>
            </w:r>
          </w:p>
        </w:tc>
        <w:tc>
          <w:tcPr>
            <w:tcW w:w="979" w:type="pct"/>
            <w:noWrap/>
            <w:hideMark/>
          </w:tcPr>
          <w:p w:rsidR="001A26B0" w:rsidRDefault="00E33A99">
            <w:pPr>
              <w:spacing w:after="120"/>
              <w:jc w:val="right"/>
              <w:rPr>
                <w:b/>
                <w:bCs/>
                <w:noProof/>
                <w:szCs w:val="24"/>
              </w:rPr>
            </w:pPr>
            <w:r>
              <w:rPr>
                <w:b/>
                <w:bCs/>
                <w:noProof/>
                <w:szCs w:val="24"/>
              </w:rPr>
              <w:t>2025</w:t>
            </w:r>
          </w:p>
        </w:tc>
        <w:tc>
          <w:tcPr>
            <w:tcW w:w="1182" w:type="pct"/>
            <w:noWrap/>
            <w:hideMark/>
          </w:tcPr>
          <w:p w:rsidR="001A26B0" w:rsidRDefault="00E33A99">
            <w:pPr>
              <w:spacing w:after="120"/>
              <w:jc w:val="right"/>
              <w:rPr>
                <w:b/>
                <w:bCs/>
                <w:noProof/>
                <w:szCs w:val="24"/>
              </w:rPr>
            </w:pPr>
            <w:r>
              <w:rPr>
                <w:b/>
                <w:bCs/>
                <w:noProof/>
                <w:szCs w:val="24"/>
              </w:rPr>
              <w:t>2030</w:t>
            </w:r>
          </w:p>
        </w:tc>
      </w:tr>
      <w:tr w:rsidR="001A26B0">
        <w:trPr>
          <w:trHeight w:val="264"/>
        </w:trPr>
        <w:tc>
          <w:tcPr>
            <w:tcW w:w="2839" w:type="pct"/>
          </w:tcPr>
          <w:p w:rsidR="001A26B0" w:rsidRDefault="00E33A99">
            <w:pPr>
              <w:spacing w:after="120"/>
              <w:rPr>
                <w:b/>
                <w:bCs/>
                <w:noProof/>
                <w:szCs w:val="24"/>
              </w:rPr>
            </w:pPr>
            <w:r>
              <w:rPr>
                <w:b/>
                <w:bCs/>
                <w:noProof/>
                <w:szCs w:val="24"/>
              </w:rPr>
              <w:t>TLC 0</w:t>
            </w:r>
          </w:p>
        </w:tc>
        <w:tc>
          <w:tcPr>
            <w:tcW w:w="979" w:type="pct"/>
            <w:noWrap/>
            <w:vAlign w:val="bottom"/>
          </w:tcPr>
          <w:p w:rsidR="001A26B0" w:rsidRDefault="00E33A99">
            <w:pPr>
              <w:spacing w:after="120"/>
              <w:jc w:val="right"/>
              <w:rPr>
                <w:noProof/>
                <w:szCs w:val="24"/>
              </w:rPr>
            </w:pPr>
            <w:r>
              <w:rPr>
                <w:noProof/>
                <w:szCs w:val="24"/>
              </w:rPr>
              <w:t>27%</w:t>
            </w:r>
          </w:p>
        </w:tc>
        <w:tc>
          <w:tcPr>
            <w:tcW w:w="1182" w:type="pct"/>
            <w:noWrap/>
            <w:vAlign w:val="bottom"/>
          </w:tcPr>
          <w:p w:rsidR="001A26B0" w:rsidRDefault="00E33A99">
            <w:pPr>
              <w:spacing w:after="120"/>
              <w:jc w:val="right"/>
              <w:rPr>
                <w:noProof/>
                <w:szCs w:val="24"/>
              </w:rPr>
            </w:pPr>
            <w:r>
              <w:rPr>
                <w:noProof/>
                <w:szCs w:val="24"/>
              </w:rPr>
              <w:t>31%</w:t>
            </w:r>
          </w:p>
        </w:tc>
      </w:tr>
      <w:tr w:rsidR="001A26B0">
        <w:trPr>
          <w:trHeight w:val="264"/>
        </w:trPr>
        <w:tc>
          <w:tcPr>
            <w:tcW w:w="2839" w:type="pct"/>
          </w:tcPr>
          <w:p w:rsidR="001A26B0" w:rsidRDefault="00E33A99">
            <w:pPr>
              <w:spacing w:after="120"/>
              <w:rPr>
                <w:b/>
                <w:bCs/>
                <w:noProof/>
                <w:szCs w:val="24"/>
              </w:rPr>
            </w:pPr>
            <w:r>
              <w:rPr>
                <w:b/>
                <w:bCs/>
                <w:noProof/>
                <w:szCs w:val="24"/>
              </w:rPr>
              <w:t>TLC20</w:t>
            </w:r>
          </w:p>
        </w:tc>
        <w:tc>
          <w:tcPr>
            <w:tcW w:w="979" w:type="pct"/>
            <w:noWrap/>
            <w:vAlign w:val="bottom"/>
          </w:tcPr>
          <w:p w:rsidR="001A26B0" w:rsidRDefault="00E33A99">
            <w:pPr>
              <w:spacing w:after="120"/>
              <w:jc w:val="right"/>
              <w:rPr>
                <w:noProof/>
                <w:szCs w:val="24"/>
              </w:rPr>
            </w:pPr>
            <w:r>
              <w:rPr>
                <w:noProof/>
                <w:szCs w:val="24"/>
              </w:rPr>
              <w:t>22%</w:t>
            </w:r>
          </w:p>
        </w:tc>
        <w:tc>
          <w:tcPr>
            <w:tcW w:w="1182" w:type="pct"/>
            <w:noWrap/>
            <w:vAlign w:val="bottom"/>
          </w:tcPr>
          <w:p w:rsidR="001A26B0" w:rsidRDefault="00E33A99">
            <w:pPr>
              <w:spacing w:after="120"/>
              <w:jc w:val="right"/>
              <w:rPr>
                <w:noProof/>
                <w:szCs w:val="24"/>
              </w:rPr>
            </w:pPr>
            <w:r>
              <w:rPr>
                <w:noProof/>
                <w:szCs w:val="24"/>
              </w:rPr>
              <w:t>33%</w:t>
            </w:r>
          </w:p>
        </w:tc>
      </w:tr>
      <w:tr w:rsidR="001A26B0">
        <w:trPr>
          <w:trHeight w:val="264"/>
        </w:trPr>
        <w:tc>
          <w:tcPr>
            <w:tcW w:w="2839" w:type="pct"/>
          </w:tcPr>
          <w:p w:rsidR="001A26B0" w:rsidRDefault="00E33A99">
            <w:pPr>
              <w:spacing w:after="120"/>
              <w:rPr>
                <w:b/>
                <w:bCs/>
                <w:noProof/>
                <w:szCs w:val="24"/>
              </w:rPr>
            </w:pPr>
            <w:r>
              <w:rPr>
                <w:b/>
                <w:bCs/>
                <w:noProof/>
                <w:szCs w:val="24"/>
              </w:rPr>
              <w:t>TLC25</w:t>
            </w:r>
          </w:p>
        </w:tc>
        <w:tc>
          <w:tcPr>
            <w:tcW w:w="979" w:type="pct"/>
            <w:noWrap/>
            <w:vAlign w:val="bottom"/>
          </w:tcPr>
          <w:p w:rsidR="001A26B0" w:rsidRDefault="00E33A99">
            <w:pPr>
              <w:spacing w:after="120"/>
              <w:jc w:val="right"/>
              <w:rPr>
                <w:noProof/>
                <w:szCs w:val="24"/>
              </w:rPr>
            </w:pPr>
            <w:r>
              <w:rPr>
                <w:noProof/>
                <w:szCs w:val="24"/>
              </w:rPr>
              <w:t>22%</w:t>
            </w:r>
          </w:p>
        </w:tc>
        <w:tc>
          <w:tcPr>
            <w:tcW w:w="1182" w:type="pct"/>
            <w:noWrap/>
            <w:vAlign w:val="bottom"/>
          </w:tcPr>
          <w:p w:rsidR="001A26B0" w:rsidRDefault="00E33A99">
            <w:pPr>
              <w:spacing w:after="120"/>
              <w:jc w:val="right"/>
              <w:rPr>
                <w:noProof/>
                <w:szCs w:val="24"/>
              </w:rPr>
            </w:pPr>
            <w:r>
              <w:rPr>
                <w:noProof/>
                <w:szCs w:val="24"/>
              </w:rPr>
              <w:t>34%</w:t>
            </w:r>
          </w:p>
        </w:tc>
      </w:tr>
      <w:tr w:rsidR="001A26B0">
        <w:trPr>
          <w:trHeight w:val="264"/>
        </w:trPr>
        <w:tc>
          <w:tcPr>
            <w:tcW w:w="2839" w:type="pct"/>
          </w:tcPr>
          <w:p w:rsidR="001A26B0" w:rsidRDefault="00E33A99">
            <w:pPr>
              <w:spacing w:after="120"/>
              <w:rPr>
                <w:b/>
                <w:bCs/>
                <w:noProof/>
                <w:szCs w:val="24"/>
              </w:rPr>
            </w:pPr>
            <w:r>
              <w:rPr>
                <w:b/>
                <w:bCs/>
                <w:noProof/>
                <w:szCs w:val="24"/>
              </w:rPr>
              <w:t>TLC30</w:t>
            </w:r>
          </w:p>
        </w:tc>
        <w:tc>
          <w:tcPr>
            <w:tcW w:w="979" w:type="pct"/>
            <w:noWrap/>
            <w:vAlign w:val="bottom"/>
          </w:tcPr>
          <w:p w:rsidR="001A26B0" w:rsidRDefault="00E33A99">
            <w:pPr>
              <w:spacing w:after="120"/>
              <w:jc w:val="right"/>
              <w:rPr>
                <w:noProof/>
                <w:szCs w:val="24"/>
              </w:rPr>
            </w:pPr>
            <w:r>
              <w:rPr>
                <w:noProof/>
                <w:szCs w:val="24"/>
              </w:rPr>
              <w:t>22%</w:t>
            </w:r>
          </w:p>
        </w:tc>
        <w:tc>
          <w:tcPr>
            <w:tcW w:w="1182" w:type="pct"/>
            <w:noWrap/>
            <w:vAlign w:val="bottom"/>
          </w:tcPr>
          <w:p w:rsidR="001A26B0" w:rsidRDefault="00E33A99">
            <w:pPr>
              <w:spacing w:after="120"/>
              <w:jc w:val="right"/>
              <w:rPr>
                <w:noProof/>
                <w:szCs w:val="24"/>
              </w:rPr>
            </w:pPr>
            <w:r>
              <w:rPr>
                <w:noProof/>
                <w:szCs w:val="24"/>
              </w:rPr>
              <w:t>35%</w:t>
            </w:r>
          </w:p>
        </w:tc>
      </w:tr>
      <w:tr w:rsidR="001A26B0">
        <w:trPr>
          <w:trHeight w:val="264"/>
        </w:trPr>
        <w:tc>
          <w:tcPr>
            <w:tcW w:w="2839" w:type="pct"/>
          </w:tcPr>
          <w:p w:rsidR="001A26B0" w:rsidRDefault="00E33A99">
            <w:pPr>
              <w:spacing w:after="120"/>
              <w:rPr>
                <w:b/>
                <w:bCs/>
                <w:noProof/>
                <w:szCs w:val="24"/>
              </w:rPr>
            </w:pPr>
            <w:r>
              <w:rPr>
                <w:b/>
                <w:bCs/>
                <w:noProof/>
                <w:szCs w:val="24"/>
              </w:rPr>
              <w:t>TLC40</w:t>
            </w:r>
          </w:p>
        </w:tc>
        <w:tc>
          <w:tcPr>
            <w:tcW w:w="979" w:type="pct"/>
            <w:noWrap/>
            <w:vAlign w:val="bottom"/>
          </w:tcPr>
          <w:p w:rsidR="001A26B0" w:rsidRDefault="00E33A99">
            <w:pPr>
              <w:spacing w:after="120"/>
              <w:jc w:val="right"/>
              <w:rPr>
                <w:noProof/>
                <w:szCs w:val="24"/>
              </w:rPr>
            </w:pPr>
            <w:r>
              <w:rPr>
                <w:noProof/>
                <w:szCs w:val="24"/>
              </w:rPr>
              <w:t>22%</w:t>
            </w:r>
          </w:p>
        </w:tc>
        <w:tc>
          <w:tcPr>
            <w:tcW w:w="1182" w:type="pct"/>
            <w:noWrap/>
            <w:vAlign w:val="bottom"/>
          </w:tcPr>
          <w:p w:rsidR="001A26B0" w:rsidRDefault="00E33A99">
            <w:pPr>
              <w:spacing w:after="120"/>
              <w:jc w:val="right"/>
              <w:rPr>
                <w:noProof/>
                <w:szCs w:val="24"/>
              </w:rPr>
            </w:pPr>
            <w:r>
              <w:rPr>
                <w:noProof/>
                <w:szCs w:val="24"/>
              </w:rPr>
              <w:t>42%</w:t>
            </w:r>
          </w:p>
        </w:tc>
      </w:tr>
      <w:tr w:rsidR="001A26B0">
        <w:trPr>
          <w:trHeight w:val="264"/>
        </w:trPr>
        <w:tc>
          <w:tcPr>
            <w:tcW w:w="2839" w:type="pct"/>
          </w:tcPr>
          <w:p w:rsidR="001A26B0" w:rsidRDefault="00E33A99">
            <w:pPr>
              <w:spacing w:after="120"/>
              <w:rPr>
                <w:b/>
                <w:bCs/>
                <w:noProof/>
                <w:szCs w:val="24"/>
              </w:rPr>
            </w:pPr>
            <w:r>
              <w:rPr>
                <w:b/>
                <w:bCs/>
                <w:noProof/>
                <w:szCs w:val="24"/>
              </w:rPr>
              <w:t>TLC_EP40</w:t>
            </w:r>
          </w:p>
        </w:tc>
        <w:tc>
          <w:tcPr>
            <w:tcW w:w="979" w:type="pct"/>
            <w:noWrap/>
            <w:vAlign w:val="bottom"/>
          </w:tcPr>
          <w:p w:rsidR="001A26B0" w:rsidRDefault="00E33A99">
            <w:pPr>
              <w:spacing w:after="120"/>
              <w:jc w:val="right"/>
              <w:rPr>
                <w:noProof/>
                <w:szCs w:val="24"/>
              </w:rPr>
            </w:pPr>
            <w:r>
              <w:rPr>
                <w:noProof/>
                <w:szCs w:val="24"/>
              </w:rPr>
              <w:t>22%</w:t>
            </w:r>
          </w:p>
        </w:tc>
        <w:tc>
          <w:tcPr>
            <w:tcW w:w="1182" w:type="pct"/>
            <w:noWrap/>
            <w:vAlign w:val="bottom"/>
          </w:tcPr>
          <w:p w:rsidR="001A26B0" w:rsidRDefault="00E33A99">
            <w:pPr>
              <w:spacing w:after="120"/>
              <w:jc w:val="right"/>
              <w:rPr>
                <w:noProof/>
                <w:szCs w:val="24"/>
              </w:rPr>
            </w:pPr>
            <w:r>
              <w:rPr>
                <w:noProof/>
                <w:szCs w:val="24"/>
              </w:rPr>
              <w:t>39%</w:t>
            </w:r>
          </w:p>
        </w:tc>
      </w:tr>
      <w:tr w:rsidR="001A26B0">
        <w:trPr>
          <w:trHeight w:val="264"/>
        </w:trPr>
        <w:tc>
          <w:tcPr>
            <w:tcW w:w="2839" w:type="pct"/>
          </w:tcPr>
          <w:p w:rsidR="001A26B0" w:rsidRDefault="00E33A99">
            <w:pPr>
              <w:spacing w:after="120"/>
              <w:rPr>
                <w:b/>
                <w:bCs/>
                <w:noProof/>
                <w:szCs w:val="24"/>
              </w:rPr>
            </w:pPr>
            <w:r>
              <w:rPr>
                <w:b/>
                <w:bCs/>
                <w:noProof/>
                <w:szCs w:val="24"/>
              </w:rPr>
              <w:t>TLC_EP50</w:t>
            </w:r>
          </w:p>
        </w:tc>
        <w:tc>
          <w:tcPr>
            <w:tcW w:w="979" w:type="pct"/>
            <w:noWrap/>
            <w:vAlign w:val="bottom"/>
          </w:tcPr>
          <w:p w:rsidR="001A26B0" w:rsidRDefault="00E33A99">
            <w:pPr>
              <w:spacing w:after="120"/>
              <w:jc w:val="right"/>
              <w:rPr>
                <w:noProof/>
                <w:szCs w:val="24"/>
              </w:rPr>
            </w:pPr>
            <w:r>
              <w:rPr>
                <w:noProof/>
                <w:szCs w:val="24"/>
              </w:rPr>
              <w:t>22%</w:t>
            </w:r>
          </w:p>
        </w:tc>
        <w:tc>
          <w:tcPr>
            <w:tcW w:w="1182" w:type="pct"/>
            <w:noWrap/>
            <w:vAlign w:val="bottom"/>
          </w:tcPr>
          <w:p w:rsidR="001A26B0" w:rsidRDefault="00E33A99">
            <w:pPr>
              <w:spacing w:after="120"/>
              <w:jc w:val="right"/>
              <w:rPr>
                <w:noProof/>
                <w:szCs w:val="24"/>
              </w:rPr>
            </w:pPr>
            <w:r>
              <w:rPr>
                <w:noProof/>
                <w:szCs w:val="24"/>
              </w:rPr>
              <w:t>41%</w:t>
            </w:r>
          </w:p>
        </w:tc>
      </w:tr>
    </w:tbl>
    <w:p w:rsidR="001A26B0" w:rsidRDefault="00E33A99">
      <w:pPr>
        <w:pStyle w:val="Heading5"/>
        <w:rPr>
          <w:noProof/>
          <w:color w:val="000000" w:themeColor="text1"/>
        </w:rPr>
      </w:pPr>
      <w:r>
        <w:rPr>
          <w:noProof/>
          <w:color w:val="000000" w:themeColor="text1"/>
        </w:rPr>
        <w:t>Vans (TLV)</w:t>
      </w:r>
    </w:p>
    <w:p w:rsidR="001A26B0" w:rsidRDefault="00E33A99">
      <w:pPr>
        <w:spacing w:after="120"/>
        <w:rPr>
          <w:i/>
          <w:noProof/>
          <w:color w:val="000000" w:themeColor="text1"/>
        </w:rPr>
      </w:pPr>
      <w:r>
        <w:rPr>
          <w:i/>
          <w:noProof/>
          <w:color w:val="000000" w:themeColor="text1"/>
        </w:rPr>
        <w:t>CO</w:t>
      </w:r>
      <w:r>
        <w:rPr>
          <w:i/>
          <w:noProof/>
          <w:color w:val="000000" w:themeColor="text1"/>
          <w:vertAlign w:val="subscript"/>
        </w:rPr>
        <w:t>2</w:t>
      </w:r>
      <w:r>
        <w:rPr>
          <w:i/>
          <w:noProof/>
          <w:color w:val="000000" w:themeColor="text1"/>
        </w:rPr>
        <w:t xml:space="preserve"> emissions (tailpipe)</w:t>
      </w:r>
    </w:p>
    <w:p w:rsidR="001A26B0" w:rsidRDefault="00E33A99">
      <w:pPr>
        <w:spacing w:after="120"/>
        <w:rPr>
          <w:noProof/>
          <w:color w:val="000000" w:themeColor="text1"/>
        </w:rPr>
      </w:pPr>
      <w:r>
        <w:rPr>
          <w:noProof/>
          <w:color w:val="000000" w:themeColor="text1"/>
        </w:rPr>
        <w:t xml:space="preserve">Under the baseline (TLV 0), </w:t>
      </w:r>
      <w:r>
        <w:rPr>
          <w:noProof/>
          <w:color w:val="000000" w:themeColor="text1"/>
          <w:szCs w:val="22"/>
        </w:rPr>
        <w:t>tailpipe CO</w:t>
      </w:r>
      <w:r>
        <w:rPr>
          <w:noProof/>
          <w:color w:val="000000" w:themeColor="text1"/>
          <w:szCs w:val="22"/>
          <w:vertAlign w:val="subscript"/>
        </w:rPr>
        <w:t>2</w:t>
      </w:r>
      <w:r>
        <w:rPr>
          <w:noProof/>
          <w:color w:val="000000" w:themeColor="text1"/>
          <w:szCs w:val="22"/>
        </w:rPr>
        <w:t xml:space="preserve"> emissions from vans in the EU-28 are </w:t>
      </w:r>
      <w:r>
        <w:rPr>
          <w:noProof/>
          <w:color w:val="000000" w:themeColor="text1"/>
        </w:rPr>
        <w:t>reduced by 17.4% between 2005 (113 Mt) and 2030 (94 Mt). The reduction is slowing down after 2030 as no new van targets are set beyond 2020.</w:t>
      </w:r>
    </w:p>
    <w:p w:rsidR="001A26B0" w:rsidRDefault="00E33A99">
      <w:pPr>
        <w:spacing w:after="120"/>
        <w:rPr>
          <w:noProof/>
          <w:color w:val="000000" w:themeColor="text1"/>
          <w:szCs w:val="22"/>
        </w:rPr>
      </w:pPr>
      <w:r>
        <w:rPr>
          <w:noProof/>
          <w:color w:val="000000" w:themeColor="text1"/>
          <w:szCs w:val="22"/>
        </w:rPr>
        <w:fldChar w:fldCharType="begin"/>
      </w:r>
      <w:r>
        <w:rPr>
          <w:noProof/>
          <w:color w:val="000000" w:themeColor="text1"/>
          <w:szCs w:val="22"/>
        </w:rPr>
        <w:instrText xml:space="preserve"> REF _Ref493775507 \h  \* MERGEFORMAT</w:instrText>
      </w:r>
      <w:r>
        <w:rPr>
          <w:noProof/>
          <w:color w:val="000000" w:themeColor="text1"/>
          <w:szCs w:val="22"/>
        </w:rPr>
        <w:instrText xml:space="preserve"> </w:instrText>
      </w:r>
      <w:r>
        <w:rPr>
          <w:noProof/>
          <w:color w:val="000000" w:themeColor="text1"/>
          <w:szCs w:val="22"/>
        </w:rPr>
      </w:r>
      <w:r>
        <w:rPr>
          <w:noProof/>
          <w:color w:val="000000" w:themeColor="text1"/>
          <w:szCs w:val="22"/>
        </w:rPr>
        <w:fldChar w:fldCharType="separate"/>
      </w:r>
      <w:r>
        <w:rPr>
          <w:noProof/>
        </w:rPr>
        <w:t>Figure 26</w:t>
      </w:r>
      <w:r>
        <w:rPr>
          <w:noProof/>
          <w:color w:val="000000" w:themeColor="text1"/>
          <w:szCs w:val="22"/>
        </w:rPr>
        <w:fldChar w:fldCharType="end"/>
      </w:r>
      <w:r>
        <w:rPr>
          <w:noProof/>
          <w:color w:val="000000" w:themeColor="text1"/>
          <w:szCs w:val="22"/>
        </w:rPr>
        <w:t xml:space="preserve"> shows </w:t>
      </w:r>
      <w:bookmarkStart w:id="375" w:name="_Ref493587249"/>
      <w:r>
        <w:rPr>
          <w:noProof/>
          <w:color w:val="000000" w:themeColor="text1"/>
          <w:szCs w:val="22"/>
        </w:rPr>
        <w:t>the evolution of the emissions between 2025 and 2040 under the baseline and the TLV policy options compared to 2005. Across the options considered, the additional reductio</w:t>
      </w:r>
      <w:r>
        <w:rPr>
          <w:noProof/>
          <w:color w:val="000000" w:themeColor="text1"/>
          <w:szCs w:val="22"/>
        </w:rPr>
        <w:t>ns in 2030 on top of the baseline range from 4.8 percentage points (TLV20) to 14.1 percentage points (TLV_EP50). In 2040, the range is from 25.6 percentage points (TLV20) to 38.0 percentage points (TLV_EP50).</w:t>
      </w:r>
    </w:p>
    <w:p w:rsidR="001A26B0" w:rsidRDefault="00E33A99">
      <w:pPr>
        <w:keepNext/>
        <w:spacing w:after="120"/>
        <w:rPr>
          <w:b/>
          <w:noProof/>
        </w:rPr>
      </w:pPr>
      <w:bookmarkStart w:id="376" w:name="_Ref493775507"/>
      <w:bookmarkStart w:id="377" w:name="_Toc496688572"/>
      <w:r>
        <w:rPr>
          <w:b/>
          <w:noProof/>
        </w:rPr>
        <w:t xml:space="preserve">Figure </w:t>
      </w:r>
      <w:r>
        <w:rPr>
          <w:b/>
          <w:noProof/>
        </w:rPr>
        <w:fldChar w:fldCharType="begin"/>
      </w:r>
      <w:r>
        <w:rPr>
          <w:b/>
          <w:noProof/>
        </w:rPr>
        <w:instrText xml:space="preserve"> SEQ Figure \* ARABIC </w:instrText>
      </w:r>
      <w:r>
        <w:rPr>
          <w:b/>
          <w:noProof/>
        </w:rPr>
        <w:fldChar w:fldCharType="separate"/>
      </w:r>
      <w:r>
        <w:rPr>
          <w:b/>
          <w:noProof/>
        </w:rPr>
        <w:t>26</w:t>
      </w:r>
      <w:r>
        <w:rPr>
          <w:b/>
          <w:noProof/>
        </w:rPr>
        <w:fldChar w:fldCharType="end"/>
      </w:r>
      <w:bookmarkEnd w:id="375"/>
      <w:bookmarkEnd w:id="376"/>
      <w:r>
        <w:rPr>
          <w:b/>
          <w:noProof/>
        </w:rPr>
        <w:t xml:space="preserve">: (Tailpipe) </w:t>
      </w:r>
      <w:r>
        <w:rPr>
          <w:b/>
          <w:noProof/>
        </w:rPr>
        <w:t>CO</w:t>
      </w:r>
      <w:r>
        <w:rPr>
          <w:b/>
          <w:noProof/>
          <w:vertAlign w:val="subscript"/>
        </w:rPr>
        <w:t>2</w:t>
      </w:r>
      <w:r>
        <w:rPr>
          <w:b/>
          <w:noProof/>
        </w:rPr>
        <w:t xml:space="preserve"> emissions of vans in EU-28 - % reduction compared to 2005</w:t>
      </w:r>
      <w:bookmarkEnd w:id="377"/>
      <w:r>
        <w:rPr>
          <w:b/>
          <w:noProof/>
        </w:rPr>
        <w:t xml:space="preserve"> </w:t>
      </w:r>
    </w:p>
    <w:p w:rsidR="001A26B0" w:rsidRDefault="00E33A99">
      <w:pPr>
        <w:jc w:val="center"/>
        <w:rPr>
          <w:noProof/>
        </w:rPr>
      </w:pPr>
      <w:r>
        <w:rPr>
          <w:noProof/>
          <w:lang w:eastAsia="en-GB"/>
        </w:rPr>
        <w:drawing>
          <wp:inline distT="0" distB="0" distL="0" distR="0">
            <wp:extent cx="5080000" cy="3601332"/>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80000" cy="3601332"/>
                    </a:xfrm>
                    <a:prstGeom prst="rect">
                      <a:avLst/>
                    </a:prstGeom>
                    <a:noFill/>
                  </pic:spPr>
                </pic:pic>
              </a:graphicData>
            </a:graphic>
          </wp:inline>
        </w:drawing>
      </w:r>
    </w:p>
    <w:p w:rsidR="001A26B0" w:rsidRDefault="00E33A99">
      <w:pPr>
        <w:spacing w:after="120"/>
        <w:rPr>
          <w:noProof/>
          <w:szCs w:val="22"/>
        </w:rPr>
      </w:pPr>
      <w:r>
        <w:rPr>
          <w:noProof/>
          <w:szCs w:val="22"/>
        </w:rPr>
        <w:fldChar w:fldCharType="begin"/>
      </w:r>
      <w:r>
        <w:rPr>
          <w:noProof/>
          <w:szCs w:val="22"/>
        </w:rPr>
        <w:instrText xml:space="preserve"> REF _Ref493615980 \h </w:instrText>
      </w:r>
      <w:r>
        <w:rPr>
          <w:noProof/>
          <w:szCs w:val="22"/>
        </w:rPr>
      </w:r>
      <w:r>
        <w:rPr>
          <w:noProof/>
          <w:szCs w:val="22"/>
        </w:rPr>
        <w:fldChar w:fldCharType="separate"/>
      </w:r>
      <w:r>
        <w:rPr>
          <w:noProof/>
        </w:rPr>
        <w:t>Figure 27</w:t>
      </w:r>
      <w:r>
        <w:rPr>
          <w:noProof/>
          <w:szCs w:val="22"/>
        </w:rPr>
        <w:fldChar w:fldCharType="end"/>
      </w:r>
      <w:r>
        <w:rPr>
          <w:noProof/>
          <w:szCs w:val="22"/>
        </w:rPr>
        <w:t xml:space="preserve"> shows the reduction of the cumulative CO</w:t>
      </w:r>
      <w:r>
        <w:rPr>
          <w:noProof/>
          <w:szCs w:val="22"/>
          <w:vertAlign w:val="subscript"/>
        </w:rPr>
        <w:t>2</w:t>
      </w:r>
      <w:r>
        <w:rPr>
          <w:noProof/>
          <w:szCs w:val="22"/>
        </w:rPr>
        <w:t xml:space="preserve"> emissions over the period 2020-2040 (compared to </w:t>
      </w:r>
      <w:r>
        <w:rPr>
          <w:noProof/>
          <w:szCs w:val="22"/>
        </w:rPr>
        <w:t>the baseline) for the different scenarios. For vans, these emission reductions range from about 200 Mt (TLV20) up to nearly 400 Mt (TLV_EP50).</w:t>
      </w:r>
    </w:p>
    <w:p w:rsidR="001A26B0" w:rsidRDefault="00E33A99">
      <w:pPr>
        <w:pStyle w:val="Caption"/>
        <w:keepNext/>
        <w:rPr>
          <w:noProof/>
        </w:rPr>
      </w:pPr>
      <w:bookmarkStart w:id="378" w:name="_Ref493615980"/>
      <w:bookmarkStart w:id="379" w:name="_Toc496688573"/>
      <w:r>
        <w:rPr>
          <w:noProof/>
        </w:rPr>
        <w:t xml:space="preserve">Figure </w:t>
      </w:r>
      <w:r>
        <w:rPr>
          <w:noProof/>
        </w:rPr>
        <w:fldChar w:fldCharType="begin"/>
      </w:r>
      <w:r>
        <w:rPr>
          <w:noProof/>
        </w:rPr>
        <w:instrText xml:space="preserve"> SEQ Figure \* ARABIC </w:instrText>
      </w:r>
      <w:r>
        <w:rPr>
          <w:noProof/>
        </w:rPr>
        <w:fldChar w:fldCharType="separate"/>
      </w:r>
      <w:r>
        <w:rPr>
          <w:noProof/>
        </w:rPr>
        <w:t>27</w:t>
      </w:r>
      <w:r>
        <w:rPr>
          <w:noProof/>
        </w:rPr>
        <w:fldChar w:fldCharType="end"/>
      </w:r>
      <w:bookmarkEnd w:id="378"/>
      <w:r>
        <w:rPr>
          <w:noProof/>
        </w:rPr>
        <w:t>: Cumulative (tailpipe) 2020-2040 CO</w:t>
      </w:r>
      <w:r>
        <w:rPr>
          <w:noProof/>
          <w:vertAlign w:val="subscript"/>
        </w:rPr>
        <w:t>2</w:t>
      </w:r>
      <w:r>
        <w:rPr>
          <w:noProof/>
        </w:rPr>
        <w:t xml:space="preserve"> emissions of vans for EU-28 – emission re</w:t>
      </w:r>
      <w:r>
        <w:rPr>
          <w:noProof/>
        </w:rPr>
        <w:t>duction from the baseline (kt)</w:t>
      </w:r>
      <w:bookmarkEnd w:id="379"/>
    </w:p>
    <w:p w:rsidR="001A26B0" w:rsidRDefault="00E33A99">
      <w:pPr>
        <w:jc w:val="center"/>
        <w:rPr>
          <w:noProof/>
        </w:rPr>
      </w:pPr>
      <w:r>
        <w:rPr>
          <w:noProof/>
          <w:lang w:eastAsia="en-GB"/>
        </w:rPr>
        <w:drawing>
          <wp:inline distT="0" distB="0" distL="0" distR="0">
            <wp:extent cx="5080000" cy="3601332"/>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80000" cy="3601332"/>
                    </a:xfrm>
                    <a:prstGeom prst="rect">
                      <a:avLst/>
                    </a:prstGeom>
                    <a:noFill/>
                  </pic:spPr>
                </pic:pic>
              </a:graphicData>
            </a:graphic>
          </wp:inline>
        </w:drawing>
      </w:r>
    </w:p>
    <w:p w:rsidR="001A26B0" w:rsidRDefault="00E33A99">
      <w:pPr>
        <w:spacing w:after="120"/>
        <w:rPr>
          <w:i/>
          <w:noProof/>
          <w:color w:val="000000" w:themeColor="text1"/>
        </w:rPr>
      </w:pPr>
      <w:r>
        <w:rPr>
          <w:i/>
          <w:noProof/>
          <w:color w:val="000000" w:themeColor="text1"/>
        </w:rPr>
        <w:t>CO</w:t>
      </w:r>
      <w:r>
        <w:rPr>
          <w:i/>
          <w:noProof/>
          <w:color w:val="000000" w:themeColor="text1"/>
          <w:vertAlign w:val="subscript"/>
        </w:rPr>
        <w:t>2</w:t>
      </w:r>
      <w:r>
        <w:rPr>
          <w:i/>
          <w:noProof/>
          <w:color w:val="000000" w:themeColor="text1"/>
        </w:rPr>
        <w:t xml:space="preserve"> emissions (WTW)</w:t>
      </w:r>
    </w:p>
    <w:p w:rsidR="001A26B0" w:rsidRDefault="00E33A99">
      <w:pPr>
        <w:spacing w:after="120"/>
        <w:rPr>
          <w:noProof/>
          <w:color w:val="000000" w:themeColor="text1"/>
          <w:szCs w:val="22"/>
        </w:rPr>
      </w:pPr>
      <w:r>
        <w:rPr>
          <w:noProof/>
          <w:color w:val="000000" w:themeColor="text1"/>
          <w:szCs w:val="22"/>
        </w:rPr>
        <w:t>When considering the well-to-wheel CO</w:t>
      </w:r>
      <w:r>
        <w:rPr>
          <w:noProof/>
          <w:color w:val="000000" w:themeColor="text1"/>
          <w:szCs w:val="22"/>
          <w:vertAlign w:val="subscript"/>
        </w:rPr>
        <w:t>2</w:t>
      </w:r>
      <w:r>
        <w:rPr>
          <w:noProof/>
          <w:color w:val="000000" w:themeColor="text1"/>
          <w:szCs w:val="22"/>
        </w:rPr>
        <w:t xml:space="preserve"> emissions, the trends are very similar, with slightly lower emission reductions. Under the baseline, emissions reduce by 16</w:t>
      </w:r>
      <w:r>
        <w:rPr>
          <w:noProof/>
          <w:color w:val="000000" w:themeColor="text1"/>
        </w:rPr>
        <w:t xml:space="preserve">% between 2005 (137 Mt) and 2030 (114 Mt). </w:t>
      </w:r>
    </w:p>
    <w:p w:rsidR="001A26B0" w:rsidRDefault="00E33A99">
      <w:pPr>
        <w:spacing w:after="120"/>
        <w:rPr>
          <w:noProof/>
          <w:color w:val="000000" w:themeColor="text1"/>
          <w:szCs w:val="22"/>
        </w:rPr>
      </w:pPr>
      <w:r>
        <w:rPr>
          <w:noProof/>
          <w:color w:val="000000" w:themeColor="text1"/>
          <w:szCs w:val="22"/>
        </w:rPr>
        <w:t xml:space="preserve">Across the options considered, the additional reductions in 2030 on top of the baseline range from 4.4 percentage points (TLV20) to 12.3 percentage points (TLV_EP50). In 2040, the range is from 23.2 percentage </w:t>
      </w:r>
      <w:r>
        <w:rPr>
          <w:noProof/>
          <w:color w:val="000000" w:themeColor="text1"/>
          <w:szCs w:val="22"/>
        </w:rPr>
        <w:t>points (TLV20) to 33.8 percentage points (TLV_EP50).</w:t>
      </w:r>
    </w:p>
    <w:p w:rsidR="001A26B0" w:rsidRDefault="00E33A99">
      <w:pPr>
        <w:spacing w:after="120"/>
        <w:rPr>
          <w:i/>
          <w:noProof/>
          <w:color w:val="000000" w:themeColor="text1"/>
          <w:szCs w:val="24"/>
        </w:rPr>
      </w:pPr>
      <w:r>
        <w:rPr>
          <w:i/>
          <w:noProof/>
          <w:color w:val="000000" w:themeColor="text1"/>
          <w:szCs w:val="24"/>
        </w:rPr>
        <w:t>Air pollutant emissions</w:t>
      </w:r>
    </w:p>
    <w:p w:rsidR="001A26B0" w:rsidRDefault="00E33A99">
      <w:pPr>
        <w:spacing w:after="120"/>
        <w:rPr>
          <w:noProof/>
          <w:color w:val="000000" w:themeColor="text1"/>
          <w:szCs w:val="24"/>
        </w:rPr>
      </w:pPr>
      <w:r>
        <w:rPr>
          <w:noProof/>
          <w:color w:val="000000" w:themeColor="text1"/>
          <w:szCs w:val="24"/>
        </w:rPr>
        <w:t>Due to the change in fleet composition under the different policy options concerning the fleet-wide CO</w:t>
      </w:r>
      <w:r>
        <w:rPr>
          <w:noProof/>
          <w:color w:val="000000" w:themeColor="text1"/>
          <w:szCs w:val="24"/>
          <w:vertAlign w:val="subscript"/>
        </w:rPr>
        <w:t>2</w:t>
      </w:r>
      <w:r>
        <w:rPr>
          <w:noProof/>
          <w:color w:val="000000" w:themeColor="text1"/>
          <w:szCs w:val="24"/>
        </w:rPr>
        <w:t xml:space="preserve"> target, also the emissions of air pollutants are affected. Under the baseli</w:t>
      </w:r>
      <w:r>
        <w:rPr>
          <w:noProof/>
          <w:color w:val="000000" w:themeColor="text1"/>
          <w:szCs w:val="24"/>
        </w:rPr>
        <w:t xml:space="preserve">ne and TLV options, compared to 2020, emissions of nitrogen oxides and particulate matter (PM2.5) from vans are reduced as shown in the tables below.  </w:t>
      </w:r>
    </w:p>
    <w:p w:rsidR="001A26B0" w:rsidRDefault="00E33A99">
      <w:pPr>
        <w:pStyle w:val="Heading6"/>
        <w:numPr>
          <w:ilvl w:val="0"/>
          <w:numId w:val="0"/>
        </w:numPr>
        <w:rPr>
          <w:b/>
          <w:i w:val="0"/>
          <w:noProof/>
          <w:color w:val="000000" w:themeColor="text1"/>
          <w:szCs w:val="22"/>
        </w:rPr>
      </w:pPr>
      <w:r>
        <w:rPr>
          <w:b/>
          <w:i w:val="0"/>
          <w:noProof/>
        </w:rPr>
        <w:t xml:space="preserve">Table </w:t>
      </w:r>
      <w:r>
        <w:rPr>
          <w:b/>
          <w:i w:val="0"/>
          <w:noProof/>
        </w:rPr>
        <w:fldChar w:fldCharType="begin"/>
      </w:r>
      <w:r>
        <w:rPr>
          <w:b/>
          <w:i w:val="0"/>
          <w:noProof/>
        </w:rPr>
        <w:instrText xml:space="preserve"> SEQ Table \* ARABIC </w:instrText>
      </w:r>
      <w:r>
        <w:rPr>
          <w:b/>
          <w:i w:val="0"/>
          <w:noProof/>
        </w:rPr>
        <w:fldChar w:fldCharType="separate"/>
      </w:r>
      <w:r>
        <w:rPr>
          <w:b/>
          <w:i w:val="0"/>
          <w:noProof/>
        </w:rPr>
        <w:t>31</w:t>
      </w:r>
      <w:r>
        <w:rPr>
          <w:b/>
          <w:i w:val="0"/>
          <w:noProof/>
        </w:rPr>
        <w:fldChar w:fldCharType="end"/>
      </w:r>
      <w:r>
        <w:rPr>
          <w:b/>
          <w:i w:val="0"/>
          <w:noProof/>
        </w:rPr>
        <w:t xml:space="preserve">: </w:t>
      </w:r>
      <w:r>
        <w:rPr>
          <w:b/>
          <w:i w:val="0"/>
          <w:noProof/>
          <w:color w:val="000000" w:themeColor="text1"/>
        </w:rPr>
        <w:t>NO</w:t>
      </w:r>
      <w:r>
        <w:rPr>
          <w:b/>
          <w:i w:val="0"/>
          <w:noProof/>
          <w:color w:val="000000" w:themeColor="text1"/>
          <w:vertAlign w:val="subscript"/>
        </w:rPr>
        <w:t>x</w:t>
      </w:r>
      <w:r>
        <w:rPr>
          <w:b/>
          <w:i w:val="0"/>
          <w:noProof/>
          <w:color w:val="000000" w:themeColor="text1"/>
        </w:rPr>
        <w:t xml:space="preserve"> emissions of vans in EU-28 - % reduction compared to 2020</w:t>
      </w:r>
    </w:p>
    <w:tbl>
      <w:tblPr>
        <w:tblStyle w:val="TableGrid"/>
        <w:tblW w:w="2567" w:type="pct"/>
        <w:tblLook w:val="04A0" w:firstRow="1" w:lastRow="0" w:firstColumn="1" w:lastColumn="0" w:noHBand="0" w:noVBand="1"/>
      </w:tblPr>
      <w:tblGrid>
        <w:gridCol w:w="2512"/>
        <w:gridCol w:w="1075"/>
        <w:gridCol w:w="946"/>
      </w:tblGrid>
      <w:tr w:rsidR="001A26B0">
        <w:trPr>
          <w:trHeight w:val="264"/>
        </w:trPr>
        <w:tc>
          <w:tcPr>
            <w:tcW w:w="2771" w:type="pct"/>
          </w:tcPr>
          <w:p w:rsidR="001A26B0" w:rsidRDefault="00E33A99">
            <w:pPr>
              <w:spacing w:after="120"/>
              <w:rPr>
                <w:b/>
                <w:noProof/>
                <w:color w:val="000000" w:themeColor="text1"/>
                <w:szCs w:val="24"/>
              </w:rPr>
            </w:pPr>
            <w:r>
              <w:rPr>
                <w:b/>
                <w:noProof/>
                <w:color w:val="000000" w:themeColor="text1"/>
                <w:szCs w:val="24"/>
              </w:rPr>
              <w:t>NO</w:t>
            </w:r>
            <w:r>
              <w:rPr>
                <w:b/>
                <w:noProof/>
                <w:color w:val="000000" w:themeColor="text1"/>
                <w:szCs w:val="24"/>
                <w:vertAlign w:val="subscript"/>
              </w:rPr>
              <w:t>x</w:t>
            </w:r>
            <w:r>
              <w:rPr>
                <w:b/>
                <w:noProof/>
                <w:color w:val="000000" w:themeColor="text1"/>
                <w:szCs w:val="24"/>
              </w:rPr>
              <w:t xml:space="preserve"> emis</w:t>
            </w:r>
            <w:r>
              <w:rPr>
                <w:b/>
                <w:noProof/>
                <w:color w:val="000000" w:themeColor="text1"/>
                <w:szCs w:val="24"/>
              </w:rPr>
              <w:t>sions</w:t>
            </w:r>
          </w:p>
        </w:tc>
        <w:tc>
          <w:tcPr>
            <w:tcW w:w="1186" w:type="pct"/>
          </w:tcPr>
          <w:p w:rsidR="001A26B0" w:rsidRDefault="00E33A99">
            <w:pPr>
              <w:spacing w:after="120"/>
              <w:jc w:val="center"/>
              <w:rPr>
                <w:b/>
                <w:noProof/>
                <w:color w:val="000000" w:themeColor="text1"/>
                <w:szCs w:val="24"/>
              </w:rPr>
            </w:pPr>
            <w:r>
              <w:rPr>
                <w:b/>
                <w:bCs/>
                <w:noProof/>
                <w:color w:val="000000" w:themeColor="text1"/>
                <w:szCs w:val="24"/>
              </w:rPr>
              <w:t>2025</w:t>
            </w:r>
          </w:p>
        </w:tc>
        <w:tc>
          <w:tcPr>
            <w:tcW w:w="1043" w:type="pct"/>
          </w:tcPr>
          <w:p w:rsidR="001A26B0" w:rsidRDefault="00E33A99">
            <w:pPr>
              <w:spacing w:after="120"/>
              <w:jc w:val="center"/>
              <w:rPr>
                <w:b/>
                <w:noProof/>
                <w:color w:val="000000" w:themeColor="text1"/>
                <w:szCs w:val="24"/>
              </w:rPr>
            </w:pPr>
            <w:r>
              <w:rPr>
                <w:b/>
                <w:bCs/>
                <w:noProof/>
                <w:color w:val="000000" w:themeColor="text1"/>
                <w:szCs w:val="24"/>
              </w:rPr>
              <w:t>2030</w:t>
            </w:r>
          </w:p>
        </w:tc>
      </w:tr>
      <w:tr w:rsidR="001A26B0">
        <w:trPr>
          <w:trHeight w:val="264"/>
        </w:trPr>
        <w:tc>
          <w:tcPr>
            <w:tcW w:w="2771" w:type="pct"/>
          </w:tcPr>
          <w:p w:rsidR="001A26B0" w:rsidRDefault="00E33A99">
            <w:pPr>
              <w:spacing w:after="120"/>
              <w:rPr>
                <w:bCs/>
                <w:noProof/>
                <w:color w:val="000000" w:themeColor="text1"/>
                <w:szCs w:val="24"/>
              </w:rPr>
            </w:pPr>
            <w:r>
              <w:rPr>
                <w:bCs/>
                <w:noProof/>
                <w:color w:val="000000" w:themeColor="text1"/>
                <w:szCs w:val="24"/>
              </w:rPr>
              <w:t>TLV 0</w:t>
            </w:r>
          </w:p>
        </w:tc>
        <w:tc>
          <w:tcPr>
            <w:tcW w:w="1186" w:type="pct"/>
            <w:vAlign w:val="bottom"/>
          </w:tcPr>
          <w:p w:rsidR="001A26B0" w:rsidRDefault="00E33A99">
            <w:pPr>
              <w:spacing w:after="120"/>
              <w:jc w:val="center"/>
              <w:rPr>
                <w:bCs/>
                <w:noProof/>
                <w:color w:val="000000" w:themeColor="text1"/>
                <w:szCs w:val="24"/>
              </w:rPr>
            </w:pPr>
            <w:r>
              <w:rPr>
                <w:noProof/>
                <w:color w:val="000000" w:themeColor="text1"/>
                <w:szCs w:val="16"/>
                <w:lang w:eastAsia="en-GB"/>
              </w:rPr>
              <w:t>22%</w:t>
            </w:r>
          </w:p>
        </w:tc>
        <w:tc>
          <w:tcPr>
            <w:tcW w:w="1043" w:type="pct"/>
            <w:vAlign w:val="bottom"/>
          </w:tcPr>
          <w:p w:rsidR="001A26B0" w:rsidRDefault="00E33A99">
            <w:pPr>
              <w:spacing w:after="120"/>
              <w:jc w:val="center"/>
              <w:rPr>
                <w:bCs/>
                <w:noProof/>
                <w:color w:val="000000" w:themeColor="text1"/>
                <w:szCs w:val="24"/>
              </w:rPr>
            </w:pPr>
            <w:r>
              <w:rPr>
                <w:noProof/>
                <w:color w:val="000000" w:themeColor="text1"/>
                <w:szCs w:val="16"/>
                <w:lang w:eastAsia="en-GB"/>
              </w:rPr>
              <w:t>31%</w:t>
            </w:r>
          </w:p>
        </w:tc>
      </w:tr>
      <w:tr w:rsidR="001A26B0">
        <w:trPr>
          <w:trHeight w:val="264"/>
        </w:trPr>
        <w:tc>
          <w:tcPr>
            <w:tcW w:w="2771" w:type="pct"/>
          </w:tcPr>
          <w:p w:rsidR="001A26B0" w:rsidRDefault="00E33A99">
            <w:pPr>
              <w:spacing w:after="120"/>
              <w:rPr>
                <w:bCs/>
                <w:noProof/>
                <w:color w:val="000000" w:themeColor="text1"/>
                <w:szCs w:val="24"/>
              </w:rPr>
            </w:pPr>
            <w:r>
              <w:rPr>
                <w:noProof/>
                <w:color w:val="000000" w:themeColor="text1"/>
                <w:szCs w:val="24"/>
              </w:rPr>
              <w:t>TLV20</w:t>
            </w:r>
          </w:p>
        </w:tc>
        <w:tc>
          <w:tcPr>
            <w:tcW w:w="1186" w:type="pct"/>
            <w:vAlign w:val="bottom"/>
          </w:tcPr>
          <w:p w:rsidR="001A26B0" w:rsidRDefault="00E33A99">
            <w:pPr>
              <w:spacing w:after="120"/>
              <w:jc w:val="center"/>
              <w:rPr>
                <w:bCs/>
                <w:noProof/>
                <w:color w:val="000000" w:themeColor="text1"/>
                <w:szCs w:val="24"/>
              </w:rPr>
            </w:pPr>
            <w:r>
              <w:rPr>
                <w:noProof/>
                <w:color w:val="000000" w:themeColor="text1"/>
                <w:szCs w:val="16"/>
                <w:lang w:eastAsia="en-GB"/>
              </w:rPr>
              <w:t>23%</w:t>
            </w:r>
          </w:p>
        </w:tc>
        <w:tc>
          <w:tcPr>
            <w:tcW w:w="1043" w:type="pct"/>
            <w:vAlign w:val="bottom"/>
          </w:tcPr>
          <w:p w:rsidR="001A26B0" w:rsidRDefault="00E33A99">
            <w:pPr>
              <w:spacing w:after="120"/>
              <w:jc w:val="center"/>
              <w:rPr>
                <w:bCs/>
                <w:noProof/>
                <w:color w:val="000000" w:themeColor="text1"/>
                <w:szCs w:val="24"/>
              </w:rPr>
            </w:pPr>
            <w:r>
              <w:rPr>
                <w:noProof/>
                <w:color w:val="000000" w:themeColor="text1"/>
                <w:szCs w:val="16"/>
                <w:lang w:eastAsia="en-GB"/>
              </w:rPr>
              <w:t>33%</w:t>
            </w:r>
          </w:p>
        </w:tc>
      </w:tr>
      <w:tr w:rsidR="001A26B0">
        <w:trPr>
          <w:trHeight w:val="264"/>
        </w:trPr>
        <w:tc>
          <w:tcPr>
            <w:tcW w:w="2771" w:type="pct"/>
          </w:tcPr>
          <w:p w:rsidR="001A26B0" w:rsidRDefault="00E33A99">
            <w:pPr>
              <w:spacing w:after="120"/>
              <w:rPr>
                <w:bCs/>
                <w:noProof/>
                <w:color w:val="000000" w:themeColor="text1"/>
                <w:szCs w:val="24"/>
              </w:rPr>
            </w:pPr>
            <w:r>
              <w:rPr>
                <w:noProof/>
                <w:color w:val="000000" w:themeColor="text1"/>
                <w:szCs w:val="24"/>
              </w:rPr>
              <w:t>TLV25</w:t>
            </w:r>
          </w:p>
        </w:tc>
        <w:tc>
          <w:tcPr>
            <w:tcW w:w="1186" w:type="pct"/>
            <w:vAlign w:val="bottom"/>
          </w:tcPr>
          <w:p w:rsidR="001A26B0" w:rsidRDefault="00E33A99">
            <w:pPr>
              <w:spacing w:after="120"/>
              <w:jc w:val="center"/>
              <w:rPr>
                <w:bCs/>
                <w:noProof/>
                <w:color w:val="000000" w:themeColor="text1"/>
                <w:szCs w:val="24"/>
              </w:rPr>
            </w:pPr>
            <w:r>
              <w:rPr>
                <w:noProof/>
                <w:color w:val="000000" w:themeColor="text1"/>
                <w:szCs w:val="16"/>
                <w:lang w:eastAsia="en-GB"/>
              </w:rPr>
              <w:t>23%</w:t>
            </w:r>
          </w:p>
        </w:tc>
        <w:tc>
          <w:tcPr>
            <w:tcW w:w="1043" w:type="pct"/>
            <w:vAlign w:val="bottom"/>
          </w:tcPr>
          <w:p w:rsidR="001A26B0" w:rsidRDefault="00E33A99">
            <w:pPr>
              <w:spacing w:after="120"/>
              <w:jc w:val="center"/>
              <w:rPr>
                <w:bCs/>
                <w:noProof/>
                <w:color w:val="000000" w:themeColor="text1"/>
                <w:szCs w:val="24"/>
              </w:rPr>
            </w:pPr>
            <w:r>
              <w:rPr>
                <w:noProof/>
                <w:color w:val="000000" w:themeColor="text1"/>
                <w:szCs w:val="16"/>
                <w:lang w:eastAsia="en-GB"/>
              </w:rPr>
              <w:t>33%</w:t>
            </w:r>
          </w:p>
        </w:tc>
      </w:tr>
      <w:tr w:rsidR="001A26B0">
        <w:trPr>
          <w:trHeight w:val="264"/>
        </w:trPr>
        <w:tc>
          <w:tcPr>
            <w:tcW w:w="2771" w:type="pct"/>
          </w:tcPr>
          <w:p w:rsidR="001A26B0" w:rsidRDefault="00E33A99">
            <w:pPr>
              <w:spacing w:after="120"/>
              <w:rPr>
                <w:bCs/>
                <w:noProof/>
                <w:color w:val="000000" w:themeColor="text1"/>
                <w:szCs w:val="24"/>
              </w:rPr>
            </w:pPr>
            <w:r>
              <w:rPr>
                <w:noProof/>
                <w:color w:val="000000" w:themeColor="text1"/>
                <w:szCs w:val="24"/>
              </w:rPr>
              <w:t>TLV40</w:t>
            </w:r>
          </w:p>
        </w:tc>
        <w:tc>
          <w:tcPr>
            <w:tcW w:w="1186" w:type="pct"/>
            <w:vAlign w:val="bottom"/>
          </w:tcPr>
          <w:p w:rsidR="001A26B0" w:rsidRDefault="00E33A99">
            <w:pPr>
              <w:spacing w:after="120"/>
              <w:jc w:val="center"/>
              <w:rPr>
                <w:bCs/>
                <w:noProof/>
                <w:color w:val="000000" w:themeColor="text1"/>
                <w:szCs w:val="24"/>
              </w:rPr>
            </w:pPr>
            <w:r>
              <w:rPr>
                <w:noProof/>
                <w:color w:val="000000" w:themeColor="text1"/>
                <w:szCs w:val="16"/>
                <w:lang w:eastAsia="en-GB"/>
              </w:rPr>
              <w:t>24%</w:t>
            </w:r>
          </w:p>
        </w:tc>
        <w:tc>
          <w:tcPr>
            <w:tcW w:w="1043" w:type="pct"/>
            <w:vAlign w:val="bottom"/>
          </w:tcPr>
          <w:p w:rsidR="001A26B0" w:rsidRDefault="00E33A99">
            <w:pPr>
              <w:spacing w:after="120"/>
              <w:jc w:val="center"/>
              <w:rPr>
                <w:bCs/>
                <w:noProof/>
                <w:color w:val="000000" w:themeColor="text1"/>
                <w:szCs w:val="24"/>
              </w:rPr>
            </w:pPr>
            <w:r>
              <w:rPr>
                <w:noProof/>
                <w:color w:val="000000" w:themeColor="text1"/>
                <w:szCs w:val="16"/>
                <w:lang w:eastAsia="en-GB"/>
              </w:rPr>
              <w:t>36%</w:t>
            </w:r>
          </w:p>
        </w:tc>
      </w:tr>
      <w:tr w:rsidR="001A26B0">
        <w:trPr>
          <w:trHeight w:val="264"/>
        </w:trPr>
        <w:tc>
          <w:tcPr>
            <w:tcW w:w="2771" w:type="pct"/>
          </w:tcPr>
          <w:p w:rsidR="001A26B0" w:rsidRDefault="00E33A99">
            <w:pPr>
              <w:spacing w:after="120"/>
              <w:rPr>
                <w:b/>
                <w:bCs/>
                <w:noProof/>
                <w:color w:val="000000" w:themeColor="text1"/>
                <w:szCs w:val="24"/>
              </w:rPr>
            </w:pPr>
            <w:r>
              <w:rPr>
                <w:noProof/>
                <w:color w:val="000000" w:themeColor="text1"/>
                <w:szCs w:val="24"/>
              </w:rPr>
              <w:t>TLV_EP40</w:t>
            </w:r>
          </w:p>
        </w:tc>
        <w:tc>
          <w:tcPr>
            <w:tcW w:w="1186" w:type="pct"/>
            <w:vAlign w:val="bottom"/>
          </w:tcPr>
          <w:p w:rsidR="001A26B0" w:rsidRDefault="00E33A99">
            <w:pPr>
              <w:spacing w:after="120"/>
              <w:jc w:val="center"/>
              <w:rPr>
                <w:b/>
                <w:bCs/>
                <w:noProof/>
                <w:color w:val="000000" w:themeColor="text1"/>
                <w:szCs w:val="24"/>
              </w:rPr>
            </w:pPr>
            <w:r>
              <w:rPr>
                <w:noProof/>
                <w:color w:val="000000" w:themeColor="text1"/>
                <w:szCs w:val="16"/>
                <w:lang w:eastAsia="en-GB"/>
              </w:rPr>
              <w:t>25%</w:t>
            </w:r>
          </w:p>
        </w:tc>
        <w:tc>
          <w:tcPr>
            <w:tcW w:w="1043" w:type="pct"/>
            <w:vAlign w:val="bottom"/>
          </w:tcPr>
          <w:p w:rsidR="001A26B0" w:rsidRDefault="00E33A99">
            <w:pPr>
              <w:spacing w:after="120"/>
              <w:jc w:val="center"/>
              <w:rPr>
                <w:b/>
                <w:bCs/>
                <w:noProof/>
                <w:color w:val="000000" w:themeColor="text1"/>
                <w:szCs w:val="24"/>
              </w:rPr>
            </w:pPr>
            <w:r>
              <w:rPr>
                <w:noProof/>
                <w:color w:val="000000" w:themeColor="text1"/>
                <w:szCs w:val="16"/>
                <w:lang w:eastAsia="en-GB"/>
              </w:rPr>
              <w:t>37%</w:t>
            </w:r>
          </w:p>
        </w:tc>
      </w:tr>
      <w:tr w:rsidR="001A26B0">
        <w:trPr>
          <w:trHeight w:val="264"/>
        </w:trPr>
        <w:tc>
          <w:tcPr>
            <w:tcW w:w="2771" w:type="pct"/>
          </w:tcPr>
          <w:p w:rsidR="001A26B0" w:rsidRDefault="00E33A99">
            <w:pPr>
              <w:spacing w:after="120"/>
              <w:rPr>
                <w:b/>
                <w:bCs/>
                <w:noProof/>
                <w:color w:val="000000" w:themeColor="text1"/>
                <w:szCs w:val="24"/>
              </w:rPr>
            </w:pPr>
            <w:r>
              <w:rPr>
                <w:noProof/>
                <w:color w:val="000000" w:themeColor="text1"/>
                <w:szCs w:val="24"/>
              </w:rPr>
              <w:t>TLV_EP50</w:t>
            </w:r>
          </w:p>
        </w:tc>
        <w:tc>
          <w:tcPr>
            <w:tcW w:w="1186" w:type="pct"/>
            <w:vAlign w:val="bottom"/>
          </w:tcPr>
          <w:p w:rsidR="001A26B0" w:rsidRDefault="00E33A99">
            <w:pPr>
              <w:spacing w:after="120"/>
              <w:jc w:val="center"/>
              <w:rPr>
                <w:b/>
                <w:bCs/>
                <w:noProof/>
                <w:color w:val="000000" w:themeColor="text1"/>
                <w:szCs w:val="24"/>
              </w:rPr>
            </w:pPr>
            <w:r>
              <w:rPr>
                <w:noProof/>
                <w:color w:val="000000" w:themeColor="text1"/>
                <w:szCs w:val="16"/>
                <w:lang w:eastAsia="en-GB"/>
              </w:rPr>
              <w:t>25%</w:t>
            </w:r>
          </w:p>
        </w:tc>
        <w:tc>
          <w:tcPr>
            <w:tcW w:w="1043" w:type="pct"/>
            <w:vAlign w:val="bottom"/>
          </w:tcPr>
          <w:p w:rsidR="001A26B0" w:rsidRDefault="00E33A99">
            <w:pPr>
              <w:spacing w:after="120"/>
              <w:jc w:val="center"/>
              <w:rPr>
                <w:b/>
                <w:bCs/>
                <w:noProof/>
                <w:color w:val="000000" w:themeColor="text1"/>
                <w:szCs w:val="24"/>
              </w:rPr>
            </w:pPr>
            <w:r>
              <w:rPr>
                <w:noProof/>
                <w:color w:val="000000" w:themeColor="text1"/>
                <w:szCs w:val="16"/>
                <w:lang w:eastAsia="en-GB"/>
              </w:rPr>
              <w:t>41%</w:t>
            </w:r>
          </w:p>
        </w:tc>
      </w:tr>
    </w:tbl>
    <w:p w:rsidR="001A26B0" w:rsidRDefault="00E33A99">
      <w:pPr>
        <w:pStyle w:val="Heading6"/>
        <w:numPr>
          <w:ilvl w:val="0"/>
          <w:numId w:val="0"/>
        </w:numPr>
        <w:spacing w:before="240"/>
        <w:rPr>
          <w:b/>
          <w:i w:val="0"/>
          <w:noProof/>
          <w:color w:val="000000" w:themeColor="text1"/>
          <w:szCs w:val="22"/>
        </w:rPr>
      </w:pPr>
      <w:r>
        <w:rPr>
          <w:b/>
          <w:i w:val="0"/>
          <w:noProof/>
        </w:rPr>
        <w:t xml:space="preserve">Table </w:t>
      </w:r>
      <w:r>
        <w:rPr>
          <w:b/>
          <w:i w:val="0"/>
          <w:noProof/>
        </w:rPr>
        <w:fldChar w:fldCharType="begin"/>
      </w:r>
      <w:r>
        <w:rPr>
          <w:b/>
          <w:i w:val="0"/>
          <w:noProof/>
        </w:rPr>
        <w:instrText xml:space="preserve"> SEQ Table \* ARABIC </w:instrText>
      </w:r>
      <w:r>
        <w:rPr>
          <w:b/>
          <w:i w:val="0"/>
          <w:noProof/>
        </w:rPr>
        <w:fldChar w:fldCharType="separate"/>
      </w:r>
      <w:r>
        <w:rPr>
          <w:b/>
          <w:i w:val="0"/>
          <w:noProof/>
        </w:rPr>
        <w:t>32</w:t>
      </w:r>
      <w:r>
        <w:rPr>
          <w:b/>
          <w:i w:val="0"/>
          <w:noProof/>
        </w:rPr>
        <w:fldChar w:fldCharType="end"/>
      </w:r>
      <w:r>
        <w:rPr>
          <w:b/>
          <w:i w:val="0"/>
          <w:noProof/>
        </w:rPr>
        <w:t xml:space="preserve">: </w:t>
      </w:r>
      <w:r>
        <w:rPr>
          <w:b/>
          <w:i w:val="0"/>
          <w:noProof/>
          <w:color w:val="000000" w:themeColor="text1"/>
        </w:rPr>
        <w:t>PM</w:t>
      </w:r>
      <w:r>
        <w:rPr>
          <w:b/>
          <w:i w:val="0"/>
          <w:noProof/>
          <w:color w:val="000000" w:themeColor="text1"/>
          <w:vertAlign w:val="subscript"/>
        </w:rPr>
        <w:t>2.5</w:t>
      </w:r>
      <w:r>
        <w:rPr>
          <w:b/>
          <w:i w:val="0"/>
          <w:noProof/>
          <w:color w:val="000000" w:themeColor="text1"/>
        </w:rPr>
        <w:t xml:space="preserve"> emissions of vans in EU-28 - % reduction compared to 2020</w:t>
      </w:r>
    </w:p>
    <w:tbl>
      <w:tblPr>
        <w:tblStyle w:val="TableGrid"/>
        <w:tblW w:w="2475" w:type="pct"/>
        <w:tblLook w:val="04A0" w:firstRow="1" w:lastRow="0" w:firstColumn="1" w:lastColumn="0" w:noHBand="0" w:noVBand="1"/>
      </w:tblPr>
      <w:tblGrid>
        <w:gridCol w:w="2481"/>
        <w:gridCol w:w="856"/>
        <w:gridCol w:w="1033"/>
      </w:tblGrid>
      <w:tr w:rsidR="001A26B0">
        <w:trPr>
          <w:trHeight w:val="264"/>
        </w:trPr>
        <w:tc>
          <w:tcPr>
            <w:tcW w:w="2839" w:type="pct"/>
          </w:tcPr>
          <w:p w:rsidR="001A26B0" w:rsidRDefault="00E33A99">
            <w:pPr>
              <w:spacing w:after="120"/>
              <w:rPr>
                <w:b/>
                <w:noProof/>
                <w:color w:val="000000" w:themeColor="text1"/>
                <w:szCs w:val="24"/>
              </w:rPr>
            </w:pPr>
            <w:r>
              <w:rPr>
                <w:b/>
                <w:i/>
                <w:noProof/>
                <w:color w:val="000000" w:themeColor="text1"/>
              </w:rPr>
              <w:t>PM</w:t>
            </w:r>
            <w:r>
              <w:rPr>
                <w:b/>
                <w:i/>
                <w:noProof/>
                <w:color w:val="000000" w:themeColor="text1"/>
                <w:vertAlign w:val="subscript"/>
              </w:rPr>
              <w:t>2.5</w:t>
            </w:r>
            <w:r>
              <w:rPr>
                <w:b/>
                <w:i/>
                <w:noProof/>
                <w:color w:val="000000" w:themeColor="text1"/>
              </w:rPr>
              <w:t xml:space="preserve"> </w:t>
            </w:r>
            <w:r>
              <w:rPr>
                <w:b/>
                <w:noProof/>
                <w:color w:val="000000" w:themeColor="text1"/>
                <w:szCs w:val="24"/>
              </w:rPr>
              <w:t>emissions</w:t>
            </w:r>
          </w:p>
        </w:tc>
        <w:tc>
          <w:tcPr>
            <w:tcW w:w="979" w:type="pct"/>
            <w:noWrap/>
            <w:hideMark/>
          </w:tcPr>
          <w:p w:rsidR="001A26B0" w:rsidRDefault="00E33A99">
            <w:pPr>
              <w:spacing w:after="120"/>
              <w:jc w:val="center"/>
              <w:rPr>
                <w:b/>
                <w:bCs/>
                <w:noProof/>
                <w:color w:val="000000" w:themeColor="text1"/>
                <w:szCs w:val="24"/>
              </w:rPr>
            </w:pPr>
            <w:r>
              <w:rPr>
                <w:b/>
                <w:bCs/>
                <w:noProof/>
                <w:color w:val="000000" w:themeColor="text1"/>
                <w:szCs w:val="24"/>
              </w:rPr>
              <w:t>2025</w:t>
            </w:r>
          </w:p>
        </w:tc>
        <w:tc>
          <w:tcPr>
            <w:tcW w:w="1182" w:type="pct"/>
            <w:noWrap/>
            <w:hideMark/>
          </w:tcPr>
          <w:p w:rsidR="001A26B0" w:rsidRDefault="00E33A99">
            <w:pPr>
              <w:spacing w:after="120"/>
              <w:jc w:val="center"/>
              <w:rPr>
                <w:b/>
                <w:bCs/>
                <w:noProof/>
                <w:color w:val="000000" w:themeColor="text1"/>
                <w:szCs w:val="24"/>
              </w:rPr>
            </w:pPr>
            <w:r>
              <w:rPr>
                <w:b/>
                <w:bCs/>
                <w:noProof/>
                <w:color w:val="000000" w:themeColor="text1"/>
                <w:szCs w:val="24"/>
              </w:rPr>
              <w:t>2030</w:t>
            </w:r>
          </w:p>
        </w:tc>
      </w:tr>
      <w:tr w:rsidR="001A26B0">
        <w:trPr>
          <w:trHeight w:val="264"/>
        </w:trPr>
        <w:tc>
          <w:tcPr>
            <w:tcW w:w="2839" w:type="pct"/>
          </w:tcPr>
          <w:p w:rsidR="001A26B0" w:rsidRDefault="00E33A99">
            <w:pPr>
              <w:spacing w:after="120"/>
              <w:rPr>
                <w:bCs/>
                <w:noProof/>
                <w:color w:val="000000" w:themeColor="text1"/>
                <w:szCs w:val="24"/>
              </w:rPr>
            </w:pPr>
            <w:r>
              <w:rPr>
                <w:bCs/>
                <w:noProof/>
                <w:color w:val="000000" w:themeColor="text1"/>
                <w:szCs w:val="24"/>
              </w:rPr>
              <w:t>TLV 0</w:t>
            </w:r>
          </w:p>
        </w:tc>
        <w:tc>
          <w:tcPr>
            <w:tcW w:w="979" w:type="pct"/>
            <w:noWrap/>
            <w:vAlign w:val="bottom"/>
          </w:tcPr>
          <w:p w:rsidR="001A26B0" w:rsidRDefault="00E33A99">
            <w:pPr>
              <w:spacing w:after="120"/>
              <w:jc w:val="center"/>
              <w:rPr>
                <w:noProof/>
                <w:color w:val="000000" w:themeColor="text1"/>
                <w:szCs w:val="24"/>
              </w:rPr>
            </w:pPr>
            <w:r>
              <w:rPr>
                <w:noProof/>
                <w:color w:val="000000" w:themeColor="text1"/>
                <w:szCs w:val="24"/>
                <w:lang w:eastAsia="en-GB"/>
              </w:rPr>
              <w:t>19%</w:t>
            </w:r>
          </w:p>
        </w:tc>
        <w:tc>
          <w:tcPr>
            <w:tcW w:w="1182" w:type="pct"/>
            <w:noWrap/>
            <w:vAlign w:val="bottom"/>
          </w:tcPr>
          <w:p w:rsidR="001A26B0" w:rsidRDefault="00E33A99">
            <w:pPr>
              <w:spacing w:after="120"/>
              <w:jc w:val="center"/>
              <w:rPr>
                <w:noProof/>
                <w:color w:val="000000" w:themeColor="text1"/>
                <w:szCs w:val="24"/>
              </w:rPr>
            </w:pPr>
            <w:r>
              <w:rPr>
                <w:noProof/>
                <w:color w:val="000000" w:themeColor="text1"/>
                <w:szCs w:val="24"/>
                <w:lang w:eastAsia="en-GB"/>
              </w:rPr>
              <w:t>32%</w:t>
            </w:r>
          </w:p>
        </w:tc>
      </w:tr>
      <w:tr w:rsidR="001A26B0">
        <w:trPr>
          <w:trHeight w:val="264"/>
        </w:trPr>
        <w:tc>
          <w:tcPr>
            <w:tcW w:w="2839" w:type="pct"/>
          </w:tcPr>
          <w:p w:rsidR="001A26B0" w:rsidRDefault="00E33A99">
            <w:pPr>
              <w:spacing w:after="120"/>
              <w:rPr>
                <w:b/>
                <w:bCs/>
                <w:noProof/>
                <w:color w:val="000000" w:themeColor="text1"/>
                <w:szCs w:val="24"/>
              </w:rPr>
            </w:pPr>
            <w:r>
              <w:rPr>
                <w:noProof/>
                <w:color w:val="000000" w:themeColor="text1"/>
                <w:szCs w:val="24"/>
              </w:rPr>
              <w:t>TLV20</w:t>
            </w:r>
          </w:p>
        </w:tc>
        <w:tc>
          <w:tcPr>
            <w:tcW w:w="979" w:type="pct"/>
            <w:noWrap/>
            <w:vAlign w:val="bottom"/>
          </w:tcPr>
          <w:p w:rsidR="001A26B0" w:rsidRDefault="00E33A99">
            <w:pPr>
              <w:spacing w:after="120"/>
              <w:jc w:val="center"/>
              <w:rPr>
                <w:noProof/>
                <w:color w:val="000000" w:themeColor="text1"/>
                <w:szCs w:val="24"/>
              </w:rPr>
            </w:pPr>
            <w:r>
              <w:rPr>
                <w:noProof/>
                <w:color w:val="000000" w:themeColor="text1"/>
                <w:szCs w:val="24"/>
                <w:lang w:eastAsia="en-GB"/>
              </w:rPr>
              <w:t>20%</w:t>
            </w:r>
          </w:p>
        </w:tc>
        <w:tc>
          <w:tcPr>
            <w:tcW w:w="1182" w:type="pct"/>
            <w:noWrap/>
            <w:vAlign w:val="bottom"/>
          </w:tcPr>
          <w:p w:rsidR="001A26B0" w:rsidRDefault="00E33A99">
            <w:pPr>
              <w:spacing w:after="120"/>
              <w:jc w:val="center"/>
              <w:rPr>
                <w:noProof/>
                <w:color w:val="000000" w:themeColor="text1"/>
                <w:szCs w:val="24"/>
              </w:rPr>
            </w:pPr>
            <w:r>
              <w:rPr>
                <w:noProof/>
                <w:color w:val="000000" w:themeColor="text1"/>
                <w:szCs w:val="24"/>
                <w:lang w:eastAsia="en-GB"/>
              </w:rPr>
              <w:t>33%</w:t>
            </w:r>
          </w:p>
        </w:tc>
      </w:tr>
      <w:tr w:rsidR="001A26B0">
        <w:trPr>
          <w:trHeight w:val="264"/>
        </w:trPr>
        <w:tc>
          <w:tcPr>
            <w:tcW w:w="2839" w:type="pct"/>
          </w:tcPr>
          <w:p w:rsidR="001A26B0" w:rsidRDefault="00E33A99">
            <w:pPr>
              <w:spacing w:after="120"/>
              <w:rPr>
                <w:b/>
                <w:bCs/>
                <w:noProof/>
                <w:color w:val="000000" w:themeColor="text1"/>
                <w:szCs w:val="24"/>
              </w:rPr>
            </w:pPr>
            <w:r>
              <w:rPr>
                <w:noProof/>
                <w:color w:val="000000" w:themeColor="text1"/>
                <w:szCs w:val="24"/>
              </w:rPr>
              <w:t>TLV25</w:t>
            </w:r>
          </w:p>
        </w:tc>
        <w:tc>
          <w:tcPr>
            <w:tcW w:w="979" w:type="pct"/>
            <w:noWrap/>
            <w:vAlign w:val="bottom"/>
          </w:tcPr>
          <w:p w:rsidR="001A26B0" w:rsidRDefault="00E33A99">
            <w:pPr>
              <w:spacing w:after="120"/>
              <w:jc w:val="center"/>
              <w:rPr>
                <w:noProof/>
                <w:color w:val="000000" w:themeColor="text1"/>
                <w:szCs w:val="24"/>
              </w:rPr>
            </w:pPr>
            <w:r>
              <w:rPr>
                <w:noProof/>
                <w:color w:val="000000" w:themeColor="text1"/>
                <w:szCs w:val="24"/>
                <w:lang w:eastAsia="en-GB"/>
              </w:rPr>
              <w:t>20%</w:t>
            </w:r>
          </w:p>
        </w:tc>
        <w:tc>
          <w:tcPr>
            <w:tcW w:w="1182" w:type="pct"/>
            <w:noWrap/>
            <w:vAlign w:val="bottom"/>
          </w:tcPr>
          <w:p w:rsidR="001A26B0" w:rsidRDefault="00E33A99">
            <w:pPr>
              <w:spacing w:after="120"/>
              <w:jc w:val="center"/>
              <w:rPr>
                <w:noProof/>
                <w:color w:val="000000" w:themeColor="text1"/>
                <w:szCs w:val="24"/>
              </w:rPr>
            </w:pPr>
            <w:r>
              <w:rPr>
                <w:noProof/>
                <w:color w:val="000000" w:themeColor="text1"/>
                <w:szCs w:val="24"/>
                <w:lang w:eastAsia="en-GB"/>
              </w:rPr>
              <w:t>33%</w:t>
            </w:r>
          </w:p>
        </w:tc>
      </w:tr>
      <w:tr w:rsidR="001A26B0">
        <w:trPr>
          <w:trHeight w:val="264"/>
        </w:trPr>
        <w:tc>
          <w:tcPr>
            <w:tcW w:w="2839" w:type="pct"/>
          </w:tcPr>
          <w:p w:rsidR="001A26B0" w:rsidRDefault="00E33A99">
            <w:pPr>
              <w:spacing w:after="120"/>
              <w:rPr>
                <w:b/>
                <w:bCs/>
                <w:noProof/>
                <w:color w:val="000000" w:themeColor="text1"/>
                <w:szCs w:val="24"/>
              </w:rPr>
            </w:pPr>
            <w:r>
              <w:rPr>
                <w:noProof/>
                <w:color w:val="000000" w:themeColor="text1"/>
                <w:szCs w:val="24"/>
              </w:rPr>
              <w:t>TLV40</w:t>
            </w:r>
          </w:p>
        </w:tc>
        <w:tc>
          <w:tcPr>
            <w:tcW w:w="979" w:type="pct"/>
            <w:noWrap/>
            <w:vAlign w:val="bottom"/>
          </w:tcPr>
          <w:p w:rsidR="001A26B0" w:rsidRDefault="00E33A99">
            <w:pPr>
              <w:spacing w:after="120"/>
              <w:jc w:val="center"/>
              <w:rPr>
                <w:noProof/>
                <w:color w:val="000000" w:themeColor="text1"/>
                <w:szCs w:val="24"/>
              </w:rPr>
            </w:pPr>
            <w:r>
              <w:rPr>
                <w:noProof/>
                <w:color w:val="000000" w:themeColor="text1"/>
                <w:szCs w:val="24"/>
                <w:lang w:eastAsia="en-GB"/>
              </w:rPr>
              <w:t>21%</w:t>
            </w:r>
          </w:p>
        </w:tc>
        <w:tc>
          <w:tcPr>
            <w:tcW w:w="1182" w:type="pct"/>
            <w:noWrap/>
            <w:vAlign w:val="bottom"/>
          </w:tcPr>
          <w:p w:rsidR="001A26B0" w:rsidRDefault="00E33A99">
            <w:pPr>
              <w:spacing w:after="120"/>
              <w:jc w:val="center"/>
              <w:rPr>
                <w:noProof/>
                <w:color w:val="000000" w:themeColor="text1"/>
                <w:szCs w:val="24"/>
              </w:rPr>
            </w:pPr>
            <w:r>
              <w:rPr>
                <w:noProof/>
                <w:color w:val="000000" w:themeColor="text1"/>
                <w:szCs w:val="24"/>
                <w:lang w:eastAsia="en-GB"/>
              </w:rPr>
              <w:t>36%</w:t>
            </w:r>
          </w:p>
        </w:tc>
      </w:tr>
      <w:tr w:rsidR="001A26B0">
        <w:trPr>
          <w:trHeight w:val="264"/>
        </w:trPr>
        <w:tc>
          <w:tcPr>
            <w:tcW w:w="2839" w:type="pct"/>
          </w:tcPr>
          <w:p w:rsidR="001A26B0" w:rsidRDefault="00E33A99">
            <w:pPr>
              <w:spacing w:after="120"/>
              <w:rPr>
                <w:b/>
                <w:bCs/>
                <w:noProof/>
                <w:color w:val="000000" w:themeColor="text1"/>
                <w:szCs w:val="24"/>
              </w:rPr>
            </w:pPr>
            <w:r>
              <w:rPr>
                <w:noProof/>
                <w:color w:val="000000" w:themeColor="text1"/>
                <w:szCs w:val="24"/>
              </w:rPr>
              <w:t>TLV_EP40</w:t>
            </w:r>
          </w:p>
        </w:tc>
        <w:tc>
          <w:tcPr>
            <w:tcW w:w="979" w:type="pct"/>
            <w:noWrap/>
            <w:vAlign w:val="bottom"/>
          </w:tcPr>
          <w:p w:rsidR="001A26B0" w:rsidRDefault="00E33A99">
            <w:pPr>
              <w:spacing w:after="120"/>
              <w:jc w:val="center"/>
              <w:rPr>
                <w:noProof/>
                <w:color w:val="000000" w:themeColor="text1"/>
                <w:szCs w:val="24"/>
              </w:rPr>
            </w:pPr>
            <w:r>
              <w:rPr>
                <w:noProof/>
                <w:color w:val="000000" w:themeColor="text1"/>
                <w:szCs w:val="24"/>
                <w:lang w:eastAsia="en-GB"/>
              </w:rPr>
              <w:t>22%</w:t>
            </w:r>
          </w:p>
        </w:tc>
        <w:tc>
          <w:tcPr>
            <w:tcW w:w="1182" w:type="pct"/>
            <w:noWrap/>
            <w:vAlign w:val="bottom"/>
          </w:tcPr>
          <w:p w:rsidR="001A26B0" w:rsidRDefault="00E33A99">
            <w:pPr>
              <w:spacing w:after="120"/>
              <w:jc w:val="center"/>
              <w:rPr>
                <w:noProof/>
                <w:color w:val="000000" w:themeColor="text1"/>
                <w:szCs w:val="24"/>
              </w:rPr>
            </w:pPr>
            <w:r>
              <w:rPr>
                <w:noProof/>
                <w:color w:val="000000" w:themeColor="text1"/>
                <w:szCs w:val="24"/>
                <w:lang w:eastAsia="en-GB"/>
              </w:rPr>
              <w:t>38%</w:t>
            </w:r>
          </w:p>
        </w:tc>
      </w:tr>
      <w:tr w:rsidR="001A26B0">
        <w:trPr>
          <w:trHeight w:val="264"/>
        </w:trPr>
        <w:tc>
          <w:tcPr>
            <w:tcW w:w="2839" w:type="pct"/>
          </w:tcPr>
          <w:p w:rsidR="001A26B0" w:rsidRDefault="00E33A99">
            <w:pPr>
              <w:spacing w:after="120"/>
              <w:rPr>
                <w:b/>
                <w:bCs/>
                <w:noProof/>
                <w:color w:val="000000" w:themeColor="text1"/>
                <w:szCs w:val="24"/>
              </w:rPr>
            </w:pPr>
            <w:r>
              <w:rPr>
                <w:noProof/>
                <w:color w:val="000000" w:themeColor="text1"/>
                <w:szCs w:val="24"/>
              </w:rPr>
              <w:t>TLV_EP50</w:t>
            </w:r>
          </w:p>
        </w:tc>
        <w:tc>
          <w:tcPr>
            <w:tcW w:w="979" w:type="pct"/>
            <w:noWrap/>
            <w:vAlign w:val="bottom"/>
          </w:tcPr>
          <w:p w:rsidR="001A26B0" w:rsidRDefault="00E33A99">
            <w:pPr>
              <w:spacing w:after="120"/>
              <w:jc w:val="center"/>
              <w:rPr>
                <w:noProof/>
                <w:color w:val="000000" w:themeColor="text1"/>
                <w:szCs w:val="24"/>
              </w:rPr>
            </w:pPr>
            <w:r>
              <w:rPr>
                <w:noProof/>
                <w:color w:val="000000" w:themeColor="text1"/>
                <w:szCs w:val="24"/>
                <w:lang w:eastAsia="en-GB"/>
              </w:rPr>
              <w:t>22%</w:t>
            </w:r>
          </w:p>
        </w:tc>
        <w:tc>
          <w:tcPr>
            <w:tcW w:w="1182" w:type="pct"/>
            <w:noWrap/>
            <w:vAlign w:val="bottom"/>
          </w:tcPr>
          <w:p w:rsidR="001A26B0" w:rsidRDefault="00E33A99">
            <w:pPr>
              <w:spacing w:after="120"/>
              <w:jc w:val="center"/>
              <w:rPr>
                <w:noProof/>
                <w:color w:val="000000" w:themeColor="text1"/>
                <w:szCs w:val="24"/>
              </w:rPr>
            </w:pPr>
            <w:r>
              <w:rPr>
                <w:noProof/>
                <w:color w:val="000000" w:themeColor="text1"/>
                <w:szCs w:val="24"/>
                <w:lang w:eastAsia="en-GB"/>
              </w:rPr>
              <w:t>41%</w:t>
            </w:r>
          </w:p>
        </w:tc>
      </w:tr>
    </w:tbl>
    <w:p w:rsidR="001A26B0" w:rsidRDefault="00E33A99">
      <w:pPr>
        <w:pStyle w:val="Heading5"/>
        <w:rPr>
          <w:noProof/>
        </w:rPr>
      </w:pPr>
      <w:bookmarkStart w:id="380" w:name="_Toc474791772"/>
      <w:bookmarkStart w:id="381" w:name="_Toc491284017"/>
      <w:bookmarkStart w:id="382" w:name="_Toc491285101"/>
      <w:bookmarkStart w:id="383" w:name="_Toc491286187"/>
      <w:bookmarkStart w:id="384" w:name="_Toc491284018"/>
      <w:bookmarkStart w:id="385" w:name="_Toc491285102"/>
      <w:bookmarkStart w:id="386" w:name="_Toc491286188"/>
      <w:bookmarkStart w:id="387" w:name="_Toc491284089"/>
      <w:bookmarkStart w:id="388" w:name="_Toc491285173"/>
      <w:bookmarkStart w:id="389" w:name="_Toc491286259"/>
      <w:bookmarkStart w:id="390" w:name="_Toc491284160"/>
      <w:bookmarkStart w:id="391" w:name="_Toc491285244"/>
      <w:bookmarkStart w:id="392" w:name="_Toc491286330"/>
      <w:bookmarkStart w:id="393" w:name="_Toc491284161"/>
      <w:bookmarkStart w:id="394" w:name="_Toc491285245"/>
      <w:bookmarkStart w:id="395" w:name="_Toc491286331"/>
      <w:bookmarkStart w:id="396" w:name="_Toc491284162"/>
      <w:bookmarkStart w:id="397" w:name="_Toc491285246"/>
      <w:bookmarkStart w:id="398" w:name="_Toc491286332"/>
      <w:bookmarkStart w:id="399" w:name="_Toc491284233"/>
      <w:bookmarkStart w:id="400" w:name="_Toc491285317"/>
      <w:bookmarkStart w:id="401" w:name="_Toc491286403"/>
      <w:bookmarkStart w:id="402" w:name="_Toc491284234"/>
      <w:bookmarkStart w:id="403" w:name="_Toc491285318"/>
      <w:bookmarkStart w:id="404" w:name="_Toc491286404"/>
      <w:bookmarkStart w:id="405" w:name="_Toc491284319"/>
      <w:bookmarkStart w:id="406" w:name="_Toc491285403"/>
      <w:bookmarkStart w:id="407" w:name="_Toc491286489"/>
      <w:bookmarkStart w:id="408" w:name="_Toc491284320"/>
      <w:bookmarkStart w:id="409" w:name="_Toc491285404"/>
      <w:bookmarkStart w:id="410" w:name="_Toc491286490"/>
      <w:bookmarkStart w:id="411" w:name="_Toc491284384"/>
      <w:bookmarkStart w:id="412" w:name="_Toc491285468"/>
      <w:bookmarkStart w:id="413" w:name="_Toc491286554"/>
      <w:bookmarkStart w:id="414" w:name="_Toc491284458"/>
      <w:bookmarkStart w:id="415" w:name="_Toc491285542"/>
      <w:bookmarkStart w:id="416" w:name="_Toc491286628"/>
      <w:bookmarkStart w:id="417" w:name="_Toc491284508"/>
      <w:bookmarkStart w:id="418" w:name="_Toc491285592"/>
      <w:bookmarkStart w:id="419" w:name="_Toc491286678"/>
      <w:bookmarkStart w:id="420" w:name="_Toc491284579"/>
      <w:bookmarkStart w:id="421" w:name="_Toc491285663"/>
      <w:bookmarkStart w:id="422" w:name="_Toc491286749"/>
      <w:bookmarkStart w:id="423" w:name="_Toc491284629"/>
      <w:bookmarkStart w:id="424" w:name="_Toc491285713"/>
      <w:bookmarkStart w:id="425" w:name="_Toc491286799"/>
      <w:bookmarkStart w:id="426" w:name="_Toc491284631"/>
      <w:bookmarkStart w:id="427" w:name="_Toc491285715"/>
      <w:bookmarkStart w:id="428" w:name="_Toc491286801"/>
      <w:bookmarkStart w:id="429" w:name="_Toc491284632"/>
      <w:bookmarkStart w:id="430" w:name="_Toc491285716"/>
      <w:bookmarkStart w:id="431" w:name="_Toc491286802"/>
      <w:bookmarkStart w:id="432" w:name="_Toc491284633"/>
      <w:bookmarkStart w:id="433" w:name="_Toc491285717"/>
      <w:bookmarkStart w:id="434" w:name="_Toc491286803"/>
      <w:bookmarkStart w:id="435" w:name="_Toc491284635"/>
      <w:bookmarkStart w:id="436" w:name="_Toc491285719"/>
      <w:bookmarkStart w:id="437" w:name="_Toc491286805"/>
      <w:bookmarkStart w:id="438" w:name="_Toc491284675"/>
      <w:bookmarkStart w:id="439" w:name="_Toc491285759"/>
      <w:bookmarkStart w:id="440" w:name="_Toc491286845"/>
      <w:bookmarkStart w:id="441" w:name="_Toc491284677"/>
      <w:bookmarkStart w:id="442" w:name="_Toc491285761"/>
      <w:bookmarkStart w:id="443" w:name="_Toc491286847"/>
      <w:bookmarkStart w:id="444" w:name="_Toc491284712"/>
      <w:bookmarkStart w:id="445" w:name="_Toc491285796"/>
      <w:bookmarkStart w:id="446" w:name="_Toc491286882"/>
      <w:bookmarkStart w:id="447" w:name="_Toc491284714"/>
      <w:bookmarkStart w:id="448" w:name="_Toc491285798"/>
      <w:bookmarkStart w:id="449" w:name="_Toc491286884"/>
      <w:bookmarkStart w:id="450" w:name="_Toc491284749"/>
      <w:bookmarkStart w:id="451" w:name="_Toc491285833"/>
      <w:bookmarkStart w:id="452" w:name="_Toc491286919"/>
      <w:bookmarkStart w:id="453" w:name="_Toc491284750"/>
      <w:bookmarkStart w:id="454" w:name="_Toc491285834"/>
      <w:bookmarkStart w:id="455" w:name="_Toc491286920"/>
      <w:bookmarkStart w:id="456" w:name="_Toc491284751"/>
      <w:bookmarkStart w:id="457" w:name="_Toc491285835"/>
      <w:bookmarkStart w:id="458" w:name="_Toc491286921"/>
      <w:bookmarkStart w:id="459" w:name="_Toc491284752"/>
      <w:bookmarkStart w:id="460" w:name="_Toc491285836"/>
      <w:bookmarkStart w:id="461" w:name="_Toc491286922"/>
      <w:bookmarkStart w:id="462" w:name="_Toc491284753"/>
      <w:bookmarkStart w:id="463" w:name="_Toc491285837"/>
      <w:bookmarkStart w:id="464" w:name="_Toc491286923"/>
      <w:bookmarkStart w:id="465" w:name="_Toc491284754"/>
      <w:bookmarkStart w:id="466" w:name="_Toc491285838"/>
      <w:bookmarkStart w:id="467" w:name="_Toc491286924"/>
      <w:bookmarkStart w:id="468" w:name="_Toc491284755"/>
      <w:bookmarkStart w:id="469" w:name="_Toc491285839"/>
      <w:bookmarkStart w:id="470" w:name="_Toc491286925"/>
      <w:bookmarkStart w:id="471" w:name="_Toc491284795"/>
      <w:bookmarkStart w:id="472" w:name="_Toc491285879"/>
      <w:bookmarkStart w:id="473" w:name="_Toc491286965"/>
      <w:bookmarkStart w:id="474" w:name="_Toc491284796"/>
      <w:bookmarkStart w:id="475" w:name="_Toc491285880"/>
      <w:bookmarkStart w:id="476" w:name="_Toc491286966"/>
      <w:bookmarkStart w:id="477" w:name="_Ref495670696"/>
      <w:bookmarkEnd w:id="268"/>
      <w:bookmarkEnd w:id="26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r>
        <w:rPr>
          <w:noProof/>
        </w:rPr>
        <w:t>Contribution to the ESR targets</w:t>
      </w:r>
      <w:bookmarkEnd w:id="477"/>
    </w:p>
    <w:p w:rsidR="001A26B0" w:rsidRDefault="00E33A99">
      <w:pPr>
        <w:spacing w:after="120"/>
        <w:rPr>
          <w:noProof/>
        </w:rPr>
      </w:pPr>
      <w:r>
        <w:rPr>
          <w:noProof/>
        </w:rPr>
        <w:t>As already mentioned in Section 6.1, CO</w:t>
      </w:r>
      <w:r>
        <w:rPr>
          <w:noProof/>
          <w:vertAlign w:val="subscript"/>
        </w:rPr>
        <w:t>2</w:t>
      </w:r>
      <w:r>
        <w:rPr>
          <w:noProof/>
        </w:rPr>
        <w:t xml:space="preserve"> emissions from road transport contribute significantly to the emissions from the sectors not covered under the EU ETS. While the EU is on track to meet its 2020 target for these sectors (i.e. 10% reduction by 2020 with respect to 2005) further efforts are</w:t>
      </w:r>
      <w:r>
        <w:rPr>
          <w:noProof/>
        </w:rPr>
        <w:t xml:space="preserve"> necessary to meet the 30% reduction target by 2030. Maintaining the current CO</w:t>
      </w:r>
      <w:r>
        <w:rPr>
          <w:noProof/>
          <w:vertAlign w:val="subscript"/>
        </w:rPr>
        <w:t>2</w:t>
      </w:r>
      <w:r>
        <w:rPr>
          <w:noProof/>
        </w:rPr>
        <w:t xml:space="preserve"> emission standards for cars and vans would not be sufficient for meeting the EU's 2030 target under the Effort Sharing Regulation, as confirmed by the EU Reference Scenario 20</w:t>
      </w:r>
      <w:r>
        <w:rPr>
          <w:noProof/>
        </w:rPr>
        <w:t>16</w:t>
      </w:r>
      <w:r>
        <w:rPr>
          <w:rStyle w:val="FootnoteReference"/>
          <w:noProof/>
        </w:rPr>
        <w:footnoteReference w:id="179"/>
      </w:r>
      <w:r>
        <w:rPr>
          <w:noProof/>
        </w:rPr>
        <w:t xml:space="preserve">. </w:t>
      </w:r>
    </w:p>
    <w:p w:rsidR="001A26B0" w:rsidRDefault="00E33A99">
      <w:pPr>
        <w:spacing w:after="120"/>
        <w:rPr>
          <w:noProof/>
        </w:rPr>
      </w:pPr>
      <w:r>
        <w:rPr>
          <w:noProof/>
        </w:rPr>
        <w:t xml:space="preserve">The analytical work underpinning the Effort Sharing Regulation and the Energy Efficiency Directive proposals built on the so-called </w:t>
      </w:r>
      <w:r>
        <w:rPr>
          <w:i/>
          <w:noProof/>
        </w:rPr>
        <w:t>EUCO30</w:t>
      </w:r>
      <w:r>
        <w:rPr>
          <w:noProof/>
        </w:rPr>
        <w:t xml:space="preserve"> scenario, under which all 2030 climate and energy targets are met through the implementation of additional poli</w:t>
      </w:r>
      <w:r>
        <w:rPr>
          <w:noProof/>
        </w:rPr>
        <w:t xml:space="preserve">cies to the ones assumed under the </w:t>
      </w:r>
      <w:r>
        <w:rPr>
          <w:noProof/>
          <w:szCs w:val="24"/>
        </w:rPr>
        <w:t xml:space="preserve">EU Reference scenario </w:t>
      </w:r>
      <w:r>
        <w:rPr>
          <w:noProof/>
        </w:rPr>
        <w:t>2016. For the road transport sector, these additional policies included more ambitious CO</w:t>
      </w:r>
      <w:r>
        <w:rPr>
          <w:noProof/>
          <w:vertAlign w:val="subscript"/>
        </w:rPr>
        <w:t>2</w:t>
      </w:r>
      <w:r>
        <w:rPr>
          <w:noProof/>
        </w:rPr>
        <w:t xml:space="preserve"> emission standards for new cars and vans.</w:t>
      </w:r>
    </w:p>
    <w:p w:rsidR="001A26B0" w:rsidRDefault="00E33A99">
      <w:pPr>
        <w:spacing w:after="120"/>
        <w:rPr>
          <w:noProof/>
        </w:rPr>
      </w:pPr>
      <w:r>
        <w:rPr>
          <w:noProof/>
        </w:rPr>
        <w:t xml:space="preserve">Under the </w:t>
      </w:r>
      <w:r>
        <w:rPr>
          <w:i/>
          <w:noProof/>
        </w:rPr>
        <w:t>EUCO30</w:t>
      </w:r>
      <w:r>
        <w:rPr>
          <w:noProof/>
        </w:rPr>
        <w:t xml:space="preserve"> scenario, emissions from road transport are projected to reduce by 25% in 2030 with respect to 2005. </w:t>
      </w:r>
      <w:r>
        <w:rPr>
          <w:noProof/>
        </w:rPr>
        <w:fldChar w:fldCharType="begin"/>
      </w:r>
      <w:r>
        <w:rPr>
          <w:noProof/>
        </w:rPr>
        <w:instrText xml:space="preserve"> REF _Ref495674663 \h </w:instrText>
      </w:r>
      <w:r>
        <w:rPr>
          <w:noProof/>
        </w:rPr>
      </w:r>
      <w:r>
        <w:rPr>
          <w:noProof/>
        </w:rPr>
        <w:fldChar w:fldCharType="separate"/>
      </w:r>
      <w:r>
        <w:rPr>
          <w:noProof/>
        </w:rPr>
        <w:t xml:space="preserve">Figure </w:t>
      </w:r>
      <w:r>
        <w:rPr>
          <w:b/>
          <w:noProof/>
        </w:rPr>
        <w:t>28</w:t>
      </w:r>
      <w:r>
        <w:rPr>
          <w:noProof/>
        </w:rPr>
        <w:fldChar w:fldCharType="end"/>
      </w:r>
      <w:r>
        <w:rPr>
          <w:noProof/>
        </w:rPr>
        <w:t xml:space="preserve"> depicts projected GHG emissions in the road transport sector for the </w:t>
      </w:r>
      <w:r>
        <w:rPr>
          <w:i/>
          <w:noProof/>
        </w:rPr>
        <w:t xml:space="preserve">EUCO30 </w:t>
      </w:r>
      <w:r>
        <w:rPr>
          <w:noProof/>
        </w:rPr>
        <w:t>scenario and for several of the options considered in this Impact Assessment regarding the EU-wide fleet CO</w:t>
      </w:r>
      <w:r>
        <w:rPr>
          <w:noProof/>
          <w:vertAlign w:val="subscript"/>
        </w:rPr>
        <w:t>2</w:t>
      </w:r>
      <w:r>
        <w:rPr>
          <w:noProof/>
        </w:rPr>
        <w:t xml:space="preserve"> targets for cars (TLC) and for vans (TLV). </w:t>
      </w:r>
    </w:p>
    <w:p w:rsidR="001A26B0" w:rsidRDefault="00E33A99">
      <w:pPr>
        <w:spacing w:after="120"/>
        <w:rPr>
          <w:noProof/>
        </w:rPr>
      </w:pPr>
      <w:r>
        <w:rPr>
          <w:noProof/>
        </w:rPr>
        <w:t>It shows a significant dif</w:t>
      </w:r>
      <w:r>
        <w:rPr>
          <w:noProof/>
        </w:rPr>
        <w:t xml:space="preserve">ference between the emission reduction in road transport in the </w:t>
      </w:r>
      <w:r>
        <w:rPr>
          <w:i/>
          <w:noProof/>
        </w:rPr>
        <w:t>EUCO30</w:t>
      </w:r>
      <w:r>
        <w:rPr>
          <w:noProof/>
        </w:rPr>
        <w:t xml:space="preserve"> scenario and in the baseline used for this Impact assessment. When setting stricter CO</w:t>
      </w:r>
      <w:r>
        <w:rPr>
          <w:noProof/>
          <w:vertAlign w:val="subscript"/>
        </w:rPr>
        <w:t>2</w:t>
      </w:r>
      <w:r>
        <w:rPr>
          <w:noProof/>
        </w:rPr>
        <w:t xml:space="preserve"> targets for new cars and vans for the period after 2020/2021, this difference gets significantly </w:t>
      </w:r>
      <w:r>
        <w:rPr>
          <w:noProof/>
        </w:rPr>
        <w:t>smaller. However, the options assessed do not close the gap completely, so that further measures to reduce GHG emissions in the road transport sector remain relevant, including for example EU policies setting CO</w:t>
      </w:r>
      <w:r>
        <w:rPr>
          <w:noProof/>
          <w:vertAlign w:val="subscript"/>
        </w:rPr>
        <w:t>2</w:t>
      </w:r>
      <w:r>
        <w:rPr>
          <w:noProof/>
        </w:rPr>
        <w:t xml:space="preserve"> emissions performance standards for trucks.</w:t>
      </w:r>
      <w:r>
        <w:rPr>
          <w:noProof/>
        </w:rPr>
        <w:t xml:space="preserve"> </w:t>
      </w:r>
    </w:p>
    <w:p w:rsidR="001A26B0" w:rsidRDefault="00E33A99">
      <w:pPr>
        <w:pStyle w:val="Caption"/>
        <w:keepNext/>
        <w:rPr>
          <w:noProof/>
        </w:rPr>
      </w:pPr>
      <w:bookmarkStart w:id="478" w:name="_Ref495674663"/>
      <w:bookmarkStart w:id="479" w:name="_Toc496688574"/>
      <w:r>
        <w:rPr>
          <w:noProof/>
        </w:rPr>
        <w:t xml:space="preserve">Figure </w:t>
      </w:r>
      <w:r>
        <w:rPr>
          <w:b w:val="0"/>
          <w:noProof/>
        </w:rPr>
        <w:fldChar w:fldCharType="begin"/>
      </w:r>
      <w:r>
        <w:rPr>
          <w:b w:val="0"/>
          <w:noProof/>
        </w:rPr>
        <w:instrText xml:space="preserve"> SEQ Figure \* ARABIC </w:instrText>
      </w:r>
      <w:r>
        <w:rPr>
          <w:b w:val="0"/>
          <w:noProof/>
        </w:rPr>
        <w:fldChar w:fldCharType="separate"/>
      </w:r>
      <w:r>
        <w:rPr>
          <w:b w:val="0"/>
          <w:noProof/>
        </w:rPr>
        <w:t>28</w:t>
      </w:r>
      <w:r>
        <w:rPr>
          <w:b w:val="0"/>
          <w:noProof/>
        </w:rPr>
        <w:fldChar w:fldCharType="end"/>
      </w:r>
      <w:bookmarkEnd w:id="478"/>
      <w:r>
        <w:rPr>
          <w:noProof/>
        </w:rPr>
        <w:t xml:space="preserve">: Evolution of GHG emissions between 2005 (100%) and 2030 under the </w:t>
      </w:r>
      <w:r>
        <w:rPr>
          <w:i/>
          <w:noProof/>
        </w:rPr>
        <w:t>EUCO30</w:t>
      </w:r>
      <w:r>
        <w:rPr>
          <w:noProof/>
        </w:rPr>
        <w:t xml:space="preserve"> scenario and under the baseline and different policy options for the CO</w:t>
      </w:r>
      <w:r>
        <w:rPr>
          <w:noProof/>
          <w:vertAlign w:val="subscript"/>
        </w:rPr>
        <w:t>2</w:t>
      </w:r>
      <w:r>
        <w:rPr>
          <w:noProof/>
        </w:rPr>
        <w:t xml:space="preserve"> target levels for new cars and vans considered in this impact assessment</w:t>
      </w:r>
      <w:bookmarkEnd w:id="479"/>
    </w:p>
    <w:p w:rsidR="001A26B0" w:rsidRDefault="00E33A99">
      <w:pPr>
        <w:jc w:val="center"/>
        <w:rPr>
          <w:noProof/>
        </w:rPr>
      </w:pPr>
      <w:r>
        <w:rPr>
          <w:noProof/>
          <w:lang w:eastAsia="en-GB"/>
        </w:rPr>
        <w:drawing>
          <wp:inline distT="0" distB="0" distL="0" distR="0">
            <wp:extent cx="5029200" cy="328928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29200" cy="3289285"/>
                    </a:xfrm>
                    <a:prstGeom prst="rect">
                      <a:avLst/>
                    </a:prstGeom>
                    <a:noFill/>
                  </pic:spPr>
                </pic:pic>
              </a:graphicData>
            </a:graphic>
          </wp:inline>
        </w:drawing>
      </w:r>
    </w:p>
    <w:p w:rsidR="001A26B0" w:rsidRDefault="00E33A99">
      <w:pPr>
        <w:spacing w:after="120"/>
        <w:rPr>
          <w:noProof/>
        </w:rPr>
      </w:pPr>
      <w:r>
        <w:rPr>
          <w:noProof/>
        </w:rPr>
        <w:t>An analysis has also been carried out to assess the contribution of the new CO</w:t>
      </w:r>
      <w:r>
        <w:rPr>
          <w:noProof/>
          <w:vertAlign w:val="subscript"/>
        </w:rPr>
        <w:t>2</w:t>
      </w:r>
      <w:r>
        <w:rPr>
          <w:noProof/>
        </w:rPr>
        <w:t xml:space="preserve"> standards for cars and vans to the Member States targets set in the Effort Sharing Regulation (ESR)</w:t>
      </w:r>
      <w:r>
        <w:rPr>
          <w:rStyle w:val="FootnoteReference"/>
          <w:noProof/>
        </w:rPr>
        <w:footnoteReference w:id="180"/>
      </w:r>
      <w:r>
        <w:rPr>
          <w:noProof/>
        </w:rPr>
        <w:t>, which are determined on the basis of the relative GDP per capita.</w:t>
      </w:r>
    </w:p>
    <w:p w:rsidR="001A26B0" w:rsidRDefault="00E33A99">
      <w:pPr>
        <w:spacing w:after="120"/>
        <w:rPr>
          <w:noProof/>
        </w:rPr>
      </w:pPr>
      <w:r>
        <w:rPr>
          <w:noProof/>
        </w:rPr>
        <w:t>The a</w:t>
      </w:r>
      <w:r>
        <w:rPr>
          <w:noProof/>
        </w:rPr>
        <w:t>nalysis is performed by grouping Member States in two groups depending on their 2030 ESR targets. The first group consists of Member States with an ESR reduction target below 20% and the second group are Member States with a target between -20% and -40%. F</w:t>
      </w:r>
      <w:r>
        <w:rPr>
          <w:noProof/>
        </w:rPr>
        <w:t>or each group, the weighted average</w:t>
      </w:r>
      <w:r>
        <w:rPr>
          <w:rStyle w:val="FootnoteReference"/>
          <w:noProof/>
        </w:rPr>
        <w:footnoteReference w:id="181"/>
      </w:r>
      <w:r>
        <w:rPr>
          <w:noProof/>
        </w:rPr>
        <w:t xml:space="preserve"> of the 2030 ESR emissions reduction targets was calculated for the purpose of this analysis. </w:t>
      </w:r>
      <w:r>
        <w:rPr>
          <w:noProof/>
        </w:rPr>
        <w:fldChar w:fldCharType="begin"/>
      </w:r>
      <w:r>
        <w:rPr>
          <w:noProof/>
        </w:rPr>
        <w:instrText xml:space="preserve"> REF _Ref495676162 \h </w:instrText>
      </w:r>
      <w:r>
        <w:rPr>
          <w:noProof/>
        </w:rPr>
      </w:r>
      <w:r>
        <w:rPr>
          <w:noProof/>
        </w:rPr>
        <w:fldChar w:fldCharType="separate"/>
      </w:r>
      <w:r>
        <w:rPr>
          <w:noProof/>
        </w:rPr>
        <w:t>Table 33</w:t>
      </w:r>
      <w:r>
        <w:rPr>
          <w:noProof/>
        </w:rPr>
        <w:fldChar w:fldCharType="end"/>
      </w:r>
      <w:r>
        <w:rPr>
          <w:noProof/>
        </w:rPr>
        <w:t xml:space="preserve"> compares these values with </w:t>
      </w:r>
      <w:r>
        <w:rPr>
          <w:noProof/>
        </w:rPr>
        <w:t>the weighted average</w:t>
      </w:r>
      <w:r>
        <w:rPr>
          <w:rStyle w:val="FootnoteReference"/>
          <w:noProof/>
        </w:rPr>
        <w:footnoteReference w:id="182"/>
      </w:r>
      <w:r>
        <w:rPr>
          <w:noProof/>
        </w:rPr>
        <w:t xml:space="preserve"> of the emissions reductions for light-duty vehicles between 2005 and 2030 under two different options for the EU-wide fleet CO</w:t>
      </w:r>
      <w:r>
        <w:rPr>
          <w:noProof/>
          <w:vertAlign w:val="subscript"/>
        </w:rPr>
        <w:t>2</w:t>
      </w:r>
      <w:r>
        <w:rPr>
          <w:noProof/>
        </w:rPr>
        <w:t xml:space="preserve"> standards</w:t>
      </w:r>
      <w:r>
        <w:rPr>
          <w:rStyle w:val="FootnoteReference"/>
          <w:noProof/>
        </w:rPr>
        <w:footnoteReference w:id="183"/>
      </w:r>
      <w:r>
        <w:rPr>
          <w:noProof/>
        </w:rPr>
        <w:t xml:space="preserve">. </w:t>
      </w:r>
    </w:p>
    <w:p w:rsidR="001A26B0" w:rsidRDefault="00E33A99">
      <w:pPr>
        <w:spacing w:after="120"/>
        <w:rPr>
          <w:noProof/>
        </w:rPr>
      </w:pPr>
      <w:r>
        <w:rPr>
          <w:noProof/>
        </w:rPr>
        <w:t>This shows that the new targets will result in more CO</w:t>
      </w:r>
      <w:r>
        <w:rPr>
          <w:noProof/>
          <w:vertAlign w:val="subscript"/>
        </w:rPr>
        <w:t>2</w:t>
      </w:r>
      <w:r>
        <w:rPr>
          <w:noProof/>
        </w:rPr>
        <w:t xml:space="preserve"> emission reductions in Member States </w:t>
      </w:r>
      <w:r>
        <w:rPr>
          <w:noProof/>
        </w:rPr>
        <w:t xml:space="preserve">with more ambitious reduction targets under the ESR. This general trend can be explained by lower income Member States having higher GDP growth and hence faster transport activity growth. These countries have also a larger second hand market. </w:t>
      </w:r>
    </w:p>
    <w:p w:rsidR="001A26B0" w:rsidRDefault="00E33A99">
      <w:pPr>
        <w:pStyle w:val="Caption"/>
        <w:keepNext/>
        <w:rPr>
          <w:noProof/>
        </w:rPr>
      </w:pPr>
      <w:bookmarkStart w:id="480" w:name="_Ref495676162"/>
      <w:r>
        <w:rPr>
          <w:noProof/>
        </w:rPr>
        <w:t xml:space="preserve">Table </w:t>
      </w:r>
      <w:r>
        <w:rPr>
          <w:noProof/>
        </w:rPr>
        <w:fldChar w:fldCharType="begin"/>
      </w:r>
      <w:r>
        <w:rPr>
          <w:noProof/>
        </w:rPr>
        <w:instrText xml:space="preserve"> SEQ T</w:instrText>
      </w:r>
      <w:r>
        <w:rPr>
          <w:noProof/>
        </w:rPr>
        <w:instrText xml:space="preserve">able \* ARABIC </w:instrText>
      </w:r>
      <w:r>
        <w:rPr>
          <w:noProof/>
        </w:rPr>
        <w:fldChar w:fldCharType="separate"/>
      </w:r>
      <w:r>
        <w:rPr>
          <w:noProof/>
        </w:rPr>
        <w:t>33</w:t>
      </w:r>
      <w:r>
        <w:rPr>
          <w:noProof/>
        </w:rPr>
        <w:fldChar w:fldCharType="end"/>
      </w:r>
      <w:bookmarkEnd w:id="480"/>
      <w:r>
        <w:rPr>
          <w:noProof/>
        </w:rPr>
        <w:t>: Comparison of the average of the emission reductions required under the Effort Sharing Regulation (ESR) and emission reductions for light-duty vehicles under different policy options</w:t>
      </w:r>
    </w:p>
    <w:tbl>
      <w:tblPr>
        <w:tblW w:w="5000" w:type="pct"/>
        <w:tblLayout w:type="fixed"/>
        <w:tblLook w:val="04A0" w:firstRow="1" w:lastRow="0" w:firstColumn="1" w:lastColumn="0" w:noHBand="0" w:noVBand="1"/>
      </w:tblPr>
      <w:tblGrid>
        <w:gridCol w:w="2387"/>
        <w:gridCol w:w="2241"/>
        <w:gridCol w:w="2101"/>
        <w:gridCol w:w="2100"/>
      </w:tblGrid>
      <w:tr w:rsidR="001A26B0">
        <w:trPr>
          <w:trHeight w:val="300"/>
        </w:trPr>
        <w:tc>
          <w:tcPr>
            <w:tcW w:w="1352" w:type="pct"/>
            <w:vMerge w:val="restart"/>
            <w:tcBorders>
              <w:top w:val="single" w:sz="4" w:space="0" w:color="auto"/>
              <w:left w:val="single" w:sz="4" w:space="0" w:color="auto"/>
              <w:right w:val="single" w:sz="4" w:space="0" w:color="auto"/>
            </w:tcBorders>
            <w:noWrap/>
            <w:vAlign w:val="center"/>
            <w:hideMark/>
          </w:tcPr>
          <w:p w:rsidR="001A26B0" w:rsidRDefault="00E33A99">
            <w:pPr>
              <w:spacing w:after="120"/>
              <w:jc w:val="left"/>
              <w:rPr>
                <w:noProof/>
                <w:color w:val="000000"/>
                <w:sz w:val="22"/>
                <w:szCs w:val="22"/>
                <w:lang w:eastAsia="en-GB"/>
              </w:rPr>
            </w:pPr>
            <w:r>
              <w:rPr>
                <w:noProof/>
                <w:color w:val="000000"/>
                <w:lang w:eastAsia="en-GB"/>
              </w:rPr>
              <w:t>Member State groups</w:t>
            </w:r>
          </w:p>
        </w:tc>
        <w:tc>
          <w:tcPr>
            <w:tcW w:w="1269" w:type="pct"/>
            <w:vMerge w:val="restart"/>
            <w:tcBorders>
              <w:top w:val="single" w:sz="4" w:space="0" w:color="auto"/>
              <w:left w:val="nil"/>
              <w:right w:val="single" w:sz="4" w:space="0" w:color="auto"/>
            </w:tcBorders>
            <w:noWrap/>
            <w:vAlign w:val="center"/>
            <w:hideMark/>
          </w:tcPr>
          <w:p w:rsidR="001A26B0" w:rsidRDefault="00E33A99">
            <w:pPr>
              <w:spacing w:after="120"/>
              <w:jc w:val="center"/>
              <w:rPr>
                <w:noProof/>
                <w:color w:val="000000"/>
                <w:sz w:val="22"/>
                <w:szCs w:val="22"/>
                <w:lang w:eastAsia="en-GB"/>
              </w:rPr>
            </w:pPr>
            <w:r>
              <w:rPr>
                <w:noProof/>
                <w:color w:val="000000"/>
                <w:lang w:eastAsia="en-GB"/>
              </w:rPr>
              <w:t xml:space="preserve">Weighted average of the ESR </w:t>
            </w:r>
            <w:r>
              <w:rPr>
                <w:noProof/>
                <w:color w:val="000000"/>
                <w:lang w:eastAsia="en-GB"/>
              </w:rPr>
              <w:t>emission reduction targets</w:t>
            </w:r>
          </w:p>
        </w:tc>
        <w:tc>
          <w:tcPr>
            <w:tcW w:w="2379" w:type="pct"/>
            <w:gridSpan w:val="2"/>
            <w:tcBorders>
              <w:top w:val="single" w:sz="4" w:space="0" w:color="auto"/>
              <w:left w:val="nil"/>
              <w:bottom w:val="single" w:sz="4" w:space="0" w:color="auto"/>
              <w:right w:val="single" w:sz="4" w:space="0" w:color="auto"/>
            </w:tcBorders>
            <w:noWrap/>
            <w:vAlign w:val="center"/>
            <w:hideMark/>
          </w:tcPr>
          <w:p w:rsidR="001A26B0" w:rsidRDefault="00E33A99">
            <w:pPr>
              <w:spacing w:after="120"/>
              <w:jc w:val="center"/>
              <w:rPr>
                <w:noProof/>
                <w:color w:val="000000"/>
                <w:lang w:eastAsia="en-GB"/>
              </w:rPr>
            </w:pPr>
            <w:r>
              <w:rPr>
                <w:noProof/>
                <w:color w:val="000000"/>
                <w:lang w:eastAsia="en-GB"/>
              </w:rPr>
              <w:t>CO</w:t>
            </w:r>
            <w:r>
              <w:rPr>
                <w:noProof/>
                <w:color w:val="000000"/>
                <w:vertAlign w:val="subscript"/>
                <w:lang w:eastAsia="en-GB"/>
              </w:rPr>
              <w:t>2</w:t>
            </w:r>
            <w:r>
              <w:rPr>
                <w:noProof/>
                <w:color w:val="000000"/>
                <w:lang w:eastAsia="en-GB"/>
              </w:rPr>
              <w:t xml:space="preserve"> reductions from light-duty vehicles</w:t>
            </w:r>
          </w:p>
        </w:tc>
      </w:tr>
      <w:tr w:rsidR="001A26B0">
        <w:trPr>
          <w:trHeight w:val="300"/>
        </w:trPr>
        <w:tc>
          <w:tcPr>
            <w:tcW w:w="1352" w:type="pct"/>
            <w:vMerge/>
            <w:tcBorders>
              <w:left w:val="single" w:sz="4" w:space="0" w:color="auto"/>
              <w:bottom w:val="single" w:sz="4" w:space="0" w:color="auto"/>
              <w:right w:val="single" w:sz="4" w:space="0" w:color="auto"/>
            </w:tcBorders>
            <w:noWrap/>
            <w:vAlign w:val="center"/>
          </w:tcPr>
          <w:p w:rsidR="001A26B0" w:rsidRDefault="001A26B0">
            <w:pPr>
              <w:spacing w:after="120"/>
              <w:jc w:val="left"/>
              <w:rPr>
                <w:noProof/>
                <w:color w:val="000000"/>
                <w:lang w:eastAsia="en-GB"/>
              </w:rPr>
            </w:pPr>
          </w:p>
        </w:tc>
        <w:tc>
          <w:tcPr>
            <w:tcW w:w="1269" w:type="pct"/>
            <w:vMerge/>
            <w:tcBorders>
              <w:left w:val="nil"/>
              <w:bottom w:val="single" w:sz="4" w:space="0" w:color="auto"/>
              <w:right w:val="single" w:sz="4" w:space="0" w:color="auto"/>
            </w:tcBorders>
            <w:noWrap/>
            <w:vAlign w:val="center"/>
          </w:tcPr>
          <w:p w:rsidR="001A26B0" w:rsidRDefault="001A26B0">
            <w:pPr>
              <w:spacing w:after="120"/>
              <w:jc w:val="center"/>
              <w:rPr>
                <w:noProof/>
                <w:color w:val="000000"/>
                <w:lang w:eastAsia="en-GB"/>
              </w:rPr>
            </w:pPr>
          </w:p>
        </w:tc>
        <w:tc>
          <w:tcPr>
            <w:tcW w:w="1190" w:type="pct"/>
            <w:tcBorders>
              <w:top w:val="single" w:sz="4" w:space="0" w:color="auto"/>
              <w:left w:val="nil"/>
              <w:bottom w:val="single" w:sz="4" w:space="0" w:color="auto"/>
              <w:right w:val="single" w:sz="4" w:space="0" w:color="auto"/>
            </w:tcBorders>
            <w:noWrap/>
            <w:vAlign w:val="center"/>
          </w:tcPr>
          <w:p w:rsidR="001A26B0" w:rsidRDefault="00E33A99">
            <w:pPr>
              <w:spacing w:after="120"/>
              <w:jc w:val="center"/>
              <w:rPr>
                <w:noProof/>
                <w:color w:val="000000"/>
                <w:lang w:eastAsia="en-GB"/>
              </w:rPr>
            </w:pPr>
            <w:r>
              <w:rPr>
                <w:noProof/>
                <w:color w:val="000000"/>
                <w:lang w:eastAsia="en-GB"/>
              </w:rPr>
              <w:t>TLC30 / TLV25</w:t>
            </w:r>
          </w:p>
        </w:tc>
        <w:tc>
          <w:tcPr>
            <w:tcW w:w="1189" w:type="pct"/>
            <w:tcBorders>
              <w:top w:val="single" w:sz="4" w:space="0" w:color="auto"/>
              <w:left w:val="nil"/>
              <w:bottom w:val="single" w:sz="4" w:space="0" w:color="auto"/>
              <w:right w:val="single" w:sz="4" w:space="0" w:color="auto"/>
            </w:tcBorders>
            <w:vAlign w:val="center"/>
          </w:tcPr>
          <w:p w:rsidR="001A26B0" w:rsidRDefault="00E33A99">
            <w:pPr>
              <w:spacing w:after="120"/>
              <w:jc w:val="center"/>
              <w:rPr>
                <w:noProof/>
                <w:color w:val="000000"/>
                <w:lang w:eastAsia="en-GB"/>
              </w:rPr>
            </w:pPr>
            <w:r>
              <w:rPr>
                <w:noProof/>
                <w:color w:val="000000"/>
                <w:lang w:eastAsia="en-GB"/>
              </w:rPr>
              <w:t>TLC30 / TLV40</w:t>
            </w:r>
          </w:p>
        </w:tc>
      </w:tr>
      <w:tr w:rsidR="001A26B0">
        <w:trPr>
          <w:trHeight w:val="300"/>
        </w:trPr>
        <w:tc>
          <w:tcPr>
            <w:tcW w:w="1352" w:type="pct"/>
            <w:tcBorders>
              <w:top w:val="nil"/>
              <w:left w:val="single" w:sz="4" w:space="0" w:color="auto"/>
              <w:bottom w:val="single" w:sz="4" w:space="0" w:color="auto"/>
              <w:right w:val="single" w:sz="4" w:space="0" w:color="auto"/>
            </w:tcBorders>
            <w:noWrap/>
            <w:vAlign w:val="center"/>
            <w:hideMark/>
          </w:tcPr>
          <w:p w:rsidR="001A26B0" w:rsidRDefault="00E33A99">
            <w:pPr>
              <w:spacing w:after="120"/>
              <w:jc w:val="left"/>
              <w:rPr>
                <w:noProof/>
                <w:color w:val="000000"/>
                <w:sz w:val="22"/>
                <w:szCs w:val="22"/>
                <w:lang w:eastAsia="en-GB"/>
              </w:rPr>
            </w:pPr>
            <w:r>
              <w:rPr>
                <w:noProof/>
                <w:color w:val="000000"/>
                <w:lang w:eastAsia="en-GB"/>
              </w:rPr>
              <w:t>ESR target &lt; 20%</w:t>
            </w:r>
          </w:p>
        </w:tc>
        <w:tc>
          <w:tcPr>
            <w:tcW w:w="1269" w:type="pct"/>
            <w:tcBorders>
              <w:top w:val="single" w:sz="4" w:space="0" w:color="auto"/>
              <w:left w:val="nil"/>
              <w:bottom w:val="single" w:sz="4" w:space="0" w:color="auto"/>
              <w:right w:val="single" w:sz="4" w:space="0" w:color="auto"/>
            </w:tcBorders>
            <w:noWrap/>
            <w:vAlign w:val="center"/>
            <w:hideMark/>
          </w:tcPr>
          <w:p w:rsidR="001A26B0" w:rsidRDefault="00E33A99">
            <w:pPr>
              <w:spacing w:after="120"/>
              <w:jc w:val="center"/>
              <w:rPr>
                <w:noProof/>
                <w:color w:val="000000"/>
                <w:sz w:val="22"/>
                <w:szCs w:val="22"/>
                <w:lang w:eastAsia="en-GB"/>
              </w:rPr>
            </w:pPr>
            <w:r>
              <w:rPr>
                <w:noProof/>
                <w:color w:val="000000"/>
                <w:lang w:eastAsia="en-GB"/>
              </w:rPr>
              <w:t>9%</w:t>
            </w:r>
          </w:p>
        </w:tc>
        <w:tc>
          <w:tcPr>
            <w:tcW w:w="1190" w:type="pct"/>
            <w:tcBorders>
              <w:top w:val="nil"/>
              <w:left w:val="nil"/>
              <w:bottom w:val="single" w:sz="4" w:space="0" w:color="auto"/>
              <w:right w:val="single" w:sz="4" w:space="0" w:color="auto"/>
            </w:tcBorders>
            <w:noWrap/>
            <w:vAlign w:val="center"/>
            <w:hideMark/>
          </w:tcPr>
          <w:p w:rsidR="001A26B0" w:rsidRDefault="00E33A99">
            <w:pPr>
              <w:spacing w:after="120"/>
              <w:jc w:val="center"/>
              <w:rPr>
                <w:noProof/>
                <w:color w:val="000000"/>
                <w:sz w:val="22"/>
                <w:szCs w:val="22"/>
                <w:lang w:eastAsia="en-GB"/>
              </w:rPr>
            </w:pPr>
            <w:r>
              <w:rPr>
                <w:noProof/>
                <w:color w:val="000000"/>
                <w:lang w:eastAsia="en-GB"/>
              </w:rPr>
              <w:t>9%</w:t>
            </w:r>
          </w:p>
        </w:tc>
        <w:tc>
          <w:tcPr>
            <w:tcW w:w="1189" w:type="pct"/>
            <w:tcBorders>
              <w:top w:val="nil"/>
              <w:left w:val="nil"/>
              <w:bottom w:val="single" w:sz="4" w:space="0" w:color="auto"/>
              <w:right w:val="single" w:sz="4" w:space="0" w:color="auto"/>
            </w:tcBorders>
            <w:vAlign w:val="center"/>
          </w:tcPr>
          <w:p w:rsidR="001A26B0" w:rsidRDefault="00E33A99">
            <w:pPr>
              <w:spacing w:after="120"/>
              <w:jc w:val="center"/>
              <w:rPr>
                <w:noProof/>
                <w:color w:val="000000"/>
                <w:lang w:eastAsia="en-GB"/>
              </w:rPr>
            </w:pPr>
            <w:r>
              <w:rPr>
                <w:noProof/>
                <w:color w:val="000000"/>
                <w:lang w:eastAsia="en-GB"/>
              </w:rPr>
              <w:t>10%</w:t>
            </w:r>
          </w:p>
        </w:tc>
      </w:tr>
      <w:tr w:rsidR="001A26B0">
        <w:trPr>
          <w:trHeight w:val="300"/>
        </w:trPr>
        <w:tc>
          <w:tcPr>
            <w:tcW w:w="1352" w:type="pct"/>
            <w:tcBorders>
              <w:top w:val="nil"/>
              <w:left w:val="single" w:sz="4" w:space="0" w:color="auto"/>
              <w:bottom w:val="single" w:sz="4" w:space="0" w:color="auto"/>
              <w:right w:val="single" w:sz="4" w:space="0" w:color="auto"/>
            </w:tcBorders>
            <w:noWrap/>
            <w:vAlign w:val="center"/>
            <w:hideMark/>
          </w:tcPr>
          <w:p w:rsidR="001A26B0" w:rsidRDefault="00E33A99">
            <w:pPr>
              <w:spacing w:after="120"/>
              <w:jc w:val="left"/>
              <w:rPr>
                <w:noProof/>
                <w:color w:val="000000"/>
                <w:sz w:val="22"/>
                <w:szCs w:val="22"/>
                <w:lang w:eastAsia="en-GB"/>
              </w:rPr>
            </w:pPr>
            <w:r>
              <w:rPr>
                <w:noProof/>
                <w:color w:val="000000"/>
                <w:lang w:eastAsia="en-GB"/>
              </w:rPr>
              <w:t>ESR target ≥ 20%</w:t>
            </w:r>
          </w:p>
        </w:tc>
        <w:tc>
          <w:tcPr>
            <w:tcW w:w="1269" w:type="pct"/>
            <w:tcBorders>
              <w:top w:val="single" w:sz="4" w:space="0" w:color="auto"/>
              <w:left w:val="nil"/>
              <w:bottom w:val="single" w:sz="4" w:space="0" w:color="auto"/>
              <w:right w:val="single" w:sz="4" w:space="0" w:color="auto"/>
            </w:tcBorders>
            <w:noWrap/>
            <w:vAlign w:val="center"/>
            <w:hideMark/>
          </w:tcPr>
          <w:p w:rsidR="001A26B0" w:rsidRDefault="00E33A99">
            <w:pPr>
              <w:spacing w:after="120"/>
              <w:jc w:val="center"/>
              <w:rPr>
                <w:noProof/>
                <w:color w:val="000000"/>
                <w:sz w:val="22"/>
                <w:szCs w:val="22"/>
                <w:lang w:eastAsia="en-GB"/>
              </w:rPr>
            </w:pPr>
            <w:r>
              <w:rPr>
                <w:noProof/>
                <w:color w:val="000000"/>
                <w:lang w:eastAsia="en-GB"/>
              </w:rPr>
              <w:t>35%</w:t>
            </w:r>
          </w:p>
        </w:tc>
        <w:tc>
          <w:tcPr>
            <w:tcW w:w="1190" w:type="pct"/>
            <w:tcBorders>
              <w:top w:val="nil"/>
              <w:left w:val="nil"/>
              <w:bottom w:val="single" w:sz="4" w:space="0" w:color="auto"/>
              <w:right w:val="single" w:sz="4" w:space="0" w:color="auto"/>
            </w:tcBorders>
            <w:noWrap/>
            <w:vAlign w:val="center"/>
            <w:hideMark/>
          </w:tcPr>
          <w:p w:rsidR="001A26B0" w:rsidRDefault="00E33A99">
            <w:pPr>
              <w:spacing w:after="120"/>
              <w:jc w:val="center"/>
              <w:rPr>
                <w:noProof/>
                <w:color w:val="000000"/>
                <w:sz w:val="22"/>
                <w:szCs w:val="22"/>
                <w:lang w:eastAsia="en-GB"/>
              </w:rPr>
            </w:pPr>
            <w:r>
              <w:rPr>
                <w:noProof/>
                <w:color w:val="000000"/>
                <w:lang w:eastAsia="en-GB"/>
              </w:rPr>
              <w:t>33%</w:t>
            </w:r>
          </w:p>
        </w:tc>
        <w:tc>
          <w:tcPr>
            <w:tcW w:w="1189" w:type="pct"/>
            <w:tcBorders>
              <w:top w:val="nil"/>
              <w:left w:val="nil"/>
              <w:bottom w:val="single" w:sz="4" w:space="0" w:color="auto"/>
              <w:right w:val="single" w:sz="4" w:space="0" w:color="auto"/>
            </w:tcBorders>
            <w:vAlign w:val="center"/>
          </w:tcPr>
          <w:p w:rsidR="001A26B0" w:rsidRDefault="00E33A99">
            <w:pPr>
              <w:spacing w:after="120"/>
              <w:jc w:val="center"/>
              <w:rPr>
                <w:noProof/>
                <w:color w:val="000000"/>
                <w:lang w:eastAsia="en-GB"/>
              </w:rPr>
            </w:pPr>
            <w:r>
              <w:rPr>
                <w:noProof/>
                <w:color w:val="000000"/>
                <w:lang w:eastAsia="en-GB"/>
              </w:rPr>
              <w:t>34%</w:t>
            </w:r>
          </w:p>
        </w:tc>
      </w:tr>
    </w:tbl>
    <w:p w:rsidR="001A26B0" w:rsidRDefault="00E33A99">
      <w:pPr>
        <w:spacing w:before="120" w:after="120"/>
        <w:rPr>
          <w:noProof/>
          <w:color w:val="000000" w:themeColor="text1"/>
          <w:szCs w:val="24"/>
        </w:rPr>
      </w:pPr>
      <w:r>
        <w:rPr>
          <w:noProof/>
          <w:szCs w:val="24"/>
        </w:rPr>
        <w:t>An additional comparison was performed with the "</w:t>
      </w:r>
      <w:r>
        <w:rPr>
          <w:i/>
          <w:noProof/>
          <w:szCs w:val="24"/>
        </w:rPr>
        <w:t>EUCO30</w:t>
      </w:r>
      <w:r>
        <w:rPr>
          <w:noProof/>
          <w:szCs w:val="24"/>
        </w:rPr>
        <w:t xml:space="preserve">" scenario to assess whether the options </w:t>
      </w:r>
      <w:r>
        <w:rPr>
          <w:noProof/>
          <w:szCs w:val="24"/>
        </w:rPr>
        <w:t>considered for the automotive sector in this impact assessment are coherent with the broader 2030 energy and climate policy framework.</w:t>
      </w:r>
      <w:r>
        <w:rPr>
          <w:i/>
          <w:noProof/>
          <w:szCs w:val="24"/>
        </w:rPr>
        <w:t xml:space="preserve"> </w:t>
      </w:r>
      <w:r>
        <w:rPr>
          <w:noProof/>
          <w:color w:val="000000" w:themeColor="text1"/>
          <w:szCs w:val="24"/>
        </w:rPr>
        <w:fldChar w:fldCharType="begin"/>
      </w:r>
      <w:r>
        <w:rPr>
          <w:i/>
          <w:noProof/>
          <w:szCs w:val="24"/>
        </w:rPr>
        <w:instrText xml:space="preserve"> REF _Ref495677130 \h </w:instrText>
      </w:r>
      <w:r>
        <w:rPr>
          <w:noProof/>
          <w:color w:val="000000" w:themeColor="text1"/>
          <w:szCs w:val="24"/>
        </w:rPr>
      </w:r>
      <w:r>
        <w:rPr>
          <w:noProof/>
          <w:color w:val="000000" w:themeColor="text1"/>
          <w:szCs w:val="24"/>
        </w:rPr>
        <w:fldChar w:fldCharType="separate"/>
      </w:r>
      <w:r>
        <w:rPr>
          <w:noProof/>
        </w:rPr>
        <w:t>Table 34</w:t>
      </w:r>
      <w:r>
        <w:rPr>
          <w:noProof/>
          <w:color w:val="000000" w:themeColor="text1"/>
          <w:szCs w:val="24"/>
        </w:rPr>
        <w:fldChar w:fldCharType="end"/>
      </w:r>
      <w:r>
        <w:rPr>
          <w:noProof/>
          <w:color w:val="000000" w:themeColor="text1"/>
          <w:szCs w:val="24"/>
        </w:rPr>
        <w:t xml:space="preserve"> shows the emissions fro</w:t>
      </w:r>
      <w:r>
        <w:rPr>
          <w:noProof/>
          <w:color w:val="000000" w:themeColor="text1"/>
          <w:szCs w:val="24"/>
        </w:rPr>
        <w:t xml:space="preserve">m the ESR sectors under the </w:t>
      </w:r>
      <w:r>
        <w:rPr>
          <w:i/>
          <w:noProof/>
          <w:color w:val="000000" w:themeColor="text1"/>
          <w:szCs w:val="24"/>
        </w:rPr>
        <w:t>EUCO30</w:t>
      </w:r>
      <w:r>
        <w:rPr>
          <w:noProof/>
          <w:color w:val="000000" w:themeColor="text1"/>
          <w:szCs w:val="24"/>
        </w:rPr>
        <w:t xml:space="preserve"> scenario and in a scenario TLC30c/25v+ where the EU-wide fleet CO</w:t>
      </w:r>
      <w:r>
        <w:rPr>
          <w:noProof/>
          <w:color w:val="000000" w:themeColor="text1"/>
          <w:szCs w:val="24"/>
          <w:vertAlign w:val="subscript"/>
        </w:rPr>
        <w:t>2</w:t>
      </w:r>
      <w:r>
        <w:rPr>
          <w:noProof/>
          <w:color w:val="000000" w:themeColor="text1"/>
          <w:szCs w:val="24"/>
        </w:rPr>
        <w:t xml:space="preserve"> targets for new cars and vans are set as in options TLC30 and TLV25 (referred to as TL30c/25v), while assuming also other transport related policies (as in </w:t>
      </w:r>
      <w:r>
        <w:rPr>
          <w:i/>
          <w:noProof/>
          <w:color w:val="000000" w:themeColor="text1"/>
          <w:szCs w:val="24"/>
        </w:rPr>
        <w:t>EUCO30</w:t>
      </w:r>
      <w:r>
        <w:rPr>
          <w:noProof/>
          <w:color w:val="000000" w:themeColor="text1"/>
          <w:szCs w:val="24"/>
        </w:rPr>
        <w:t>)</w:t>
      </w:r>
      <w:r>
        <w:rPr>
          <w:rStyle w:val="FootnoteReference"/>
          <w:noProof/>
          <w:color w:val="000000" w:themeColor="text1"/>
          <w:szCs w:val="24"/>
        </w:rPr>
        <w:footnoteReference w:id="184"/>
      </w:r>
      <w:r>
        <w:rPr>
          <w:noProof/>
          <w:color w:val="000000" w:themeColor="text1"/>
          <w:szCs w:val="24"/>
        </w:rPr>
        <w:t xml:space="preserve">. </w:t>
      </w:r>
    </w:p>
    <w:p w:rsidR="001A26B0" w:rsidRDefault="00E33A99">
      <w:pPr>
        <w:pStyle w:val="Caption"/>
        <w:keepNext/>
        <w:rPr>
          <w:noProof/>
        </w:rPr>
      </w:pPr>
      <w:bookmarkStart w:id="481" w:name="_Ref495677130"/>
      <w:r>
        <w:rPr>
          <w:noProof/>
        </w:rPr>
        <w:t xml:space="preserve">Table </w:t>
      </w:r>
      <w:r>
        <w:rPr>
          <w:noProof/>
        </w:rPr>
        <w:fldChar w:fldCharType="begin"/>
      </w:r>
      <w:r>
        <w:rPr>
          <w:noProof/>
        </w:rPr>
        <w:instrText xml:space="preserve"> SEQ Table \* ARABIC </w:instrText>
      </w:r>
      <w:r>
        <w:rPr>
          <w:noProof/>
        </w:rPr>
        <w:fldChar w:fldCharType="separate"/>
      </w:r>
      <w:r>
        <w:rPr>
          <w:noProof/>
        </w:rPr>
        <w:t>34</w:t>
      </w:r>
      <w:r>
        <w:rPr>
          <w:noProof/>
        </w:rPr>
        <w:fldChar w:fldCharType="end"/>
      </w:r>
      <w:bookmarkEnd w:id="481"/>
      <w:r>
        <w:rPr>
          <w:noProof/>
        </w:rPr>
        <w:t>: Comparison of CO</w:t>
      </w:r>
      <w:r>
        <w:rPr>
          <w:noProof/>
          <w:vertAlign w:val="subscript"/>
        </w:rPr>
        <w:t>2</w:t>
      </w:r>
      <w:r>
        <w:rPr>
          <w:noProof/>
        </w:rPr>
        <w:t xml:space="preserve"> emissions under the </w:t>
      </w:r>
      <w:r>
        <w:rPr>
          <w:i/>
          <w:noProof/>
        </w:rPr>
        <w:t>EUCO30</w:t>
      </w:r>
      <w:r>
        <w:rPr>
          <w:noProof/>
        </w:rPr>
        <w:t xml:space="preserve"> scenario </w:t>
      </w:r>
      <w:r>
        <w:rPr>
          <w:noProof/>
        </w:rPr>
        <w:t>and the TL30c25v+ scenario</w:t>
      </w:r>
    </w:p>
    <w:tbl>
      <w:tblPr>
        <w:tblStyle w:val="TableGrid1"/>
        <w:tblW w:w="4077" w:type="pct"/>
        <w:jc w:val="center"/>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1256"/>
        <w:gridCol w:w="1408"/>
        <w:gridCol w:w="1446"/>
      </w:tblGrid>
      <w:tr w:rsidR="001A26B0" w:rsidTr="001A26B0">
        <w:trPr>
          <w:cnfStyle w:val="100000000000" w:firstRow="1" w:lastRow="0" w:firstColumn="0" w:lastColumn="0" w:oddVBand="0" w:evenVBand="0" w:oddHBand="0" w:evenHBand="0" w:firstRowFirstColumn="0" w:firstRowLastColumn="0" w:lastRowFirstColumn="0" w:lastRowLastColumn="0"/>
          <w:cantSplit/>
          <w:trHeight w:val="330"/>
          <w:tblHeader/>
          <w:jc w:val="center"/>
        </w:trPr>
        <w:tc>
          <w:tcPr>
            <w:tcW w:w="2146"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noWrap/>
            <w:hideMark/>
          </w:tcPr>
          <w:p w:rsidR="001A26B0" w:rsidRDefault="00E33A99">
            <w:pPr>
              <w:spacing w:before="0" w:after="120"/>
              <w:jc w:val="right"/>
              <w:rPr>
                <w:bCs/>
                <w:noProof/>
                <w:color w:val="000000" w:themeColor="text1"/>
              </w:rPr>
            </w:pPr>
            <w:r>
              <w:rPr>
                <w:bCs/>
                <w:noProof/>
                <w:color w:val="000000" w:themeColor="text1"/>
              </w:rPr>
              <w:t> </w:t>
            </w:r>
          </w:p>
        </w:tc>
        <w:tc>
          <w:tcPr>
            <w:tcW w:w="87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noWrap/>
            <w:hideMark/>
          </w:tcPr>
          <w:p w:rsidR="001A26B0" w:rsidRDefault="00E33A99">
            <w:pPr>
              <w:spacing w:before="0" w:after="120"/>
              <w:jc w:val="center"/>
              <w:rPr>
                <w:b/>
                <w:noProof/>
                <w:color w:val="000000" w:themeColor="text1"/>
              </w:rPr>
            </w:pPr>
            <w:r>
              <w:rPr>
                <w:b/>
                <w:noProof/>
                <w:color w:val="000000" w:themeColor="text1"/>
              </w:rPr>
              <w:t>2005</w:t>
            </w:r>
          </w:p>
        </w:tc>
        <w:tc>
          <w:tcPr>
            <w:tcW w:w="1982" w:type="pct"/>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noWrap/>
          </w:tcPr>
          <w:p w:rsidR="001A26B0" w:rsidRDefault="00E33A99">
            <w:pPr>
              <w:spacing w:before="0" w:after="120"/>
              <w:jc w:val="center"/>
              <w:rPr>
                <w:b/>
                <w:bCs/>
                <w:noProof/>
                <w:color w:val="000000" w:themeColor="text1"/>
              </w:rPr>
            </w:pPr>
            <w:r>
              <w:rPr>
                <w:b/>
                <w:bCs/>
                <w:noProof/>
                <w:color w:val="000000" w:themeColor="text1"/>
              </w:rPr>
              <w:t>2030</w:t>
            </w:r>
          </w:p>
        </w:tc>
      </w:tr>
      <w:tr w:rsidR="001A26B0" w:rsidTr="001A26B0">
        <w:trPr>
          <w:cnfStyle w:val="000000100000" w:firstRow="0" w:lastRow="0" w:firstColumn="0" w:lastColumn="0" w:oddVBand="0" w:evenVBand="0" w:oddHBand="1" w:evenHBand="0" w:firstRowFirstColumn="0" w:firstRowLastColumn="0" w:lastRowFirstColumn="0" w:lastRowLastColumn="0"/>
          <w:trHeight w:val="315"/>
          <w:jc w:val="center"/>
        </w:trPr>
        <w:tc>
          <w:tcPr>
            <w:tcW w:w="2146" w:type="pct"/>
            <w:vMerge/>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noWrap/>
          </w:tcPr>
          <w:p w:rsidR="001A26B0" w:rsidRDefault="001A26B0">
            <w:pPr>
              <w:spacing w:before="0" w:after="120"/>
              <w:jc w:val="left"/>
              <w:rPr>
                <w:bCs/>
                <w:noProof/>
                <w:color w:val="000000" w:themeColor="text1"/>
              </w:rPr>
            </w:pPr>
          </w:p>
        </w:tc>
        <w:tc>
          <w:tcPr>
            <w:tcW w:w="87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noWrap/>
          </w:tcPr>
          <w:p w:rsidR="001A26B0" w:rsidRDefault="001A26B0">
            <w:pPr>
              <w:spacing w:before="0" w:after="120"/>
              <w:jc w:val="center"/>
              <w:rPr>
                <w:noProof/>
                <w:color w:val="000000" w:themeColor="text1"/>
              </w:rPr>
            </w:pPr>
          </w:p>
        </w:tc>
        <w:tc>
          <w:tcPr>
            <w:tcW w:w="9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noWrap/>
          </w:tcPr>
          <w:p w:rsidR="001A26B0" w:rsidRDefault="00E33A99">
            <w:pPr>
              <w:spacing w:before="0" w:after="120"/>
              <w:jc w:val="center"/>
              <w:rPr>
                <w:noProof/>
                <w:color w:val="000000" w:themeColor="text1"/>
              </w:rPr>
            </w:pPr>
            <w:r>
              <w:rPr>
                <w:bCs/>
                <w:i/>
                <w:noProof/>
                <w:color w:val="000000" w:themeColor="text1"/>
              </w:rPr>
              <w:t>EUCO30</w:t>
            </w:r>
          </w:p>
        </w:tc>
        <w:tc>
          <w:tcPr>
            <w:tcW w:w="1003"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noWrap/>
          </w:tcPr>
          <w:p w:rsidR="001A26B0" w:rsidRDefault="00E33A99">
            <w:pPr>
              <w:spacing w:before="0" w:after="120"/>
              <w:jc w:val="center"/>
              <w:rPr>
                <w:noProof/>
                <w:color w:val="000000" w:themeColor="text1"/>
              </w:rPr>
            </w:pPr>
            <w:r>
              <w:rPr>
                <w:noProof/>
                <w:color w:val="000000" w:themeColor="text1"/>
                <w:szCs w:val="24"/>
              </w:rPr>
              <w:t>TL30c/25v</w:t>
            </w:r>
            <w:r>
              <w:rPr>
                <w:bCs/>
                <w:i/>
                <w:noProof/>
                <w:color w:val="000000" w:themeColor="text1"/>
              </w:rPr>
              <w:t>+</w:t>
            </w:r>
          </w:p>
        </w:tc>
      </w:tr>
      <w:tr w:rsidR="001A26B0" w:rsidTr="001A26B0">
        <w:trPr>
          <w:cnfStyle w:val="000000010000" w:firstRow="0" w:lastRow="0" w:firstColumn="0" w:lastColumn="0" w:oddVBand="0" w:evenVBand="0" w:oddHBand="0" w:evenHBand="1" w:firstRowFirstColumn="0" w:firstRowLastColumn="0" w:lastRowFirstColumn="0" w:lastRowLastColumn="0"/>
          <w:trHeight w:val="315"/>
          <w:jc w:val="center"/>
        </w:trPr>
        <w:tc>
          <w:tcPr>
            <w:tcW w:w="2146" w:type="pct"/>
            <w:tcBorders>
              <w:right w:val="none" w:sz="0" w:space="0" w:color="auto"/>
            </w:tcBorders>
            <w:shd w:val="clear" w:color="auto" w:fill="auto"/>
            <w:noWrap/>
            <w:hideMark/>
          </w:tcPr>
          <w:p w:rsidR="001A26B0" w:rsidRDefault="00E33A99">
            <w:pPr>
              <w:spacing w:before="0" w:after="120"/>
              <w:jc w:val="left"/>
              <w:rPr>
                <w:bCs/>
                <w:noProof/>
                <w:color w:val="000000" w:themeColor="text1"/>
              </w:rPr>
            </w:pPr>
            <w:r>
              <w:rPr>
                <w:bCs/>
                <w:noProof/>
                <w:color w:val="000000" w:themeColor="text1"/>
              </w:rPr>
              <w:t>ESR emissions [Mt CO</w:t>
            </w:r>
            <w:r>
              <w:rPr>
                <w:bCs/>
                <w:noProof/>
                <w:color w:val="000000" w:themeColor="text1"/>
                <w:vertAlign w:val="subscript"/>
              </w:rPr>
              <w:t>2</w:t>
            </w:r>
            <w:r>
              <w:rPr>
                <w:bCs/>
                <w:noProof/>
                <w:color w:val="000000" w:themeColor="text1"/>
              </w:rPr>
              <w:t>]</w:t>
            </w:r>
          </w:p>
        </w:tc>
        <w:tc>
          <w:tcPr>
            <w:tcW w:w="872" w:type="pct"/>
            <w:tcBorders>
              <w:left w:val="none" w:sz="0" w:space="0" w:color="auto"/>
              <w:right w:val="none" w:sz="0" w:space="0" w:color="auto"/>
            </w:tcBorders>
            <w:shd w:val="clear" w:color="auto" w:fill="auto"/>
            <w:noWrap/>
            <w:hideMark/>
          </w:tcPr>
          <w:p w:rsidR="001A26B0" w:rsidRDefault="00E33A99">
            <w:pPr>
              <w:spacing w:before="0" w:after="120"/>
              <w:jc w:val="center"/>
              <w:rPr>
                <w:noProof/>
                <w:color w:val="000000" w:themeColor="text1"/>
              </w:rPr>
            </w:pPr>
            <w:r>
              <w:rPr>
                <w:noProof/>
                <w:color w:val="000000" w:themeColor="text1"/>
              </w:rPr>
              <w:t>2,848</w:t>
            </w:r>
          </w:p>
        </w:tc>
        <w:tc>
          <w:tcPr>
            <w:tcW w:w="978" w:type="pct"/>
            <w:tcBorders>
              <w:left w:val="none" w:sz="0" w:space="0" w:color="auto"/>
              <w:right w:val="none" w:sz="0" w:space="0" w:color="auto"/>
            </w:tcBorders>
            <w:shd w:val="clear" w:color="auto" w:fill="auto"/>
            <w:noWrap/>
            <w:hideMark/>
          </w:tcPr>
          <w:p w:rsidR="001A26B0" w:rsidRDefault="00E33A99">
            <w:pPr>
              <w:spacing w:before="0" w:after="120"/>
              <w:jc w:val="center"/>
              <w:rPr>
                <w:noProof/>
                <w:color w:val="000000" w:themeColor="text1"/>
              </w:rPr>
            </w:pPr>
            <w:r>
              <w:rPr>
                <w:noProof/>
                <w:color w:val="000000" w:themeColor="text1"/>
              </w:rPr>
              <w:t>1,985</w:t>
            </w:r>
          </w:p>
        </w:tc>
        <w:tc>
          <w:tcPr>
            <w:tcW w:w="1003" w:type="pct"/>
            <w:tcBorders>
              <w:left w:val="none" w:sz="0" w:space="0" w:color="auto"/>
            </w:tcBorders>
            <w:shd w:val="clear" w:color="auto" w:fill="auto"/>
            <w:noWrap/>
          </w:tcPr>
          <w:p w:rsidR="001A26B0" w:rsidRDefault="00E33A99">
            <w:pPr>
              <w:spacing w:before="0" w:after="120"/>
              <w:jc w:val="center"/>
              <w:rPr>
                <w:noProof/>
                <w:color w:val="000000" w:themeColor="text1"/>
              </w:rPr>
            </w:pPr>
            <w:r>
              <w:rPr>
                <w:noProof/>
                <w:color w:val="000000" w:themeColor="text1"/>
              </w:rPr>
              <w:t>1,999</w:t>
            </w:r>
          </w:p>
        </w:tc>
      </w:tr>
      <w:tr w:rsidR="001A26B0" w:rsidTr="001A26B0">
        <w:trPr>
          <w:cnfStyle w:val="000000100000" w:firstRow="0" w:lastRow="0" w:firstColumn="0" w:lastColumn="0" w:oddVBand="0" w:evenVBand="0" w:oddHBand="1" w:evenHBand="0" w:firstRowFirstColumn="0" w:firstRowLastColumn="0" w:lastRowFirstColumn="0" w:lastRowLastColumn="0"/>
          <w:trHeight w:val="315"/>
          <w:jc w:val="center"/>
        </w:trPr>
        <w:tc>
          <w:tcPr>
            <w:tcW w:w="214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noWrap/>
          </w:tcPr>
          <w:p w:rsidR="001A26B0" w:rsidRDefault="00E33A99">
            <w:pPr>
              <w:spacing w:before="0" w:after="120"/>
              <w:jc w:val="right"/>
              <w:rPr>
                <w:bCs/>
                <w:noProof/>
                <w:color w:val="000000" w:themeColor="text1"/>
              </w:rPr>
            </w:pPr>
            <w:r>
              <w:rPr>
                <w:bCs/>
                <w:noProof/>
                <w:color w:val="000000" w:themeColor="text1"/>
              </w:rPr>
              <w:t>% change from 2005</w:t>
            </w:r>
          </w:p>
        </w:tc>
        <w:tc>
          <w:tcPr>
            <w:tcW w:w="87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noWrap/>
          </w:tcPr>
          <w:p w:rsidR="001A26B0" w:rsidRDefault="001A26B0">
            <w:pPr>
              <w:spacing w:before="0" w:after="120"/>
              <w:ind w:firstLineChars="400" w:firstLine="960"/>
              <w:jc w:val="center"/>
              <w:rPr>
                <w:noProof/>
                <w:color w:val="000000" w:themeColor="text1"/>
              </w:rPr>
            </w:pPr>
          </w:p>
        </w:tc>
        <w:tc>
          <w:tcPr>
            <w:tcW w:w="9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noWrap/>
          </w:tcPr>
          <w:p w:rsidR="001A26B0" w:rsidRDefault="00E33A99">
            <w:pPr>
              <w:spacing w:before="0" w:after="120"/>
              <w:jc w:val="center"/>
              <w:rPr>
                <w:noProof/>
                <w:color w:val="000000" w:themeColor="text1"/>
              </w:rPr>
            </w:pPr>
            <w:r>
              <w:rPr>
                <w:noProof/>
                <w:color w:val="000000" w:themeColor="text1"/>
              </w:rPr>
              <w:t>-30.3%</w:t>
            </w:r>
          </w:p>
        </w:tc>
        <w:tc>
          <w:tcPr>
            <w:tcW w:w="1003"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noWrap/>
          </w:tcPr>
          <w:p w:rsidR="001A26B0" w:rsidRDefault="00E33A99">
            <w:pPr>
              <w:spacing w:before="0" w:after="120"/>
              <w:jc w:val="center"/>
              <w:rPr>
                <w:noProof/>
                <w:color w:val="000000" w:themeColor="text1"/>
              </w:rPr>
            </w:pPr>
            <w:r>
              <w:rPr>
                <w:noProof/>
                <w:color w:val="000000" w:themeColor="text1"/>
              </w:rPr>
              <w:t>-29.8%</w:t>
            </w:r>
          </w:p>
        </w:tc>
      </w:tr>
    </w:tbl>
    <w:p w:rsidR="001A26B0" w:rsidRDefault="00E33A99">
      <w:pPr>
        <w:spacing w:before="120" w:after="120"/>
        <w:rPr>
          <w:noProof/>
        </w:rPr>
      </w:pPr>
      <w:r>
        <w:rPr>
          <w:noProof/>
          <w:color w:val="000000" w:themeColor="text1"/>
        </w:rPr>
        <w:t xml:space="preserve">In </w:t>
      </w:r>
      <w:r>
        <w:rPr>
          <w:i/>
          <w:noProof/>
          <w:color w:val="000000" w:themeColor="text1"/>
        </w:rPr>
        <w:t>EUCO30</w:t>
      </w:r>
      <w:r>
        <w:rPr>
          <w:noProof/>
          <w:color w:val="000000" w:themeColor="text1"/>
        </w:rPr>
        <w:t xml:space="preserve">, ESR emissions fall by 30.3% in 2030 compared to 2005 levels, which is in line with the 30% target. In the </w:t>
      </w:r>
      <w:r>
        <w:rPr>
          <w:noProof/>
          <w:color w:val="000000" w:themeColor="text1"/>
          <w:szCs w:val="24"/>
        </w:rPr>
        <w:t>TL30c/25v+</w:t>
      </w:r>
      <w:r>
        <w:rPr>
          <w:noProof/>
          <w:color w:val="000000" w:themeColor="text1"/>
        </w:rPr>
        <w:t xml:space="preserve"> scenario, the reduction is 29.8%. </w:t>
      </w:r>
      <w:r>
        <w:rPr>
          <w:noProof/>
        </w:rPr>
        <w:t xml:space="preserve">From this assessment, it could be concluded that the new policy scenarios and </w:t>
      </w:r>
      <w:r>
        <w:rPr>
          <w:i/>
          <w:noProof/>
        </w:rPr>
        <w:t>EUCO30</w:t>
      </w:r>
      <w:r>
        <w:rPr>
          <w:noProof/>
        </w:rPr>
        <w:t xml:space="preserve"> are consistent in the GHG savings they deliver in the non-ETS sectors. This assessment also confirms that any remaining gap id</w:t>
      </w:r>
      <w:r>
        <w:rPr>
          <w:noProof/>
        </w:rPr>
        <w:t>entified for transport emissions is expected to be closed further as additional CO</w:t>
      </w:r>
      <w:r>
        <w:rPr>
          <w:noProof/>
          <w:vertAlign w:val="subscript"/>
        </w:rPr>
        <w:t>2</w:t>
      </w:r>
      <w:r>
        <w:rPr>
          <w:noProof/>
        </w:rPr>
        <w:t xml:space="preserve"> reduction policies are being developed in the transport sector, such as emission standards for heavy-duty vehicles. Additional details on this analysis are presented in Ann</w:t>
      </w:r>
      <w:r>
        <w:rPr>
          <w:noProof/>
        </w:rPr>
        <w:t>ex 4.</w:t>
      </w:r>
    </w:p>
    <w:p w:rsidR="001A26B0" w:rsidRDefault="00E33A99">
      <w:pPr>
        <w:pStyle w:val="Heading3"/>
        <w:rPr>
          <w:noProof/>
        </w:rPr>
      </w:pPr>
      <w:bookmarkStart w:id="482" w:name="_Toc496635617"/>
      <w:r>
        <w:rPr>
          <w:noProof/>
        </w:rPr>
        <w:t>Timing of the targets (TT)</w:t>
      </w:r>
      <w:bookmarkEnd w:id="482"/>
    </w:p>
    <w:p w:rsidR="001A26B0" w:rsidRDefault="00E33A99">
      <w:pPr>
        <w:pStyle w:val="Heading4"/>
        <w:rPr>
          <w:noProof/>
        </w:rPr>
      </w:pPr>
      <w:bookmarkStart w:id="483" w:name="_Toc496635618"/>
      <w:r>
        <w:rPr>
          <w:noProof/>
        </w:rPr>
        <w:t>Option TT 1: The new fleet-wide targets start to apply in 2030.</w:t>
      </w:r>
      <w:bookmarkEnd w:id="483"/>
      <w:r>
        <w:rPr>
          <w:noProof/>
        </w:rPr>
        <w:t xml:space="preserve"> </w:t>
      </w:r>
    </w:p>
    <w:p w:rsidR="001A26B0" w:rsidRDefault="00E33A99">
      <w:pPr>
        <w:spacing w:after="120"/>
        <w:rPr>
          <w:noProof/>
          <w:color w:val="000000" w:themeColor="text1"/>
        </w:rPr>
      </w:pPr>
      <w:r>
        <w:rPr>
          <w:noProof/>
        </w:rPr>
        <w:t xml:space="preserve">Under this option the new targets start to apply in 2030. Even if the 2030 targets can be expected to create some anticipation by manufacturers, </w:t>
      </w:r>
      <w:r>
        <w:rPr>
          <w:noProof/>
          <w:color w:val="000000" w:themeColor="text1"/>
        </w:rPr>
        <w:t>the absence o</w:t>
      </w:r>
      <w:r>
        <w:rPr>
          <w:noProof/>
          <w:color w:val="000000" w:themeColor="text1"/>
        </w:rPr>
        <w:t>f more ambitious CO</w:t>
      </w:r>
      <w:r>
        <w:rPr>
          <w:noProof/>
          <w:color w:val="000000" w:themeColor="text1"/>
          <w:vertAlign w:val="subscript"/>
        </w:rPr>
        <w:t>2</w:t>
      </w:r>
      <w:r>
        <w:rPr>
          <w:noProof/>
          <w:color w:val="000000" w:themeColor="text1"/>
        </w:rPr>
        <w:t xml:space="preserve"> targets prior to 2030 is very likely to cause a number of </w:t>
      </w:r>
      <w:r>
        <w:rPr>
          <w:noProof/>
        </w:rPr>
        <w:t>CO</w:t>
      </w:r>
      <w:r>
        <w:rPr>
          <w:noProof/>
          <w:vertAlign w:val="subscript"/>
        </w:rPr>
        <w:t>2</w:t>
      </w:r>
      <w:r>
        <w:rPr>
          <w:noProof/>
        </w:rPr>
        <w:t xml:space="preserve"> reducing technologies or LEV/ZEV to be introduced only close to the date of application of the new targets, in particular for those technologies with high manufacturing cost</w:t>
      </w:r>
      <w:r>
        <w:rPr>
          <w:noProof/>
        </w:rPr>
        <w:t xml:space="preserve">s. </w:t>
      </w:r>
    </w:p>
    <w:p w:rsidR="001A26B0" w:rsidRDefault="00E33A99">
      <w:pPr>
        <w:spacing w:after="120"/>
        <w:rPr>
          <w:i/>
          <w:noProof/>
          <w:color w:val="000000" w:themeColor="text1"/>
        </w:rPr>
      </w:pPr>
      <w:r>
        <w:rPr>
          <w:i/>
          <w:noProof/>
          <w:color w:val="000000" w:themeColor="text1"/>
        </w:rPr>
        <w:t>Environmental impacts</w:t>
      </w:r>
    </w:p>
    <w:p w:rsidR="001A26B0" w:rsidRDefault="00E33A99">
      <w:pPr>
        <w:spacing w:after="120"/>
        <w:rPr>
          <w:noProof/>
          <w:color w:val="000000" w:themeColor="text1"/>
        </w:rPr>
      </w:pPr>
      <w:r>
        <w:rPr>
          <w:noProof/>
          <w:color w:val="000000" w:themeColor="text1"/>
        </w:rPr>
        <w:t>The expected delayed introduction of fuel-efficient technologies and LEV/ZEV will lead to higher CO</w:t>
      </w:r>
      <w:r>
        <w:rPr>
          <w:noProof/>
          <w:color w:val="000000" w:themeColor="text1"/>
          <w:vertAlign w:val="subscript"/>
        </w:rPr>
        <w:t>2</w:t>
      </w:r>
      <w:r>
        <w:rPr>
          <w:noProof/>
          <w:color w:val="000000" w:themeColor="text1"/>
        </w:rPr>
        <w:t xml:space="preserve"> and air pollutant emissions in the intermediate period. Furthermore, given the average lifetime of new vehicles, the vehicle stoc</w:t>
      </w:r>
      <w:r>
        <w:rPr>
          <w:noProof/>
          <w:color w:val="000000" w:themeColor="text1"/>
        </w:rPr>
        <w:t>k in 2030 will continue to have higher CO</w:t>
      </w:r>
      <w:r>
        <w:rPr>
          <w:noProof/>
          <w:color w:val="000000" w:themeColor="text1"/>
          <w:vertAlign w:val="subscript"/>
        </w:rPr>
        <w:t>2</w:t>
      </w:r>
      <w:r>
        <w:rPr>
          <w:noProof/>
          <w:color w:val="000000" w:themeColor="text1"/>
        </w:rPr>
        <w:t xml:space="preserve"> and air pollutant emissions. As a consequence, in this option, the contribution of road transport to the 2030 climate and energy targets risks being more limited. </w:t>
      </w:r>
    </w:p>
    <w:p w:rsidR="001A26B0" w:rsidRDefault="00E33A99">
      <w:pPr>
        <w:spacing w:after="120"/>
        <w:rPr>
          <w:noProof/>
          <w:color w:val="000000" w:themeColor="text1"/>
        </w:rPr>
      </w:pPr>
      <w:r>
        <w:rPr>
          <w:noProof/>
          <w:color w:val="000000" w:themeColor="text1"/>
        </w:rPr>
        <w:t>For example, with EU-wide CO</w:t>
      </w:r>
      <w:r>
        <w:rPr>
          <w:noProof/>
          <w:color w:val="000000" w:themeColor="text1"/>
          <w:vertAlign w:val="subscript"/>
        </w:rPr>
        <w:t>2</w:t>
      </w:r>
      <w:r>
        <w:rPr>
          <w:noProof/>
          <w:color w:val="000000" w:themeColor="text1"/>
        </w:rPr>
        <w:t xml:space="preserve"> targets as under op</w:t>
      </w:r>
      <w:r>
        <w:rPr>
          <w:noProof/>
          <w:color w:val="000000" w:themeColor="text1"/>
        </w:rPr>
        <w:t>tions TLC30 and TLV25, in the worst case whereby no emission reduction happens by 2025 due to the fact that no new target is set for 2025, the cumulative total CO</w:t>
      </w:r>
      <w:r>
        <w:rPr>
          <w:noProof/>
          <w:color w:val="000000" w:themeColor="text1"/>
          <w:vertAlign w:val="subscript"/>
        </w:rPr>
        <w:t>2</w:t>
      </w:r>
      <w:r>
        <w:rPr>
          <w:noProof/>
          <w:color w:val="000000" w:themeColor="text1"/>
        </w:rPr>
        <w:t xml:space="preserve"> emissions from light duty vehicles in the period 2020-2030 would be around 81 million tons h</w:t>
      </w:r>
      <w:r>
        <w:rPr>
          <w:noProof/>
          <w:color w:val="000000" w:themeColor="text1"/>
        </w:rPr>
        <w:t>igher than in a scenario with an interim target in 2025, stimulating an earlier uptake of more efficient vehicles. This is equivalent to around 16% of total annual CO</w:t>
      </w:r>
      <w:r>
        <w:rPr>
          <w:noProof/>
          <w:color w:val="000000" w:themeColor="text1"/>
          <w:vertAlign w:val="subscript"/>
        </w:rPr>
        <w:t>2</w:t>
      </w:r>
      <w:r>
        <w:rPr>
          <w:noProof/>
          <w:color w:val="000000" w:themeColor="text1"/>
        </w:rPr>
        <w:t xml:space="preserve"> emissions in 2030 in the baseline. Even if some reduction efforts were to be anticipated</w:t>
      </w:r>
      <w:r>
        <w:rPr>
          <w:noProof/>
          <w:color w:val="000000" w:themeColor="text1"/>
        </w:rPr>
        <w:t>, this indicates that under this option cumulative CO</w:t>
      </w:r>
      <w:r>
        <w:rPr>
          <w:noProof/>
          <w:color w:val="000000" w:themeColor="text1"/>
          <w:vertAlign w:val="subscript"/>
        </w:rPr>
        <w:t>2</w:t>
      </w:r>
      <w:r>
        <w:rPr>
          <w:noProof/>
          <w:color w:val="000000" w:themeColor="text1"/>
        </w:rPr>
        <w:t xml:space="preserve"> emissions in the period 2020-2030 would be higher. </w:t>
      </w:r>
    </w:p>
    <w:p w:rsidR="001A26B0" w:rsidRDefault="00E33A99">
      <w:pPr>
        <w:spacing w:after="120"/>
        <w:rPr>
          <w:i/>
          <w:noProof/>
          <w:color w:val="000000" w:themeColor="text1"/>
        </w:rPr>
      </w:pPr>
      <w:r>
        <w:rPr>
          <w:i/>
          <w:noProof/>
          <w:color w:val="000000" w:themeColor="text1"/>
        </w:rPr>
        <w:t>Economic impacts</w:t>
      </w:r>
    </w:p>
    <w:p w:rsidR="001A26B0" w:rsidRDefault="00E33A99">
      <w:pPr>
        <w:spacing w:after="120"/>
        <w:rPr>
          <w:noProof/>
        </w:rPr>
      </w:pPr>
      <w:r>
        <w:rPr>
          <w:noProof/>
          <w:color w:val="000000" w:themeColor="text1"/>
        </w:rPr>
        <w:t>As the new targets start to apply only in 2030, there is a limited incentive for manufacturers to increase and improve their product</w:t>
      </w:r>
      <w:r>
        <w:rPr>
          <w:noProof/>
          <w:color w:val="000000" w:themeColor="text1"/>
        </w:rPr>
        <w:t xml:space="preserve"> range of LEV/ZEV at a higher pace than that needed to meet earlier new targets, as is reflected in the currently low market share of these vehicles among new registrations</w:t>
      </w:r>
      <w:r>
        <w:rPr>
          <w:noProof/>
        </w:rPr>
        <w:t xml:space="preserve">. </w:t>
      </w:r>
    </w:p>
    <w:p w:rsidR="001A26B0" w:rsidRDefault="00E33A99">
      <w:pPr>
        <w:spacing w:after="120"/>
        <w:rPr>
          <w:noProof/>
          <w:color w:val="000000" w:themeColor="text1"/>
        </w:rPr>
      </w:pPr>
      <w:r>
        <w:rPr>
          <w:noProof/>
        </w:rPr>
        <w:t xml:space="preserve">This option </w:t>
      </w:r>
      <w:r>
        <w:rPr>
          <w:noProof/>
          <w:color w:val="000000" w:themeColor="text1"/>
        </w:rPr>
        <w:t xml:space="preserve">would provide industry with more lead time to invest and develop new </w:t>
      </w:r>
      <w:r>
        <w:rPr>
          <w:noProof/>
          <w:color w:val="000000" w:themeColor="text1"/>
        </w:rPr>
        <w:t>technologies. However</w:t>
      </w:r>
      <w:r>
        <w:rPr>
          <w:noProof/>
        </w:rPr>
        <w:t>, delaying the introduction of more efficient technologies, and LEV/ZEV in particular, could have a negative impact on the technology cost reduction through economies of scale.</w:t>
      </w:r>
      <w:r>
        <w:rPr>
          <w:rStyle w:val="FootnoteReference"/>
          <w:noProof/>
        </w:rPr>
        <w:footnoteReference w:id="185"/>
      </w:r>
      <w:r>
        <w:rPr>
          <w:noProof/>
          <w:color w:val="000000" w:themeColor="text1"/>
        </w:rPr>
        <w:t xml:space="preserve"> At the same time, applying the new target in 2030 only ma</w:t>
      </w:r>
      <w:r>
        <w:rPr>
          <w:noProof/>
          <w:color w:val="000000" w:themeColor="text1"/>
        </w:rPr>
        <w:t>y provide a weaker signal to potential investors to invest in alternative powertrains and infrastructure. Given the regulatory developments in other regions in the world, Europe would risk to lose out as lead market (see section 2.1.3). European manufactur</w:t>
      </w:r>
      <w:r>
        <w:rPr>
          <w:noProof/>
          <w:color w:val="000000" w:themeColor="text1"/>
        </w:rPr>
        <w:t>ers would not benefit from a first mover advantage with negative effects on their international competitiveness.</w:t>
      </w:r>
    </w:p>
    <w:p w:rsidR="001A26B0" w:rsidRDefault="00E33A99">
      <w:pPr>
        <w:spacing w:after="120"/>
        <w:rPr>
          <w:i/>
          <w:noProof/>
          <w:color w:val="000000" w:themeColor="text1"/>
        </w:rPr>
      </w:pPr>
      <w:r>
        <w:rPr>
          <w:i/>
          <w:noProof/>
          <w:color w:val="000000" w:themeColor="text1"/>
        </w:rPr>
        <w:t>Social impacts</w:t>
      </w:r>
    </w:p>
    <w:p w:rsidR="001A26B0" w:rsidRDefault="00E33A99">
      <w:pPr>
        <w:spacing w:after="120"/>
        <w:rPr>
          <w:noProof/>
        </w:rPr>
      </w:pPr>
      <w:r>
        <w:rPr>
          <w:noProof/>
        </w:rPr>
        <w:t>Due to the delay in bringing more efficient vehicles on the market, consumers would lose out on fuel cost savings. Moreover, the</w:t>
      </w:r>
      <w:r>
        <w:rPr>
          <w:noProof/>
        </w:rPr>
        <w:t xml:space="preserve"> delay could provide for more time to prepare for the new skills required for the production of low- and zero-emission vehicles ('reskilling' and 'upskilling', see section 6.3.2.2.3.3). </w:t>
      </w:r>
    </w:p>
    <w:p w:rsidR="001A26B0" w:rsidRDefault="00E33A99">
      <w:pPr>
        <w:pStyle w:val="Heading4"/>
        <w:rPr>
          <w:noProof/>
        </w:rPr>
      </w:pPr>
      <w:bookmarkStart w:id="484" w:name="_Toc496635619"/>
      <w:r>
        <w:rPr>
          <w:noProof/>
        </w:rPr>
        <w:t>Option TT 2: New fleet-wide targets start to apply in 2025, and stric</w:t>
      </w:r>
      <w:r>
        <w:rPr>
          <w:noProof/>
        </w:rPr>
        <w:t>ter fleet-wide targets start to apply in 2030.</w:t>
      </w:r>
      <w:bookmarkEnd w:id="484"/>
      <w:r>
        <w:rPr>
          <w:noProof/>
        </w:rPr>
        <w:t xml:space="preserve"> </w:t>
      </w:r>
    </w:p>
    <w:p w:rsidR="001A26B0" w:rsidRDefault="00E33A99">
      <w:pPr>
        <w:spacing w:after="120"/>
        <w:rPr>
          <w:i/>
          <w:noProof/>
          <w:color w:val="000000" w:themeColor="text1"/>
        </w:rPr>
      </w:pPr>
      <w:r>
        <w:rPr>
          <w:i/>
          <w:noProof/>
          <w:color w:val="000000" w:themeColor="text1"/>
        </w:rPr>
        <w:t>Environmental impacts</w:t>
      </w:r>
    </w:p>
    <w:p w:rsidR="001A26B0" w:rsidRDefault="00E33A99">
      <w:pPr>
        <w:spacing w:after="120"/>
        <w:rPr>
          <w:i/>
          <w:noProof/>
          <w:color w:val="000000" w:themeColor="text1"/>
        </w:rPr>
      </w:pPr>
      <w:r>
        <w:rPr>
          <w:noProof/>
          <w:color w:val="000000" w:themeColor="text1"/>
        </w:rPr>
        <w:t xml:space="preserve">Since targets are set in 2025 and 2030, this option provides for early action well ahead of 2030. Thus, cumulative emission reductions are expected to be higher. </w:t>
      </w:r>
      <w:r>
        <w:rPr>
          <w:i/>
          <w:noProof/>
          <w:color w:val="000000" w:themeColor="text1"/>
        </w:rPr>
        <w:t>Economic impacts</w:t>
      </w:r>
    </w:p>
    <w:p w:rsidR="001A26B0" w:rsidRDefault="00E33A99">
      <w:pPr>
        <w:spacing w:after="120"/>
        <w:rPr>
          <w:noProof/>
          <w:color w:val="000000" w:themeColor="text1"/>
        </w:rPr>
      </w:pPr>
      <w:r>
        <w:rPr>
          <w:noProof/>
          <w:color w:val="000000" w:themeColor="text1"/>
        </w:rPr>
        <w:t>Setting</w:t>
      </w:r>
      <w:r>
        <w:rPr>
          <w:noProof/>
          <w:color w:val="000000" w:themeColor="text1"/>
        </w:rPr>
        <w:t xml:space="preserve"> CO</w:t>
      </w:r>
      <w:r>
        <w:rPr>
          <w:noProof/>
          <w:color w:val="000000" w:themeColor="text1"/>
          <w:vertAlign w:val="subscript"/>
        </w:rPr>
        <w:t>2</w:t>
      </w:r>
      <w:r>
        <w:rPr>
          <w:noProof/>
          <w:color w:val="000000" w:themeColor="text1"/>
        </w:rPr>
        <w:t xml:space="preserve"> targets also in 2025 would provide a clear and early signal for the automotive sector to increase the market share of LEV/ZEV in the EU from the early 2020s on. At the same time, it would leave sufficient flexibility to manufacturers to phase in gradu</w:t>
      </w:r>
      <w:r>
        <w:rPr>
          <w:noProof/>
          <w:color w:val="000000" w:themeColor="text1"/>
        </w:rPr>
        <w:t>ally more efficient technologies and hence give sufficient lead time for the automotive supply chain to adapt through a step by step approach. However, this would be less the case where a higher average annual reduction of the target level is foreseen in t</w:t>
      </w:r>
      <w:r>
        <w:rPr>
          <w:noProof/>
          <w:color w:val="000000" w:themeColor="text1"/>
        </w:rPr>
        <w:t>he earlier period 2021-2025 compared to the later period 2025-2030 such as illustrated by the EP_40 options.</w:t>
      </w:r>
    </w:p>
    <w:p w:rsidR="001A26B0" w:rsidRDefault="00E33A99">
      <w:pPr>
        <w:spacing w:after="120"/>
        <w:rPr>
          <w:i/>
          <w:noProof/>
          <w:color w:val="000000" w:themeColor="text1"/>
        </w:rPr>
      </w:pPr>
      <w:r>
        <w:rPr>
          <w:i/>
          <w:noProof/>
          <w:color w:val="000000" w:themeColor="text1"/>
        </w:rPr>
        <w:t>Social impacts</w:t>
      </w:r>
    </w:p>
    <w:p w:rsidR="001A26B0" w:rsidRDefault="00E33A99">
      <w:pPr>
        <w:spacing w:after="120"/>
        <w:rPr>
          <w:noProof/>
          <w:color w:val="000000" w:themeColor="text1"/>
        </w:rPr>
      </w:pPr>
      <w:r>
        <w:rPr>
          <w:noProof/>
          <w:color w:val="000000" w:themeColor="text1"/>
        </w:rPr>
        <w:t>Consumers would benefit from fuel cost savings from the early 2020s on due to an earlier introduction of more efficient vehicles (co</w:t>
      </w:r>
      <w:r>
        <w:rPr>
          <w:noProof/>
          <w:color w:val="000000" w:themeColor="text1"/>
        </w:rPr>
        <w:t>mpared to option TT 1). While the transition to LEV/ZEV would need to commence earlier, there would still be time to prepare for the new skills requirements.</w:t>
      </w:r>
    </w:p>
    <w:p w:rsidR="001A26B0" w:rsidRDefault="00E33A99">
      <w:pPr>
        <w:pStyle w:val="Heading4"/>
        <w:rPr>
          <w:noProof/>
        </w:rPr>
      </w:pPr>
      <w:bookmarkStart w:id="485" w:name="_Toc496635620"/>
      <w:r>
        <w:rPr>
          <w:noProof/>
        </w:rPr>
        <w:t>Option TT 3: New fleet-wide targets are defined for each of the years until 2030.</w:t>
      </w:r>
      <w:bookmarkEnd w:id="485"/>
      <w:r>
        <w:rPr>
          <w:noProof/>
        </w:rPr>
        <w:t xml:space="preserve"> </w:t>
      </w:r>
    </w:p>
    <w:p w:rsidR="001A26B0" w:rsidRDefault="00E33A99">
      <w:pPr>
        <w:spacing w:after="120"/>
        <w:rPr>
          <w:i/>
          <w:noProof/>
          <w:color w:val="000000" w:themeColor="text1"/>
          <w:szCs w:val="24"/>
        </w:rPr>
      </w:pPr>
      <w:r>
        <w:rPr>
          <w:i/>
          <w:noProof/>
          <w:color w:val="000000" w:themeColor="text1"/>
          <w:szCs w:val="24"/>
        </w:rPr>
        <w:t>Environmental i</w:t>
      </w:r>
      <w:r>
        <w:rPr>
          <w:i/>
          <w:noProof/>
          <w:color w:val="000000" w:themeColor="text1"/>
          <w:szCs w:val="24"/>
        </w:rPr>
        <w:t>mpacts</w:t>
      </w:r>
    </w:p>
    <w:p w:rsidR="001A26B0" w:rsidRDefault="00E33A99">
      <w:pPr>
        <w:spacing w:after="120"/>
        <w:rPr>
          <w:noProof/>
          <w:color w:val="000000" w:themeColor="text1"/>
          <w:szCs w:val="24"/>
        </w:rPr>
      </w:pPr>
      <w:r>
        <w:rPr>
          <w:noProof/>
          <w:color w:val="000000" w:themeColor="text1"/>
          <w:szCs w:val="24"/>
        </w:rPr>
        <w:t xml:space="preserve">This option would ensure </w:t>
      </w:r>
      <w:r>
        <w:rPr>
          <w:noProof/>
          <w:szCs w:val="24"/>
        </w:rPr>
        <w:t>CO</w:t>
      </w:r>
      <w:r>
        <w:rPr>
          <w:noProof/>
          <w:szCs w:val="24"/>
          <w:vertAlign w:val="subscript"/>
        </w:rPr>
        <w:t>2</w:t>
      </w:r>
      <w:r>
        <w:rPr>
          <w:noProof/>
          <w:color w:val="000000" w:themeColor="text1"/>
          <w:szCs w:val="24"/>
        </w:rPr>
        <w:t xml:space="preserve"> emission reductions follow an annual path, like installations under the emissions trading system, and therefore would provide greater certainty for the expected </w:t>
      </w:r>
      <w:r>
        <w:rPr>
          <w:noProof/>
          <w:szCs w:val="24"/>
        </w:rPr>
        <w:t>CO</w:t>
      </w:r>
      <w:r>
        <w:rPr>
          <w:noProof/>
          <w:szCs w:val="24"/>
          <w:vertAlign w:val="subscript"/>
        </w:rPr>
        <w:t>2</w:t>
      </w:r>
      <w:r>
        <w:rPr>
          <w:noProof/>
          <w:color w:val="000000" w:themeColor="text1"/>
          <w:szCs w:val="24"/>
        </w:rPr>
        <w:t xml:space="preserve"> and air pollutant emission reductions  to be effectivel</w:t>
      </w:r>
      <w:r>
        <w:rPr>
          <w:noProof/>
          <w:color w:val="000000" w:themeColor="text1"/>
          <w:szCs w:val="24"/>
        </w:rPr>
        <w:t>y delivered. It would also ensure timely and continuous market uptake of LEVs/ZEVs.</w:t>
      </w:r>
    </w:p>
    <w:p w:rsidR="001A26B0" w:rsidRDefault="00E33A99">
      <w:pPr>
        <w:spacing w:after="120"/>
        <w:rPr>
          <w:i/>
          <w:noProof/>
          <w:color w:val="000000" w:themeColor="text1"/>
          <w:szCs w:val="24"/>
        </w:rPr>
      </w:pPr>
      <w:r>
        <w:rPr>
          <w:i/>
          <w:noProof/>
          <w:color w:val="000000" w:themeColor="text1"/>
          <w:szCs w:val="24"/>
        </w:rPr>
        <w:t>Economic impacts</w:t>
      </w:r>
    </w:p>
    <w:p w:rsidR="001A26B0" w:rsidRDefault="00E33A99">
      <w:pPr>
        <w:spacing w:after="120"/>
        <w:rPr>
          <w:noProof/>
          <w:color w:val="000000" w:themeColor="text1"/>
          <w:szCs w:val="24"/>
        </w:rPr>
      </w:pPr>
      <w:r>
        <w:rPr>
          <w:noProof/>
          <w:color w:val="000000" w:themeColor="text1"/>
          <w:szCs w:val="24"/>
        </w:rPr>
        <w:t>Annual targets could be perceived as very prescriptive in imposing a rigid annual emission reduction pathway on manufacturers. Managing year-to-year market</w:t>
      </w:r>
      <w:r>
        <w:rPr>
          <w:noProof/>
          <w:color w:val="000000" w:themeColor="text1"/>
          <w:szCs w:val="24"/>
        </w:rPr>
        <w:t xml:space="preserve"> fluctuations, for example, due to changes in customer demand would be almost impossible without additional flexibility for compliance between years. It would be challenging for manufacturers to plan the modernisation of models and introduction of new tech</w:t>
      </w:r>
      <w:r>
        <w:rPr>
          <w:noProof/>
          <w:color w:val="000000" w:themeColor="text1"/>
          <w:szCs w:val="24"/>
        </w:rPr>
        <w:t>nologies in their fleet against annual emissions targets. In addition, setting annual targets in the first years after 2021 may create a risk of limiting lead time for manufacturers to appropriately plan and implement their strategies for meeting the new t</w:t>
      </w:r>
      <w:r>
        <w:rPr>
          <w:noProof/>
          <w:color w:val="000000" w:themeColor="text1"/>
          <w:szCs w:val="24"/>
        </w:rPr>
        <w:t>argets. Overall, this could make delivery of the targets rather costly.</w:t>
      </w:r>
    </w:p>
    <w:p w:rsidR="001A26B0" w:rsidRDefault="00E33A99">
      <w:pPr>
        <w:spacing w:after="120"/>
        <w:rPr>
          <w:i/>
          <w:noProof/>
          <w:color w:val="000000" w:themeColor="text1"/>
          <w:szCs w:val="24"/>
        </w:rPr>
      </w:pPr>
      <w:r>
        <w:rPr>
          <w:i/>
          <w:noProof/>
          <w:color w:val="000000" w:themeColor="text1"/>
          <w:szCs w:val="24"/>
        </w:rPr>
        <w:t>Social impacts</w:t>
      </w:r>
    </w:p>
    <w:p w:rsidR="001A26B0" w:rsidRDefault="00E33A99">
      <w:pPr>
        <w:spacing w:after="120"/>
        <w:rPr>
          <w:noProof/>
          <w:szCs w:val="24"/>
        </w:rPr>
      </w:pPr>
      <w:r>
        <w:rPr>
          <w:noProof/>
          <w:color w:val="000000" w:themeColor="text1"/>
          <w:szCs w:val="24"/>
        </w:rPr>
        <w:t>Consumers would benefit from fuel cost savings as early as possible.</w:t>
      </w:r>
    </w:p>
    <w:p w:rsidR="001A26B0" w:rsidRDefault="00E33A99">
      <w:pPr>
        <w:spacing w:after="120"/>
        <w:rPr>
          <w:i/>
          <w:noProof/>
          <w:szCs w:val="24"/>
        </w:rPr>
      </w:pPr>
      <w:r>
        <w:rPr>
          <w:i/>
          <w:noProof/>
          <w:szCs w:val="24"/>
        </w:rPr>
        <w:t>Link with Banking / Borrowing</w:t>
      </w:r>
    </w:p>
    <w:p w:rsidR="001A26B0" w:rsidRDefault="00E33A99">
      <w:pPr>
        <w:spacing w:after="120"/>
        <w:rPr>
          <w:b/>
          <w:noProof/>
        </w:rPr>
      </w:pPr>
      <w:r>
        <w:rPr>
          <w:noProof/>
          <w:szCs w:val="24"/>
        </w:rPr>
        <w:t xml:space="preserve">As explained in section 5.4.4., the timing of the targets affects how banking and borrowing could be implemented. If no annual targets are set (options TT1 and TT2), a target trajectory for banking and borrowing would need to be defined. </w:t>
      </w:r>
      <w:bookmarkStart w:id="486" w:name="_Ref493085922"/>
      <w:bookmarkStart w:id="487" w:name="_Toc487211788"/>
      <w:r>
        <w:rPr>
          <w:noProof/>
          <w:szCs w:val="24"/>
        </w:rPr>
        <w:t>This would avoid t</w:t>
      </w:r>
      <w:r>
        <w:rPr>
          <w:noProof/>
          <w:szCs w:val="24"/>
        </w:rPr>
        <w:t>hat too many credits are accumulated up to 2025 and/or 2030. There is also the risk that a manufacturer or pool could significantly exceed the target and hence undermine the intended CO</w:t>
      </w:r>
      <w:r>
        <w:rPr>
          <w:noProof/>
          <w:szCs w:val="24"/>
          <w:vertAlign w:val="subscript"/>
        </w:rPr>
        <w:t>2</w:t>
      </w:r>
      <w:r>
        <w:rPr>
          <w:noProof/>
          <w:szCs w:val="24"/>
        </w:rPr>
        <w:t xml:space="preserve"> emission reductions for that time period.</w:t>
      </w:r>
    </w:p>
    <w:p w:rsidR="001A26B0" w:rsidRDefault="00E33A99">
      <w:pPr>
        <w:pStyle w:val="Heading2"/>
        <w:rPr>
          <w:noProof/>
        </w:rPr>
      </w:pPr>
      <w:bookmarkStart w:id="488" w:name="_Ref493596178"/>
      <w:bookmarkStart w:id="489" w:name="_Toc496635621"/>
      <w:r>
        <w:rPr>
          <w:noProof/>
        </w:rPr>
        <w:t>Distribution of effort</w:t>
      </w:r>
      <w:bookmarkEnd w:id="486"/>
      <w:r>
        <w:rPr>
          <w:noProof/>
        </w:rPr>
        <w:t xml:space="preserve"> (DOE</w:t>
      </w:r>
      <w:r>
        <w:rPr>
          <w:noProof/>
        </w:rPr>
        <w:t>)</w:t>
      </w:r>
      <w:bookmarkEnd w:id="488"/>
      <w:bookmarkEnd w:id="489"/>
    </w:p>
    <w:p w:rsidR="001A26B0" w:rsidRDefault="00E33A99">
      <w:pPr>
        <w:pStyle w:val="Heading4"/>
        <w:rPr>
          <w:noProof/>
        </w:rPr>
      </w:pPr>
      <w:bookmarkStart w:id="490" w:name="_Toc491871899"/>
      <w:bookmarkStart w:id="491" w:name="_Toc491871901"/>
      <w:bookmarkStart w:id="492" w:name="_Toc491871902"/>
      <w:bookmarkStart w:id="493" w:name="_Toc496635622"/>
      <w:bookmarkEnd w:id="490"/>
      <w:bookmarkEnd w:id="491"/>
      <w:bookmarkEnd w:id="492"/>
      <w:r>
        <w:rPr>
          <w:noProof/>
        </w:rPr>
        <w:t>Methodology and introduction</w:t>
      </w:r>
      <w:bookmarkEnd w:id="493"/>
    </w:p>
    <w:p w:rsidR="001A26B0" w:rsidRDefault="00E33A99">
      <w:pPr>
        <w:spacing w:after="120"/>
        <w:rPr>
          <w:noProof/>
        </w:rPr>
      </w:pPr>
      <w:r>
        <w:rPr>
          <w:noProof/>
        </w:rPr>
        <w:t>In order to assess the impact of using a utility based or other distribution function for defining the CO</w:t>
      </w:r>
      <w:r>
        <w:rPr>
          <w:noProof/>
          <w:vertAlign w:val="subscript"/>
        </w:rPr>
        <w:t>2</w:t>
      </w:r>
      <w:r>
        <w:rPr>
          <w:noProof/>
        </w:rPr>
        <w:t xml:space="preserve"> target of individual manufacturers, the JRC developed an additional model (DIONE). For this, a limited number of manuf</w:t>
      </w:r>
      <w:r>
        <w:rPr>
          <w:noProof/>
        </w:rPr>
        <w:t>acturer categories were defined taking into account key common features (see below).</w:t>
      </w:r>
    </w:p>
    <w:p w:rsidR="001A26B0" w:rsidRDefault="00E33A99">
      <w:pPr>
        <w:spacing w:after="120"/>
        <w:rPr>
          <w:noProof/>
        </w:rPr>
      </w:pPr>
      <w:r>
        <w:rPr>
          <w:noProof/>
        </w:rPr>
        <w:t>Starting from the segment/powertrain shares resulting from the PRIMES-TREMOVE model, the impacts per manufacturer category were analysed, taking account of their fleet cha</w:t>
      </w:r>
      <w:r>
        <w:rPr>
          <w:noProof/>
        </w:rPr>
        <w:t xml:space="preserve">racteristics in terms of utility and share of different powertrains and segments. </w:t>
      </w:r>
    </w:p>
    <w:p w:rsidR="001A26B0" w:rsidRDefault="00E33A99">
      <w:pPr>
        <w:spacing w:after="120"/>
        <w:rPr>
          <w:noProof/>
        </w:rPr>
      </w:pPr>
      <w:r>
        <w:rPr>
          <w:noProof/>
        </w:rPr>
        <w:t>For a given CO</w:t>
      </w:r>
      <w:r>
        <w:rPr>
          <w:noProof/>
          <w:vertAlign w:val="subscript"/>
        </w:rPr>
        <w:t>2</w:t>
      </w:r>
      <w:r>
        <w:rPr>
          <w:noProof/>
        </w:rPr>
        <w:t xml:space="preserve"> target in a given year and applying one of the DOE options, the average manufacturing cost increase against the baseline per vehicle is calculated for each m</w:t>
      </w:r>
      <w:r>
        <w:rPr>
          <w:noProof/>
        </w:rPr>
        <w:t xml:space="preserve">anufacturer category. </w:t>
      </w:r>
    </w:p>
    <w:p w:rsidR="001A26B0" w:rsidRDefault="00E33A99">
      <w:pPr>
        <w:spacing w:after="120"/>
        <w:rPr>
          <w:i/>
          <w:noProof/>
        </w:rPr>
      </w:pPr>
      <w:r>
        <w:rPr>
          <w:i/>
          <w:noProof/>
        </w:rPr>
        <w:t>Manufacturer categorisation</w:t>
      </w:r>
    </w:p>
    <w:p w:rsidR="001A26B0" w:rsidRDefault="00E33A99">
      <w:pPr>
        <w:spacing w:after="120"/>
        <w:rPr>
          <w:noProof/>
        </w:rPr>
      </w:pPr>
      <w:r>
        <w:rPr>
          <w:noProof/>
        </w:rPr>
        <w:t>As it is not possible to accurately predict the evolution of the average vehicle mass or footprint for actual manufacturers over time, the results of this assessment are rather presented for a limited numb</w:t>
      </w:r>
      <w:r>
        <w:rPr>
          <w:noProof/>
        </w:rPr>
        <w:t>er of "stylised" manufacturers, each representative of manufacturers with similar specific characteristics. The criteria used for defining the manufacturer categories are the fleet composition in terms of market segments for small, medium, and large cars a</w:t>
      </w:r>
      <w:r>
        <w:rPr>
          <w:noProof/>
        </w:rPr>
        <w:t>nd the readiness to increase the uptake of low-emission vehicles. The resulting passenger car and LCV manufacturer categories are presented in the tables below</w:t>
      </w:r>
      <w:r>
        <w:rPr>
          <w:rStyle w:val="FootnoteReference"/>
          <w:noProof/>
        </w:rPr>
        <w:footnoteReference w:id="186"/>
      </w:r>
      <w:r>
        <w:rPr>
          <w:noProof/>
        </w:rPr>
        <w:t xml:space="preserve">. </w:t>
      </w:r>
    </w:p>
    <w:p w:rsidR="001A26B0" w:rsidRDefault="00E33A99">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35</w:t>
      </w:r>
      <w:r>
        <w:rPr>
          <w:noProof/>
        </w:rPr>
        <w:fldChar w:fldCharType="end"/>
      </w:r>
      <w:r>
        <w:rPr>
          <w:noProof/>
        </w:rPr>
        <w:t xml:space="preserve">: </w:t>
      </w:r>
      <w:bookmarkStart w:id="494" w:name="_Toc475660395"/>
      <w:r>
        <w:rPr>
          <w:noProof/>
        </w:rPr>
        <w:t>Categories of passenger car manufacturers</w:t>
      </w:r>
      <w:bookmarkEnd w:id="494"/>
      <w:r>
        <w:rPr>
          <w:noProof/>
        </w:rPr>
        <w:t xml:space="preserve"> considered for th</w:t>
      </w:r>
      <w:r>
        <w:rPr>
          <w:noProof/>
        </w:rPr>
        <w:t xml:space="preserve">e assessment of the DOE options </w:t>
      </w:r>
    </w:p>
    <w:tbl>
      <w:tblPr>
        <w:tblStyle w:val="TableGrid1"/>
        <w:tblW w:w="8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177"/>
        <w:gridCol w:w="1920"/>
        <w:gridCol w:w="3268"/>
      </w:tblGrid>
      <w:tr w:rsidR="001A26B0" w:rsidTr="001A26B0">
        <w:trPr>
          <w:cnfStyle w:val="100000000000" w:firstRow="1" w:lastRow="0" w:firstColumn="0" w:lastColumn="0" w:oddVBand="0" w:evenVBand="0" w:oddHBand="0" w:evenHBand="0" w:firstRowFirstColumn="0" w:firstRowLastColumn="0" w:lastRowFirstColumn="0" w:lastRowLastColumn="0"/>
          <w:cantSplit/>
          <w:trHeight w:val="672"/>
          <w:tblHeader/>
        </w:trPr>
        <w:tc>
          <w:tcPr>
            <w:tcW w:w="3177" w:type="dxa"/>
            <w:tcBorders>
              <w:top w:val="single" w:sz="4" w:space="0" w:color="auto"/>
              <w:left w:val="single" w:sz="4" w:space="0" w:color="auto"/>
              <w:bottom w:val="single" w:sz="4" w:space="0" w:color="auto"/>
              <w:right w:val="single" w:sz="4" w:space="0" w:color="auto"/>
            </w:tcBorders>
            <w:shd w:val="clear" w:color="auto" w:fill="auto"/>
          </w:tcPr>
          <w:p w:rsidR="001A26B0" w:rsidRDefault="00E33A99">
            <w:pPr>
              <w:keepNext/>
              <w:spacing w:after="60"/>
              <w:jc w:val="left"/>
              <w:rPr>
                <w:b/>
                <w:noProof/>
                <w:color w:val="auto"/>
              </w:rPr>
            </w:pPr>
            <w:r>
              <w:rPr>
                <w:b/>
                <w:noProof/>
                <w:color w:val="auto"/>
              </w:rPr>
              <w:t>Category</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1A26B0" w:rsidRDefault="00E33A99">
            <w:pPr>
              <w:keepNext/>
              <w:spacing w:after="60"/>
              <w:jc w:val="left"/>
              <w:rPr>
                <w:b/>
                <w:noProof/>
                <w:color w:val="auto"/>
              </w:rPr>
            </w:pPr>
            <w:r>
              <w:rPr>
                <w:b/>
                <w:noProof/>
                <w:color w:val="auto"/>
              </w:rPr>
              <w:t>Predominant segment</w:t>
            </w:r>
            <w:r>
              <w:rPr>
                <w:rStyle w:val="FootnoteReference"/>
                <w:b/>
                <w:noProof/>
                <w:color w:val="auto"/>
              </w:rPr>
              <w:footnoteReference w:id="187"/>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A26B0" w:rsidRDefault="00E33A99">
            <w:pPr>
              <w:keepNext/>
              <w:spacing w:after="60"/>
              <w:jc w:val="left"/>
              <w:rPr>
                <w:b/>
                <w:noProof/>
                <w:color w:val="auto"/>
              </w:rPr>
            </w:pPr>
            <w:r>
              <w:rPr>
                <w:b/>
                <w:noProof/>
                <w:color w:val="auto"/>
              </w:rPr>
              <w:t>Expected LEV uptake level</w:t>
            </w:r>
            <w:r>
              <w:rPr>
                <w:rStyle w:val="FootnoteReference"/>
                <w:b/>
                <w:noProof/>
                <w:color w:val="auto"/>
              </w:rPr>
              <w:footnoteReference w:id="188"/>
            </w:r>
          </w:p>
        </w:tc>
      </w:tr>
      <w:tr w:rsidR="001A26B0" w:rsidTr="001A26B0">
        <w:trPr>
          <w:cnfStyle w:val="000000100000" w:firstRow="0" w:lastRow="0" w:firstColumn="0" w:lastColumn="0" w:oddVBand="0" w:evenVBand="0" w:oddHBand="1" w:evenHBand="0" w:firstRowFirstColumn="0" w:firstRowLastColumn="0" w:lastRowFirstColumn="0" w:lastRowLastColumn="0"/>
          <w:cantSplit/>
          <w:trHeight w:val="302"/>
        </w:trPr>
        <w:tc>
          <w:tcPr>
            <w:tcW w:w="3177" w:type="dxa"/>
            <w:tcBorders>
              <w:top w:val="single" w:sz="4" w:space="0" w:color="auto"/>
              <w:left w:val="single" w:sz="4" w:space="0" w:color="auto"/>
              <w:bottom w:val="single" w:sz="4" w:space="0" w:color="auto"/>
              <w:right w:val="single" w:sz="4" w:space="0" w:color="auto"/>
            </w:tcBorders>
            <w:shd w:val="clear" w:color="auto" w:fill="auto"/>
          </w:tcPr>
          <w:p w:rsidR="001A26B0" w:rsidRDefault="00E33A99">
            <w:pPr>
              <w:keepNext/>
              <w:spacing w:after="60"/>
              <w:jc w:val="left"/>
              <w:rPr>
                <w:noProof/>
              </w:rPr>
            </w:pPr>
            <w:r>
              <w:rPr>
                <w:noProof/>
              </w:rPr>
              <w:t>Manufacturer of smaller cars</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1A26B0" w:rsidRDefault="00E33A99">
            <w:pPr>
              <w:keepNext/>
              <w:spacing w:after="60"/>
              <w:jc w:val="left"/>
              <w:rPr>
                <w:noProof/>
              </w:rPr>
            </w:pPr>
            <w:r>
              <w:rPr>
                <w:noProof/>
              </w:rPr>
              <w:t>Small</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A26B0" w:rsidRDefault="00E33A99">
            <w:pPr>
              <w:keepNext/>
              <w:spacing w:after="60"/>
              <w:jc w:val="left"/>
              <w:rPr>
                <w:noProof/>
              </w:rPr>
            </w:pPr>
            <w:r>
              <w:rPr>
                <w:noProof/>
              </w:rPr>
              <w:t>Low</w:t>
            </w:r>
          </w:p>
        </w:tc>
      </w:tr>
      <w:tr w:rsidR="001A26B0" w:rsidTr="001A26B0">
        <w:trPr>
          <w:cnfStyle w:val="000000010000" w:firstRow="0" w:lastRow="0" w:firstColumn="0" w:lastColumn="0" w:oddVBand="0" w:evenVBand="0" w:oddHBand="0" w:evenHBand="1" w:firstRowFirstColumn="0" w:firstRowLastColumn="0" w:lastRowFirstColumn="0" w:lastRowLastColumn="0"/>
          <w:cantSplit/>
          <w:trHeight w:val="672"/>
        </w:trPr>
        <w:tc>
          <w:tcPr>
            <w:tcW w:w="3177" w:type="dxa"/>
            <w:tcBorders>
              <w:top w:val="single" w:sz="4" w:space="0" w:color="auto"/>
            </w:tcBorders>
            <w:shd w:val="clear" w:color="auto" w:fill="auto"/>
          </w:tcPr>
          <w:p w:rsidR="001A26B0" w:rsidRDefault="00E33A99">
            <w:pPr>
              <w:keepNext/>
              <w:spacing w:after="60"/>
              <w:jc w:val="left"/>
              <w:rPr>
                <w:noProof/>
              </w:rPr>
            </w:pPr>
            <w:r>
              <w:rPr>
                <w:noProof/>
              </w:rPr>
              <w:t>Advanced technology average car manufacturer</w:t>
            </w:r>
          </w:p>
        </w:tc>
        <w:tc>
          <w:tcPr>
            <w:tcW w:w="1920" w:type="dxa"/>
            <w:tcBorders>
              <w:top w:val="single" w:sz="4" w:space="0" w:color="auto"/>
            </w:tcBorders>
            <w:shd w:val="clear" w:color="auto" w:fill="auto"/>
          </w:tcPr>
          <w:p w:rsidR="001A26B0" w:rsidRDefault="00E33A99">
            <w:pPr>
              <w:keepNext/>
              <w:spacing w:after="60"/>
              <w:jc w:val="left"/>
              <w:rPr>
                <w:noProof/>
              </w:rPr>
            </w:pPr>
            <w:r>
              <w:rPr>
                <w:noProof/>
              </w:rPr>
              <w:t>Medium</w:t>
            </w:r>
          </w:p>
        </w:tc>
        <w:tc>
          <w:tcPr>
            <w:tcW w:w="3268" w:type="dxa"/>
            <w:tcBorders>
              <w:top w:val="single" w:sz="4" w:space="0" w:color="auto"/>
            </w:tcBorders>
            <w:shd w:val="clear" w:color="auto" w:fill="auto"/>
          </w:tcPr>
          <w:p w:rsidR="001A26B0" w:rsidRDefault="00E33A99">
            <w:pPr>
              <w:keepNext/>
              <w:spacing w:after="60"/>
              <w:jc w:val="left"/>
              <w:rPr>
                <w:noProof/>
              </w:rPr>
            </w:pPr>
            <w:r>
              <w:rPr>
                <w:noProof/>
              </w:rPr>
              <w:t>Early market leader</w:t>
            </w:r>
          </w:p>
        </w:tc>
      </w:tr>
      <w:tr w:rsidR="001A26B0" w:rsidTr="001A26B0">
        <w:trPr>
          <w:cnfStyle w:val="000000100000" w:firstRow="0" w:lastRow="0" w:firstColumn="0" w:lastColumn="0" w:oddVBand="0" w:evenVBand="0" w:oddHBand="1" w:evenHBand="0" w:firstRowFirstColumn="0" w:firstRowLastColumn="0" w:lastRowFirstColumn="0" w:lastRowLastColumn="0"/>
          <w:cantSplit/>
          <w:trHeight w:val="374"/>
        </w:trPr>
        <w:tc>
          <w:tcPr>
            <w:tcW w:w="3177" w:type="dxa"/>
            <w:shd w:val="clear" w:color="auto" w:fill="auto"/>
          </w:tcPr>
          <w:p w:rsidR="001A26B0" w:rsidRDefault="00E33A99">
            <w:pPr>
              <w:keepNext/>
              <w:spacing w:after="60"/>
              <w:jc w:val="left"/>
              <w:rPr>
                <w:noProof/>
              </w:rPr>
            </w:pPr>
            <w:r>
              <w:rPr>
                <w:noProof/>
              </w:rPr>
              <w:t>Average car manufacturer</w:t>
            </w:r>
          </w:p>
        </w:tc>
        <w:tc>
          <w:tcPr>
            <w:tcW w:w="1920" w:type="dxa"/>
            <w:shd w:val="clear" w:color="auto" w:fill="auto"/>
          </w:tcPr>
          <w:p w:rsidR="001A26B0" w:rsidRDefault="00E33A99">
            <w:pPr>
              <w:keepNext/>
              <w:spacing w:after="60"/>
              <w:jc w:val="left"/>
              <w:rPr>
                <w:noProof/>
              </w:rPr>
            </w:pPr>
            <w:r>
              <w:rPr>
                <w:noProof/>
              </w:rPr>
              <w:t>Medium</w:t>
            </w:r>
          </w:p>
        </w:tc>
        <w:tc>
          <w:tcPr>
            <w:tcW w:w="3268" w:type="dxa"/>
            <w:shd w:val="clear" w:color="auto" w:fill="auto"/>
          </w:tcPr>
          <w:p w:rsidR="001A26B0" w:rsidRDefault="00E33A99">
            <w:pPr>
              <w:keepNext/>
              <w:spacing w:after="60"/>
              <w:jc w:val="left"/>
              <w:rPr>
                <w:noProof/>
              </w:rPr>
            </w:pPr>
            <w:r>
              <w:rPr>
                <w:noProof/>
              </w:rPr>
              <w:t>Average/Low</w:t>
            </w:r>
          </w:p>
        </w:tc>
      </w:tr>
      <w:tr w:rsidR="001A26B0" w:rsidTr="001A26B0">
        <w:trPr>
          <w:cnfStyle w:val="000000010000" w:firstRow="0" w:lastRow="0" w:firstColumn="0" w:lastColumn="0" w:oddVBand="0" w:evenVBand="0" w:oddHBand="0" w:evenHBand="1" w:firstRowFirstColumn="0" w:firstRowLastColumn="0" w:lastRowFirstColumn="0" w:lastRowLastColumn="0"/>
          <w:cantSplit/>
          <w:trHeight w:val="410"/>
        </w:trPr>
        <w:tc>
          <w:tcPr>
            <w:tcW w:w="3177" w:type="dxa"/>
            <w:shd w:val="clear" w:color="auto" w:fill="auto"/>
          </w:tcPr>
          <w:p w:rsidR="001A26B0" w:rsidRDefault="00E33A99">
            <w:pPr>
              <w:keepNext/>
              <w:spacing w:after="60"/>
              <w:jc w:val="left"/>
              <w:rPr>
                <w:noProof/>
              </w:rPr>
            </w:pPr>
            <w:r>
              <w:rPr>
                <w:noProof/>
              </w:rPr>
              <w:t>Advanced technology manufacturer of larger cars</w:t>
            </w:r>
          </w:p>
        </w:tc>
        <w:tc>
          <w:tcPr>
            <w:tcW w:w="1920" w:type="dxa"/>
            <w:shd w:val="clear" w:color="auto" w:fill="auto"/>
          </w:tcPr>
          <w:p w:rsidR="001A26B0" w:rsidRDefault="00E33A99">
            <w:pPr>
              <w:keepNext/>
              <w:spacing w:after="60"/>
              <w:jc w:val="left"/>
              <w:rPr>
                <w:noProof/>
              </w:rPr>
            </w:pPr>
            <w:r>
              <w:rPr>
                <w:noProof/>
              </w:rPr>
              <w:t>Large</w:t>
            </w:r>
          </w:p>
        </w:tc>
        <w:tc>
          <w:tcPr>
            <w:tcW w:w="3268" w:type="dxa"/>
            <w:shd w:val="clear" w:color="auto" w:fill="auto"/>
          </w:tcPr>
          <w:p w:rsidR="001A26B0" w:rsidRDefault="00E33A99">
            <w:pPr>
              <w:keepNext/>
              <w:spacing w:after="60"/>
              <w:jc w:val="left"/>
              <w:rPr>
                <w:noProof/>
              </w:rPr>
            </w:pPr>
            <w:r>
              <w:rPr>
                <w:noProof/>
              </w:rPr>
              <w:t>Early market leader</w:t>
            </w:r>
          </w:p>
        </w:tc>
      </w:tr>
    </w:tbl>
    <w:p w:rsidR="001A26B0" w:rsidRDefault="00E33A99">
      <w:pPr>
        <w:spacing w:before="240" w:after="120"/>
        <w:rPr>
          <w:b/>
          <w:noProof/>
        </w:rPr>
      </w:pPr>
      <w:bookmarkStart w:id="495" w:name="_Toc475660396"/>
      <w:r>
        <w:rPr>
          <w:b/>
          <w:noProof/>
        </w:rPr>
        <w:t xml:space="preserve">Table </w:t>
      </w:r>
      <w:r>
        <w:rPr>
          <w:b/>
          <w:noProof/>
        </w:rPr>
        <w:fldChar w:fldCharType="begin"/>
      </w:r>
      <w:r>
        <w:rPr>
          <w:b/>
          <w:noProof/>
        </w:rPr>
        <w:instrText xml:space="preserve"> SEQ Table \* ARABIC </w:instrText>
      </w:r>
      <w:r>
        <w:rPr>
          <w:b/>
          <w:noProof/>
        </w:rPr>
        <w:fldChar w:fldCharType="separate"/>
      </w:r>
      <w:r>
        <w:rPr>
          <w:b/>
          <w:noProof/>
        </w:rPr>
        <w:t>36</w:t>
      </w:r>
      <w:r>
        <w:rPr>
          <w:b/>
          <w:noProof/>
        </w:rPr>
        <w:fldChar w:fldCharType="end"/>
      </w:r>
      <w:r>
        <w:rPr>
          <w:b/>
          <w:noProof/>
        </w:rPr>
        <w:t xml:space="preserve">: Categories of LCV manufacturers considered for the assessment of the DOE options </w:t>
      </w:r>
    </w:p>
    <w:tbl>
      <w:tblPr>
        <w:tblStyle w:val="TableGrid1"/>
        <w:tblW w:w="8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177"/>
        <w:gridCol w:w="1920"/>
        <w:gridCol w:w="3240"/>
      </w:tblGrid>
      <w:tr w:rsidR="001A26B0" w:rsidTr="001A26B0">
        <w:trPr>
          <w:cnfStyle w:val="100000000000" w:firstRow="1" w:lastRow="0" w:firstColumn="0" w:lastColumn="0" w:oddVBand="0" w:evenVBand="0" w:oddHBand="0" w:evenHBand="0" w:firstRowFirstColumn="0" w:firstRowLastColumn="0" w:lastRowFirstColumn="0" w:lastRowLastColumn="0"/>
          <w:trHeight w:val="672"/>
        </w:trPr>
        <w:tc>
          <w:tcPr>
            <w:tcW w:w="317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bookmarkEnd w:id="495"/>
          <w:p w:rsidR="001A26B0" w:rsidRDefault="00E33A99">
            <w:pPr>
              <w:spacing w:after="60"/>
              <w:jc w:val="left"/>
              <w:rPr>
                <w:b/>
                <w:noProof/>
                <w:color w:val="auto"/>
              </w:rPr>
            </w:pPr>
            <w:r>
              <w:rPr>
                <w:b/>
                <w:noProof/>
                <w:color w:val="auto"/>
              </w:rPr>
              <w:t>Category</w:t>
            </w:r>
          </w:p>
        </w:tc>
        <w:tc>
          <w:tcPr>
            <w:tcW w:w="19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1A26B0" w:rsidRDefault="00E33A99">
            <w:pPr>
              <w:spacing w:after="60"/>
              <w:jc w:val="left"/>
              <w:rPr>
                <w:b/>
                <w:noProof/>
                <w:color w:val="auto"/>
              </w:rPr>
            </w:pPr>
            <w:r>
              <w:rPr>
                <w:b/>
                <w:noProof/>
                <w:color w:val="auto"/>
              </w:rPr>
              <w:t>Predominant segment</w:t>
            </w:r>
            <w:r>
              <w:rPr>
                <w:rStyle w:val="FootnoteReference"/>
                <w:b/>
                <w:noProof/>
                <w:color w:val="auto"/>
              </w:rPr>
              <w:footnoteReference w:id="189"/>
            </w:r>
          </w:p>
        </w:tc>
        <w:tc>
          <w:tcPr>
            <w:tcW w:w="324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1A26B0" w:rsidRDefault="00E33A99">
            <w:pPr>
              <w:spacing w:after="60"/>
              <w:jc w:val="left"/>
              <w:rPr>
                <w:b/>
                <w:noProof/>
                <w:color w:val="auto"/>
              </w:rPr>
            </w:pPr>
            <w:r>
              <w:rPr>
                <w:b/>
                <w:noProof/>
                <w:color w:val="auto"/>
              </w:rPr>
              <w:t>Expected LEV uptake level</w:t>
            </w:r>
          </w:p>
        </w:tc>
      </w:tr>
      <w:tr w:rsidR="001A26B0" w:rsidTr="001A26B0">
        <w:trPr>
          <w:cnfStyle w:val="000000100000" w:firstRow="0" w:lastRow="0" w:firstColumn="0" w:lastColumn="0" w:oddVBand="0" w:evenVBand="0" w:oddHBand="1" w:evenHBand="0" w:firstRowFirstColumn="0" w:firstRowLastColumn="0" w:lastRowFirstColumn="0" w:lastRowLastColumn="0"/>
          <w:trHeight w:val="530"/>
        </w:trPr>
        <w:tc>
          <w:tcPr>
            <w:tcW w:w="317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1A26B0" w:rsidRDefault="00E33A99">
            <w:pPr>
              <w:spacing w:after="60"/>
              <w:rPr>
                <w:noProof/>
              </w:rPr>
            </w:pPr>
            <w:r>
              <w:rPr>
                <w:noProof/>
              </w:rPr>
              <w:t>Manufacturer of larger LCVs with EVs</w:t>
            </w:r>
          </w:p>
        </w:tc>
        <w:tc>
          <w:tcPr>
            <w:tcW w:w="19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1A26B0" w:rsidRDefault="00E33A99">
            <w:pPr>
              <w:spacing w:after="60"/>
              <w:rPr>
                <w:noProof/>
              </w:rPr>
            </w:pPr>
            <w:r>
              <w:rPr>
                <w:noProof/>
              </w:rPr>
              <w:t xml:space="preserve">Large </w:t>
            </w:r>
          </w:p>
        </w:tc>
        <w:tc>
          <w:tcPr>
            <w:tcW w:w="324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1A26B0" w:rsidRDefault="00E33A99">
            <w:pPr>
              <w:spacing w:after="60"/>
              <w:rPr>
                <w:noProof/>
              </w:rPr>
            </w:pPr>
            <w:r>
              <w:rPr>
                <w:noProof/>
              </w:rPr>
              <w:t>EV model sales</w:t>
            </w:r>
          </w:p>
        </w:tc>
      </w:tr>
      <w:tr w:rsidR="001A26B0" w:rsidTr="001A26B0">
        <w:trPr>
          <w:cnfStyle w:val="000000010000" w:firstRow="0" w:lastRow="0" w:firstColumn="0" w:lastColumn="0" w:oddVBand="0" w:evenVBand="0" w:oddHBand="0" w:evenHBand="1" w:firstRowFirstColumn="0" w:firstRowLastColumn="0" w:lastRowFirstColumn="0" w:lastRowLastColumn="0"/>
          <w:trHeight w:val="218"/>
        </w:trPr>
        <w:tc>
          <w:tcPr>
            <w:tcW w:w="3177" w:type="dxa"/>
            <w:tcBorders>
              <w:right w:val="none" w:sz="0" w:space="0" w:color="auto"/>
            </w:tcBorders>
            <w:shd w:val="clear" w:color="auto" w:fill="auto"/>
          </w:tcPr>
          <w:p w:rsidR="001A26B0" w:rsidRDefault="00E33A99">
            <w:pPr>
              <w:spacing w:after="60"/>
              <w:rPr>
                <w:noProof/>
              </w:rPr>
            </w:pPr>
            <w:r>
              <w:rPr>
                <w:noProof/>
              </w:rPr>
              <w:t>Manufacturer of larger LCVs</w:t>
            </w:r>
          </w:p>
        </w:tc>
        <w:tc>
          <w:tcPr>
            <w:tcW w:w="1920" w:type="dxa"/>
            <w:tcBorders>
              <w:left w:val="none" w:sz="0" w:space="0" w:color="auto"/>
              <w:right w:val="none" w:sz="0" w:space="0" w:color="auto"/>
            </w:tcBorders>
            <w:shd w:val="clear" w:color="auto" w:fill="auto"/>
          </w:tcPr>
          <w:p w:rsidR="001A26B0" w:rsidRDefault="00E33A99">
            <w:pPr>
              <w:spacing w:after="60"/>
              <w:rPr>
                <w:noProof/>
              </w:rPr>
            </w:pPr>
            <w:r>
              <w:rPr>
                <w:noProof/>
              </w:rPr>
              <w:t>Large</w:t>
            </w:r>
          </w:p>
        </w:tc>
        <w:tc>
          <w:tcPr>
            <w:tcW w:w="3240" w:type="dxa"/>
            <w:tcBorders>
              <w:left w:val="none" w:sz="0" w:space="0" w:color="auto"/>
            </w:tcBorders>
            <w:shd w:val="clear" w:color="auto" w:fill="auto"/>
          </w:tcPr>
          <w:p w:rsidR="001A26B0" w:rsidRDefault="00E33A99">
            <w:pPr>
              <w:spacing w:after="60"/>
              <w:rPr>
                <w:noProof/>
              </w:rPr>
            </w:pPr>
            <w:r>
              <w:rPr>
                <w:noProof/>
              </w:rPr>
              <w:t>No EV sales</w:t>
            </w:r>
          </w:p>
        </w:tc>
      </w:tr>
      <w:tr w:rsidR="001A26B0" w:rsidTr="001A26B0">
        <w:trPr>
          <w:cnfStyle w:val="000000100000" w:firstRow="0" w:lastRow="0" w:firstColumn="0" w:lastColumn="0" w:oddVBand="0" w:evenVBand="0" w:oddHBand="1" w:evenHBand="0" w:firstRowFirstColumn="0" w:firstRowLastColumn="0" w:lastRowFirstColumn="0" w:lastRowLastColumn="0"/>
          <w:trHeight w:val="98"/>
        </w:trPr>
        <w:tc>
          <w:tcPr>
            <w:tcW w:w="317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1A26B0" w:rsidRDefault="00E33A99">
            <w:pPr>
              <w:spacing w:after="60"/>
              <w:rPr>
                <w:noProof/>
              </w:rPr>
            </w:pPr>
            <w:r>
              <w:rPr>
                <w:noProof/>
              </w:rPr>
              <w:t>Manufacturer of smaller LCVs</w:t>
            </w:r>
          </w:p>
        </w:tc>
        <w:tc>
          <w:tcPr>
            <w:tcW w:w="19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1A26B0" w:rsidRDefault="00E33A99">
            <w:pPr>
              <w:spacing w:after="60"/>
              <w:rPr>
                <w:noProof/>
              </w:rPr>
            </w:pPr>
            <w:r>
              <w:rPr>
                <w:noProof/>
              </w:rPr>
              <w:t>Small</w:t>
            </w:r>
          </w:p>
        </w:tc>
        <w:tc>
          <w:tcPr>
            <w:tcW w:w="324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1A26B0" w:rsidRDefault="00E33A99">
            <w:pPr>
              <w:spacing w:after="60"/>
              <w:rPr>
                <w:noProof/>
              </w:rPr>
            </w:pPr>
            <w:r>
              <w:rPr>
                <w:noProof/>
              </w:rPr>
              <w:t>Variable</w:t>
            </w:r>
          </w:p>
        </w:tc>
      </w:tr>
    </w:tbl>
    <w:p w:rsidR="001A26B0" w:rsidRDefault="00E33A99">
      <w:pPr>
        <w:pStyle w:val="Heading6"/>
        <w:numPr>
          <w:ilvl w:val="0"/>
          <w:numId w:val="0"/>
        </w:numPr>
        <w:spacing w:before="240"/>
        <w:rPr>
          <w:b/>
          <w:noProof/>
        </w:rPr>
      </w:pPr>
      <w:r>
        <w:rPr>
          <w:noProof/>
        </w:rPr>
        <w:t>Assessment of the variants to option DOE1 (mass based limit value curve with equal reduction efforts for</w:t>
      </w:r>
      <w:r>
        <w:rPr>
          <w:noProof/>
        </w:rPr>
        <w:t xml:space="preserve"> all manufacturers)</w:t>
      </w:r>
    </w:p>
    <w:p w:rsidR="001A26B0" w:rsidRDefault="00E33A99">
      <w:pPr>
        <w:spacing w:after="120"/>
        <w:rPr>
          <w:noProof/>
        </w:rPr>
      </w:pPr>
      <w:r>
        <w:rPr>
          <w:noProof/>
        </w:rPr>
        <w:t>As regards option DOE 1, the quantitative assessment was only possible for the case where the utility parameter is 'mass in running order', as no data is yet available on the WLTP test mass of the different vehicles and manufacturers. S</w:t>
      </w:r>
      <w:r>
        <w:rPr>
          <w:noProof/>
        </w:rPr>
        <w:t>imilarly, it was not possible to quantify the effect of using different slopes for different categories of vans (i.e. steeper slope for heavier vans).</w:t>
      </w:r>
    </w:p>
    <w:p w:rsidR="001A26B0" w:rsidRDefault="00E33A99">
      <w:pPr>
        <w:spacing w:after="120"/>
        <w:rPr>
          <w:noProof/>
        </w:rPr>
      </w:pPr>
      <w:r>
        <w:rPr>
          <w:noProof/>
        </w:rPr>
        <w:t xml:space="preserve">Overall, the impacts on the results of shifting to WLTP test mass as the utility parameter can be </w:t>
      </w:r>
      <w:r>
        <w:rPr>
          <w:noProof/>
        </w:rPr>
        <w:t>expected to be limited, as it can be assumed that the average 'mass in running order' and the average 'WLTP test mass' correlate quite closely, and this correlation would not differ between different manufacturers or pools. Thus, shifting from 'mass in run</w:t>
      </w:r>
      <w:r>
        <w:rPr>
          <w:noProof/>
        </w:rPr>
        <w:t>ning order' to 'WLTP test mass' as the utility parameter would not significantly affect the relative position of individual manufacturers or pools on the limit value curve. Possibly, in the case of cars, larger (heavier) vehicles might have relatively more</w:t>
      </w:r>
      <w:r>
        <w:rPr>
          <w:noProof/>
        </w:rPr>
        <w:t xml:space="preserve"> optional features, which would mean that their ''WLTP test mass' would increase more compared to smaller (lighter) cars. If so, under an "equal reduction effort" approach, the limit value curve would tend to become less steep (lower slope), making the tar</w:t>
      </w:r>
      <w:r>
        <w:rPr>
          <w:noProof/>
        </w:rPr>
        <w:t>gets less strict for lighter cars, while tightening them for heavier cars.</w:t>
      </w:r>
    </w:p>
    <w:p w:rsidR="001A26B0" w:rsidRDefault="00E33A99">
      <w:pPr>
        <w:spacing w:after="120"/>
        <w:rPr>
          <w:noProof/>
        </w:rPr>
      </w:pPr>
      <w:r>
        <w:rPr>
          <w:noProof/>
        </w:rPr>
        <w:t xml:space="preserve">As regards the two-slope approach, which was suggested for vans by industry stakeholders, particular care needs to be taken in designing the limit value curve in such a way that it </w:t>
      </w:r>
      <w:r>
        <w:rPr>
          <w:noProof/>
        </w:rPr>
        <w:t>ensures that the EU-wide fleet average CO</w:t>
      </w:r>
      <w:r>
        <w:rPr>
          <w:noProof/>
          <w:vertAlign w:val="subscript"/>
        </w:rPr>
        <w:t>2</w:t>
      </w:r>
      <w:r>
        <w:rPr>
          <w:noProof/>
        </w:rPr>
        <w:t xml:space="preserve"> target is maintained. While a linear limit value curve means that the EU-wide fleet average CO</w:t>
      </w:r>
      <w:r>
        <w:rPr>
          <w:noProof/>
          <w:vertAlign w:val="subscript"/>
        </w:rPr>
        <w:t>2</w:t>
      </w:r>
      <w:r>
        <w:rPr>
          <w:noProof/>
        </w:rPr>
        <w:t xml:space="preserve"> target corresponds with the sales-weighted average mass of the fleet, this is no longer the case for a two-slope appr</w:t>
      </w:r>
      <w:r>
        <w:rPr>
          <w:noProof/>
        </w:rPr>
        <w:t>oach. Instead, this will require the CO</w:t>
      </w:r>
      <w:r>
        <w:rPr>
          <w:noProof/>
          <w:vertAlign w:val="subscript"/>
        </w:rPr>
        <w:t>2</w:t>
      </w:r>
      <w:r>
        <w:rPr>
          <w:noProof/>
        </w:rPr>
        <w:t xml:space="preserve"> target of a vehicle with a mass equal to the sales-weighted average mass of the fleet to be stricter than the EU-wide fleet CO</w:t>
      </w:r>
      <w:r>
        <w:rPr>
          <w:noProof/>
          <w:vertAlign w:val="subscript"/>
        </w:rPr>
        <w:t>2</w:t>
      </w:r>
      <w:r>
        <w:rPr>
          <w:noProof/>
        </w:rPr>
        <w:t xml:space="preserve"> target. In other words, the overall impact of the two-slope approach compared to the si</w:t>
      </w:r>
      <w:r>
        <w:rPr>
          <w:noProof/>
        </w:rPr>
        <w:t>ngle-slope approach with the same EU-wide fleet target level, would be that the target is slightly relaxed for both the lightest and the heaviest vehicles, while becoming stricter for the middle category (i.e. vans with a mass close to the fleet-wide avera</w:t>
      </w:r>
      <w:r>
        <w:rPr>
          <w:noProof/>
        </w:rPr>
        <w:t>ge mass). In absolute terms, the overall impacts will depend on the target level, but can generally be expected to be rather limited assuming that the two slopes will not be very different.</w:t>
      </w:r>
    </w:p>
    <w:p w:rsidR="001A26B0" w:rsidRDefault="00E33A99">
      <w:pPr>
        <w:pStyle w:val="Heading5"/>
        <w:rPr>
          <w:noProof/>
        </w:rPr>
      </w:pPr>
      <w:r>
        <w:rPr>
          <w:noProof/>
        </w:rPr>
        <w:t>Economic Impacts</w:t>
      </w:r>
    </w:p>
    <w:p w:rsidR="001A26B0" w:rsidRDefault="00E33A99">
      <w:pPr>
        <w:pStyle w:val="Heading6"/>
        <w:rPr>
          <w:noProof/>
          <w:szCs w:val="24"/>
        </w:rPr>
      </w:pPr>
      <w:bookmarkStart w:id="496" w:name="_Toc474797302"/>
      <w:bookmarkStart w:id="497" w:name="_Toc488135822"/>
      <w:r>
        <w:rPr>
          <w:noProof/>
          <w:szCs w:val="24"/>
        </w:rPr>
        <w:t>Average manufacturing costs</w:t>
      </w:r>
      <w:bookmarkEnd w:id="496"/>
      <w:bookmarkEnd w:id="497"/>
    </w:p>
    <w:p w:rsidR="001A26B0" w:rsidRDefault="00E33A99">
      <w:pPr>
        <w:spacing w:after="120"/>
        <w:rPr>
          <w:noProof/>
          <w:szCs w:val="24"/>
        </w:rPr>
      </w:pPr>
      <w:r>
        <w:rPr>
          <w:noProof/>
          <w:szCs w:val="24"/>
        </w:rPr>
        <w:t>The analysis found th</w:t>
      </w:r>
      <w:r>
        <w:rPr>
          <w:noProof/>
          <w:szCs w:val="24"/>
        </w:rPr>
        <w:t>at, for a given EU-wide fleet CO</w:t>
      </w:r>
      <w:r>
        <w:rPr>
          <w:noProof/>
          <w:szCs w:val="24"/>
          <w:vertAlign w:val="subscript"/>
        </w:rPr>
        <w:t>2</w:t>
      </w:r>
      <w:r>
        <w:rPr>
          <w:noProof/>
          <w:szCs w:val="24"/>
        </w:rPr>
        <w:t xml:space="preserve"> target, the average manufacturing costs per vehicle relative to the baseline change only marginally across the different DOE options considered. </w:t>
      </w:r>
    </w:p>
    <w:p w:rsidR="001A26B0" w:rsidRDefault="00E33A99">
      <w:pPr>
        <w:spacing w:after="120"/>
        <w:rPr>
          <w:noProof/>
          <w:szCs w:val="24"/>
        </w:rPr>
      </w:pPr>
      <w:r>
        <w:rPr>
          <w:noProof/>
          <w:szCs w:val="24"/>
        </w:rPr>
        <w:t>This was expected as the utility function is merely intended to distribute t</w:t>
      </w:r>
      <w:r>
        <w:rPr>
          <w:noProof/>
          <w:szCs w:val="24"/>
        </w:rPr>
        <w:t>he effort across the different manufacturers, while not modifying the overall effectiveness and efficiency of the EU-wide fleet CO</w:t>
      </w:r>
      <w:r>
        <w:rPr>
          <w:noProof/>
          <w:szCs w:val="24"/>
          <w:vertAlign w:val="subscript"/>
        </w:rPr>
        <w:t xml:space="preserve">2 </w:t>
      </w:r>
      <w:r>
        <w:rPr>
          <w:noProof/>
          <w:szCs w:val="24"/>
        </w:rPr>
        <w:t>target level.</w:t>
      </w:r>
    </w:p>
    <w:p w:rsidR="001A26B0" w:rsidRDefault="00E33A99">
      <w:pPr>
        <w:spacing w:after="120"/>
        <w:rPr>
          <w:noProof/>
          <w:szCs w:val="24"/>
        </w:rPr>
      </w:pPr>
      <w:r>
        <w:rPr>
          <w:noProof/>
          <w:szCs w:val="24"/>
        </w:rPr>
        <w:t>For example, when applying the CO</w:t>
      </w:r>
      <w:r>
        <w:rPr>
          <w:noProof/>
          <w:szCs w:val="24"/>
          <w:vertAlign w:val="subscript"/>
        </w:rPr>
        <w:t>2</w:t>
      </w:r>
      <w:r>
        <w:rPr>
          <w:noProof/>
          <w:szCs w:val="24"/>
        </w:rPr>
        <w:t xml:space="preserve"> target for passenger cars of option TLC30 (see Section 6.3.2), the increase</w:t>
      </w:r>
      <w:r>
        <w:rPr>
          <w:noProof/>
          <w:szCs w:val="24"/>
        </w:rPr>
        <w:t xml:space="preserve"> in total manufacturing costs across the options DOE 0 to DOE 4 ranges from 380 to 399 EUR per vehicle in 2025 and from 1020 to 1051 EUR per vehicle in 2030. </w:t>
      </w:r>
    </w:p>
    <w:p w:rsidR="001A26B0" w:rsidRDefault="00E33A99">
      <w:pPr>
        <w:spacing w:after="120"/>
        <w:rPr>
          <w:noProof/>
          <w:szCs w:val="24"/>
        </w:rPr>
      </w:pPr>
      <w:r>
        <w:rPr>
          <w:noProof/>
          <w:szCs w:val="24"/>
        </w:rPr>
        <w:t>Similarly, for vans, with the fleet-wide CO</w:t>
      </w:r>
      <w:r>
        <w:rPr>
          <w:noProof/>
          <w:szCs w:val="24"/>
          <w:vertAlign w:val="subscript"/>
        </w:rPr>
        <w:t>2</w:t>
      </w:r>
      <w:r>
        <w:rPr>
          <w:noProof/>
          <w:szCs w:val="24"/>
        </w:rPr>
        <w:t xml:space="preserve"> target of option TLV25, the manufacturing cost incre</w:t>
      </w:r>
      <w:r>
        <w:rPr>
          <w:noProof/>
          <w:szCs w:val="24"/>
        </w:rPr>
        <w:t>ase across the options DOE 0 to DOE 4 only ranges from 354 to 378 EUR per vehicle in 2025 and from 619 to 670 EUR per vehicle in 2030.</w:t>
      </w:r>
    </w:p>
    <w:p w:rsidR="001A26B0" w:rsidRDefault="00E33A99">
      <w:pPr>
        <w:spacing w:after="120"/>
        <w:rPr>
          <w:noProof/>
          <w:szCs w:val="24"/>
        </w:rPr>
      </w:pPr>
      <w:r>
        <w:rPr>
          <w:noProof/>
          <w:szCs w:val="24"/>
        </w:rPr>
        <w:t>In view of these limited economic impacts at the EU-wide fleet level, the further assessment will focus on the impacts on</w:t>
      </w:r>
      <w:r>
        <w:rPr>
          <w:noProof/>
          <w:szCs w:val="24"/>
        </w:rPr>
        <w:t xml:space="preserve"> </w:t>
      </w:r>
      <w:r>
        <w:rPr>
          <w:noProof/>
        </w:rPr>
        <w:t xml:space="preserve">manufacturing costs </w:t>
      </w:r>
      <w:r>
        <w:rPr>
          <w:noProof/>
          <w:szCs w:val="24"/>
        </w:rPr>
        <w:t>at manufacturer category level</w:t>
      </w:r>
      <w:r>
        <w:rPr>
          <w:noProof/>
        </w:rPr>
        <w:t>, which in turn will affect the vehicle pricing and competitive position</w:t>
      </w:r>
      <w:r>
        <w:rPr>
          <w:noProof/>
          <w:szCs w:val="24"/>
        </w:rPr>
        <w:t>.</w:t>
      </w:r>
    </w:p>
    <w:p w:rsidR="001A26B0" w:rsidRDefault="00E33A99">
      <w:pPr>
        <w:pStyle w:val="Heading6"/>
        <w:rPr>
          <w:noProof/>
        </w:rPr>
      </w:pPr>
      <w:bookmarkStart w:id="498" w:name="_Ref485810775"/>
      <w:bookmarkStart w:id="499" w:name="_Toc488135825"/>
      <w:r>
        <w:rPr>
          <w:noProof/>
        </w:rPr>
        <w:t>Impacts on competition between manufacturers</w:t>
      </w:r>
      <w:bookmarkEnd w:id="498"/>
      <w:bookmarkEnd w:id="499"/>
    </w:p>
    <w:p w:rsidR="001A26B0" w:rsidRDefault="00E33A99">
      <w:pPr>
        <w:spacing w:after="120"/>
        <w:rPr>
          <w:noProof/>
          <w:szCs w:val="24"/>
        </w:rPr>
      </w:pPr>
      <w:r>
        <w:rPr>
          <w:noProof/>
        </w:rPr>
        <w:t xml:space="preserve">This analysis has looked at </w:t>
      </w:r>
      <w:r>
        <w:rPr>
          <w:noProof/>
          <w:szCs w:val="24"/>
        </w:rPr>
        <w:t>how manufacturing costs of different types of manufacturers may change across the DOE options. In addition, since certain vehicle segments (e.g. smaller budget vehicles) are more price sensitive, and, therefore, the same absolute price increase could cause</w:t>
      </w:r>
      <w:r>
        <w:rPr>
          <w:noProof/>
          <w:szCs w:val="24"/>
        </w:rPr>
        <w:t xml:space="preserve"> more significant impacts for them, the analysis also considered the cost increase relative to the average price of the vehicles. </w:t>
      </w:r>
    </w:p>
    <w:p w:rsidR="001A26B0" w:rsidRDefault="00E33A99">
      <w:pPr>
        <w:spacing w:after="120"/>
        <w:rPr>
          <w:i/>
          <w:noProof/>
          <w:szCs w:val="24"/>
        </w:rPr>
      </w:pPr>
      <w:r>
        <w:rPr>
          <w:i/>
          <w:noProof/>
          <w:szCs w:val="24"/>
        </w:rPr>
        <w:t>Passenger cars</w:t>
      </w:r>
    </w:p>
    <w:p w:rsidR="001A26B0" w:rsidRDefault="00E33A99">
      <w:pPr>
        <w:spacing w:after="120"/>
        <w:rPr>
          <w:noProof/>
        </w:rPr>
      </w:pPr>
      <w:r>
        <w:rPr>
          <w:noProof/>
          <w:szCs w:val="24"/>
        </w:rPr>
        <w:t>The two figures below show the main results of the analysis for passenger cars in case of an EU-wide fleet CO</w:t>
      </w:r>
      <w:r>
        <w:rPr>
          <w:noProof/>
          <w:szCs w:val="24"/>
          <w:vertAlign w:val="subscript"/>
        </w:rPr>
        <w:t>2</w:t>
      </w:r>
      <w:r>
        <w:rPr>
          <w:noProof/>
          <w:szCs w:val="24"/>
        </w:rPr>
        <w:t xml:space="preserve"> target in 2025 and 2030 under option TLC30. </w:t>
      </w:r>
      <w:r>
        <w:rPr>
          <w:noProof/>
          <w:szCs w:val="24"/>
        </w:rPr>
        <w:fldChar w:fldCharType="begin"/>
      </w:r>
      <w:r>
        <w:rPr>
          <w:noProof/>
          <w:szCs w:val="24"/>
        </w:rPr>
        <w:instrText xml:space="preserve"> REF _Ref493076397 \h  \* MERGEFORMAT </w:instrText>
      </w:r>
      <w:r>
        <w:rPr>
          <w:noProof/>
          <w:szCs w:val="24"/>
        </w:rPr>
      </w:r>
      <w:r>
        <w:rPr>
          <w:noProof/>
          <w:szCs w:val="24"/>
        </w:rPr>
        <w:fldChar w:fldCharType="separate"/>
      </w:r>
      <w:r>
        <w:rPr>
          <w:noProof/>
        </w:rPr>
        <w:t>Figure 29</w:t>
      </w:r>
      <w:r>
        <w:rPr>
          <w:noProof/>
          <w:szCs w:val="24"/>
        </w:rPr>
        <w:fldChar w:fldCharType="end"/>
      </w:r>
      <w:r>
        <w:rPr>
          <w:noProof/>
          <w:szCs w:val="24"/>
        </w:rPr>
        <w:t xml:space="preserve"> shows the cost increase per vehicle (EUR/car), while in </w:t>
      </w:r>
      <w:r>
        <w:rPr>
          <w:noProof/>
          <w:szCs w:val="24"/>
        </w:rPr>
        <w:fldChar w:fldCharType="begin"/>
      </w:r>
      <w:r>
        <w:rPr>
          <w:noProof/>
          <w:szCs w:val="24"/>
        </w:rPr>
        <w:instrText xml:space="preserve"> REF _Ref493076399 \h  \* MERGEFORMAT </w:instrText>
      </w:r>
      <w:r>
        <w:rPr>
          <w:noProof/>
          <w:szCs w:val="24"/>
        </w:rPr>
      </w:r>
      <w:r>
        <w:rPr>
          <w:noProof/>
          <w:szCs w:val="24"/>
        </w:rPr>
        <w:fldChar w:fldCharType="separate"/>
      </w:r>
      <w:r>
        <w:rPr>
          <w:noProof/>
        </w:rPr>
        <w:t>F</w:t>
      </w:r>
      <w:r>
        <w:rPr>
          <w:noProof/>
        </w:rPr>
        <w:t>igure 30</w:t>
      </w:r>
      <w:r>
        <w:rPr>
          <w:noProof/>
          <w:szCs w:val="24"/>
        </w:rPr>
        <w:fldChar w:fldCharType="end"/>
      </w:r>
      <w:r>
        <w:rPr>
          <w:noProof/>
          <w:szCs w:val="24"/>
        </w:rPr>
        <w:t xml:space="preserve"> these costs are related to the vehicle price (cost increase in % of car price).</w:t>
      </w:r>
      <w:r>
        <w:rPr>
          <w:noProof/>
        </w:rPr>
        <w:t xml:space="preserve"> </w:t>
      </w:r>
    </w:p>
    <w:p w:rsidR="001A26B0" w:rsidRDefault="00E33A99">
      <w:pPr>
        <w:spacing w:after="120"/>
        <w:rPr>
          <w:noProof/>
          <w:szCs w:val="24"/>
        </w:rPr>
      </w:pPr>
      <w:r>
        <w:rPr>
          <w:noProof/>
        </w:rPr>
        <w:t>While results are presented here in relation to only one EU-wide fleet target level options, it sh</w:t>
      </w:r>
      <w:r>
        <w:rPr>
          <w:noProof/>
        </w:rPr>
        <w:t>ould be added that the trends found for other target level options were very similar (the detailed results for TLC25 are shown in Annex 8). The findings mentioned below can thus be equally applied in relation to all TLC options.</w:t>
      </w:r>
    </w:p>
    <w:p w:rsidR="001A26B0" w:rsidRDefault="00E33A99">
      <w:pPr>
        <w:pStyle w:val="Caption"/>
        <w:keepNext/>
        <w:rPr>
          <w:noProof/>
          <w:szCs w:val="24"/>
        </w:rPr>
      </w:pPr>
      <w:bookmarkStart w:id="500" w:name="_Ref493076397"/>
      <w:bookmarkStart w:id="501" w:name="_Toc496688575"/>
      <w:r>
        <w:rPr>
          <w:noProof/>
        </w:rPr>
        <w:t xml:space="preserve">Figure </w:t>
      </w:r>
      <w:r>
        <w:rPr>
          <w:noProof/>
        </w:rPr>
        <w:fldChar w:fldCharType="begin"/>
      </w:r>
      <w:r>
        <w:rPr>
          <w:noProof/>
        </w:rPr>
        <w:instrText xml:space="preserve"> SEQ Figure \* ARABI</w:instrText>
      </w:r>
      <w:r>
        <w:rPr>
          <w:noProof/>
        </w:rPr>
        <w:instrText xml:space="preserve">C </w:instrText>
      </w:r>
      <w:r>
        <w:rPr>
          <w:noProof/>
        </w:rPr>
        <w:fldChar w:fldCharType="separate"/>
      </w:r>
      <w:r>
        <w:rPr>
          <w:noProof/>
        </w:rPr>
        <w:t>29</w:t>
      </w:r>
      <w:r>
        <w:rPr>
          <w:noProof/>
        </w:rPr>
        <w:fldChar w:fldCharType="end"/>
      </w:r>
      <w:bookmarkEnd w:id="500"/>
      <w:r>
        <w:rPr>
          <w:noProof/>
        </w:rPr>
        <w:t xml:space="preserve">: </w:t>
      </w:r>
      <w:r>
        <w:rPr>
          <w:noProof/>
          <w:szCs w:val="24"/>
        </w:rPr>
        <w:t>Additional manufacturing costs (EUR/car) for categories of passenger car manufacturers under different options DOE and with the EU-wide fleet CO</w:t>
      </w:r>
      <w:r>
        <w:rPr>
          <w:noProof/>
          <w:szCs w:val="24"/>
          <w:vertAlign w:val="subscript"/>
        </w:rPr>
        <w:t>2</w:t>
      </w:r>
      <w:r>
        <w:rPr>
          <w:noProof/>
          <w:szCs w:val="24"/>
        </w:rPr>
        <w:t xml:space="preserve"> target levels as in option TLC30</w:t>
      </w:r>
      <w:bookmarkEnd w:id="501"/>
      <w:r>
        <w:rPr>
          <w:noProof/>
          <w:szCs w:val="24"/>
        </w:rPr>
        <w:t xml:space="preserve"> </w:t>
      </w:r>
    </w:p>
    <w:p w:rsidR="001A26B0" w:rsidRDefault="00E33A99">
      <w:pPr>
        <w:jc w:val="center"/>
        <w:rPr>
          <w:noProof/>
        </w:rPr>
      </w:pPr>
      <w:r>
        <w:rPr>
          <w:noProof/>
          <w:lang w:eastAsia="en-GB"/>
        </w:rPr>
        <w:drawing>
          <wp:inline distT="0" distB="0" distL="0" distR="0">
            <wp:extent cx="2730500" cy="212182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30500" cy="2121824"/>
                    </a:xfrm>
                    <a:prstGeom prst="rect">
                      <a:avLst/>
                    </a:prstGeom>
                    <a:noFill/>
                  </pic:spPr>
                </pic:pic>
              </a:graphicData>
            </a:graphic>
          </wp:inline>
        </w:drawing>
      </w:r>
      <w:r>
        <w:rPr>
          <w:noProof/>
          <w:lang w:eastAsia="en-GB"/>
        </w:rPr>
        <w:drawing>
          <wp:inline distT="0" distB="0" distL="0" distR="0">
            <wp:extent cx="2730500" cy="2121824"/>
            <wp:effectExtent l="0" t="0" r="0" b="0"/>
            <wp:docPr id="9218" name="Picture 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30500" cy="2121824"/>
                    </a:xfrm>
                    <a:prstGeom prst="rect">
                      <a:avLst/>
                    </a:prstGeom>
                    <a:noFill/>
                  </pic:spPr>
                </pic:pic>
              </a:graphicData>
            </a:graphic>
          </wp:inline>
        </w:drawing>
      </w:r>
    </w:p>
    <w:p w:rsidR="001A26B0" w:rsidRDefault="00E33A99">
      <w:pPr>
        <w:rPr>
          <w:b/>
          <w:noProof/>
          <w:szCs w:val="24"/>
        </w:rPr>
      </w:pPr>
      <w:bookmarkStart w:id="502" w:name="_Ref493076399"/>
      <w:bookmarkStart w:id="503" w:name="_Toc496688576"/>
      <w:r>
        <w:rPr>
          <w:b/>
          <w:noProof/>
        </w:rPr>
        <w:t xml:space="preserve">Figure </w:t>
      </w:r>
      <w:r>
        <w:rPr>
          <w:b/>
          <w:noProof/>
        </w:rPr>
        <w:fldChar w:fldCharType="begin"/>
      </w:r>
      <w:r>
        <w:rPr>
          <w:b/>
          <w:noProof/>
        </w:rPr>
        <w:instrText xml:space="preserve"> SEQ Figure \* ARABIC </w:instrText>
      </w:r>
      <w:r>
        <w:rPr>
          <w:b/>
          <w:noProof/>
        </w:rPr>
        <w:fldChar w:fldCharType="separate"/>
      </w:r>
      <w:r>
        <w:rPr>
          <w:b/>
          <w:noProof/>
        </w:rPr>
        <w:t>30</w:t>
      </w:r>
      <w:r>
        <w:rPr>
          <w:b/>
          <w:noProof/>
        </w:rPr>
        <w:fldChar w:fldCharType="end"/>
      </w:r>
      <w:bookmarkEnd w:id="502"/>
      <w:r>
        <w:rPr>
          <w:b/>
          <w:noProof/>
        </w:rPr>
        <w:t xml:space="preserve">: </w:t>
      </w:r>
      <w:r>
        <w:rPr>
          <w:b/>
          <w:noProof/>
          <w:szCs w:val="24"/>
        </w:rPr>
        <w:t xml:space="preserve">Additional manufacturing </w:t>
      </w:r>
      <w:r>
        <w:rPr>
          <w:b/>
          <w:noProof/>
          <w:szCs w:val="24"/>
        </w:rPr>
        <w:t>costs relative to vehicle price (% of car price) for categories of passenger car manufacturers under different options DOE and with the EU-wide fleet CO</w:t>
      </w:r>
      <w:r>
        <w:rPr>
          <w:b/>
          <w:noProof/>
          <w:szCs w:val="24"/>
          <w:vertAlign w:val="subscript"/>
        </w:rPr>
        <w:t>2</w:t>
      </w:r>
      <w:r>
        <w:rPr>
          <w:b/>
          <w:noProof/>
          <w:szCs w:val="24"/>
        </w:rPr>
        <w:t xml:space="preserve"> target levels as in option TLC30</w:t>
      </w:r>
      <w:bookmarkEnd w:id="503"/>
    </w:p>
    <w:p w:rsidR="001A26B0" w:rsidRDefault="00E33A99">
      <w:pPr>
        <w:jc w:val="center"/>
        <w:rPr>
          <w:noProof/>
          <w:szCs w:val="24"/>
        </w:rPr>
      </w:pPr>
      <w:r>
        <w:rPr>
          <w:noProof/>
          <w:szCs w:val="24"/>
          <w:lang w:eastAsia="en-GB"/>
        </w:rPr>
        <w:drawing>
          <wp:inline distT="0" distB="0" distL="0" distR="0">
            <wp:extent cx="2730500" cy="2124412"/>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30500" cy="2124412"/>
                    </a:xfrm>
                    <a:prstGeom prst="rect">
                      <a:avLst/>
                    </a:prstGeom>
                    <a:noFill/>
                  </pic:spPr>
                </pic:pic>
              </a:graphicData>
            </a:graphic>
          </wp:inline>
        </w:drawing>
      </w:r>
      <w:r>
        <w:rPr>
          <w:noProof/>
          <w:lang w:eastAsia="en-GB"/>
        </w:rPr>
        <w:drawing>
          <wp:inline distT="0" distB="0" distL="0" distR="0">
            <wp:extent cx="2730500" cy="2124412"/>
            <wp:effectExtent l="0" t="0" r="0" b="9525"/>
            <wp:docPr id="9216" name="Picture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30500" cy="2124412"/>
                    </a:xfrm>
                    <a:prstGeom prst="rect">
                      <a:avLst/>
                    </a:prstGeom>
                    <a:noFill/>
                  </pic:spPr>
                </pic:pic>
              </a:graphicData>
            </a:graphic>
          </wp:inline>
        </w:drawing>
      </w:r>
    </w:p>
    <w:p w:rsidR="001A26B0" w:rsidRDefault="00E33A99">
      <w:pPr>
        <w:spacing w:after="120"/>
        <w:rPr>
          <w:noProof/>
        </w:rPr>
      </w:pPr>
      <w:r>
        <w:rPr>
          <w:noProof/>
        </w:rPr>
        <w:t>Overall, these figures show that for three out of the four categor</w:t>
      </w:r>
      <w:r>
        <w:rPr>
          <w:noProof/>
        </w:rPr>
        <w:t xml:space="preserve">ies of car manufacturers the DOE options do not significantly affect the manufacturing costs (not more than 100 EUR/car in 2025 or 200 EUR/car in 2030). </w:t>
      </w:r>
    </w:p>
    <w:p w:rsidR="001A26B0" w:rsidRDefault="00E33A99">
      <w:pPr>
        <w:spacing w:after="120"/>
        <w:rPr>
          <w:noProof/>
        </w:rPr>
      </w:pPr>
      <w:r>
        <w:rPr>
          <w:noProof/>
        </w:rPr>
        <w:t>However, manufacturers of smaller cars face far higher additional manufacturing costs under options DO</w:t>
      </w:r>
      <w:r>
        <w:rPr>
          <w:noProof/>
        </w:rPr>
        <w:t xml:space="preserve">E 0, DOE 1 and, most of all, DOE 2 (footprint based limit value curve) compared to the other options, which are not using a limit value curve. When looking at the relative cost impacts, this effect is even more visible. The opposite effect is seen for the </w:t>
      </w:r>
      <w:r>
        <w:rPr>
          <w:noProof/>
        </w:rPr>
        <w:t>"advanced technology manufacturer of large cars", albeit less outspoken.</w:t>
      </w:r>
    </w:p>
    <w:p w:rsidR="001A26B0" w:rsidRDefault="00E33A99">
      <w:pPr>
        <w:spacing w:after="120"/>
        <w:rPr>
          <w:noProof/>
        </w:rPr>
      </w:pPr>
      <w:r>
        <w:rPr>
          <w:noProof/>
        </w:rPr>
        <w:t xml:space="preserve">Amongst the options considered, the most homogeneous distribution of absolute efforts between manufacturer categories is achieved through a uniform reduction of the target level (DOE </w:t>
      </w:r>
      <w:r>
        <w:rPr>
          <w:noProof/>
        </w:rPr>
        <w:t>4). However, both this option and option DOE 3 (uniform target) have the drawback of being less flexible in accounting for changes in the utility properties of a manufacturer's fleet as the specific emission targets for individual manufacturers are fixed a</w:t>
      </w:r>
      <w:r>
        <w:rPr>
          <w:noProof/>
        </w:rPr>
        <w:t>nd do not vary depending on those properties. Therefore, distributing the efforts without taking into account the utility properties may interfere with a manufacturer's strategic choices by limiting future segmentation shifts. This would be particularly ch</w:t>
      </w:r>
      <w:r>
        <w:rPr>
          <w:noProof/>
        </w:rPr>
        <w:t>allenging for manufacturers producing a less diversified fleet of mainly larger or mainly smaller vehicle models. Finally, for option DOE 4 it also would need to be established how to deal with new entrants.</w:t>
      </w:r>
    </w:p>
    <w:p w:rsidR="001A26B0" w:rsidRDefault="00E33A99">
      <w:pPr>
        <w:spacing w:after="120"/>
        <w:rPr>
          <w:i/>
          <w:noProof/>
          <w:szCs w:val="24"/>
        </w:rPr>
      </w:pPr>
      <w:r>
        <w:rPr>
          <w:i/>
          <w:noProof/>
          <w:szCs w:val="24"/>
        </w:rPr>
        <w:t>Vans</w:t>
      </w:r>
    </w:p>
    <w:p w:rsidR="001A26B0" w:rsidRDefault="00E33A99">
      <w:pPr>
        <w:spacing w:after="120"/>
        <w:rPr>
          <w:noProof/>
          <w:szCs w:val="24"/>
        </w:rPr>
      </w:pPr>
      <w:r>
        <w:rPr>
          <w:noProof/>
          <w:szCs w:val="24"/>
        </w:rPr>
        <w:t>The two figures below show the main results</w:t>
      </w:r>
      <w:r>
        <w:rPr>
          <w:noProof/>
          <w:szCs w:val="24"/>
        </w:rPr>
        <w:t xml:space="preserve"> for vans with EU-wide fleet CO</w:t>
      </w:r>
      <w:r>
        <w:rPr>
          <w:noProof/>
          <w:szCs w:val="24"/>
          <w:vertAlign w:val="subscript"/>
        </w:rPr>
        <w:t>2</w:t>
      </w:r>
      <w:r>
        <w:rPr>
          <w:noProof/>
          <w:szCs w:val="24"/>
        </w:rPr>
        <w:t xml:space="preserve"> targets in 2025 and 2030 as under option TLV40. </w:t>
      </w:r>
      <w:r>
        <w:rPr>
          <w:noProof/>
          <w:szCs w:val="24"/>
        </w:rPr>
        <w:fldChar w:fldCharType="begin"/>
      </w:r>
      <w:r>
        <w:rPr>
          <w:noProof/>
          <w:szCs w:val="24"/>
        </w:rPr>
        <w:instrText xml:space="preserve"> REF _Ref496608523 \h </w:instrText>
      </w:r>
      <w:r>
        <w:rPr>
          <w:noProof/>
          <w:szCs w:val="24"/>
        </w:rPr>
      </w:r>
      <w:r>
        <w:rPr>
          <w:noProof/>
          <w:szCs w:val="24"/>
        </w:rPr>
        <w:fldChar w:fldCharType="separate"/>
      </w:r>
      <w:r>
        <w:rPr>
          <w:noProof/>
        </w:rPr>
        <w:t>Figure 31</w:t>
      </w:r>
      <w:r>
        <w:rPr>
          <w:noProof/>
          <w:szCs w:val="24"/>
        </w:rPr>
        <w:fldChar w:fldCharType="end"/>
      </w:r>
      <w:r>
        <w:rPr>
          <w:noProof/>
          <w:szCs w:val="24"/>
        </w:rPr>
        <w:t xml:space="preserve"> shows the absolute manufacturing cost increase (EUR/van), while in </w:t>
      </w:r>
      <w:r>
        <w:rPr>
          <w:noProof/>
          <w:szCs w:val="24"/>
        </w:rPr>
        <w:fldChar w:fldCharType="begin"/>
      </w:r>
      <w:r>
        <w:rPr>
          <w:noProof/>
          <w:szCs w:val="24"/>
        </w:rPr>
        <w:instrText xml:space="preserve"> REF _Re</w:instrText>
      </w:r>
      <w:r>
        <w:rPr>
          <w:noProof/>
          <w:szCs w:val="24"/>
        </w:rPr>
        <w:instrText xml:space="preserve">f496608533 \h  \* MERGEFORMAT </w:instrText>
      </w:r>
      <w:r>
        <w:rPr>
          <w:noProof/>
          <w:szCs w:val="24"/>
        </w:rPr>
      </w:r>
      <w:r>
        <w:rPr>
          <w:noProof/>
          <w:szCs w:val="24"/>
        </w:rPr>
        <w:fldChar w:fldCharType="separate"/>
      </w:r>
      <w:r>
        <w:rPr>
          <w:noProof/>
        </w:rPr>
        <w:t>Figure 32</w:t>
      </w:r>
      <w:r>
        <w:rPr>
          <w:noProof/>
          <w:szCs w:val="24"/>
        </w:rPr>
        <w:fldChar w:fldCharType="end"/>
      </w:r>
      <w:r>
        <w:rPr>
          <w:noProof/>
          <w:szCs w:val="24"/>
        </w:rPr>
        <w:t xml:space="preserve"> these costs are related to the vehicle price (cost increase in % of van price). </w:t>
      </w:r>
    </w:p>
    <w:p w:rsidR="001A26B0" w:rsidRDefault="00E33A99">
      <w:pPr>
        <w:spacing w:after="120"/>
        <w:rPr>
          <w:noProof/>
          <w:szCs w:val="24"/>
        </w:rPr>
      </w:pPr>
      <w:r>
        <w:rPr>
          <w:noProof/>
        </w:rPr>
        <w:t xml:space="preserve">Again, the trends found for other target level options were very </w:t>
      </w:r>
      <w:r>
        <w:rPr>
          <w:noProof/>
        </w:rPr>
        <w:t>similar (the detailed results for TLV25 are shown in Annex 8). The findings mentioned below can thus be equally applied in relation to all TLV options.</w:t>
      </w:r>
    </w:p>
    <w:p w:rsidR="001A26B0" w:rsidRDefault="00E33A99">
      <w:pPr>
        <w:pStyle w:val="Caption"/>
        <w:keepNext/>
        <w:rPr>
          <w:noProof/>
          <w:szCs w:val="24"/>
        </w:rPr>
      </w:pPr>
      <w:bookmarkStart w:id="504" w:name="_Ref496608523"/>
      <w:bookmarkStart w:id="505" w:name="_Toc496688577"/>
      <w:r>
        <w:rPr>
          <w:noProof/>
        </w:rPr>
        <w:t xml:space="preserve">Figure </w:t>
      </w:r>
      <w:r>
        <w:rPr>
          <w:noProof/>
        </w:rPr>
        <w:fldChar w:fldCharType="begin"/>
      </w:r>
      <w:r>
        <w:rPr>
          <w:noProof/>
        </w:rPr>
        <w:instrText xml:space="preserve"> SEQ Figure \* ARABIC </w:instrText>
      </w:r>
      <w:r>
        <w:rPr>
          <w:noProof/>
        </w:rPr>
        <w:fldChar w:fldCharType="separate"/>
      </w:r>
      <w:r>
        <w:rPr>
          <w:noProof/>
        </w:rPr>
        <w:t>31</w:t>
      </w:r>
      <w:r>
        <w:rPr>
          <w:noProof/>
        </w:rPr>
        <w:fldChar w:fldCharType="end"/>
      </w:r>
      <w:bookmarkEnd w:id="504"/>
      <w:r>
        <w:rPr>
          <w:noProof/>
        </w:rPr>
        <w:t xml:space="preserve">: </w:t>
      </w:r>
      <w:r>
        <w:rPr>
          <w:noProof/>
          <w:szCs w:val="24"/>
        </w:rPr>
        <w:t>Additional manufacturing costs (EUR/van) for categories of van manuf</w:t>
      </w:r>
      <w:r>
        <w:rPr>
          <w:noProof/>
          <w:szCs w:val="24"/>
        </w:rPr>
        <w:t>acturers under different options DOE and with the EU-wide fleet CO</w:t>
      </w:r>
      <w:r>
        <w:rPr>
          <w:noProof/>
          <w:szCs w:val="24"/>
          <w:vertAlign w:val="subscript"/>
        </w:rPr>
        <w:t>2</w:t>
      </w:r>
      <w:r>
        <w:rPr>
          <w:noProof/>
          <w:szCs w:val="24"/>
        </w:rPr>
        <w:t xml:space="preserve"> target levels as in option TLV40</w:t>
      </w:r>
      <w:bookmarkEnd w:id="505"/>
      <w:r>
        <w:rPr>
          <w:noProof/>
          <w:szCs w:val="24"/>
        </w:rPr>
        <w:t xml:space="preserve"> </w:t>
      </w:r>
    </w:p>
    <w:p w:rsidR="001A26B0" w:rsidRDefault="00E33A99">
      <w:pPr>
        <w:jc w:val="center"/>
        <w:rPr>
          <w:rFonts w:asciiTheme="minorHAnsi" w:hAnsiTheme="minorHAnsi"/>
          <w:noProof/>
        </w:rPr>
      </w:pPr>
      <w:r>
        <w:rPr>
          <w:rFonts w:asciiTheme="minorHAnsi" w:hAnsiTheme="minorHAnsi"/>
          <w:noProof/>
          <w:lang w:eastAsia="en-GB"/>
        </w:rPr>
        <w:drawing>
          <wp:inline distT="0" distB="0" distL="0" distR="0">
            <wp:extent cx="2730500" cy="2123787"/>
            <wp:effectExtent l="0" t="0" r="0" b="0"/>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30500" cy="2123787"/>
                    </a:xfrm>
                    <a:prstGeom prst="rect">
                      <a:avLst/>
                    </a:prstGeom>
                    <a:noFill/>
                    <a:ln>
                      <a:noFill/>
                    </a:ln>
                    <a:effectLst/>
                    <a:extLst/>
                  </pic:spPr>
                </pic:pic>
              </a:graphicData>
            </a:graphic>
          </wp:inline>
        </w:drawing>
      </w:r>
      <w:r>
        <w:rPr>
          <w:rFonts w:asciiTheme="minorHAnsi" w:hAnsiTheme="minorHAnsi"/>
          <w:noProof/>
          <w:lang w:eastAsia="en-GB"/>
        </w:rPr>
        <w:drawing>
          <wp:inline distT="0" distB="0" distL="0" distR="0">
            <wp:extent cx="2730500" cy="2123787"/>
            <wp:effectExtent l="0" t="0" r="0" b="0"/>
            <wp:docPr id="15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30500" cy="2123787"/>
                    </a:xfrm>
                    <a:prstGeom prst="rect">
                      <a:avLst/>
                    </a:prstGeom>
                    <a:noFill/>
                    <a:ln>
                      <a:noFill/>
                    </a:ln>
                    <a:effectLst/>
                    <a:extLst/>
                  </pic:spPr>
                </pic:pic>
              </a:graphicData>
            </a:graphic>
          </wp:inline>
        </w:drawing>
      </w:r>
    </w:p>
    <w:p w:rsidR="001A26B0" w:rsidRDefault="00E33A99">
      <w:pPr>
        <w:rPr>
          <w:b/>
          <w:noProof/>
          <w:szCs w:val="24"/>
        </w:rPr>
      </w:pPr>
      <w:bookmarkStart w:id="506" w:name="_Ref496608533"/>
      <w:bookmarkStart w:id="507" w:name="_Toc496688578"/>
      <w:r>
        <w:rPr>
          <w:b/>
          <w:noProof/>
        </w:rPr>
        <w:t xml:space="preserve">Figure </w:t>
      </w:r>
      <w:r>
        <w:rPr>
          <w:b/>
          <w:noProof/>
        </w:rPr>
        <w:fldChar w:fldCharType="begin"/>
      </w:r>
      <w:r>
        <w:rPr>
          <w:b/>
          <w:noProof/>
        </w:rPr>
        <w:instrText xml:space="preserve"> SEQ Figure \* ARABIC </w:instrText>
      </w:r>
      <w:r>
        <w:rPr>
          <w:b/>
          <w:noProof/>
        </w:rPr>
        <w:fldChar w:fldCharType="separate"/>
      </w:r>
      <w:r>
        <w:rPr>
          <w:b/>
          <w:noProof/>
        </w:rPr>
        <w:t>32</w:t>
      </w:r>
      <w:r>
        <w:rPr>
          <w:b/>
          <w:noProof/>
        </w:rPr>
        <w:fldChar w:fldCharType="end"/>
      </w:r>
      <w:bookmarkEnd w:id="506"/>
      <w:r>
        <w:rPr>
          <w:b/>
          <w:noProof/>
        </w:rPr>
        <w:t xml:space="preserve">: </w:t>
      </w:r>
      <w:r>
        <w:rPr>
          <w:b/>
          <w:noProof/>
          <w:szCs w:val="24"/>
        </w:rPr>
        <w:t>Additional manufacturing costs relative to vehicle price (% of van price) for categories of van manufacturers under</w:t>
      </w:r>
      <w:r>
        <w:rPr>
          <w:b/>
          <w:noProof/>
          <w:szCs w:val="24"/>
        </w:rPr>
        <w:t xml:space="preserve"> different options DOE and with the EU-wide fleet CO</w:t>
      </w:r>
      <w:r>
        <w:rPr>
          <w:b/>
          <w:noProof/>
          <w:szCs w:val="24"/>
          <w:vertAlign w:val="subscript"/>
        </w:rPr>
        <w:t>2</w:t>
      </w:r>
      <w:r>
        <w:rPr>
          <w:b/>
          <w:noProof/>
          <w:szCs w:val="24"/>
        </w:rPr>
        <w:t xml:space="preserve"> target levels as in option TLV40</w:t>
      </w:r>
      <w:bookmarkEnd w:id="507"/>
    </w:p>
    <w:p w:rsidR="001A26B0" w:rsidRDefault="00E33A99">
      <w:pPr>
        <w:jc w:val="left"/>
        <w:rPr>
          <w:rFonts w:asciiTheme="minorHAnsi" w:hAnsiTheme="minorHAnsi"/>
          <w:noProof/>
        </w:rPr>
      </w:pPr>
      <w:r>
        <w:rPr>
          <w:b/>
          <w:noProof/>
          <w:lang w:eastAsia="en-GB"/>
        </w:rPr>
        <w:drawing>
          <wp:inline distT="0" distB="0" distL="0" distR="0">
            <wp:extent cx="2730500" cy="2139172"/>
            <wp:effectExtent l="0" t="0" r="0" b="0"/>
            <wp:docPr id="1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30500" cy="2139172"/>
                    </a:xfrm>
                    <a:prstGeom prst="rect">
                      <a:avLst/>
                    </a:prstGeom>
                    <a:noFill/>
                    <a:ln>
                      <a:noFill/>
                    </a:ln>
                    <a:effectLst/>
                    <a:extLst/>
                  </pic:spPr>
                </pic:pic>
              </a:graphicData>
            </a:graphic>
          </wp:inline>
        </w:drawing>
      </w:r>
      <w:r>
        <w:rPr>
          <w:b/>
          <w:noProof/>
          <w:lang w:eastAsia="en-GB"/>
        </w:rPr>
        <w:drawing>
          <wp:inline distT="0" distB="0" distL="0" distR="0">
            <wp:extent cx="2730500" cy="2139172"/>
            <wp:effectExtent l="0" t="0" r="0" b="0"/>
            <wp:docPr id="16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30500" cy="2139172"/>
                    </a:xfrm>
                    <a:prstGeom prst="rect">
                      <a:avLst/>
                    </a:prstGeom>
                    <a:noFill/>
                    <a:ln>
                      <a:noFill/>
                    </a:ln>
                    <a:effectLst/>
                    <a:extLst/>
                  </pic:spPr>
                </pic:pic>
              </a:graphicData>
            </a:graphic>
          </wp:inline>
        </w:drawing>
      </w:r>
    </w:p>
    <w:p w:rsidR="001A26B0" w:rsidRDefault="00E33A99">
      <w:pPr>
        <w:spacing w:after="120"/>
        <w:rPr>
          <w:noProof/>
        </w:rPr>
      </w:pPr>
      <w:r>
        <w:rPr>
          <w:noProof/>
        </w:rPr>
        <w:t>The figures show that differences in absolute additional manufacturing costs (EUR/van) among the DOE options considered are rather limited (i.e. not more than 100 EUR</w:t>
      </w:r>
      <w:r>
        <w:rPr>
          <w:noProof/>
        </w:rPr>
        <w:t xml:space="preserve">/van in 2025 or 200 EUR/van in 2030). </w:t>
      </w:r>
    </w:p>
    <w:p w:rsidR="001A26B0" w:rsidRDefault="00E33A99">
      <w:pPr>
        <w:spacing w:after="120"/>
        <w:rPr>
          <w:noProof/>
        </w:rPr>
      </w:pPr>
      <w:r>
        <w:rPr>
          <w:noProof/>
        </w:rPr>
        <w:t>The largest distributional impacts are seen for options DOE 2 (footprint) and DOE 3 (uniform target), where costs are significantly lower for manufacturers of smaller vans compared to the other two categories.</w:t>
      </w:r>
    </w:p>
    <w:p w:rsidR="001A26B0" w:rsidRDefault="00E33A99">
      <w:pPr>
        <w:spacing w:after="120"/>
        <w:rPr>
          <w:noProof/>
        </w:rPr>
      </w:pPr>
      <w:r>
        <w:rPr>
          <w:noProof/>
        </w:rPr>
        <w:t>Only ve</w:t>
      </w:r>
      <w:r>
        <w:rPr>
          <w:noProof/>
        </w:rPr>
        <w:t>ry small differences are found between options DOE 0, DOE 1 and DOE 4. In these cases, the distribution of efforts across manufacturer groups is quite homogeneous, with slightly higher costs (esp. in relative terms) for manufacturers of smaller vans and sl</w:t>
      </w:r>
      <w:r>
        <w:rPr>
          <w:noProof/>
        </w:rPr>
        <w:t>ightly higher ones for "larger LCV with xEV".</w:t>
      </w:r>
    </w:p>
    <w:p w:rsidR="001A26B0" w:rsidRDefault="00E33A99">
      <w:pPr>
        <w:spacing w:after="120"/>
        <w:rPr>
          <w:noProof/>
        </w:rPr>
      </w:pPr>
      <w:r>
        <w:rPr>
          <w:noProof/>
        </w:rPr>
        <w:t xml:space="preserve">As the differences in vehicle price across the manufacturer categories are more limited than for cars, the effects are very similar when considering the cost increase relative to those prices. </w:t>
      </w:r>
    </w:p>
    <w:p w:rsidR="001A26B0" w:rsidRDefault="00E33A99">
      <w:pPr>
        <w:spacing w:after="120"/>
        <w:rPr>
          <w:noProof/>
        </w:rPr>
      </w:pPr>
      <w:r>
        <w:rPr>
          <w:noProof/>
        </w:rPr>
        <w:t>As regards optio</w:t>
      </w:r>
      <w:r>
        <w:rPr>
          <w:noProof/>
        </w:rPr>
        <w:t>ns DOE 3 and DOE 4, the same considerations regarding the lack of flexibility for manufacturers as regards future segmentation shifts apply as for cars.</w:t>
      </w:r>
    </w:p>
    <w:p w:rsidR="001A26B0" w:rsidRDefault="00E33A99">
      <w:pPr>
        <w:spacing w:after="120"/>
        <w:rPr>
          <w:i/>
          <w:noProof/>
          <w:szCs w:val="24"/>
        </w:rPr>
      </w:pPr>
      <w:r>
        <w:rPr>
          <w:i/>
          <w:noProof/>
          <w:szCs w:val="24"/>
        </w:rPr>
        <w:t>Other considerations (for cars and vans)</w:t>
      </w:r>
    </w:p>
    <w:p w:rsidR="001A26B0" w:rsidRDefault="00E33A99">
      <w:pPr>
        <w:spacing w:after="120"/>
        <w:rPr>
          <w:noProof/>
        </w:rPr>
      </w:pPr>
      <w:r>
        <w:rPr>
          <w:noProof/>
        </w:rPr>
        <w:t>From an administrative point of view, maintaining a mass based</w:t>
      </w:r>
      <w:r>
        <w:rPr>
          <w:noProof/>
        </w:rPr>
        <w:t xml:space="preserve"> limit value curve for distributing the EU-wide fleet target is the simplest option. </w:t>
      </w:r>
    </w:p>
    <w:p w:rsidR="001A26B0" w:rsidRDefault="00E33A99">
      <w:pPr>
        <w:spacing w:after="120"/>
        <w:rPr>
          <w:noProof/>
        </w:rPr>
      </w:pPr>
      <w:r>
        <w:rPr>
          <w:noProof/>
        </w:rPr>
        <w:t>As regards the slopes of the limit value curves, maintaining the values currently established in the Cars and Vans Regulation would be questionable as those slopes were specifically linked to the targets set for 2020/2021. With the switch to WLTP and the n</w:t>
      </w:r>
      <w:r>
        <w:rPr>
          <w:noProof/>
        </w:rPr>
        <w:t xml:space="preserve">ew targets to be set for post-2020, there seems to be no sound basis for simply maintaining them. </w:t>
      </w:r>
    </w:p>
    <w:p w:rsidR="001A26B0" w:rsidRDefault="00E33A99">
      <w:pPr>
        <w:pStyle w:val="Heading5"/>
        <w:keepNext/>
        <w:ind w:left="1009" w:hanging="1009"/>
        <w:rPr>
          <w:noProof/>
        </w:rPr>
      </w:pPr>
      <w:r>
        <w:rPr>
          <w:noProof/>
        </w:rPr>
        <w:t>Social Impacts</w:t>
      </w:r>
    </w:p>
    <w:p w:rsidR="001A26B0" w:rsidRDefault="00E33A99">
      <w:pPr>
        <w:spacing w:after="120"/>
        <w:rPr>
          <w:noProof/>
          <w:color w:val="000000" w:themeColor="text1"/>
        </w:rPr>
      </w:pPr>
      <w:r>
        <w:rPr>
          <w:noProof/>
        </w:rPr>
        <w:t xml:space="preserve">Overall, given the limited impact on the overall costs and on the composition of the fleet, the different options considered for the distribution of effort are not expected to have </w:t>
      </w:r>
      <w:r>
        <w:rPr>
          <w:noProof/>
          <w:color w:val="000000" w:themeColor="text1"/>
        </w:rPr>
        <w:t>significant social impacts.</w:t>
      </w:r>
    </w:p>
    <w:p w:rsidR="001A26B0" w:rsidRDefault="00E33A99">
      <w:pPr>
        <w:spacing w:after="120"/>
        <w:rPr>
          <w:b/>
          <w:noProof/>
          <w:color w:val="000000" w:themeColor="text1"/>
          <w:szCs w:val="24"/>
        </w:rPr>
      </w:pPr>
      <w:r>
        <w:rPr>
          <w:noProof/>
          <w:color w:val="000000" w:themeColor="text1"/>
        </w:rPr>
        <w:t>There could be impacts in terms of social equit</w:t>
      </w:r>
      <w:r>
        <w:rPr>
          <w:noProof/>
          <w:color w:val="000000" w:themeColor="text1"/>
        </w:rPr>
        <w:t xml:space="preserve">y in case the distribution of effort would lead to a higher (relative) price increase for smaller or medium sized vehicles </w:t>
      </w:r>
      <w:r>
        <w:rPr>
          <w:noProof/>
          <w:color w:val="000000" w:themeColor="text1"/>
          <w:szCs w:val="24"/>
        </w:rPr>
        <w:t>compared to premium models. However, there is no evidence available of a direct relationship between income groups and the size of ve</w:t>
      </w:r>
      <w:r>
        <w:rPr>
          <w:noProof/>
          <w:color w:val="000000" w:themeColor="text1"/>
          <w:szCs w:val="24"/>
        </w:rPr>
        <w:t xml:space="preserve">hicles purchased.  </w:t>
      </w:r>
    </w:p>
    <w:p w:rsidR="001A26B0" w:rsidRDefault="00E33A99">
      <w:pPr>
        <w:pStyle w:val="Heading5"/>
        <w:rPr>
          <w:noProof/>
        </w:rPr>
      </w:pPr>
      <w:r>
        <w:rPr>
          <w:noProof/>
        </w:rPr>
        <w:t>Environmental impacts</w:t>
      </w:r>
    </w:p>
    <w:p w:rsidR="001A26B0" w:rsidRDefault="00E33A99">
      <w:pPr>
        <w:spacing w:after="120"/>
        <w:rPr>
          <w:noProof/>
        </w:rPr>
      </w:pPr>
      <w:r>
        <w:rPr>
          <w:noProof/>
        </w:rPr>
        <w:t>As the DOE options do not affect the overall CO</w:t>
      </w:r>
      <w:r>
        <w:rPr>
          <w:noProof/>
          <w:vertAlign w:val="subscript"/>
        </w:rPr>
        <w:t>2</w:t>
      </w:r>
      <w:r>
        <w:rPr>
          <w:noProof/>
        </w:rPr>
        <w:t xml:space="preserve"> target level, they are not expected to have an impact on the overall TTW CO</w:t>
      </w:r>
      <w:r>
        <w:rPr>
          <w:noProof/>
          <w:vertAlign w:val="subscript"/>
        </w:rPr>
        <w:t>2</w:t>
      </w:r>
      <w:r>
        <w:rPr>
          <w:noProof/>
        </w:rPr>
        <w:t xml:space="preserve"> emissions from cars and vans.</w:t>
      </w:r>
    </w:p>
    <w:p w:rsidR="001A26B0" w:rsidRDefault="00E33A99">
      <w:pPr>
        <w:spacing w:after="120"/>
        <w:rPr>
          <w:b/>
          <w:noProof/>
        </w:rPr>
      </w:pPr>
      <w:r>
        <w:rPr>
          <w:noProof/>
        </w:rPr>
        <w:t>The only conceivable effect would be related to changes in</w:t>
      </w:r>
      <w:r>
        <w:rPr>
          <w:noProof/>
        </w:rPr>
        <w:t xml:space="preserve"> the fleet composition induced by the DOE mechanism applied. Vehicles with different powertrains may be impacted differently by these options, e.g. due to differences in utility (mass or footprint), where such parameter is used for the limit value curve. F</w:t>
      </w:r>
      <w:r>
        <w:rPr>
          <w:noProof/>
        </w:rPr>
        <w:t>or example, electric vehicles tend to be heavier than ICEV, and diesel cars tend to be heavier than petrol cars, and using a mass based DOE approach would thus tend to favour the market uptake of those types of vehicles, which in turn may impact the enviro</w:t>
      </w:r>
      <w:r>
        <w:rPr>
          <w:noProof/>
        </w:rPr>
        <w:t>nmental performance of the fleet.</w:t>
      </w:r>
      <w:bookmarkStart w:id="508" w:name="_Toc491284798"/>
      <w:bookmarkStart w:id="509" w:name="_Toc491285882"/>
      <w:bookmarkStart w:id="510" w:name="_Toc491286968"/>
      <w:bookmarkStart w:id="511" w:name="_Toc487211789"/>
      <w:bookmarkStart w:id="512" w:name="_Ref491441648"/>
      <w:bookmarkStart w:id="513" w:name="_Ref492570566"/>
      <w:bookmarkStart w:id="514" w:name="_Ref493085928"/>
      <w:bookmarkEnd w:id="487"/>
      <w:bookmarkEnd w:id="508"/>
      <w:bookmarkEnd w:id="509"/>
      <w:bookmarkEnd w:id="510"/>
    </w:p>
    <w:p w:rsidR="001A26B0" w:rsidRDefault="00E33A99">
      <w:pPr>
        <w:spacing w:after="200" w:line="276" w:lineRule="auto"/>
        <w:jc w:val="left"/>
        <w:rPr>
          <w:b/>
          <w:noProof/>
        </w:rPr>
      </w:pPr>
      <w:bookmarkStart w:id="515" w:name="_Ref493596189"/>
      <w:r>
        <w:rPr>
          <w:noProof/>
        </w:rPr>
        <w:br w:type="page"/>
      </w:r>
    </w:p>
    <w:p w:rsidR="001A26B0" w:rsidRDefault="00E33A99">
      <w:pPr>
        <w:pStyle w:val="Heading2"/>
        <w:widowControl w:val="0"/>
        <w:spacing w:after="240"/>
        <w:rPr>
          <w:noProof/>
        </w:rPr>
      </w:pPr>
      <w:bookmarkStart w:id="516" w:name="_Toc496635623"/>
      <w:r>
        <w:rPr>
          <w:noProof/>
        </w:rPr>
        <w:t>ZEV/ LEV incentives</w:t>
      </w:r>
      <w:bookmarkEnd w:id="511"/>
      <w:bookmarkEnd w:id="512"/>
      <w:bookmarkEnd w:id="513"/>
      <w:bookmarkEnd w:id="514"/>
      <w:bookmarkEnd w:id="515"/>
      <w:bookmarkEnd w:id="516"/>
    </w:p>
    <w:p w:rsidR="001A26B0" w:rsidRDefault="00E33A99">
      <w:pPr>
        <w:pStyle w:val="Heading3"/>
        <w:rPr>
          <w:noProof/>
        </w:rPr>
      </w:pPr>
      <w:bookmarkStart w:id="517" w:name="_Toc491871905"/>
      <w:bookmarkStart w:id="518" w:name="_Toc491871906"/>
      <w:bookmarkStart w:id="519" w:name="_Toc490062455"/>
      <w:bookmarkStart w:id="520" w:name="_Toc490062640"/>
      <w:bookmarkStart w:id="521" w:name="_Toc490243274"/>
      <w:bookmarkStart w:id="522" w:name="_Toc490836399"/>
      <w:bookmarkStart w:id="523" w:name="_Toc490836767"/>
      <w:bookmarkStart w:id="524" w:name="_Toc490836866"/>
      <w:bookmarkStart w:id="525" w:name="_Toc491183415"/>
      <w:bookmarkStart w:id="526" w:name="_Toc491284802"/>
      <w:bookmarkStart w:id="527" w:name="_Toc491285886"/>
      <w:bookmarkStart w:id="528" w:name="_Toc491286972"/>
      <w:bookmarkStart w:id="529" w:name="_Toc491871907"/>
      <w:bookmarkStart w:id="530" w:name="_Toc491871920"/>
      <w:bookmarkStart w:id="531" w:name="_Toc491871921"/>
      <w:bookmarkStart w:id="532" w:name="_Toc491871922"/>
      <w:bookmarkStart w:id="533" w:name="_Toc491871923"/>
      <w:bookmarkStart w:id="534" w:name="_Toc491871924"/>
      <w:bookmarkStart w:id="535" w:name="_Toc491871925"/>
      <w:bookmarkStart w:id="536" w:name="_Toc491871926"/>
      <w:bookmarkStart w:id="537" w:name="_Toc491871927"/>
      <w:bookmarkStart w:id="538" w:name="_Toc491871928"/>
      <w:bookmarkStart w:id="539" w:name="_Toc491871929"/>
      <w:bookmarkStart w:id="540" w:name="_Toc491871930"/>
      <w:bookmarkStart w:id="541" w:name="_Toc491871931"/>
      <w:bookmarkStart w:id="542" w:name="_Toc491871932"/>
      <w:bookmarkStart w:id="543" w:name="_Toc491871933"/>
      <w:bookmarkStart w:id="544" w:name="_Toc491871934"/>
      <w:bookmarkStart w:id="545" w:name="_Toc491871935"/>
      <w:bookmarkStart w:id="546" w:name="_Toc491871936"/>
      <w:bookmarkStart w:id="547" w:name="_Toc491871937"/>
      <w:bookmarkStart w:id="548" w:name="_Toc491871938"/>
      <w:bookmarkStart w:id="549" w:name="_Toc491871939"/>
      <w:bookmarkStart w:id="550" w:name="_Toc491871940"/>
      <w:bookmarkStart w:id="551" w:name="_Toc491871941"/>
      <w:bookmarkStart w:id="552" w:name="_Toc491871958"/>
      <w:bookmarkStart w:id="553" w:name="_Toc491871959"/>
      <w:bookmarkStart w:id="554" w:name="_Toc491871960"/>
      <w:bookmarkStart w:id="555" w:name="_Toc491871961"/>
      <w:bookmarkStart w:id="556" w:name="_Toc491871962"/>
      <w:bookmarkStart w:id="557" w:name="_Toc491871963"/>
      <w:bookmarkStart w:id="558" w:name="_Toc491871964"/>
      <w:bookmarkStart w:id="559" w:name="_Toc491871965"/>
      <w:bookmarkStart w:id="560" w:name="_Toc491871966"/>
      <w:bookmarkStart w:id="561" w:name="_Toc491871967"/>
      <w:bookmarkStart w:id="562" w:name="_Toc491871968"/>
      <w:bookmarkStart w:id="563" w:name="_Toc491871969"/>
      <w:bookmarkStart w:id="564" w:name="_Toc491871970"/>
      <w:bookmarkStart w:id="565" w:name="_Toc491871971"/>
      <w:bookmarkStart w:id="566" w:name="_Toc491871972"/>
      <w:bookmarkStart w:id="567" w:name="_Toc491871973"/>
      <w:bookmarkStart w:id="568" w:name="_Toc491871974"/>
      <w:bookmarkStart w:id="569" w:name="_Toc491871975"/>
      <w:bookmarkStart w:id="570" w:name="_Toc491871976"/>
      <w:bookmarkStart w:id="571" w:name="_Toc491871977"/>
      <w:bookmarkStart w:id="572" w:name="_Toc491871978"/>
      <w:bookmarkStart w:id="573" w:name="_Toc491871979"/>
      <w:bookmarkStart w:id="574" w:name="_Toc491871980"/>
      <w:bookmarkStart w:id="575" w:name="_Toc491871981"/>
      <w:bookmarkStart w:id="576" w:name="_Toc491871982"/>
      <w:bookmarkStart w:id="577" w:name="_Toc491871983"/>
      <w:bookmarkStart w:id="578" w:name="_Toc491879094"/>
      <w:bookmarkStart w:id="579" w:name="_Toc496635624"/>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r>
        <w:rPr>
          <w:noProof/>
        </w:rPr>
        <w:t>Introduction and methodological considerations</w:t>
      </w:r>
      <w:bookmarkEnd w:id="579"/>
    </w:p>
    <w:p w:rsidR="001A26B0" w:rsidRDefault="00E33A99">
      <w:pPr>
        <w:spacing w:after="120"/>
        <w:rPr>
          <w:noProof/>
        </w:rPr>
      </w:pPr>
      <w:r>
        <w:rPr>
          <w:noProof/>
        </w:rPr>
        <w:t>As a manufacturer's CO</w:t>
      </w:r>
      <w:r>
        <w:rPr>
          <w:noProof/>
          <w:vertAlign w:val="subscript"/>
        </w:rPr>
        <w:t>2</w:t>
      </w:r>
      <w:r>
        <w:rPr>
          <w:noProof/>
        </w:rPr>
        <w:t xml:space="preserve"> targets apply for its fleet-wide sales-weighted average emissions, the share of LEV within the fleet directly affects the emissio</w:t>
      </w:r>
      <w:r>
        <w:rPr>
          <w:noProof/>
        </w:rPr>
        <w:t>n reductions needed for the other vehicle types. Therefore, the impacts of the options concerning the LEV incentives cannot be considered in isolation from those regarding the EU-wide fleet CO</w:t>
      </w:r>
      <w:r>
        <w:rPr>
          <w:noProof/>
          <w:vertAlign w:val="subscript"/>
        </w:rPr>
        <w:t>2</w:t>
      </w:r>
      <w:r>
        <w:rPr>
          <w:noProof/>
        </w:rPr>
        <w:t xml:space="preserve"> target. This is why in this Section the impacts are shown for </w:t>
      </w:r>
      <w:r>
        <w:rPr>
          <w:noProof/>
        </w:rPr>
        <w:t>the different LEVD/LEVT options in combination with the TLC/TLV options. In order to keep the number of combinations manageable, only some of the TLC/TLV options were selected, reflecting a range of fleet-wide CO</w:t>
      </w:r>
      <w:r>
        <w:rPr>
          <w:noProof/>
          <w:vertAlign w:val="subscript"/>
        </w:rPr>
        <w:t>2</w:t>
      </w:r>
      <w:r>
        <w:rPr>
          <w:noProof/>
        </w:rPr>
        <w:t xml:space="preserve"> target levels. </w:t>
      </w:r>
    </w:p>
    <w:p w:rsidR="001A26B0" w:rsidRDefault="00E33A99">
      <w:pPr>
        <w:spacing w:after="120"/>
        <w:rPr>
          <w:noProof/>
        </w:rPr>
      </w:pPr>
      <w:r>
        <w:rPr>
          <w:noProof/>
        </w:rPr>
        <w:t>It has been assumed that t</w:t>
      </w:r>
      <w:r>
        <w:rPr>
          <w:noProof/>
        </w:rPr>
        <w:t>he LEV incentive level set would be met by all manufacturers</w:t>
      </w:r>
      <w:r>
        <w:rPr>
          <w:rStyle w:val="FootnoteReference"/>
          <w:noProof/>
        </w:rPr>
        <w:footnoteReference w:id="190"/>
      </w:r>
      <w:r>
        <w:rPr>
          <w:noProof/>
        </w:rPr>
        <w:t>, both in case of a binding LEV target (option LEVT_MAND) and in case of a benchmark used in a crediting system (options LEVT_CRED). However, for option LEVT_CRED, it was also assessed how the im</w:t>
      </w:r>
      <w:r>
        <w:rPr>
          <w:noProof/>
        </w:rPr>
        <w:t xml:space="preserve">pacts would change in case the LEV benchmark would not be reached or would be overachieved. </w:t>
      </w:r>
    </w:p>
    <w:p w:rsidR="001A26B0" w:rsidRDefault="00E33A99">
      <w:pPr>
        <w:spacing w:after="120"/>
        <w:rPr>
          <w:noProof/>
        </w:rPr>
      </w:pPr>
      <w:r>
        <w:rPr>
          <w:noProof/>
        </w:rPr>
        <w:t>As described in Section 5.3.1, targeted LEV incentives would provide a clear pathway for the automotive sector and public authorities towards the development of an</w:t>
      </w:r>
      <w:r>
        <w:rPr>
          <w:noProof/>
        </w:rPr>
        <w:t xml:space="preserve"> EU market for these vehicles, thus fostering the required investments in vehicle technology and refuelling and recharging infrastructure. Starting from a rather low base, the accelerated uptake of LEV is expected to yield significant economies of scale, h</w:t>
      </w:r>
      <w:r>
        <w:rPr>
          <w:noProof/>
        </w:rPr>
        <w:t xml:space="preserve">ence bringing down vehicle costs and making LEV more attractive for consumers. Analysts project that the faster the market grows, the faster costs could come down (see references in Section 5.3.1). </w:t>
      </w:r>
    </w:p>
    <w:p w:rsidR="001A26B0" w:rsidRDefault="00E33A99">
      <w:pPr>
        <w:spacing w:after="120"/>
        <w:rPr>
          <w:noProof/>
        </w:rPr>
      </w:pPr>
      <w:r>
        <w:rPr>
          <w:noProof/>
        </w:rPr>
        <w:t>Therefore, the methodological approach reflects that cost</w:t>
      </w:r>
      <w:r>
        <w:rPr>
          <w:noProof/>
        </w:rPr>
        <w:t>s are correlated with deployment rates, and with additional enabling policies such as the provision of electric charging infrastructure (reducing range anxiety and enhancing consumer acceptance) and measures supporting the development of an industrial batt</w:t>
      </w:r>
      <w:r>
        <w:rPr>
          <w:noProof/>
        </w:rPr>
        <w:t xml:space="preserve">ery value chain. </w:t>
      </w:r>
    </w:p>
    <w:p w:rsidR="001A26B0" w:rsidRDefault="00E33A99">
      <w:pPr>
        <w:spacing w:after="120"/>
        <w:rPr>
          <w:noProof/>
        </w:rPr>
      </w:pPr>
      <w:r>
        <w:rPr>
          <w:noProof/>
        </w:rPr>
        <w:t>These effects have been captured in particular through the assumptions on the evolution of the battery costs, which are projected to decrease at a faster rate when regulatory LEV incentives are provided, thanks to the economies of scale a</w:t>
      </w:r>
      <w:r>
        <w:rPr>
          <w:noProof/>
        </w:rPr>
        <w:t xml:space="preserve">nd enhanced learning rates. </w:t>
      </w:r>
    </w:p>
    <w:p w:rsidR="001A26B0" w:rsidRDefault="00E33A99">
      <w:pPr>
        <w:spacing w:after="120"/>
        <w:rPr>
          <w:noProof/>
        </w:rPr>
      </w:pPr>
      <w:r>
        <w:rPr>
          <w:noProof/>
        </w:rPr>
        <w:t xml:space="preserve">As a consequence, the following technology cost assumptions were used for the analysis of the options in this Section (see also Section 6.3.2): </w:t>
      </w:r>
    </w:p>
    <w:p w:rsidR="001A26B0" w:rsidRDefault="00E33A99">
      <w:pPr>
        <w:pStyle w:val="ListParagraph"/>
        <w:numPr>
          <w:ilvl w:val="0"/>
          <w:numId w:val="30"/>
        </w:numPr>
        <w:spacing w:after="120"/>
        <w:contextualSpacing w:val="0"/>
        <w:rPr>
          <w:noProof/>
        </w:rPr>
      </w:pPr>
      <w:r>
        <w:rPr>
          <w:noProof/>
        </w:rPr>
        <w:t>"Medium": Medium costs for all technologies – this was used for option LEV0;</w:t>
      </w:r>
    </w:p>
    <w:p w:rsidR="001A26B0" w:rsidRDefault="00E33A99">
      <w:pPr>
        <w:pStyle w:val="ListParagraph"/>
        <w:numPr>
          <w:ilvl w:val="0"/>
          <w:numId w:val="30"/>
        </w:numPr>
        <w:spacing w:after="120"/>
        <w:contextualSpacing w:val="0"/>
        <w:rPr>
          <w:noProof/>
        </w:rPr>
      </w:pPr>
      <w:r>
        <w:rPr>
          <w:noProof/>
        </w:rPr>
        <w:t>"VLxE</w:t>
      </w:r>
      <w:r>
        <w:rPr>
          <w:noProof/>
        </w:rPr>
        <w:t xml:space="preserve">V": Very Low costs for EV, i.e. based on battery pack costs of around 100 EUR/kWh in 2025 and 65 EUR/kWh in 2030 and Medium costs for ICEV – this was used for options LEV%_A, LEV%_B and LEV%_C (see below). </w:t>
      </w:r>
    </w:p>
    <w:p w:rsidR="001A26B0" w:rsidRDefault="00E33A99">
      <w:pPr>
        <w:spacing w:after="120"/>
        <w:rPr>
          <w:noProof/>
        </w:rPr>
      </w:pPr>
      <w:r>
        <w:rPr>
          <w:noProof/>
        </w:rPr>
        <w:t>The assessment below does not include the cost of</w:t>
      </w:r>
      <w:r>
        <w:rPr>
          <w:noProof/>
        </w:rPr>
        <w:t xml:space="preserve"> the flanking measures to support the higher uptake of more efficient vehicles, in particular zero- and low-emission vehicles. Information on the costs for the alternative fuels infrastructure can be found in the Communication 'Towards the broadest use of </w:t>
      </w:r>
      <w:r>
        <w:rPr>
          <w:noProof/>
        </w:rPr>
        <w:t>alternative fuels - an Action Plan on Alternative Fuels Infrastructure'</w:t>
      </w:r>
      <w:r>
        <w:rPr>
          <w:rStyle w:val="FootnoteReference"/>
          <w:noProof/>
        </w:rPr>
        <w:footnoteReference w:id="191"/>
      </w:r>
      <w:r>
        <w:rPr>
          <w:noProof/>
        </w:rPr>
        <w:t>. The costs for EU-wide demand side measures (Clean Vehicles Directive, Eurovignette Directive) can be found in the respective Impact Assessment reports</w:t>
      </w:r>
      <w:r>
        <w:rPr>
          <w:rStyle w:val="FootnoteReference"/>
          <w:noProof/>
        </w:rPr>
        <w:footnoteReference w:id="192"/>
      </w:r>
      <w:r>
        <w:rPr>
          <w:noProof/>
        </w:rPr>
        <w:t>.</w:t>
      </w:r>
    </w:p>
    <w:p w:rsidR="001A26B0" w:rsidRDefault="00E33A99">
      <w:pPr>
        <w:pStyle w:val="Heading3"/>
        <w:rPr>
          <w:noProof/>
          <w:szCs w:val="24"/>
        </w:rPr>
      </w:pPr>
      <w:bookmarkStart w:id="580" w:name="_Toc496635625"/>
      <w:r>
        <w:rPr>
          <w:noProof/>
        </w:rPr>
        <w:t xml:space="preserve">Passenger cars: </w:t>
      </w:r>
      <w:bookmarkStart w:id="581" w:name="_Toc493797457"/>
      <w:bookmarkStart w:id="582" w:name="_Ref493842850"/>
      <w:r>
        <w:rPr>
          <w:noProof/>
          <w:szCs w:val="24"/>
        </w:rPr>
        <w:t>assessment of</w:t>
      </w:r>
      <w:r>
        <w:rPr>
          <w:noProof/>
          <w:szCs w:val="24"/>
        </w:rPr>
        <w:t xml:space="preserve"> options with additional incentives for low-emission vehicles</w:t>
      </w:r>
      <w:bookmarkEnd w:id="581"/>
      <w:bookmarkEnd w:id="582"/>
      <w:bookmarkEnd w:id="580"/>
    </w:p>
    <w:p w:rsidR="001A26B0" w:rsidRDefault="00E33A99">
      <w:pPr>
        <w:spacing w:after="120"/>
        <w:rPr>
          <w:noProof/>
          <w:szCs w:val="24"/>
        </w:rPr>
      </w:pPr>
      <w:r>
        <w:rPr>
          <w:noProof/>
          <w:szCs w:val="24"/>
        </w:rPr>
        <w:t xml:space="preserve">In order to accelerate the sales of the most advanced low emission vehicles in the EU, additional incentives can be set. As part of an industrial policy an additional strong market signal could </w:t>
      </w:r>
      <w:r>
        <w:rPr>
          <w:noProof/>
          <w:szCs w:val="24"/>
        </w:rPr>
        <w:t>be sent to consumers and manufacturers. This would increase uptake and allow industry and consumers to reap economies of scale.</w:t>
      </w:r>
    </w:p>
    <w:bookmarkStart w:id="583" w:name="_Ref493256579"/>
    <w:p w:rsidR="001A26B0" w:rsidRDefault="00E33A99">
      <w:pPr>
        <w:spacing w:after="120"/>
        <w:rPr>
          <w:noProof/>
          <w:szCs w:val="24"/>
        </w:rPr>
      </w:pPr>
      <w:r>
        <w:rPr>
          <w:noProof/>
          <w:szCs w:val="24"/>
        </w:rPr>
        <w:fldChar w:fldCharType="begin"/>
      </w:r>
      <w:r>
        <w:rPr>
          <w:noProof/>
          <w:szCs w:val="24"/>
        </w:rPr>
        <w:instrText xml:space="preserve"> REF _Ref493840997 \h  \* MERGEFORMAT </w:instrText>
      </w:r>
      <w:r>
        <w:rPr>
          <w:noProof/>
          <w:szCs w:val="24"/>
        </w:rPr>
      </w:r>
      <w:r>
        <w:rPr>
          <w:noProof/>
          <w:szCs w:val="24"/>
        </w:rPr>
        <w:fldChar w:fldCharType="separate"/>
      </w:r>
      <w:r>
        <w:rPr>
          <w:noProof/>
          <w:szCs w:val="24"/>
        </w:rPr>
        <w:t>Table 37</w:t>
      </w:r>
      <w:r>
        <w:rPr>
          <w:noProof/>
          <w:szCs w:val="24"/>
        </w:rPr>
        <w:fldChar w:fldCharType="end"/>
      </w:r>
      <w:r>
        <w:rPr>
          <w:noProof/>
          <w:szCs w:val="24"/>
        </w:rPr>
        <w:t xml:space="preserve"> shows in the first column (option LEV0) that without an additional market signal the share of LEV in the new passenger car fleet would only be determined by the EU-wide CO</w:t>
      </w:r>
      <w:r>
        <w:rPr>
          <w:noProof/>
          <w:szCs w:val="24"/>
          <w:vertAlign w:val="subscript"/>
        </w:rPr>
        <w:t>2</w:t>
      </w:r>
      <w:r>
        <w:rPr>
          <w:noProof/>
          <w:szCs w:val="24"/>
        </w:rPr>
        <w:t xml:space="preserve"> target. For example, in 2025, the ZEV share would range between 5% and 7 % increas</w:t>
      </w:r>
      <w:r>
        <w:rPr>
          <w:noProof/>
          <w:szCs w:val="24"/>
        </w:rPr>
        <w:t>ing with the CO</w:t>
      </w:r>
      <w:r>
        <w:rPr>
          <w:noProof/>
          <w:szCs w:val="24"/>
          <w:vertAlign w:val="subscript"/>
        </w:rPr>
        <w:t>2</w:t>
      </w:r>
      <w:r>
        <w:rPr>
          <w:noProof/>
          <w:szCs w:val="24"/>
        </w:rPr>
        <w:t xml:space="preserve"> target level as already highlighted in Section 6.3.2.</w:t>
      </w:r>
    </w:p>
    <w:p w:rsidR="001A26B0" w:rsidRDefault="00E33A99">
      <w:pPr>
        <w:spacing w:after="120"/>
        <w:rPr>
          <w:noProof/>
          <w:szCs w:val="24"/>
        </w:rPr>
      </w:pPr>
      <w:r>
        <w:rPr>
          <w:noProof/>
          <w:szCs w:val="24"/>
        </w:rPr>
        <w:t>It should be noted that a low emission vehicle is defined differently across the three options LEVD_ZEV, LEVD_25 and LEVD_50, i.e. the LEV shares cannot be directly compared between tho</w:t>
      </w:r>
      <w:r>
        <w:rPr>
          <w:noProof/>
          <w:szCs w:val="24"/>
        </w:rPr>
        <w:t>se three options because of the different coverage of vehicle types</w:t>
      </w:r>
      <w:r>
        <w:rPr>
          <w:rStyle w:val="FootnoteReference"/>
          <w:noProof/>
          <w:szCs w:val="24"/>
        </w:rPr>
        <w:footnoteReference w:id="193"/>
      </w:r>
      <w:r>
        <w:rPr>
          <w:noProof/>
          <w:szCs w:val="24"/>
        </w:rPr>
        <w:t>.</w:t>
      </w:r>
    </w:p>
    <w:bookmarkStart w:id="584" w:name="_Ref493616662"/>
    <w:bookmarkEnd w:id="583"/>
    <w:p w:rsidR="001A26B0" w:rsidRDefault="00E33A99">
      <w:pPr>
        <w:spacing w:after="120"/>
        <w:rPr>
          <w:noProof/>
          <w:szCs w:val="24"/>
        </w:rPr>
      </w:pPr>
      <w:r>
        <w:rPr>
          <w:noProof/>
          <w:szCs w:val="24"/>
        </w:rPr>
        <w:fldChar w:fldCharType="begin"/>
      </w:r>
      <w:r>
        <w:rPr>
          <w:noProof/>
          <w:szCs w:val="24"/>
        </w:rPr>
        <w:instrText xml:space="preserve"> REF _Ref493840997 \h  \* MERGEFORMAT </w:instrText>
      </w:r>
      <w:r>
        <w:rPr>
          <w:noProof/>
          <w:szCs w:val="24"/>
        </w:rPr>
      </w:r>
      <w:r>
        <w:rPr>
          <w:noProof/>
          <w:szCs w:val="24"/>
        </w:rPr>
        <w:fldChar w:fldCharType="separate"/>
      </w:r>
      <w:r>
        <w:rPr>
          <w:noProof/>
          <w:szCs w:val="24"/>
        </w:rPr>
        <w:t>Table 37</w:t>
      </w:r>
      <w:r>
        <w:rPr>
          <w:noProof/>
          <w:szCs w:val="24"/>
        </w:rPr>
        <w:fldChar w:fldCharType="end"/>
      </w:r>
      <w:r>
        <w:rPr>
          <w:noProof/>
          <w:szCs w:val="24"/>
        </w:rPr>
        <w:t xml:space="preserve"> also shows the different LEV mandate or benchmark levels for the years </w:t>
      </w:r>
      <w:r>
        <w:rPr>
          <w:noProof/>
          <w:szCs w:val="24"/>
        </w:rPr>
        <w:t>2025 and 2030. For example, for zero emission vehicles (ZEV) sales would be raised to 10%, 15% or 20% in 2025, and to 15%, 20% or 25% in 2030.</w:t>
      </w:r>
    </w:p>
    <w:p w:rsidR="001A26B0" w:rsidRDefault="00E33A99">
      <w:pPr>
        <w:spacing w:after="120"/>
        <w:rPr>
          <w:noProof/>
          <w:szCs w:val="24"/>
        </w:rPr>
      </w:pPr>
      <w:r>
        <w:rPr>
          <w:noProof/>
          <w:szCs w:val="24"/>
        </w:rPr>
        <w:t>It can be seen that LEV mandate or benchmark levels were selected as an incremental increase in the order of arou</w:t>
      </w:r>
      <w:r>
        <w:rPr>
          <w:noProof/>
          <w:szCs w:val="24"/>
        </w:rPr>
        <w:t xml:space="preserve">nd 5% from the LEV0 fleet shares, which broadly mirrors the recent announcements by many EU manufacturers as regards their expected LEV uptake for the coming decade (see </w:t>
      </w:r>
      <w:r>
        <w:rPr>
          <w:noProof/>
          <w:szCs w:val="24"/>
        </w:rPr>
        <w:fldChar w:fldCharType="begin"/>
      </w:r>
      <w:r>
        <w:rPr>
          <w:noProof/>
          <w:szCs w:val="24"/>
        </w:rPr>
        <w:instrText xml:space="preserve"> REF _Ref492484382 \h  \* MERGEFORMAT </w:instrText>
      </w:r>
      <w:r>
        <w:rPr>
          <w:noProof/>
          <w:szCs w:val="24"/>
        </w:rPr>
      </w:r>
      <w:r>
        <w:rPr>
          <w:noProof/>
          <w:szCs w:val="24"/>
        </w:rPr>
        <w:fldChar w:fldCharType="separate"/>
      </w:r>
      <w:r>
        <w:rPr>
          <w:noProof/>
          <w:szCs w:val="24"/>
        </w:rPr>
        <w:t>Table 4</w:t>
      </w:r>
      <w:r>
        <w:rPr>
          <w:noProof/>
          <w:szCs w:val="24"/>
        </w:rPr>
        <w:fldChar w:fldCharType="end"/>
      </w:r>
      <w:r>
        <w:rPr>
          <w:noProof/>
          <w:szCs w:val="24"/>
        </w:rPr>
        <w:t xml:space="preserve"> in Section 5.3.1).</w:t>
      </w:r>
    </w:p>
    <w:p w:rsidR="001A26B0" w:rsidRDefault="00E33A99">
      <w:pPr>
        <w:spacing w:after="120"/>
        <w:rPr>
          <w:b/>
          <w:noProof/>
          <w:szCs w:val="24"/>
        </w:rPr>
      </w:pPr>
      <w:bookmarkStart w:id="585" w:name="_Ref493840997"/>
      <w:r>
        <w:rPr>
          <w:b/>
          <w:noProof/>
          <w:szCs w:val="24"/>
        </w:rPr>
        <w:t xml:space="preserve">Table </w:t>
      </w:r>
      <w:r>
        <w:rPr>
          <w:b/>
          <w:noProof/>
          <w:szCs w:val="24"/>
        </w:rPr>
        <w:fldChar w:fldCharType="begin"/>
      </w:r>
      <w:r>
        <w:rPr>
          <w:b/>
          <w:noProof/>
          <w:szCs w:val="24"/>
        </w:rPr>
        <w:instrText xml:space="preserve"> SEQ Table \* ARABIC </w:instrText>
      </w:r>
      <w:r>
        <w:rPr>
          <w:b/>
          <w:noProof/>
          <w:szCs w:val="24"/>
        </w:rPr>
        <w:fldChar w:fldCharType="separate"/>
      </w:r>
      <w:r>
        <w:rPr>
          <w:b/>
          <w:noProof/>
          <w:szCs w:val="24"/>
        </w:rPr>
        <w:t>37</w:t>
      </w:r>
      <w:r>
        <w:rPr>
          <w:b/>
          <w:noProof/>
          <w:szCs w:val="24"/>
        </w:rPr>
        <w:fldChar w:fldCharType="end"/>
      </w:r>
      <w:bookmarkEnd w:id="584"/>
      <w:bookmarkEnd w:id="585"/>
      <w:r>
        <w:rPr>
          <w:b/>
          <w:noProof/>
          <w:szCs w:val="24"/>
        </w:rPr>
        <w:t>: Overview of the share (%) of LEV in the new car fleet in 2025 and 2030 when no LEV incentive is applied (LEV0) and with three different LEV mandates/benchmarks in 2025 and 2030</w:t>
      </w:r>
      <w:r>
        <w:rPr>
          <w:b/>
          <w:noProof/>
          <w:szCs w:val="24"/>
        </w:rPr>
        <w:t xml:space="preserve"> for different combinations of LEV definitions (LEVD) and CO</w:t>
      </w:r>
      <w:r>
        <w:rPr>
          <w:b/>
          <w:noProof/>
          <w:szCs w:val="24"/>
          <w:vertAlign w:val="subscript"/>
        </w:rPr>
        <w:t>2</w:t>
      </w:r>
      <w:r>
        <w:rPr>
          <w:b/>
          <w:noProof/>
          <w:szCs w:val="24"/>
        </w:rPr>
        <w:t xml:space="preserve"> target levels (TLC)</w:t>
      </w:r>
    </w:p>
    <w:tbl>
      <w:tblPr>
        <w:tblStyle w:val="TableGrid"/>
        <w:tblW w:w="0" w:type="auto"/>
        <w:tblLayout w:type="fixed"/>
        <w:tblLook w:val="04A0" w:firstRow="1" w:lastRow="0" w:firstColumn="1" w:lastColumn="0" w:noHBand="0" w:noVBand="1"/>
      </w:tblPr>
      <w:tblGrid>
        <w:gridCol w:w="1199"/>
        <w:gridCol w:w="708"/>
        <w:gridCol w:w="1039"/>
        <w:gridCol w:w="1029"/>
        <w:gridCol w:w="1039"/>
        <w:gridCol w:w="708"/>
        <w:gridCol w:w="1039"/>
        <w:gridCol w:w="1029"/>
        <w:gridCol w:w="1039"/>
      </w:tblGrid>
      <w:tr w:rsidR="001A26B0">
        <w:tc>
          <w:tcPr>
            <w:tcW w:w="1199" w:type="dxa"/>
            <w:vMerge w:val="restart"/>
            <w:vAlign w:val="center"/>
          </w:tcPr>
          <w:p w:rsidR="001A26B0" w:rsidRDefault="00E33A99">
            <w:pPr>
              <w:spacing w:before="60" w:after="60"/>
              <w:jc w:val="left"/>
              <w:rPr>
                <w:b/>
                <w:noProof/>
                <w:sz w:val="18"/>
                <w:szCs w:val="18"/>
              </w:rPr>
            </w:pPr>
            <w:bookmarkStart w:id="586" w:name="_Ref491957580"/>
            <w:r>
              <w:rPr>
                <w:b/>
                <w:i/>
                <w:noProof/>
                <w:sz w:val="18"/>
                <w:szCs w:val="18"/>
                <w:lang w:eastAsia="en-GB"/>
              </w:rPr>
              <w:t>LEVD_ZEV</w:t>
            </w:r>
          </w:p>
        </w:tc>
        <w:tc>
          <w:tcPr>
            <w:tcW w:w="3815" w:type="dxa"/>
            <w:gridSpan w:val="4"/>
          </w:tcPr>
          <w:p w:rsidR="001A26B0" w:rsidRDefault="00E33A99">
            <w:pPr>
              <w:spacing w:before="60" w:after="60"/>
              <w:jc w:val="center"/>
              <w:rPr>
                <w:b/>
                <w:noProof/>
                <w:sz w:val="18"/>
                <w:szCs w:val="18"/>
              </w:rPr>
            </w:pPr>
            <w:r>
              <w:rPr>
                <w:b/>
                <w:noProof/>
                <w:sz w:val="18"/>
                <w:szCs w:val="18"/>
              </w:rPr>
              <w:t>2025</w:t>
            </w:r>
          </w:p>
        </w:tc>
        <w:tc>
          <w:tcPr>
            <w:tcW w:w="3815" w:type="dxa"/>
            <w:gridSpan w:val="4"/>
          </w:tcPr>
          <w:p w:rsidR="001A26B0" w:rsidRDefault="00E33A99">
            <w:pPr>
              <w:spacing w:before="60" w:after="60"/>
              <w:jc w:val="center"/>
              <w:rPr>
                <w:b/>
                <w:noProof/>
                <w:sz w:val="18"/>
                <w:szCs w:val="18"/>
              </w:rPr>
            </w:pPr>
            <w:r>
              <w:rPr>
                <w:b/>
                <w:noProof/>
                <w:sz w:val="18"/>
                <w:szCs w:val="18"/>
              </w:rPr>
              <w:t>2030</w:t>
            </w:r>
          </w:p>
        </w:tc>
      </w:tr>
      <w:tr w:rsidR="001A26B0">
        <w:tc>
          <w:tcPr>
            <w:tcW w:w="1199" w:type="dxa"/>
            <w:vMerge/>
          </w:tcPr>
          <w:p w:rsidR="001A26B0" w:rsidRDefault="001A26B0">
            <w:pPr>
              <w:spacing w:before="60" w:after="60"/>
              <w:rPr>
                <w:b/>
                <w:noProof/>
                <w:sz w:val="18"/>
                <w:szCs w:val="18"/>
              </w:rPr>
            </w:pPr>
          </w:p>
        </w:tc>
        <w:tc>
          <w:tcPr>
            <w:tcW w:w="708" w:type="dxa"/>
          </w:tcPr>
          <w:p w:rsidR="001A26B0" w:rsidRDefault="00E33A99">
            <w:pPr>
              <w:spacing w:before="60" w:after="60"/>
              <w:jc w:val="center"/>
              <w:rPr>
                <w:b/>
                <w:noProof/>
                <w:sz w:val="18"/>
                <w:szCs w:val="18"/>
              </w:rPr>
            </w:pPr>
            <w:r>
              <w:rPr>
                <w:b/>
                <w:noProof/>
                <w:sz w:val="18"/>
                <w:szCs w:val="18"/>
              </w:rPr>
              <w:t>LEV0</w:t>
            </w:r>
          </w:p>
        </w:tc>
        <w:tc>
          <w:tcPr>
            <w:tcW w:w="1039" w:type="dxa"/>
          </w:tcPr>
          <w:p w:rsidR="001A26B0" w:rsidRDefault="00E33A99">
            <w:pPr>
              <w:spacing w:before="60" w:after="60"/>
              <w:jc w:val="center"/>
              <w:rPr>
                <w:b/>
                <w:noProof/>
                <w:sz w:val="18"/>
                <w:szCs w:val="18"/>
              </w:rPr>
            </w:pPr>
            <w:r>
              <w:rPr>
                <w:b/>
                <w:noProof/>
                <w:sz w:val="18"/>
                <w:szCs w:val="18"/>
              </w:rPr>
              <w:t>LEV%_A</w:t>
            </w:r>
          </w:p>
        </w:tc>
        <w:tc>
          <w:tcPr>
            <w:tcW w:w="1029" w:type="dxa"/>
          </w:tcPr>
          <w:p w:rsidR="001A26B0" w:rsidRDefault="00E33A99">
            <w:pPr>
              <w:spacing w:before="60" w:after="60"/>
              <w:jc w:val="center"/>
              <w:rPr>
                <w:b/>
                <w:noProof/>
                <w:sz w:val="18"/>
                <w:szCs w:val="18"/>
              </w:rPr>
            </w:pPr>
            <w:r>
              <w:rPr>
                <w:b/>
                <w:noProof/>
                <w:sz w:val="18"/>
                <w:szCs w:val="18"/>
              </w:rPr>
              <w:t>LEV%_B</w:t>
            </w:r>
          </w:p>
        </w:tc>
        <w:tc>
          <w:tcPr>
            <w:tcW w:w="1039" w:type="dxa"/>
          </w:tcPr>
          <w:p w:rsidR="001A26B0" w:rsidRDefault="00E33A99">
            <w:pPr>
              <w:spacing w:before="60" w:after="60"/>
              <w:jc w:val="center"/>
              <w:rPr>
                <w:b/>
                <w:noProof/>
                <w:sz w:val="18"/>
                <w:szCs w:val="18"/>
              </w:rPr>
            </w:pPr>
            <w:r>
              <w:rPr>
                <w:b/>
                <w:noProof/>
                <w:sz w:val="18"/>
                <w:szCs w:val="18"/>
              </w:rPr>
              <w:t>LEV%_C</w:t>
            </w:r>
          </w:p>
        </w:tc>
        <w:tc>
          <w:tcPr>
            <w:tcW w:w="708" w:type="dxa"/>
          </w:tcPr>
          <w:p w:rsidR="001A26B0" w:rsidRDefault="00E33A99">
            <w:pPr>
              <w:spacing w:before="60" w:after="60"/>
              <w:jc w:val="center"/>
              <w:rPr>
                <w:b/>
                <w:noProof/>
                <w:sz w:val="18"/>
                <w:szCs w:val="18"/>
              </w:rPr>
            </w:pPr>
            <w:r>
              <w:rPr>
                <w:b/>
                <w:noProof/>
                <w:sz w:val="18"/>
                <w:szCs w:val="18"/>
              </w:rPr>
              <w:t>LEV0</w:t>
            </w:r>
          </w:p>
        </w:tc>
        <w:tc>
          <w:tcPr>
            <w:tcW w:w="1039" w:type="dxa"/>
          </w:tcPr>
          <w:p w:rsidR="001A26B0" w:rsidRDefault="00E33A99">
            <w:pPr>
              <w:spacing w:before="60" w:after="60"/>
              <w:jc w:val="center"/>
              <w:rPr>
                <w:b/>
                <w:noProof/>
                <w:sz w:val="18"/>
                <w:szCs w:val="18"/>
              </w:rPr>
            </w:pPr>
            <w:r>
              <w:rPr>
                <w:b/>
                <w:noProof/>
                <w:sz w:val="18"/>
                <w:szCs w:val="18"/>
              </w:rPr>
              <w:t>LEV%_A</w:t>
            </w:r>
          </w:p>
        </w:tc>
        <w:tc>
          <w:tcPr>
            <w:tcW w:w="1029" w:type="dxa"/>
          </w:tcPr>
          <w:p w:rsidR="001A26B0" w:rsidRDefault="00E33A99">
            <w:pPr>
              <w:spacing w:before="60" w:after="60"/>
              <w:jc w:val="center"/>
              <w:rPr>
                <w:b/>
                <w:noProof/>
                <w:sz w:val="18"/>
                <w:szCs w:val="18"/>
              </w:rPr>
            </w:pPr>
            <w:r>
              <w:rPr>
                <w:b/>
                <w:noProof/>
                <w:sz w:val="18"/>
                <w:szCs w:val="18"/>
              </w:rPr>
              <w:t>LEV%_B</w:t>
            </w:r>
          </w:p>
        </w:tc>
        <w:tc>
          <w:tcPr>
            <w:tcW w:w="1039" w:type="dxa"/>
          </w:tcPr>
          <w:p w:rsidR="001A26B0" w:rsidRDefault="00E33A99">
            <w:pPr>
              <w:spacing w:before="60" w:after="60"/>
              <w:jc w:val="center"/>
              <w:rPr>
                <w:b/>
                <w:noProof/>
                <w:sz w:val="18"/>
                <w:szCs w:val="18"/>
              </w:rPr>
            </w:pPr>
            <w:r>
              <w:rPr>
                <w:b/>
                <w:noProof/>
                <w:sz w:val="18"/>
                <w:szCs w:val="18"/>
              </w:rPr>
              <w:t>LEV%_C</w:t>
            </w:r>
          </w:p>
        </w:tc>
      </w:tr>
      <w:tr w:rsidR="001A26B0">
        <w:tc>
          <w:tcPr>
            <w:tcW w:w="1199" w:type="dxa"/>
          </w:tcPr>
          <w:p w:rsidR="001A26B0" w:rsidRDefault="00E33A99">
            <w:pPr>
              <w:spacing w:before="60" w:after="60"/>
              <w:rPr>
                <w:noProof/>
                <w:sz w:val="18"/>
                <w:szCs w:val="18"/>
              </w:rPr>
            </w:pPr>
            <w:r>
              <w:rPr>
                <w:noProof/>
                <w:sz w:val="18"/>
                <w:szCs w:val="18"/>
              </w:rPr>
              <w:t>TLC20</w:t>
            </w:r>
          </w:p>
        </w:tc>
        <w:tc>
          <w:tcPr>
            <w:tcW w:w="708" w:type="dxa"/>
            <w:vAlign w:val="center"/>
          </w:tcPr>
          <w:p w:rsidR="001A26B0" w:rsidRDefault="00E33A99">
            <w:pPr>
              <w:spacing w:before="60" w:after="60"/>
              <w:jc w:val="center"/>
              <w:rPr>
                <w:noProof/>
                <w:sz w:val="18"/>
                <w:szCs w:val="18"/>
              </w:rPr>
            </w:pPr>
            <w:r>
              <w:rPr>
                <w:noProof/>
                <w:color w:val="000000"/>
                <w:sz w:val="18"/>
                <w:szCs w:val="18"/>
                <w:lang w:eastAsia="en-GB"/>
              </w:rPr>
              <w:t>5%</w:t>
            </w:r>
          </w:p>
        </w:tc>
        <w:tc>
          <w:tcPr>
            <w:tcW w:w="1039" w:type="dxa"/>
            <w:vMerge w:val="restart"/>
            <w:vAlign w:val="center"/>
          </w:tcPr>
          <w:p w:rsidR="001A26B0" w:rsidRDefault="00E33A99">
            <w:pPr>
              <w:spacing w:before="60" w:after="60"/>
              <w:jc w:val="center"/>
              <w:rPr>
                <w:noProof/>
                <w:sz w:val="18"/>
                <w:szCs w:val="18"/>
              </w:rPr>
            </w:pPr>
            <w:r>
              <w:rPr>
                <w:noProof/>
                <w:color w:val="000000"/>
                <w:sz w:val="18"/>
                <w:szCs w:val="18"/>
                <w:lang w:eastAsia="en-GB"/>
              </w:rPr>
              <w:t>10%</w:t>
            </w:r>
          </w:p>
        </w:tc>
        <w:tc>
          <w:tcPr>
            <w:tcW w:w="1029" w:type="dxa"/>
            <w:vMerge w:val="restart"/>
            <w:vAlign w:val="center"/>
          </w:tcPr>
          <w:p w:rsidR="001A26B0" w:rsidRDefault="00E33A99">
            <w:pPr>
              <w:spacing w:before="60" w:after="60"/>
              <w:jc w:val="center"/>
              <w:rPr>
                <w:noProof/>
                <w:sz w:val="18"/>
                <w:szCs w:val="18"/>
              </w:rPr>
            </w:pPr>
            <w:r>
              <w:rPr>
                <w:noProof/>
                <w:color w:val="000000"/>
                <w:sz w:val="18"/>
                <w:szCs w:val="18"/>
                <w:lang w:eastAsia="en-GB"/>
              </w:rPr>
              <w:t>15%</w:t>
            </w:r>
          </w:p>
        </w:tc>
        <w:tc>
          <w:tcPr>
            <w:tcW w:w="1039" w:type="dxa"/>
            <w:vMerge w:val="restart"/>
            <w:vAlign w:val="center"/>
          </w:tcPr>
          <w:p w:rsidR="001A26B0" w:rsidRDefault="00E33A99">
            <w:pPr>
              <w:spacing w:before="60" w:after="60"/>
              <w:jc w:val="center"/>
              <w:rPr>
                <w:noProof/>
                <w:color w:val="000000"/>
                <w:sz w:val="18"/>
                <w:szCs w:val="18"/>
                <w:lang w:eastAsia="en-GB"/>
              </w:rPr>
            </w:pPr>
            <w:r>
              <w:rPr>
                <w:noProof/>
                <w:color w:val="000000"/>
                <w:sz w:val="18"/>
                <w:szCs w:val="18"/>
                <w:lang w:eastAsia="en-GB"/>
              </w:rPr>
              <w:t>20%</w:t>
            </w:r>
          </w:p>
        </w:tc>
        <w:tc>
          <w:tcPr>
            <w:tcW w:w="708" w:type="dxa"/>
            <w:vAlign w:val="center"/>
          </w:tcPr>
          <w:p w:rsidR="001A26B0" w:rsidRDefault="00E33A99">
            <w:pPr>
              <w:spacing w:before="60" w:after="60"/>
              <w:jc w:val="center"/>
              <w:rPr>
                <w:noProof/>
                <w:sz w:val="18"/>
                <w:szCs w:val="18"/>
              </w:rPr>
            </w:pPr>
            <w:r>
              <w:rPr>
                <w:noProof/>
                <w:color w:val="000000"/>
                <w:sz w:val="18"/>
                <w:szCs w:val="18"/>
                <w:lang w:eastAsia="en-GB"/>
              </w:rPr>
              <w:t>8%</w:t>
            </w:r>
          </w:p>
        </w:tc>
        <w:tc>
          <w:tcPr>
            <w:tcW w:w="1039" w:type="dxa"/>
            <w:vMerge w:val="restart"/>
            <w:vAlign w:val="center"/>
          </w:tcPr>
          <w:p w:rsidR="001A26B0" w:rsidRDefault="00E33A99">
            <w:pPr>
              <w:spacing w:before="60" w:after="60"/>
              <w:jc w:val="center"/>
              <w:rPr>
                <w:noProof/>
                <w:sz w:val="18"/>
                <w:szCs w:val="18"/>
              </w:rPr>
            </w:pPr>
            <w:r>
              <w:rPr>
                <w:noProof/>
                <w:color w:val="000000"/>
                <w:sz w:val="18"/>
                <w:szCs w:val="18"/>
                <w:lang w:eastAsia="en-GB"/>
              </w:rPr>
              <w:t>15%</w:t>
            </w:r>
          </w:p>
        </w:tc>
        <w:tc>
          <w:tcPr>
            <w:tcW w:w="1029" w:type="dxa"/>
            <w:vMerge w:val="restart"/>
            <w:vAlign w:val="center"/>
          </w:tcPr>
          <w:p w:rsidR="001A26B0" w:rsidRDefault="00E33A99">
            <w:pPr>
              <w:spacing w:before="60" w:after="60"/>
              <w:jc w:val="center"/>
              <w:rPr>
                <w:noProof/>
                <w:sz w:val="18"/>
                <w:szCs w:val="18"/>
              </w:rPr>
            </w:pPr>
            <w:r>
              <w:rPr>
                <w:noProof/>
                <w:color w:val="000000"/>
                <w:sz w:val="18"/>
                <w:szCs w:val="18"/>
                <w:lang w:eastAsia="en-GB"/>
              </w:rPr>
              <w:t>20%</w:t>
            </w:r>
          </w:p>
        </w:tc>
        <w:tc>
          <w:tcPr>
            <w:tcW w:w="1039" w:type="dxa"/>
            <w:vMerge w:val="restart"/>
            <w:vAlign w:val="center"/>
          </w:tcPr>
          <w:p w:rsidR="001A26B0" w:rsidRDefault="00E33A99">
            <w:pPr>
              <w:spacing w:before="60" w:after="60"/>
              <w:jc w:val="center"/>
              <w:rPr>
                <w:noProof/>
                <w:color w:val="000000"/>
                <w:sz w:val="18"/>
                <w:szCs w:val="18"/>
                <w:lang w:eastAsia="en-GB"/>
              </w:rPr>
            </w:pPr>
            <w:r>
              <w:rPr>
                <w:noProof/>
                <w:color w:val="000000"/>
                <w:sz w:val="18"/>
                <w:szCs w:val="18"/>
                <w:lang w:eastAsia="en-GB"/>
              </w:rPr>
              <w:t>25%</w:t>
            </w:r>
          </w:p>
        </w:tc>
      </w:tr>
      <w:tr w:rsidR="001A26B0">
        <w:tc>
          <w:tcPr>
            <w:tcW w:w="1199" w:type="dxa"/>
          </w:tcPr>
          <w:p w:rsidR="001A26B0" w:rsidRDefault="00E33A99">
            <w:pPr>
              <w:spacing w:before="60" w:after="60"/>
              <w:rPr>
                <w:noProof/>
                <w:sz w:val="18"/>
                <w:szCs w:val="18"/>
              </w:rPr>
            </w:pPr>
            <w:r>
              <w:rPr>
                <w:noProof/>
                <w:sz w:val="18"/>
                <w:szCs w:val="18"/>
              </w:rPr>
              <w:t>TLC25</w:t>
            </w:r>
          </w:p>
        </w:tc>
        <w:tc>
          <w:tcPr>
            <w:tcW w:w="708" w:type="dxa"/>
            <w:vAlign w:val="center"/>
          </w:tcPr>
          <w:p w:rsidR="001A26B0" w:rsidRDefault="00E33A99">
            <w:pPr>
              <w:spacing w:before="60" w:after="60"/>
              <w:jc w:val="center"/>
              <w:rPr>
                <w:noProof/>
                <w:sz w:val="18"/>
                <w:szCs w:val="18"/>
              </w:rPr>
            </w:pPr>
            <w:r>
              <w:rPr>
                <w:noProof/>
                <w:sz w:val="18"/>
                <w:szCs w:val="18"/>
              </w:rPr>
              <w:t>5%</w:t>
            </w:r>
          </w:p>
        </w:tc>
        <w:tc>
          <w:tcPr>
            <w:tcW w:w="1039" w:type="dxa"/>
            <w:vMerge/>
          </w:tcPr>
          <w:p w:rsidR="001A26B0" w:rsidRDefault="001A26B0">
            <w:pPr>
              <w:spacing w:before="60" w:after="60"/>
              <w:jc w:val="center"/>
              <w:rPr>
                <w:noProof/>
                <w:sz w:val="18"/>
                <w:szCs w:val="18"/>
              </w:rPr>
            </w:pPr>
          </w:p>
        </w:tc>
        <w:tc>
          <w:tcPr>
            <w:tcW w:w="1029" w:type="dxa"/>
            <w:vMerge/>
          </w:tcPr>
          <w:p w:rsidR="001A26B0" w:rsidRDefault="001A26B0">
            <w:pPr>
              <w:spacing w:before="60" w:after="60"/>
              <w:jc w:val="center"/>
              <w:rPr>
                <w:noProof/>
                <w:sz w:val="18"/>
                <w:szCs w:val="18"/>
              </w:rPr>
            </w:pPr>
          </w:p>
        </w:tc>
        <w:tc>
          <w:tcPr>
            <w:tcW w:w="1039" w:type="dxa"/>
            <w:vMerge/>
          </w:tcPr>
          <w:p w:rsidR="001A26B0" w:rsidRDefault="001A26B0">
            <w:pPr>
              <w:spacing w:before="60" w:after="60"/>
              <w:jc w:val="center"/>
              <w:rPr>
                <w:noProof/>
                <w:sz w:val="18"/>
                <w:szCs w:val="18"/>
              </w:rPr>
            </w:pPr>
          </w:p>
        </w:tc>
        <w:tc>
          <w:tcPr>
            <w:tcW w:w="708" w:type="dxa"/>
            <w:vAlign w:val="center"/>
          </w:tcPr>
          <w:p w:rsidR="001A26B0" w:rsidRDefault="00E33A99">
            <w:pPr>
              <w:spacing w:before="60" w:after="60"/>
              <w:jc w:val="center"/>
              <w:rPr>
                <w:noProof/>
                <w:sz w:val="18"/>
                <w:szCs w:val="18"/>
              </w:rPr>
            </w:pPr>
            <w:r>
              <w:rPr>
                <w:noProof/>
                <w:sz w:val="18"/>
                <w:szCs w:val="18"/>
              </w:rPr>
              <w:t>8.5%</w:t>
            </w:r>
          </w:p>
        </w:tc>
        <w:tc>
          <w:tcPr>
            <w:tcW w:w="1039" w:type="dxa"/>
            <w:vMerge/>
          </w:tcPr>
          <w:p w:rsidR="001A26B0" w:rsidRDefault="001A26B0">
            <w:pPr>
              <w:spacing w:before="60" w:after="60"/>
              <w:jc w:val="center"/>
              <w:rPr>
                <w:noProof/>
                <w:sz w:val="18"/>
                <w:szCs w:val="18"/>
              </w:rPr>
            </w:pPr>
          </w:p>
        </w:tc>
        <w:tc>
          <w:tcPr>
            <w:tcW w:w="1029" w:type="dxa"/>
            <w:vMerge/>
          </w:tcPr>
          <w:p w:rsidR="001A26B0" w:rsidRDefault="001A26B0">
            <w:pPr>
              <w:spacing w:before="60" w:after="60"/>
              <w:jc w:val="center"/>
              <w:rPr>
                <w:noProof/>
                <w:sz w:val="18"/>
                <w:szCs w:val="18"/>
              </w:rPr>
            </w:pPr>
          </w:p>
        </w:tc>
        <w:tc>
          <w:tcPr>
            <w:tcW w:w="1039" w:type="dxa"/>
            <w:vMerge/>
          </w:tcPr>
          <w:p w:rsidR="001A26B0" w:rsidRDefault="001A26B0">
            <w:pPr>
              <w:spacing w:before="60" w:after="60"/>
              <w:jc w:val="center"/>
              <w:rPr>
                <w:noProof/>
                <w:sz w:val="18"/>
                <w:szCs w:val="18"/>
              </w:rPr>
            </w:pPr>
          </w:p>
        </w:tc>
      </w:tr>
      <w:tr w:rsidR="001A26B0">
        <w:tc>
          <w:tcPr>
            <w:tcW w:w="1199" w:type="dxa"/>
          </w:tcPr>
          <w:p w:rsidR="001A26B0" w:rsidRDefault="00E33A99">
            <w:pPr>
              <w:spacing w:before="60" w:after="60"/>
              <w:rPr>
                <w:noProof/>
                <w:sz w:val="18"/>
                <w:szCs w:val="18"/>
              </w:rPr>
            </w:pPr>
            <w:r>
              <w:rPr>
                <w:noProof/>
                <w:sz w:val="18"/>
                <w:szCs w:val="18"/>
              </w:rPr>
              <w:t>TLC30</w:t>
            </w:r>
          </w:p>
        </w:tc>
        <w:tc>
          <w:tcPr>
            <w:tcW w:w="708" w:type="dxa"/>
            <w:vAlign w:val="center"/>
          </w:tcPr>
          <w:p w:rsidR="001A26B0" w:rsidRDefault="00E33A99">
            <w:pPr>
              <w:spacing w:before="60" w:after="60"/>
              <w:jc w:val="center"/>
              <w:rPr>
                <w:noProof/>
                <w:sz w:val="18"/>
                <w:szCs w:val="18"/>
              </w:rPr>
            </w:pPr>
            <w:r>
              <w:rPr>
                <w:noProof/>
                <w:color w:val="000000"/>
                <w:sz w:val="18"/>
                <w:szCs w:val="18"/>
                <w:lang w:eastAsia="en-GB"/>
              </w:rPr>
              <w:t>5.5%</w:t>
            </w:r>
          </w:p>
        </w:tc>
        <w:tc>
          <w:tcPr>
            <w:tcW w:w="1039" w:type="dxa"/>
            <w:vMerge/>
          </w:tcPr>
          <w:p w:rsidR="001A26B0" w:rsidRDefault="001A26B0">
            <w:pPr>
              <w:spacing w:before="60" w:after="60"/>
              <w:jc w:val="center"/>
              <w:rPr>
                <w:noProof/>
                <w:sz w:val="18"/>
                <w:szCs w:val="18"/>
              </w:rPr>
            </w:pPr>
          </w:p>
        </w:tc>
        <w:tc>
          <w:tcPr>
            <w:tcW w:w="1029" w:type="dxa"/>
            <w:vMerge/>
          </w:tcPr>
          <w:p w:rsidR="001A26B0" w:rsidRDefault="001A26B0">
            <w:pPr>
              <w:spacing w:before="60" w:after="60"/>
              <w:jc w:val="center"/>
              <w:rPr>
                <w:noProof/>
                <w:sz w:val="18"/>
                <w:szCs w:val="18"/>
              </w:rPr>
            </w:pPr>
          </w:p>
        </w:tc>
        <w:tc>
          <w:tcPr>
            <w:tcW w:w="1039" w:type="dxa"/>
            <w:vMerge/>
          </w:tcPr>
          <w:p w:rsidR="001A26B0" w:rsidRDefault="001A26B0">
            <w:pPr>
              <w:spacing w:before="60" w:after="60"/>
              <w:jc w:val="center"/>
              <w:rPr>
                <w:noProof/>
                <w:color w:val="000000"/>
                <w:sz w:val="18"/>
                <w:szCs w:val="18"/>
                <w:lang w:eastAsia="en-GB"/>
              </w:rPr>
            </w:pPr>
          </w:p>
        </w:tc>
        <w:tc>
          <w:tcPr>
            <w:tcW w:w="708" w:type="dxa"/>
            <w:vAlign w:val="center"/>
          </w:tcPr>
          <w:p w:rsidR="001A26B0" w:rsidRDefault="00E33A99">
            <w:pPr>
              <w:spacing w:before="60" w:after="60"/>
              <w:jc w:val="center"/>
              <w:rPr>
                <w:noProof/>
                <w:sz w:val="18"/>
                <w:szCs w:val="18"/>
              </w:rPr>
            </w:pPr>
            <w:r>
              <w:rPr>
                <w:noProof/>
                <w:color w:val="000000"/>
                <w:sz w:val="18"/>
                <w:szCs w:val="18"/>
                <w:lang w:eastAsia="en-GB"/>
              </w:rPr>
              <w:t>9%</w:t>
            </w:r>
          </w:p>
        </w:tc>
        <w:tc>
          <w:tcPr>
            <w:tcW w:w="1039" w:type="dxa"/>
            <w:vMerge/>
          </w:tcPr>
          <w:p w:rsidR="001A26B0" w:rsidRDefault="001A26B0">
            <w:pPr>
              <w:spacing w:before="60" w:after="60"/>
              <w:jc w:val="center"/>
              <w:rPr>
                <w:noProof/>
                <w:sz w:val="18"/>
                <w:szCs w:val="18"/>
              </w:rPr>
            </w:pPr>
          </w:p>
        </w:tc>
        <w:tc>
          <w:tcPr>
            <w:tcW w:w="1029" w:type="dxa"/>
            <w:vMerge/>
          </w:tcPr>
          <w:p w:rsidR="001A26B0" w:rsidRDefault="001A26B0">
            <w:pPr>
              <w:spacing w:before="60" w:after="60"/>
              <w:jc w:val="center"/>
              <w:rPr>
                <w:noProof/>
                <w:sz w:val="18"/>
                <w:szCs w:val="18"/>
              </w:rPr>
            </w:pPr>
          </w:p>
        </w:tc>
        <w:tc>
          <w:tcPr>
            <w:tcW w:w="1039" w:type="dxa"/>
            <w:vMerge/>
          </w:tcPr>
          <w:p w:rsidR="001A26B0" w:rsidRDefault="001A26B0">
            <w:pPr>
              <w:spacing w:before="60" w:after="60"/>
              <w:jc w:val="center"/>
              <w:rPr>
                <w:noProof/>
                <w:sz w:val="18"/>
                <w:szCs w:val="18"/>
              </w:rPr>
            </w:pPr>
          </w:p>
        </w:tc>
      </w:tr>
      <w:tr w:rsidR="001A26B0">
        <w:tc>
          <w:tcPr>
            <w:tcW w:w="1199" w:type="dxa"/>
          </w:tcPr>
          <w:p w:rsidR="001A26B0" w:rsidRDefault="00E33A99">
            <w:pPr>
              <w:spacing w:before="60" w:after="60"/>
              <w:rPr>
                <w:noProof/>
                <w:sz w:val="18"/>
                <w:szCs w:val="18"/>
              </w:rPr>
            </w:pPr>
            <w:r>
              <w:rPr>
                <w:noProof/>
                <w:sz w:val="18"/>
                <w:szCs w:val="18"/>
              </w:rPr>
              <w:t>TLC40</w:t>
            </w:r>
          </w:p>
        </w:tc>
        <w:tc>
          <w:tcPr>
            <w:tcW w:w="708" w:type="dxa"/>
          </w:tcPr>
          <w:p w:rsidR="001A26B0" w:rsidRDefault="00E33A99">
            <w:pPr>
              <w:spacing w:before="60" w:after="60"/>
              <w:jc w:val="center"/>
              <w:rPr>
                <w:noProof/>
                <w:sz w:val="18"/>
                <w:szCs w:val="18"/>
              </w:rPr>
            </w:pPr>
            <w:r>
              <w:rPr>
                <w:noProof/>
                <w:color w:val="000000"/>
                <w:sz w:val="18"/>
                <w:szCs w:val="18"/>
                <w:lang w:eastAsia="en-GB"/>
              </w:rPr>
              <w:t>7%</w:t>
            </w:r>
          </w:p>
        </w:tc>
        <w:tc>
          <w:tcPr>
            <w:tcW w:w="1039" w:type="dxa"/>
            <w:vMerge/>
          </w:tcPr>
          <w:p w:rsidR="001A26B0" w:rsidRDefault="001A26B0">
            <w:pPr>
              <w:spacing w:before="60" w:after="60"/>
              <w:jc w:val="center"/>
              <w:rPr>
                <w:noProof/>
                <w:sz w:val="18"/>
                <w:szCs w:val="18"/>
              </w:rPr>
            </w:pPr>
          </w:p>
        </w:tc>
        <w:tc>
          <w:tcPr>
            <w:tcW w:w="1029" w:type="dxa"/>
            <w:vMerge/>
          </w:tcPr>
          <w:p w:rsidR="001A26B0" w:rsidRDefault="001A26B0">
            <w:pPr>
              <w:spacing w:before="60" w:after="60"/>
              <w:jc w:val="center"/>
              <w:rPr>
                <w:noProof/>
                <w:sz w:val="18"/>
                <w:szCs w:val="18"/>
              </w:rPr>
            </w:pPr>
          </w:p>
        </w:tc>
        <w:tc>
          <w:tcPr>
            <w:tcW w:w="1039" w:type="dxa"/>
            <w:vMerge/>
          </w:tcPr>
          <w:p w:rsidR="001A26B0" w:rsidRDefault="001A26B0">
            <w:pPr>
              <w:spacing w:before="60" w:after="60"/>
              <w:jc w:val="center"/>
              <w:rPr>
                <w:noProof/>
                <w:color w:val="000000"/>
                <w:sz w:val="18"/>
                <w:szCs w:val="18"/>
                <w:lang w:eastAsia="en-GB"/>
              </w:rPr>
            </w:pPr>
          </w:p>
        </w:tc>
        <w:tc>
          <w:tcPr>
            <w:tcW w:w="708" w:type="dxa"/>
          </w:tcPr>
          <w:p w:rsidR="001A26B0" w:rsidRDefault="00E33A99">
            <w:pPr>
              <w:spacing w:before="60" w:after="60"/>
              <w:jc w:val="center"/>
              <w:rPr>
                <w:noProof/>
                <w:sz w:val="18"/>
                <w:szCs w:val="18"/>
              </w:rPr>
            </w:pPr>
            <w:r>
              <w:rPr>
                <w:noProof/>
                <w:color w:val="000000"/>
                <w:sz w:val="18"/>
                <w:szCs w:val="18"/>
                <w:lang w:eastAsia="en-GB"/>
              </w:rPr>
              <w:t>12%</w:t>
            </w:r>
          </w:p>
        </w:tc>
        <w:tc>
          <w:tcPr>
            <w:tcW w:w="1039" w:type="dxa"/>
            <w:vMerge/>
          </w:tcPr>
          <w:p w:rsidR="001A26B0" w:rsidRDefault="001A26B0">
            <w:pPr>
              <w:spacing w:before="60" w:after="60"/>
              <w:jc w:val="center"/>
              <w:rPr>
                <w:noProof/>
                <w:sz w:val="18"/>
                <w:szCs w:val="18"/>
              </w:rPr>
            </w:pPr>
          </w:p>
        </w:tc>
        <w:tc>
          <w:tcPr>
            <w:tcW w:w="1029" w:type="dxa"/>
            <w:vMerge/>
          </w:tcPr>
          <w:p w:rsidR="001A26B0" w:rsidRDefault="001A26B0">
            <w:pPr>
              <w:spacing w:before="60" w:after="60"/>
              <w:jc w:val="center"/>
              <w:rPr>
                <w:noProof/>
                <w:sz w:val="18"/>
                <w:szCs w:val="18"/>
              </w:rPr>
            </w:pPr>
          </w:p>
        </w:tc>
        <w:tc>
          <w:tcPr>
            <w:tcW w:w="1039" w:type="dxa"/>
            <w:vMerge/>
          </w:tcPr>
          <w:p w:rsidR="001A26B0" w:rsidRDefault="001A26B0">
            <w:pPr>
              <w:spacing w:before="60" w:after="60"/>
              <w:jc w:val="center"/>
              <w:rPr>
                <w:noProof/>
                <w:sz w:val="18"/>
                <w:szCs w:val="18"/>
              </w:rPr>
            </w:pPr>
          </w:p>
        </w:tc>
      </w:tr>
    </w:tbl>
    <w:p w:rsidR="001A26B0" w:rsidRDefault="001A26B0">
      <w:pPr>
        <w:spacing w:before="60" w:after="60"/>
        <w:rPr>
          <w:noProof/>
          <w:sz w:val="18"/>
          <w:szCs w:val="18"/>
        </w:rPr>
      </w:pPr>
    </w:p>
    <w:tbl>
      <w:tblPr>
        <w:tblStyle w:val="TableGrid"/>
        <w:tblW w:w="5000" w:type="pct"/>
        <w:tblLook w:val="04A0" w:firstRow="1" w:lastRow="0" w:firstColumn="1" w:lastColumn="0" w:noHBand="0" w:noVBand="1"/>
      </w:tblPr>
      <w:tblGrid>
        <w:gridCol w:w="1241"/>
        <w:gridCol w:w="708"/>
        <w:gridCol w:w="1031"/>
        <w:gridCol w:w="1021"/>
        <w:gridCol w:w="1031"/>
        <w:gridCol w:w="712"/>
        <w:gridCol w:w="1031"/>
        <w:gridCol w:w="1021"/>
        <w:gridCol w:w="1033"/>
      </w:tblGrid>
      <w:tr w:rsidR="001A26B0">
        <w:tc>
          <w:tcPr>
            <w:tcW w:w="703" w:type="pct"/>
            <w:vMerge w:val="restart"/>
            <w:vAlign w:val="center"/>
          </w:tcPr>
          <w:p w:rsidR="001A26B0" w:rsidRDefault="00E33A99">
            <w:pPr>
              <w:spacing w:before="60" w:after="60"/>
              <w:jc w:val="left"/>
              <w:rPr>
                <w:b/>
                <w:noProof/>
                <w:sz w:val="18"/>
                <w:szCs w:val="18"/>
              </w:rPr>
            </w:pPr>
            <w:r>
              <w:rPr>
                <w:b/>
                <w:i/>
                <w:noProof/>
                <w:sz w:val="18"/>
                <w:szCs w:val="18"/>
                <w:lang w:eastAsia="en-GB"/>
              </w:rPr>
              <w:t>LEVD_25</w:t>
            </w:r>
          </w:p>
        </w:tc>
        <w:tc>
          <w:tcPr>
            <w:tcW w:w="2147" w:type="pct"/>
            <w:gridSpan w:val="4"/>
          </w:tcPr>
          <w:p w:rsidR="001A26B0" w:rsidRDefault="00E33A99">
            <w:pPr>
              <w:spacing w:before="60" w:after="60"/>
              <w:jc w:val="center"/>
              <w:rPr>
                <w:b/>
                <w:noProof/>
                <w:sz w:val="18"/>
                <w:szCs w:val="18"/>
              </w:rPr>
            </w:pPr>
            <w:r>
              <w:rPr>
                <w:b/>
                <w:noProof/>
                <w:sz w:val="18"/>
                <w:szCs w:val="18"/>
              </w:rPr>
              <w:t>2025</w:t>
            </w:r>
          </w:p>
        </w:tc>
        <w:tc>
          <w:tcPr>
            <w:tcW w:w="2150" w:type="pct"/>
            <w:gridSpan w:val="4"/>
          </w:tcPr>
          <w:p w:rsidR="001A26B0" w:rsidRDefault="00E33A99">
            <w:pPr>
              <w:spacing w:before="60" w:after="60"/>
              <w:jc w:val="center"/>
              <w:rPr>
                <w:b/>
                <w:noProof/>
                <w:sz w:val="18"/>
                <w:szCs w:val="18"/>
              </w:rPr>
            </w:pPr>
            <w:r>
              <w:rPr>
                <w:b/>
                <w:noProof/>
                <w:sz w:val="18"/>
                <w:szCs w:val="18"/>
              </w:rPr>
              <w:t>2030</w:t>
            </w:r>
          </w:p>
        </w:tc>
      </w:tr>
      <w:tr w:rsidR="001A26B0">
        <w:tc>
          <w:tcPr>
            <w:tcW w:w="703" w:type="pct"/>
            <w:vMerge/>
          </w:tcPr>
          <w:p w:rsidR="001A26B0" w:rsidRDefault="001A26B0">
            <w:pPr>
              <w:spacing w:before="60" w:after="60"/>
              <w:rPr>
                <w:b/>
                <w:noProof/>
                <w:sz w:val="18"/>
                <w:szCs w:val="18"/>
              </w:rPr>
            </w:pPr>
          </w:p>
        </w:tc>
        <w:tc>
          <w:tcPr>
            <w:tcW w:w="401" w:type="pct"/>
          </w:tcPr>
          <w:p w:rsidR="001A26B0" w:rsidRDefault="00E33A99">
            <w:pPr>
              <w:spacing w:before="60" w:after="60"/>
              <w:jc w:val="center"/>
              <w:rPr>
                <w:b/>
                <w:noProof/>
                <w:sz w:val="18"/>
                <w:szCs w:val="18"/>
              </w:rPr>
            </w:pPr>
            <w:r>
              <w:rPr>
                <w:b/>
                <w:noProof/>
                <w:sz w:val="18"/>
                <w:szCs w:val="18"/>
              </w:rPr>
              <w:t>LEV0</w:t>
            </w:r>
          </w:p>
        </w:tc>
        <w:tc>
          <w:tcPr>
            <w:tcW w:w="584" w:type="pct"/>
          </w:tcPr>
          <w:p w:rsidR="001A26B0" w:rsidRDefault="00E33A99">
            <w:pPr>
              <w:spacing w:before="60" w:after="60"/>
              <w:jc w:val="center"/>
              <w:rPr>
                <w:b/>
                <w:noProof/>
                <w:sz w:val="18"/>
                <w:szCs w:val="18"/>
              </w:rPr>
            </w:pPr>
            <w:r>
              <w:rPr>
                <w:b/>
                <w:noProof/>
                <w:sz w:val="18"/>
                <w:szCs w:val="18"/>
              </w:rPr>
              <w:t>LEV%_A</w:t>
            </w:r>
          </w:p>
        </w:tc>
        <w:tc>
          <w:tcPr>
            <w:tcW w:w="578" w:type="pct"/>
          </w:tcPr>
          <w:p w:rsidR="001A26B0" w:rsidRDefault="00E33A99">
            <w:pPr>
              <w:spacing w:before="60" w:after="60"/>
              <w:jc w:val="center"/>
              <w:rPr>
                <w:b/>
                <w:noProof/>
                <w:sz w:val="18"/>
                <w:szCs w:val="18"/>
              </w:rPr>
            </w:pPr>
            <w:r>
              <w:rPr>
                <w:b/>
                <w:noProof/>
                <w:sz w:val="18"/>
                <w:szCs w:val="18"/>
              </w:rPr>
              <w:t>LEV%_B</w:t>
            </w:r>
          </w:p>
        </w:tc>
        <w:tc>
          <w:tcPr>
            <w:tcW w:w="584" w:type="pct"/>
          </w:tcPr>
          <w:p w:rsidR="001A26B0" w:rsidRDefault="00E33A99">
            <w:pPr>
              <w:spacing w:before="60" w:after="60"/>
              <w:jc w:val="center"/>
              <w:rPr>
                <w:b/>
                <w:noProof/>
                <w:sz w:val="18"/>
                <w:szCs w:val="18"/>
              </w:rPr>
            </w:pPr>
            <w:r>
              <w:rPr>
                <w:b/>
                <w:noProof/>
                <w:sz w:val="18"/>
                <w:szCs w:val="18"/>
              </w:rPr>
              <w:t>LEV%_C</w:t>
            </w:r>
          </w:p>
        </w:tc>
        <w:tc>
          <w:tcPr>
            <w:tcW w:w="403" w:type="pct"/>
          </w:tcPr>
          <w:p w:rsidR="001A26B0" w:rsidRDefault="00E33A99">
            <w:pPr>
              <w:spacing w:before="60" w:after="60"/>
              <w:jc w:val="center"/>
              <w:rPr>
                <w:b/>
                <w:noProof/>
                <w:sz w:val="18"/>
                <w:szCs w:val="18"/>
              </w:rPr>
            </w:pPr>
            <w:r>
              <w:rPr>
                <w:b/>
                <w:noProof/>
                <w:sz w:val="18"/>
                <w:szCs w:val="18"/>
              </w:rPr>
              <w:t>LEV0</w:t>
            </w:r>
          </w:p>
        </w:tc>
        <w:tc>
          <w:tcPr>
            <w:tcW w:w="584" w:type="pct"/>
          </w:tcPr>
          <w:p w:rsidR="001A26B0" w:rsidRDefault="00E33A99">
            <w:pPr>
              <w:spacing w:before="60" w:after="60"/>
              <w:jc w:val="center"/>
              <w:rPr>
                <w:b/>
                <w:noProof/>
                <w:sz w:val="18"/>
                <w:szCs w:val="18"/>
              </w:rPr>
            </w:pPr>
            <w:r>
              <w:rPr>
                <w:b/>
                <w:noProof/>
                <w:sz w:val="18"/>
                <w:szCs w:val="18"/>
              </w:rPr>
              <w:t>LEV%_A</w:t>
            </w:r>
          </w:p>
        </w:tc>
        <w:tc>
          <w:tcPr>
            <w:tcW w:w="578" w:type="pct"/>
          </w:tcPr>
          <w:p w:rsidR="001A26B0" w:rsidRDefault="00E33A99">
            <w:pPr>
              <w:spacing w:before="60" w:after="60"/>
              <w:jc w:val="center"/>
              <w:rPr>
                <w:b/>
                <w:noProof/>
                <w:sz w:val="18"/>
                <w:szCs w:val="18"/>
              </w:rPr>
            </w:pPr>
            <w:r>
              <w:rPr>
                <w:b/>
                <w:noProof/>
                <w:sz w:val="18"/>
                <w:szCs w:val="18"/>
              </w:rPr>
              <w:t>LEV%_B</w:t>
            </w:r>
          </w:p>
        </w:tc>
        <w:tc>
          <w:tcPr>
            <w:tcW w:w="585" w:type="pct"/>
          </w:tcPr>
          <w:p w:rsidR="001A26B0" w:rsidRDefault="00E33A99">
            <w:pPr>
              <w:spacing w:before="60" w:after="60"/>
              <w:jc w:val="center"/>
              <w:rPr>
                <w:b/>
                <w:noProof/>
                <w:sz w:val="18"/>
                <w:szCs w:val="18"/>
              </w:rPr>
            </w:pPr>
            <w:r>
              <w:rPr>
                <w:b/>
                <w:noProof/>
                <w:sz w:val="18"/>
                <w:szCs w:val="18"/>
              </w:rPr>
              <w:t>LEV%_C</w:t>
            </w:r>
          </w:p>
        </w:tc>
      </w:tr>
      <w:tr w:rsidR="001A26B0">
        <w:tc>
          <w:tcPr>
            <w:tcW w:w="703" w:type="pct"/>
          </w:tcPr>
          <w:p w:rsidR="001A26B0" w:rsidRDefault="00E33A99">
            <w:pPr>
              <w:spacing w:before="60" w:after="60"/>
              <w:rPr>
                <w:noProof/>
                <w:sz w:val="18"/>
                <w:szCs w:val="18"/>
              </w:rPr>
            </w:pPr>
            <w:r>
              <w:rPr>
                <w:noProof/>
                <w:sz w:val="18"/>
                <w:szCs w:val="18"/>
              </w:rPr>
              <w:t>TLC20</w:t>
            </w:r>
          </w:p>
        </w:tc>
        <w:tc>
          <w:tcPr>
            <w:tcW w:w="401" w:type="pct"/>
            <w:vAlign w:val="center"/>
          </w:tcPr>
          <w:p w:rsidR="001A26B0" w:rsidRDefault="00E33A99">
            <w:pPr>
              <w:spacing w:before="60" w:after="60"/>
              <w:jc w:val="center"/>
              <w:rPr>
                <w:noProof/>
                <w:sz w:val="18"/>
                <w:szCs w:val="18"/>
              </w:rPr>
            </w:pPr>
            <w:r>
              <w:rPr>
                <w:noProof/>
                <w:color w:val="000000"/>
                <w:sz w:val="18"/>
                <w:szCs w:val="18"/>
                <w:lang w:eastAsia="en-GB"/>
              </w:rPr>
              <w:t>8%</w:t>
            </w:r>
          </w:p>
        </w:tc>
        <w:tc>
          <w:tcPr>
            <w:tcW w:w="584" w:type="pct"/>
            <w:vMerge w:val="restart"/>
            <w:vAlign w:val="center"/>
          </w:tcPr>
          <w:p w:rsidR="001A26B0" w:rsidRDefault="00E33A99">
            <w:pPr>
              <w:spacing w:before="60" w:after="60"/>
              <w:jc w:val="center"/>
              <w:rPr>
                <w:noProof/>
                <w:sz w:val="18"/>
                <w:szCs w:val="18"/>
              </w:rPr>
            </w:pPr>
            <w:r>
              <w:rPr>
                <w:noProof/>
                <w:color w:val="000000"/>
                <w:sz w:val="18"/>
                <w:szCs w:val="18"/>
                <w:lang w:eastAsia="en-GB"/>
              </w:rPr>
              <w:t>15%</w:t>
            </w:r>
          </w:p>
        </w:tc>
        <w:tc>
          <w:tcPr>
            <w:tcW w:w="578" w:type="pct"/>
            <w:vMerge w:val="restart"/>
            <w:vAlign w:val="center"/>
          </w:tcPr>
          <w:p w:rsidR="001A26B0" w:rsidRDefault="00E33A99">
            <w:pPr>
              <w:spacing w:before="60" w:after="60"/>
              <w:jc w:val="center"/>
              <w:rPr>
                <w:noProof/>
                <w:sz w:val="18"/>
                <w:szCs w:val="18"/>
              </w:rPr>
            </w:pPr>
            <w:r>
              <w:rPr>
                <w:noProof/>
                <w:color w:val="000000"/>
                <w:sz w:val="18"/>
                <w:szCs w:val="18"/>
                <w:lang w:eastAsia="en-GB"/>
              </w:rPr>
              <w:t>20%</w:t>
            </w:r>
          </w:p>
        </w:tc>
        <w:tc>
          <w:tcPr>
            <w:tcW w:w="584" w:type="pct"/>
            <w:vMerge w:val="restart"/>
            <w:vAlign w:val="center"/>
          </w:tcPr>
          <w:p w:rsidR="001A26B0" w:rsidRDefault="00E33A99">
            <w:pPr>
              <w:spacing w:before="60" w:after="60"/>
              <w:jc w:val="center"/>
              <w:rPr>
                <w:noProof/>
                <w:color w:val="000000"/>
                <w:sz w:val="18"/>
                <w:szCs w:val="18"/>
                <w:lang w:eastAsia="en-GB"/>
              </w:rPr>
            </w:pPr>
            <w:r>
              <w:rPr>
                <w:noProof/>
                <w:color w:val="000000"/>
                <w:sz w:val="18"/>
                <w:szCs w:val="18"/>
                <w:lang w:eastAsia="en-GB"/>
              </w:rPr>
              <w:t>25%</w:t>
            </w:r>
          </w:p>
        </w:tc>
        <w:tc>
          <w:tcPr>
            <w:tcW w:w="403" w:type="pct"/>
            <w:vAlign w:val="center"/>
          </w:tcPr>
          <w:p w:rsidR="001A26B0" w:rsidRDefault="00E33A99">
            <w:pPr>
              <w:spacing w:before="60" w:after="60"/>
              <w:jc w:val="center"/>
              <w:rPr>
                <w:noProof/>
                <w:sz w:val="18"/>
                <w:szCs w:val="18"/>
              </w:rPr>
            </w:pPr>
            <w:r>
              <w:rPr>
                <w:noProof/>
                <w:color w:val="000000"/>
                <w:sz w:val="18"/>
                <w:szCs w:val="18"/>
                <w:lang w:eastAsia="en-GB"/>
              </w:rPr>
              <w:t>12%</w:t>
            </w:r>
          </w:p>
        </w:tc>
        <w:tc>
          <w:tcPr>
            <w:tcW w:w="584" w:type="pct"/>
            <w:vMerge w:val="restart"/>
            <w:vAlign w:val="center"/>
          </w:tcPr>
          <w:p w:rsidR="001A26B0" w:rsidRDefault="00E33A99">
            <w:pPr>
              <w:spacing w:before="60" w:after="60"/>
              <w:jc w:val="center"/>
              <w:rPr>
                <w:noProof/>
                <w:sz w:val="18"/>
                <w:szCs w:val="18"/>
              </w:rPr>
            </w:pPr>
            <w:r>
              <w:rPr>
                <w:noProof/>
                <w:color w:val="000000"/>
                <w:sz w:val="18"/>
                <w:szCs w:val="18"/>
                <w:lang w:eastAsia="en-GB"/>
              </w:rPr>
              <w:t>25%</w:t>
            </w:r>
          </w:p>
        </w:tc>
        <w:tc>
          <w:tcPr>
            <w:tcW w:w="578" w:type="pct"/>
            <w:vMerge w:val="restart"/>
            <w:vAlign w:val="center"/>
          </w:tcPr>
          <w:p w:rsidR="001A26B0" w:rsidRDefault="00E33A99">
            <w:pPr>
              <w:spacing w:before="60" w:after="60"/>
              <w:jc w:val="center"/>
              <w:rPr>
                <w:noProof/>
                <w:sz w:val="18"/>
                <w:szCs w:val="18"/>
              </w:rPr>
            </w:pPr>
            <w:r>
              <w:rPr>
                <w:noProof/>
                <w:color w:val="000000"/>
                <w:sz w:val="18"/>
                <w:szCs w:val="18"/>
                <w:lang w:eastAsia="en-GB"/>
              </w:rPr>
              <w:t>30%</w:t>
            </w:r>
          </w:p>
        </w:tc>
        <w:tc>
          <w:tcPr>
            <w:tcW w:w="585" w:type="pct"/>
            <w:vMerge w:val="restart"/>
            <w:vAlign w:val="center"/>
          </w:tcPr>
          <w:p w:rsidR="001A26B0" w:rsidRDefault="00E33A99">
            <w:pPr>
              <w:spacing w:before="60" w:after="60"/>
              <w:jc w:val="center"/>
              <w:rPr>
                <w:noProof/>
                <w:color w:val="000000"/>
                <w:sz w:val="18"/>
                <w:szCs w:val="18"/>
                <w:lang w:eastAsia="en-GB"/>
              </w:rPr>
            </w:pPr>
            <w:r>
              <w:rPr>
                <w:noProof/>
                <w:color w:val="000000"/>
                <w:sz w:val="18"/>
                <w:szCs w:val="18"/>
                <w:lang w:eastAsia="en-GB"/>
              </w:rPr>
              <w:t>35%</w:t>
            </w:r>
          </w:p>
        </w:tc>
      </w:tr>
      <w:tr w:rsidR="001A26B0">
        <w:tc>
          <w:tcPr>
            <w:tcW w:w="703" w:type="pct"/>
          </w:tcPr>
          <w:p w:rsidR="001A26B0" w:rsidRDefault="00E33A99">
            <w:pPr>
              <w:spacing w:before="60" w:after="60"/>
              <w:rPr>
                <w:noProof/>
                <w:sz w:val="18"/>
                <w:szCs w:val="18"/>
              </w:rPr>
            </w:pPr>
            <w:r>
              <w:rPr>
                <w:noProof/>
                <w:sz w:val="18"/>
                <w:szCs w:val="18"/>
              </w:rPr>
              <w:t>TLC25</w:t>
            </w:r>
          </w:p>
        </w:tc>
        <w:tc>
          <w:tcPr>
            <w:tcW w:w="401" w:type="pct"/>
            <w:vAlign w:val="center"/>
          </w:tcPr>
          <w:p w:rsidR="001A26B0" w:rsidRDefault="00E33A99">
            <w:pPr>
              <w:spacing w:before="60" w:after="60"/>
              <w:jc w:val="center"/>
              <w:rPr>
                <w:noProof/>
                <w:sz w:val="18"/>
                <w:szCs w:val="18"/>
              </w:rPr>
            </w:pPr>
            <w:r>
              <w:rPr>
                <w:noProof/>
                <w:color w:val="000000"/>
                <w:sz w:val="18"/>
                <w:szCs w:val="18"/>
                <w:lang w:eastAsia="en-GB"/>
              </w:rPr>
              <w:t>8%</w:t>
            </w:r>
          </w:p>
        </w:tc>
        <w:tc>
          <w:tcPr>
            <w:tcW w:w="584" w:type="pct"/>
            <w:vMerge/>
          </w:tcPr>
          <w:p w:rsidR="001A26B0" w:rsidRDefault="001A26B0">
            <w:pPr>
              <w:spacing w:before="60" w:after="60"/>
              <w:jc w:val="center"/>
              <w:rPr>
                <w:noProof/>
                <w:sz w:val="18"/>
                <w:szCs w:val="18"/>
              </w:rPr>
            </w:pPr>
          </w:p>
        </w:tc>
        <w:tc>
          <w:tcPr>
            <w:tcW w:w="578" w:type="pct"/>
            <w:vMerge/>
          </w:tcPr>
          <w:p w:rsidR="001A26B0" w:rsidRDefault="001A26B0">
            <w:pPr>
              <w:spacing w:before="60" w:after="60"/>
              <w:jc w:val="center"/>
              <w:rPr>
                <w:noProof/>
                <w:sz w:val="18"/>
                <w:szCs w:val="18"/>
              </w:rPr>
            </w:pPr>
          </w:p>
        </w:tc>
        <w:tc>
          <w:tcPr>
            <w:tcW w:w="584" w:type="pct"/>
            <w:vMerge/>
          </w:tcPr>
          <w:p w:rsidR="001A26B0" w:rsidRDefault="001A26B0">
            <w:pPr>
              <w:spacing w:before="60" w:after="60"/>
              <w:jc w:val="center"/>
              <w:rPr>
                <w:noProof/>
                <w:sz w:val="18"/>
                <w:szCs w:val="18"/>
              </w:rPr>
            </w:pPr>
          </w:p>
        </w:tc>
        <w:tc>
          <w:tcPr>
            <w:tcW w:w="403" w:type="pct"/>
            <w:vAlign w:val="center"/>
          </w:tcPr>
          <w:p w:rsidR="001A26B0" w:rsidRDefault="00E33A99">
            <w:pPr>
              <w:spacing w:before="60" w:after="60"/>
              <w:jc w:val="center"/>
              <w:rPr>
                <w:noProof/>
                <w:sz w:val="18"/>
                <w:szCs w:val="18"/>
              </w:rPr>
            </w:pPr>
            <w:r>
              <w:rPr>
                <w:noProof/>
                <w:sz w:val="18"/>
                <w:szCs w:val="18"/>
              </w:rPr>
              <w:t>12.5%</w:t>
            </w:r>
          </w:p>
        </w:tc>
        <w:tc>
          <w:tcPr>
            <w:tcW w:w="584" w:type="pct"/>
            <w:vMerge/>
          </w:tcPr>
          <w:p w:rsidR="001A26B0" w:rsidRDefault="001A26B0">
            <w:pPr>
              <w:spacing w:before="60" w:after="60"/>
              <w:jc w:val="center"/>
              <w:rPr>
                <w:noProof/>
                <w:sz w:val="18"/>
                <w:szCs w:val="18"/>
              </w:rPr>
            </w:pPr>
          </w:p>
        </w:tc>
        <w:tc>
          <w:tcPr>
            <w:tcW w:w="578" w:type="pct"/>
            <w:vMerge/>
          </w:tcPr>
          <w:p w:rsidR="001A26B0" w:rsidRDefault="001A26B0">
            <w:pPr>
              <w:spacing w:before="60" w:after="60"/>
              <w:jc w:val="center"/>
              <w:rPr>
                <w:noProof/>
                <w:sz w:val="18"/>
                <w:szCs w:val="18"/>
              </w:rPr>
            </w:pPr>
          </w:p>
        </w:tc>
        <w:tc>
          <w:tcPr>
            <w:tcW w:w="585" w:type="pct"/>
            <w:vMerge/>
          </w:tcPr>
          <w:p w:rsidR="001A26B0" w:rsidRDefault="001A26B0">
            <w:pPr>
              <w:spacing w:before="60" w:after="60"/>
              <w:jc w:val="center"/>
              <w:rPr>
                <w:noProof/>
                <w:sz w:val="18"/>
                <w:szCs w:val="18"/>
              </w:rPr>
            </w:pPr>
          </w:p>
        </w:tc>
      </w:tr>
      <w:tr w:rsidR="001A26B0">
        <w:tc>
          <w:tcPr>
            <w:tcW w:w="703" w:type="pct"/>
          </w:tcPr>
          <w:p w:rsidR="001A26B0" w:rsidRDefault="00E33A99">
            <w:pPr>
              <w:spacing w:before="60" w:after="60"/>
              <w:rPr>
                <w:noProof/>
                <w:sz w:val="18"/>
                <w:szCs w:val="18"/>
              </w:rPr>
            </w:pPr>
            <w:r>
              <w:rPr>
                <w:noProof/>
                <w:sz w:val="18"/>
                <w:szCs w:val="18"/>
              </w:rPr>
              <w:t>TLC30</w:t>
            </w:r>
          </w:p>
        </w:tc>
        <w:tc>
          <w:tcPr>
            <w:tcW w:w="401" w:type="pct"/>
            <w:vAlign w:val="center"/>
          </w:tcPr>
          <w:p w:rsidR="001A26B0" w:rsidRDefault="00E33A99">
            <w:pPr>
              <w:spacing w:before="60" w:after="60"/>
              <w:jc w:val="center"/>
              <w:rPr>
                <w:noProof/>
                <w:sz w:val="18"/>
                <w:szCs w:val="18"/>
              </w:rPr>
            </w:pPr>
            <w:r>
              <w:rPr>
                <w:noProof/>
                <w:color w:val="000000"/>
                <w:sz w:val="18"/>
                <w:szCs w:val="18"/>
                <w:lang w:eastAsia="en-GB"/>
              </w:rPr>
              <w:t>8.5%</w:t>
            </w:r>
          </w:p>
        </w:tc>
        <w:tc>
          <w:tcPr>
            <w:tcW w:w="584" w:type="pct"/>
            <w:vMerge/>
          </w:tcPr>
          <w:p w:rsidR="001A26B0" w:rsidRDefault="001A26B0">
            <w:pPr>
              <w:spacing w:before="60" w:after="60"/>
              <w:jc w:val="center"/>
              <w:rPr>
                <w:noProof/>
                <w:sz w:val="18"/>
                <w:szCs w:val="18"/>
              </w:rPr>
            </w:pPr>
          </w:p>
        </w:tc>
        <w:tc>
          <w:tcPr>
            <w:tcW w:w="578" w:type="pct"/>
            <w:vMerge/>
          </w:tcPr>
          <w:p w:rsidR="001A26B0" w:rsidRDefault="001A26B0">
            <w:pPr>
              <w:spacing w:before="60" w:after="60"/>
              <w:jc w:val="center"/>
              <w:rPr>
                <w:noProof/>
                <w:sz w:val="18"/>
                <w:szCs w:val="18"/>
              </w:rPr>
            </w:pPr>
          </w:p>
        </w:tc>
        <w:tc>
          <w:tcPr>
            <w:tcW w:w="584" w:type="pct"/>
            <w:vMerge/>
          </w:tcPr>
          <w:p w:rsidR="001A26B0" w:rsidRDefault="001A26B0">
            <w:pPr>
              <w:spacing w:before="60" w:after="60"/>
              <w:jc w:val="center"/>
              <w:rPr>
                <w:noProof/>
                <w:color w:val="000000"/>
                <w:sz w:val="18"/>
                <w:szCs w:val="18"/>
                <w:lang w:eastAsia="en-GB"/>
              </w:rPr>
            </w:pPr>
          </w:p>
        </w:tc>
        <w:tc>
          <w:tcPr>
            <w:tcW w:w="403" w:type="pct"/>
            <w:vAlign w:val="center"/>
          </w:tcPr>
          <w:p w:rsidR="001A26B0" w:rsidRDefault="00E33A99">
            <w:pPr>
              <w:spacing w:before="60" w:after="60"/>
              <w:jc w:val="center"/>
              <w:rPr>
                <w:noProof/>
                <w:sz w:val="18"/>
                <w:szCs w:val="18"/>
              </w:rPr>
            </w:pPr>
            <w:r>
              <w:rPr>
                <w:noProof/>
                <w:color w:val="000000"/>
                <w:sz w:val="18"/>
                <w:szCs w:val="18"/>
                <w:lang w:eastAsia="en-GB"/>
              </w:rPr>
              <w:t>13%</w:t>
            </w:r>
          </w:p>
        </w:tc>
        <w:tc>
          <w:tcPr>
            <w:tcW w:w="584" w:type="pct"/>
            <w:vMerge/>
          </w:tcPr>
          <w:p w:rsidR="001A26B0" w:rsidRDefault="001A26B0">
            <w:pPr>
              <w:spacing w:before="60" w:after="60"/>
              <w:jc w:val="center"/>
              <w:rPr>
                <w:noProof/>
                <w:sz w:val="18"/>
                <w:szCs w:val="18"/>
              </w:rPr>
            </w:pPr>
          </w:p>
        </w:tc>
        <w:tc>
          <w:tcPr>
            <w:tcW w:w="578" w:type="pct"/>
            <w:vMerge/>
          </w:tcPr>
          <w:p w:rsidR="001A26B0" w:rsidRDefault="001A26B0">
            <w:pPr>
              <w:spacing w:before="60" w:after="60"/>
              <w:jc w:val="center"/>
              <w:rPr>
                <w:noProof/>
                <w:sz w:val="18"/>
                <w:szCs w:val="18"/>
              </w:rPr>
            </w:pPr>
          </w:p>
        </w:tc>
        <w:tc>
          <w:tcPr>
            <w:tcW w:w="585" w:type="pct"/>
            <w:vMerge/>
          </w:tcPr>
          <w:p w:rsidR="001A26B0" w:rsidRDefault="001A26B0">
            <w:pPr>
              <w:spacing w:before="60" w:after="60"/>
              <w:jc w:val="center"/>
              <w:rPr>
                <w:noProof/>
                <w:sz w:val="18"/>
                <w:szCs w:val="18"/>
              </w:rPr>
            </w:pPr>
          </w:p>
        </w:tc>
      </w:tr>
      <w:tr w:rsidR="001A26B0">
        <w:tc>
          <w:tcPr>
            <w:tcW w:w="703" w:type="pct"/>
          </w:tcPr>
          <w:p w:rsidR="001A26B0" w:rsidRDefault="00E33A99">
            <w:pPr>
              <w:spacing w:before="60" w:after="60"/>
              <w:rPr>
                <w:noProof/>
                <w:sz w:val="18"/>
                <w:szCs w:val="18"/>
              </w:rPr>
            </w:pPr>
            <w:r>
              <w:rPr>
                <w:noProof/>
                <w:sz w:val="18"/>
                <w:szCs w:val="18"/>
              </w:rPr>
              <w:t>TLC40</w:t>
            </w:r>
          </w:p>
        </w:tc>
        <w:tc>
          <w:tcPr>
            <w:tcW w:w="401" w:type="pct"/>
          </w:tcPr>
          <w:p w:rsidR="001A26B0" w:rsidRDefault="00E33A99">
            <w:pPr>
              <w:spacing w:before="60" w:after="60"/>
              <w:jc w:val="center"/>
              <w:rPr>
                <w:noProof/>
                <w:sz w:val="18"/>
                <w:szCs w:val="18"/>
              </w:rPr>
            </w:pPr>
            <w:r>
              <w:rPr>
                <w:noProof/>
                <w:color w:val="000000"/>
                <w:sz w:val="18"/>
                <w:szCs w:val="18"/>
                <w:lang w:eastAsia="en-GB"/>
              </w:rPr>
              <w:t>12%</w:t>
            </w:r>
          </w:p>
        </w:tc>
        <w:tc>
          <w:tcPr>
            <w:tcW w:w="584" w:type="pct"/>
            <w:vMerge/>
          </w:tcPr>
          <w:p w:rsidR="001A26B0" w:rsidRDefault="001A26B0">
            <w:pPr>
              <w:spacing w:before="60" w:after="60"/>
              <w:jc w:val="center"/>
              <w:rPr>
                <w:noProof/>
                <w:sz w:val="18"/>
                <w:szCs w:val="18"/>
              </w:rPr>
            </w:pPr>
          </w:p>
        </w:tc>
        <w:tc>
          <w:tcPr>
            <w:tcW w:w="578" w:type="pct"/>
            <w:vMerge/>
          </w:tcPr>
          <w:p w:rsidR="001A26B0" w:rsidRDefault="001A26B0">
            <w:pPr>
              <w:spacing w:before="60" w:after="60"/>
              <w:jc w:val="center"/>
              <w:rPr>
                <w:noProof/>
                <w:sz w:val="18"/>
                <w:szCs w:val="18"/>
              </w:rPr>
            </w:pPr>
          </w:p>
        </w:tc>
        <w:tc>
          <w:tcPr>
            <w:tcW w:w="584" w:type="pct"/>
            <w:vMerge/>
          </w:tcPr>
          <w:p w:rsidR="001A26B0" w:rsidRDefault="001A26B0">
            <w:pPr>
              <w:spacing w:before="60" w:after="60"/>
              <w:jc w:val="center"/>
              <w:rPr>
                <w:noProof/>
                <w:color w:val="000000"/>
                <w:sz w:val="18"/>
                <w:szCs w:val="18"/>
                <w:lang w:eastAsia="en-GB"/>
              </w:rPr>
            </w:pPr>
          </w:p>
        </w:tc>
        <w:tc>
          <w:tcPr>
            <w:tcW w:w="403" w:type="pct"/>
            <w:vAlign w:val="center"/>
          </w:tcPr>
          <w:p w:rsidR="001A26B0" w:rsidRDefault="00E33A99">
            <w:pPr>
              <w:spacing w:before="60" w:after="60"/>
              <w:jc w:val="center"/>
              <w:rPr>
                <w:noProof/>
                <w:sz w:val="18"/>
                <w:szCs w:val="18"/>
              </w:rPr>
            </w:pPr>
            <w:r>
              <w:rPr>
                <w:noProof/>
                <w:color w:val="000000"/>
                <w:sz w:val="18"/>
                <w:szCs w:val="18"/>
                <w:lang w:eastAsia="en-GB"/>
              </w:rPr>
              <w:t>20.5%</w:t>
            </w:r>
          </w:p>
        </w:tc>
        <w:tc>
          <w:tcPr>
            <w:tcW w:w="584" w:type="pct"/>
            <w:vMerge/>
          </w:tcPr>
          <w:p w:rsidR="001A26B0" w:rsidRDefault="001A26B0">
            <w:pPr>
              <w:spacing w:before="60" w:after="60"/>
              <w:jc w:val="center"/>
              <w:rPr>
                <w:noProof/>
                <w:sz w:val="18"/>
                <w:szCs w:val="18"/>
              </w:rPr>
            </w:pPr>
          </w:p>
        </w:tc>
        <w:tc>
          <w:tcPr>
            <w:tcW w:w="578" w:type="pct"/>
            <w:vMerge/>
          </w:tcPr>
          <w:p w:rsidR="001A26B0" w:rsidRDefault="001A26B0">
            <w:pPr>
              <w:spacing w:before="60" w:after="60"/>
              <w:jc w:val="center"/>
              <w:rPr>
                <w:noProof/>
                <w:sz w:val="18"/>
                <w:szCs w:val="18"/>
              </w:rPr>
            </w:pPr>
          </w:p>
        </w:tc>
        <w:tc>
          <w:tcPr>
            <w:tcW w:w="585" w:type="pct"/>
            <w:vMerge/>
          </w:tcPr>
          <w:p w:rsidR="001A26B0" w:rsidRDefault="001A26B0">
            <w:pPr>
              <w:spacing w:before="60" w:after="60"/>
              <w:jc w:val="center"/>
              <w:rPr>
                <w:noProof/>
                <w:sz w:val="18"/>
                <w:szCs w:val="18"/>
              </w:rPr>
            </w:pPr>
          </w:p>
        </w:tc>
      </w:tr>
    </w:tbl>
    <w:p w:rsidR="001A26B0" w:rsidRDefault="001A26B0">
      <w:pPr>
        <w:spacing w:before="60" w:after="60"/>
        <w:rPr>
          <w:noProof/>
          <w:sz w:val="18"/>
          <w:szCs w:val="18"/>
        </w:rPr>
      </w:pPr>
    </w:p>
    <w:tbl>
      <w:tblPr>
        <w:tblStyle w:val="TableGrid"/>
        <w:tblW w:w="5000" w:type="pct"/>
        <w:tblLook w:val="04A0" w:firstRow="1" w:lastRow="0" w:firstColumn="1" w:lastColumn="0" w:noHBand="0" w:noVBand="1"/>
      </w:tblPr>
      <w:tblGrid>
        <w:gridCol w:w="1241"/>
        <w:gridCol w:w="710"/>
        <w:gridCol w:w="1031"/>
        <w:gridCol w:w="1021"/>
        <w:gridCol w:w="1031"/>
        <w:gridCol w:w="712"/>
        <w:gridCol w:w="1031"/>
        <w:gridCol w:w="1021"/>
        <w:gridCol w:w="1031"/>
      </w:tblGrid>
      <w:tr w:rsidR="001A26B0">
        <w:tc>
          <w:tcPr>
            <w:tcW w:w="703" w:type="pct"/>
            <w:vMerge w:val="restart"/>
            <w:vAlign w:val="center"/>
          </w:tcPr>
          <w:p w:rsidR="001A26B0" w:rsidRDefault="00E33A99">
            <w:pPr>
              <w:spacing w:before="60" w:after="60"/>
              <w:jc w:val="left"/>
              <w:rPr>
                <w:b/>
                <w:noProof/>
                <w:sz w:val="18"/>
                <w:szCs w:val="18"/>
              </w:rPr>
            </w:pPr>
            <w:r>
              <w:rPr>
                <w:b/>
                <w:i/>
                <w:noProof/>
                <w:sz w:val="18"/>
                <w:szCs w:val="18"/>
                <w:lang w:eastAsia="en-GB"/>
              </w:rPr>
              <w:t>LEVD_50</w:t>
            </w:r>
          </w:p>
        </w:tc>
        <w:tc>
          <w:tcPr>
            <w:tcW w:w="2147" w:type="pct"/>
            <w:gridSpan w:val="4"/>
          </w:tcPr>
          <w:p w:rsidR="001A26B0" w:rsidRDefault="00E33A99">
            <w:pPr>
              <w:spacing w:before="60" w:after="60"/>
              <w:jc w:val="center"/>
              <w:rPr>
                <w:b/>
                <w:noProof/>
                <w:sz w:val="18"/>
                <w:szCs w:val="18"/>
              </w:rPr>
            </w:pPr>
            <w:r>
              <w:rPr>
                <w:b/>
                <w:noProof/>
                <w:sz w:val="18"/>
                <w:szCs w:val="18"/>
              </w:rPr>
              <w:t>2025</w:t>
            </w:r>
          </w:p>
        </w:tc>
        <w:tc>
          <w:tcPr>
            <w:tcW w:w="2149" w:type="pct"/>
            <w:gridSpan w:val="4"/>
          </w:tcPr>
          <w:p w:rsidR="001A26B0" w:rsidRDefault="00E33A99">
            <w:pPr>
              <w:spacing w:before="60" w:after="60"/>
              <w:jc w:val="center"/>
              <w:rPr>
                <w:b/>
                <w:noProof/>
                <w:sz w:val="18"/>
                <w:szCs w:val="18"/>
              </w:rPr>
            </w:pPr>
            <w:r>
              <w:rPr>
                <w:b/>
                <w:noProof/>
                <w:sz w:val="18"/>
                <w:szCs w:val="18"/>
              </w:rPr>
              <w:t>2030</w:t>
            </w:r>
          </w:p>
        </w:tc>
      </w:tr>
      <w:tr w:rsidR="001A26B0">
        <w:tc>
          <w:tcPr>
            <w:tcW w:w="703" w:type="pct"/>
            <w:vMerge/>
          </w:tcPr>
          <w:p w:rsidR="001A26B0" w:rsidRDefault="001A26B0">
            <w:pPr>
              <w:spacing w:before="60" w:after="60"/>
              <w:rPr>
                <w:b/>
                <w:noProof/>
                <w:sz w:val="18"/>
                <w:szCs w:val="18"/>
              </w:rPr>
            </w:pPr>
          </w:p>
        </w:tc>
        <w:tc>
          <w:tcPr>
            <w:tcW w:w="402" w:type="pct"/>
          </w:tcPr>
          <w:p w:rsidR="001A26B0" w:rsidRDefault="00E33A99">
            <w:pPr>
              <w:spacing w:before="60" w:after="60"/>
              <w:jc w:val="center"/>
              <w:rPr>
                <w:b/>
                <w:noProof/>
                <w:sz w:val="18"/>
                <w:szCs w:val="18"/>
              </w:rPr>
            </w:pPr>
            <w:r>
              <w:rPr>
                <w:b/>
                <w:noProof/>
                <w:sz w:val="18"/>
                <w:szCs w:val="18"/>
              </w:rPr>
              <w:t>LEV0</w:t>
            </w:r>
          </w:p>
        </w:tc>
        <w:tc>
          <w:tcPr>
            <w:tcW w:w="584" w:type="pct"/>
          </w:tcPr>
          <w:p w:rsidR="001A26B0" w:rsidRDefault="00E33A99">
            <w:pPr>
              <w:spacing w:before="60" w:after="60"/>
              <w:jc w:val="center"/>
              <w:rPr>
                <w:b/>
                <w:noProof/>
                <w:sz w:val="18"/>
                <w:szCs w:val="18"/>
              </w:rPr>
            </w:pPr>
            <w:r>
              <w:rPr>
                <w:b/>
                <w:noProof/>
                <w:sz w:val="18"/>
                <w:szCs w:val="18"/>
              </w:rPr>
              <w:t>LEV%_A</w:t>
            </w:r>
          </w:p>
        </w:tc>
        <w:tc>
          <w:tcPr>
            <w:tcW w:w="578" w:type="pct"/>
          </w:tcPr>
          <w:p w:rsidR="001A26B0" w:rsidRDefault="00E33A99">
            <w:pPr>
              <w:spacing w:before="60" w:after="60"/>
              <w:jc w:val="center"/>
              <w:rPr>
                <w:b/>
                <w:noProof/>
                <w:sz w:val="18"/>
                <w:szCs w:val="18"/>
              </w:rPr>
            </w:pPr>
            <w:r>
              <w:rPr>
                <w:b/>
                <w:noProof/>
                <w:sz w:val="18"/>
                <w:szCs w:val="18"/>
              </w:rPr>
              <w:t>LEV%_B</w:t>
            </w:r>
          </w:p>
        </w:tc>
        <w:tc>
          <w:tcPr>
            <w:tcW w:w="584" w:type="pct"/>
          </w:tcPr>
          <w:p w:rsidR="001A26B0" w:rsidRDefault="00E33A99">
            <w:pPr>
              <w:spacing w:before="60" w:after="60"/>
              <w:jc w:val="center"/>
              <w:rPr>
                <w:b/>
                <w:noProof/>
                <w:sz w:val="18"/>
                <w:szCs w:val="18"/>
              </w:rPr>
            </w:pPr>
            <w:r>
              <w:rPr>
                <w:b/>
                <w:noProof/>
                <w:sz w:val="18"/>
                <w:szCs w:val="18"/>
              </w:rPr>
              <w:t>LEV%_C</w:t>
            </w:r>
          </w:p>
        </w:tc>
        <w:tc>
          <w:tcPr>
            <w:tcW w:w="403" w:type="pct"/>
          </w:tcPr>
          <w:p w:rsidR="001A26B0" w:rsidRDefault="00E33A99">
            <w:pPr>
              <w:spacing w:before="60" w:after="60"/>
              <w:jc w:val="center"/>
              <w:rPr>
                <w:b/>
                <w:noProof/>
                <w:sz w:val="18"/>
                <w:szCs w:val="18"/>
              </w:rPr>
            </w:pPr>
            <w:r>
              <w:rPr>
                <w:b/>
                <w:noProof/>
                <w:sz w:val="18"/>
                <w:szCs w:val="18"/>
              </w:rPr>
              <w:t>LEV0</w:t>
            </w:r>
          </w:p>
        </w:tc>
        <w:tc>
          <w:tcPr>
            <w:tcW w:w="584" w:type="pct"/>
          </w:tcPr>
          <w:p w:rsidR="001A26B0" w:rsidRDefault="00E33A99">
            <w:pPr>
              <w:spacing w:before="60" w:after="60"/>
              <w:jc w:val="center"/>
              <w:rPr>
                <w:b/>
                <w:noProof/>
                <w:sz w:val="18"/>
                <w:szCs w:val="18"/>
              </w:rPr>
            </w:pPr>
            <w:r>
              <w:rPr>
                <w:b/>
                <w:noProof/>
                <w:sz w:val="18"/>
                <w:szCs w:val="18"/>
              </w:rPr>
              <w:t>LEV%_A</w:t>
            </w:r>
          </w:p>
        </w:tc>
        <w:tc>
          <w:tcPr>
            <w:tcW w:w="578" w:type="pct"/>
          </w:tcPr>
          <w:p w:rsidR="001A26B0" w:rsidRDefault="00E33A99">
            <w:pPr>
              <w:spacing w:before="60" w:after="60"/>
              <w:jc w:val="center"/>
              <w:rPr>
                <w:b/>
                <w:noProof/>
                <w:sz w:val="18"/>
                <w:szCs w:val="18"/>
              </w:rPr>
            </w:pPr>
            <w:r>
              <w:rPr>
                <w:b/>
                <w:noProof/>
                <w:sz w:val="18"/>
                <w:szCs w:val="18"/>
              </w:rPr>
              <w:t>LEV%_B</w:t>
            </w:r>
          </w:p>
        </w:tc>
        <w:tc>
          <w:tcPr>
            <w:tcW w:w="584" w:type="pct"/>
          </w:tcPr>
          <w:p w:rsidR="001A26B0" w:rsidRDefault="00E33A99">
            <w:pPr>
              <w:spacing w:before="60" w:after="60"/>
              <w:jc w:val="center"/>
              <w:rPr>
                <w:b/>
                <w:noProof/>
                <w:sz w:val="18"/>
                <w:szCs w:val="18"/>
              </w:rPr>
            </w:pPr>
            <w:r>
              <w:rPr>
                <w:b/>
                <w:noProof/>
                <w:sz w:val="18"/>
                <w:szCs w:val="18"/>
              </w:rPr>
              <w:t>LEV%_C</w:t>
            </w:r>
          </w:p>
        </w:tc>
      </w:tr>
      <w:tr w:rsidR="001A26B0">
        <w:tc>
          <w:tcPr>
            <w:tcW w:w="703" w:type="pct"/>
          </w:tcPr>
          <w:p w:rsidR="001A26B0" w:rsidRDefault="00E33A99">
            <w:pPr>
              <w:spacing w:before="60" w:after="60"/>
              <w:rPr>
                <w:noProof/>
                <w:sz w:val="18"/>
                <w:szCs w:val="18"/>
              </w:rPr>
            </w:pPr>
            <w:r>
              <w:rPr>
                <w:noProof/>
                <w:sz w:val="18"/>
                <w:szCs w:val="18"/>
              </w:rPr>
              <w:t>TLC20</w:t>
            </w:r>
          </w:p>
        </w:tc>
        <w:tc>
          <w:tcPr>
            <w:tcW w:w="402" w:type="pct"/>
            <w:vAlign w:val="center"/>
          </w:tcPr>
          <w:p w:rsidR="001A26B0" w:rsidRDefault="00E33A99">
            <w:pPr>
              <w:spacing w:before="60" w:after="60"/>
              <w:jc w:val="center"/>
              <w:rPr>
                <w:noProof/>
                <w:sz w:val="18"/>
                <w:szCs w:val="18"/>
              </w:rPr>
            </w:pPr>
            <w:r>
              <w:rPr>
                <w:noProof/>
                <w:color w:val="000000"/>
                <w:sz w:val="18"/>
                <w:szCs w:val="18"/>
                <w:lang w:eastAsia="en-GB"/>
              </w:rPr>
              <w:t>7%</w:t>
            </w:r>
          </w:p>
        </w:tc>
        <w:tc>
          <w:tcPr>
            <w:tcW w:w="584" w:type="pct"/>
            <w:vMerge w:val="restart"/>
            <w:vAlign w:val="center"/>
          </w:tcPr>
          <w:p w:rsidR="001A26B0" w:rsidRDefault="00E33A99">
            <w:pPr>
              <w:spacing w:before="60" w:after="60"/>
              <w:jc w:val="center"/>
              <w:rPr>
                <w:noProof/>
                <w:sz w:val="18"/>
                <w:szCs w:val="18"/>
              </w:rPr>
            </w:pPr>
            <w:r>
              <w:rPr>
                <w:noProof/>
                <w:color w:val="000000"/>
                <w:sz w:val="18"/>
                <w:szCs w:val="18"/>
                <w:lang w:eastAsia="en-GB"/>
              </w:rPr>
              <w:t>15%</w:t>
            </w:r>
          </w:p>
        </w:tc>
        <w:tc>
          <w:tcPr>
            <w:tcW w:w="578" w:type="pct"/>
            <w:vMerge w:val="restart"/>
            <w:vAlign w:val="center"/>
          </w:tcPr>
          <w:p w:rsidR="001A26B0" w:rsidRDefault="00E33A99">
            <w:pPr>
              <w:spacing w:before="60" w:after="60"/>
              <w:jc w:val="center"/>
              <w:rPr>
                <w:noProof/>
                <w:sz w:val="18"/>
                <w:szCs w:val="18"/>
              </w:rPr>
            </w:pPr>
            <w:r>
              <w:rPr>
                <w:noProof/>
                <w:color w:val="000000"/>
                <w:sz w:val="18"/>
                <w:szCs w:val="18"/>
                <w:lang w:eastAsia="en-GB"/>
              </w:rPr>
              <w:t>20%</w:t>
            </w:r>
          </w:p>
        </w:tc>
        <w:tc>
          <w:tcPr>
            <w:tcW w:w="584" w:type="pct"/>
            <w:vMerge w:val="restart"/>
            <w:vAlign w:val="center"/>
          </w:tcPr>
          <w:p w:rsidR="001A26B0" w:rsidRDefault="00E33A99">
            <w:pPr>
              <w:spacing w:before="60" w:after="60"/>
              <w:jc w:val="center"/>
              <w:rPr>
                <w:noProof/>
                <w:color w:val="000000"/>
                <w:sz w:val="18"/>
                <w:szCs w:val="18"/>
                <w:lang w:eastAsia="en-GB"/>
              </w:rPr>
            </w:pPr>
            <w:r>
              <w:rPr>
                <w:noProof/>
                <w:color w:val="000000"/>
                <w:sz w:val="18"/>
                <w:szCs w:val="18"/>
                <w:lang w:eastAsia="en-GB"/>
              </w:rPr>
              <w:t>25%</w:t>
            </w:r>
          </w:p>
        </w:tc>
        <w:tc>
          <w:tcPr>
            <w:tcW w:w="403" w:type="pct"/>
            <w:vAlign w:val="center"/>
          </w:tcPr>
          <w:p w:rsidR="001A26B0" w:rsidRDefault="00E33A99">
            <w:pPr>
              <w:spacing w:before="60" w:after="60"/>
              <w:jc w:val="center"/>
              <w:rPr>
                <w:noProof/>
                <w:sz w:val="18"/>
                <w:szCs w:val="18"/>
              </w:rPr>
            </w:pPr>
            <w:r>
              <w:rPr>
                <w:noProof/>
                <w:color w:val="000000"/>
                <w:sz w:val="18"/>
                <w:szCs w:val="18"/>
                <w:lang w:eastAsia="en-GB"/>
              </w:rPr>
              <w:t>10.5%</w:t>
            </w:r>
          </w:p>
        </w:tc>
        <w:tc>
          <w:tcPr>
            <w:tcW w:w="584" w:type="pct"/>
            <w:vMerge w:val="restart"/>
            <w:vAlign w:val="center"/>
          </w:tcPr>
          <w:p w:rsidR="001A26B0" w:rsidRDefault="00E33A99">
            <w:pPr>
              <w:spacing w:before="60" w:after="60"/>
              <w:jc w:val="center"/>
              <w:rPr>
                <w:noProof/>
                <w:sz w:val="18"/>
                <w:szCs w:val="18"/>
              </w:rPr>
            </w:pPr>
            <w:r>
              <w:rPr>
                <w:noProof/>
                <w:color w:val="000000"/>
                <w:sz w:val="18"/>
                <w:szCs w:val="18"/>
                <w:lang w:eastAsia="en-GB"/>
              </w:rPr>
              <w:t>25%</w:t>
            </w:r>
          </w:p>
        </w:tc>
        <w:tc>
          <w:tcPr>
            <w:tcW w:w="578" w:type="pct"/>
            <w:vMerge w:val="restart"/>
            <w:vAlign w:val="center"/>
          </w:tcPr>
          <w:p w:rsidR="001A26B0" w:rsidRDefault="00E33A99">
            <w:pPr>
              <w:spacing w:before="60" w:after="60"/>
              <w:jc w:val="center"/>
              <w:rPr>
                <w:noProof/>
                <w:sz w:val="18"/>
                <w:szCs w:val="18"/>
              </w:rPr>
            </w:pPr>
            <w:r>
              <w:rPr>
                <w:noProof/>
                <w:color w:val="000000"/>
                <w:sz w:val="18"/>
                <w:szCs w:val="18"/>
                <w:lang w:eastAsia="en-GB"/>
              </w:rPr>
              <w:t>30%</w:t>
            </w:r>
          </w:p>
        </w:tc>
        <w:tc>
          <w:tcPr>
            <w:tcW w:w="584" w:type="pct"/>
            <w:vMerge w:val="restart"/>
            <w:vAlign w:val="center"/>
          </w:tcPr>
          <w:p w:rsidR="001A26B0" w:rsidRDefault="00E33A99">
            <w:pPr>
              <w:spacing w:before="60" w:after="60"/>
              <w:jc w:val="center"/>
              <w:rPr>
                <w:noProof/>
                <w:color w:val="000000"/>
                <w:sz w:val="18"/>
                <w:szCs w:val="18"/>
                <w:lang w:eastAsia="en-GB"/>
              </w:rPr>
            </w:pPr>
            <w:r>
              <w:rPr>
                <w:noProof/>
                <w:color w:val="000000"/>
                <w:sz w:val="18"/>
                <w:szCs w:val="18"/>
                <w:lang w:eastAsia="en-GB"/>
              </w:rPr>
              <w:t>35%</w:t>
            </w:r>
          </w:p>
        </w:tc>
      </w:tr>
      <w:tr w:rsidR="001A26B0">
        <w:tc>
          <w:tcPr>
            <w:tcW w:w="703" w:type="pct"/>
          </w:tcPr>
          <w:p w:rsidR="001A26B0" w:rsidRDefault="00E33A99">
            <w:pPr>
              <w:spacing w:before="60" w:after="60"/>
              <w:rPr>
                <w:noProof/>
                <w:sz w:val="18"/>
                <w:szCs w:val="18"/>
              </w:rPr>
            </w:pPr>
            <w:r>
              <w:rPr>
                <w:noProof/>
                <w:sz w:val="18"/>
                <w:szCs w:val="18"/>
              </w:rPr>
              <w:t>TLC25</w:t>
            </w:r>
          </w:p>
        </w:tc>
        <w:tc>
          <w:tcPr>
            <w:tcW w:w="402" w:type="pct"/>
            <w:vAlign w:val="center"/>
          </w:tcPr>
          <w:p w:rsidR="001A26B0" w:rsidRDefault="00E33A99">
            <w:pPr>
              <w:spacing w:before="60" w:after="60"/>
              <w:jc w:val="center"/>
              <w:rPr>
                <w:noProof/>
                <w:sz w:val="18"/>
                <w:szCs w:val="18"/>
              </w:rPr>
            </w:pPr>
            <w:r>
              <w:rPr>
                <w:noProof/>
                <w:color w:val="000000"/>
                <w:sz w:val="18"/>
                <w:szCs w:val="18"/>
                <w:lang w:eastAsia="en-GB"/>
              </w:rPr>
              <w:t>7%</w:t>
            </w:r>
          </w:p>
        </w:tc>
        <w:tc>
          <w:tcPr>
            <w:tcW w:w="584" w:type="pct"/>
            <w:vMerge/>
          </w:tcPr>
          <w:p w:rsidR="001A26B0" w:rsidRDefault="001A26B0">
            <w:pPr>
              <w:spacing w:before="60" w:after="60"/>
              <w:jc w:val="center"/>
              <w:rPr>
                <w:noProof/>
                <w:sz w:val="18"/>
                <w:szCs w:val="18"/>
              </w:rPr>
            </w:pPr>
          </w:p>
        </w:tc>
        <w:tc>
          <w:tcPr>
            <w:tcW w:w="578" w:type="pct"/>
            <w:vMerge/>
          </w:tcPr>
          <w:p w:rsidR="001A26B0" w:rsidRDefault="001A26B0">
            <w:pPr>
              <w:spacing w:before="60" w:after="60"/>
              <w:jc w:val="center"/>
              <w:rPr>
                <w:noProof/>
                <w:sz w:val="18"/>
                <w:szCs w:val="18"/>
              </w:rPr>
            </w:pPr>
          </w:p>
        </w:tc>
        <w:tc>
          <w:tcPr>
            <w:tcW w:w="584" w:type="pct"/>
            <w:vMerge/>
          </w:tcPr>
          <w:p w:rsidR="001A26B0" w:rsidRDefault="001A26B0">
            <w:pPr>
              <w:spacing w:before="60" w:after="60"/>
              <w:jc w:val="center"/>
              <w:rPr>
                <w:noProof/>
                <w:sz w:val="18"/>
                <w:szCs w:val="18"/>
              </w:rPr>
            </w:pPr>
          </w:p>
        </w:tc>
        <w:tc>
          <w:tcPr>
            <w:tcW w:w="403" w:type="pct"/>
            <w:vAlign w:val="center"/>
          </w:tcPr>
          <w:p w:rsidR="001A26B0" w:rsidRDefault="00E33A99">
            <w:pPr>
              <w:spacing w:before="60" w:after="60"/>
              <w:jc w:val="center"/>
              <w:rPr>
                <w:noProof/>
                <w:sz w:val="18"/>
                <w:szCs w:val="18"/>
              </w:rPr>
            </w:pPr>
            <w:r>
              <w:rPr>
                <w:noProof/>
                <w:sz w:val="18"/>
                <w:szCs w:val="18"/>
              </w:rPr>
              <w:t>11%</w:t>
            </w:r>
          </w:p>
        </w:tc>
        <w:tc>
          <w:tcPr>
            <w:tcW w:w="584" w:type="pct"/>
            <w:vMerge/>
          </w:tcPr>
          <w:p w:rsidR="001A26B0" w:rsidRDefault="001A26B0">
            <w:pPr>
              <w:spacing w:before="60" w:after="60"/>
              <w:jc w:val="center"/>
              <w:rPr>
                <w:noProof/>
                <w:sz w:val="18"/>
                <w:szCs w:val="18"/>
              </w:rPr>
            </w:pPr>
          </w:p>
        </w:tc>
        <w:tc>
          <w:tcPr>
            <w:tcW w:w="578" w:type="pct"/>
            <w:vMerge/>
          </w:tcPr>
          <w:p w:rsidR="001A26B0" w:rsidRDefault="001A26B0">
            <w:pPr>
              <w:spacing w:before="60" w:after="60"/>
              <w:jc w:val="center"/>
              <w:rPr>
                <w:noProof/>
                <w:sz w:val="18"/>
                <w:szCs w:val="18"/>
              </w:rPr>
            </w:pPr>
          </w:p>
        </w:tc>
        <w:tc>
          <w:tcPr>
            <w:tcW w:w="584" w:type="pct"/>
            <w:vMerge/>
          </w:tcPr>
          <w:p w:rsidR="001A26B0" w:rsidRDefault="001A26B0">
            <w:pPr>
              <w:spacing w:before="60" w:after="60"/>
              <w:jc w:val="center"/>
              <w:rPr>
                <w:noProof/>
                <w:sz w:val="18"/>
                <w:szCs w:val="18"/>
              </w:rPr>
            </w:pPr>
          </w:p>
        </w:tc>
      </w:tr>
      <w:tr w:rsidR="001A26B0">
        <w:tc>
          <w:tcPr>
            <w:tcW w:w="703" w:type="pct"/>
          </w:tcPr>
          <w:p w:rsidR="001A26B0" w:rsidRDefault="00E33A99">
            <w:pPr>
              <w:spacing w:before="60" w:after="60"/>
              <w:rPr>
                <w:noProof/>
                <w:sz w:val="18"/>
                <w:szCs w:val="18"/>
              </w:rPr>
            </w:pPr>
            <w:r>
              <w:rPr>
                <w:noProof/>
                <w:sz w:val="18"/>
                <w:szCs w:val="18"/>
              </w:rPr>
              <w:t>TLC30</w:t>
            </w:r>
          </w:p>
        </w:tc>
        <w:tc>
          <w:tcPr>
            <w:tcW w:w="402" w:type="pct"/>
            <w:vAlign w:val="center"/>
          </w:tcPr>
          <w:p w:rsidR="001A26B0" w:rsidRDefault="00E33A99">
            <w:pPr>
              <w:spacing w:before="60" w:after="60"/>
              <w:jc w:val="center"/>
              <w:rPr>
                <w:noProof/>
                <w:sz w:val="18"/>
                <w:szCs w:val="18"/>
              </w:rPr>
            </w:pPr>
            <w:r>
              <w:rPr>
                <w:noProof/>
                <w:color w:val="000000"/>
                <w:sz w:val="18"/>
                <w:szCs w:val="18"/>
                <w:lang w:eastAsia="en-GB"/>
              </w:rPr>
              <w:t>7%</w:t>
            </w:r>
          </w:p>
        </w:tc>
        <w:tc>
          <w:tcPr>
            <w:tcW w:w="584" w:type="pct"/>
            <w:vMerge/>
          </w:tcPr>
          <w:p w:rsidR="001A26B0" w:rsidRDefault="001A26B0">
            <w:pPr>
              <w:spacing w:before="60" w:after="60"/>
              <w:jc w:val="center"/>
              <w:rPr>
                <w:noProof/>
                <w:sz w:val="18"/>
                <w:szCs w:val="18"/>
              </w:rPr>
            </w:pPr>
          </w:p>
        </w:tc>
        <w:tc>
          <w:tcPr>
            <w:tcW w:w="578" w:type="pct"/>
            <w:vMerge/>
          </w:tcPr>
          <w:p w:rsidR="001A26B0" w:rsidRDefault="001A26B0">
            <w:pPr>
              <w:spacing w:before="60" w:after="60"/>
              <w:jc w:val="center"/>
              <w:rPr>
                <w:noProof/>
                <w:sz w:val="18"/>
                <w:szCs w:val="18"/>
              </w:rPr>
            </w:pPr>
          </w:p>
        </w:tc>
        <w:tc>
          <w:tcPr>
            <w:tcW w:w="584" w:type="pct"/>
            <w:vMerge/>
          </w:tcPr>
          <w:p w:rsidR="001A26B0" w:rsidRDefault="001A26B0">
            <w:pPr>
              <w:spacing w:before="60" w:after="60"/>
              <w:jc w:val="center"/>
              <w:rPr>
                <w:noProof/>
                <w:color w:val="000000"/>
                <w:sz w:val="18"/>
                <w:szCs w:val="18"/>
                <w:lang w:eastAsia="en-GB"/>
              </w:rPr>
            </w:pPr>
          </w:p>
        </w:tc>
        <w:tc>
          <w:tcPr>
            <w:tcW w:w="403" w:type="pct"/>
            <w:vAlign w:val="center"/>
          </w:tcPr>
          <w:p w:rsidR="001A26B0" w:rsidRDefault="00E33A99">
            <w:pPr>
              <w:spacing w:before="60" w:after="60"/>
              <w:jc w:val="center"/>
              <w:rPr>
                <w:noProof/>
                <w:sz w:val="18"/>
                <w:szCs w:val="18"/>
              </w:rPr>
            </w:pPr>
            <w:r>
              <w:rPr>
                <w:noProof/>
                <w:color w:val="000000"/>
                <w:sz w:val="18"/>
                <w:szCs w:val="18"/>
                <w:lang w:eastAsia="en-GB"/>
              </w:rPr>
              <w:t>12%</w:t>
            </w:r>
          </w:p>
        </w:tc>
        <w:tc>
          <w:tcPr>
            <w:tcW w:w="584" w:type="pct"/>
            <w:vMerge/>
          </w:tcPr>
          <w:p w:rsidR="001A26B0" w:rsidRDefault="001A26B0">
            <w:pPr>
              <w:spacing w:before="60" w:after="60"/>
              <w:jc w:val="center"/>
              <w:rPr>
                <w:noProof/>
                <w:sz w:val="18"/>
                <w:szCs w:val="18"/>
              </w:rPr>
            </w:pPr>
          </w:p>
        </w:tc>
        <w:tc>
          <w:tcPr>
            <w:tcW w:w="578" w:type="pct"/>
            <w:vMerge/>
          </w:tcPr>
          <w:p w:rsidR="001A26B0" w:rsidRDefault="001A26B0">
            <w:pPr>
              <w:spacing w:before="60" w:after="60"/>
              <w:jc w:val="center"/>
              <w:rPr>
                <w:noProof/>
                <w:sz w:val="18"/>
                <w:szCs w:val="18"/>
              </w:rPr>
            </w:pPr>
          </w:p>
        </w:tc>
        <w:tc>
          <w:tcPr>
            <w:tcW w:w="584" w:type="pct"/>
            <w:vMerge/>
          </w:tcPr>
          <w:p w:rsidR="001A26B0" w:rsidRDefault="001A26B0">
            <w:pPr>
              <w:spacing w:before="60" w:after="60"/>
              <w:jc w:val="center"/>
              <w:rPr>
                <w:noProof/>
                <w:sz w:val="18"/>
                <w:szCs w:val="18"/>
              </w:rPr>
            </w:pPr>
          </w:p>
        </w:tc>
      </w:tr>
      <w:tr w:rsidR="001A26B0">
        <w:tc>
          <w:tcPr>
            <w:tcW w:w="703" w:type="pct"/>
          </w:tcPr>
          <w:p w:rsidR="001A26B0" w:rsidRDefault="00E33A99">
            <w:pPr>
              <w:spacing w:before="60" w:after="60"/>
              <w:rPr>
                <w:noProof/>
                <w:sz w:val="18"/>
                <w:szCs w:val="18"/>
              </w:rPr>
            </w:pPr>
            <w:r>
              <w:rPr>
                <w:noProof/>
                <w:sz w:val="18"/>
                <w:szCs w:val="18"/>
              </w:rPr>
              <w:t>TLC40</w:t>
            </w:r>
          </w:p>
        </w:tc>
        <w:tc>
          <w:tcPr>
            <w:tcW w:w="402" w:type="pct"/>
          </w:tcPr>
          <w:p w:rsidR="001A26B0" w:rsidRDefault="00E33A99">
            <w:pPr>
              <w:spacing w:before="60" w:after="60"/>
              <w:jc w:val="center"/>
              <w:rPr>
                <w:noProof/>
                <w:sz w:val="18"/>
                <w:szCs w:val="18"/>
              </w:rPr>
            </w:pPr>
            <w:r>
              <w:rPr>
                <w:noProof/>
                <w:color w:val="000000"/>
                <w:sz w:val="18"/>
                <w:szCs w:val="18"/>
                <w:lang w:eastAsia="en-GB"/>
              </w:rPr>
              <w:t>10%</w:t>
            </w:r>
          </w:p>
        </w:tc>
        <w:tc>
          <w:tcPr>
            <w:tcW w:w="584" w:type="pct"/>
            <w:vMerge/>
          </w:tcPr>
          <w:p w:rsidR="001A26B0" w:rsidRDefault="001A26B0">
            <w:pPr>
              <w:spacing w:before="60" w:after="60"/>
              <w:jc w:val="center"/>
              <w:rPr>
                <w:noProof/>
                <w:sz w:val="18"/>
                <w:szCs w:val="18"/>
              </w:rPr>
            </w:pPr>
          </w:p>
        </w:tc>
        <w:tc>
          <w:tcPr>
            <w:tcW w:w="578" w:type="pct"/>
            <w:vMerge/>
          </w:tcPr>
          <w:p w:rsidR="001A26B0" w:rsidRDefault="001A26B0">
            <w:pPr>
              <w:spacing w:before="60" w:after="60"/>
              <w:jc w:val="center"/>
              <w:rPr>
                <w:noProof/>
                <w:sz w:val="18"/>
                <w:szCs w:val="18"/>
              </w:rPr>
            </w:pPr>
          </w:p>
        </w:tc>
        <w:tc>
          <w:tcPr>
            <w:tcW w:w="584" w:type="pct"/>
            <w:vMerge/>
          </w:tcPr>
          <w:p w:rsidR="001A26B0" w:rsidRDefault="001A26B0">
            <w:pPr>
              <w:spacing w:before="60" w:after="60"/>
              <w:jc w:val="center"/>
              <w:rPr>
                <w:noProof/>
                <w:color w:val="000000"/>
                <w:sz w:val="18"/>
                <w:szCs w:val="18"/>
                <w:lang w:eastAsia="en-GB"/>
              </w:rPr>
            </w:pPr>
          </w:p>
        </w:tc>
        <w:tc>
          <w:tcPr>
            <w:tcW w:w="403" w:type="pct"/>
          </w:tcPr>
          <w:p w:rsidR="001A26B0" w:rsidRDefault="00E33A99">
            <w:pPr>
              <w:spacing w:before="60" w:after="60"/>
              <w:jc w:val="center"/>
              <w:rPr>
                <w:noProof/>
                <w:sz w:val="18"/>
                <w:szCs w:val="18"/>
              </w:rPr>
            </w:pPr>
            <w:r>
              <w:rPr>
                <w:noProof/>
                <w:color w:val="000000"/>
                <w:sz w:val="18"/>
                <w:szCs w:val="18"/>
                <w:lang w:eastAsia="en-GB"/>
              </w:rPr>
              <w:t>17.5%</w:t>
            </w:r>
          </w:p>
        </w:tc>
        <w:tc>
          <w:tcPr>
            <w:tcW w:w="584" w:type="pct"/>
            <w:vMerge/>
          </w:tcPr>
          <w:p w:rsidR="001A26B0" w:rsidRDefault="001A26B0">
            <w:pPr>
              <w:spacing w:before="60" w:after="60"/>
              <w:jc w:val="center"/>
              <w:rPr>
                <w:noProof/>
                <w:sz w:val="18"/>
                <w:szCs w:val="18"/>
              </w:rPr>
            </w:pPr>
          </w:p>
        </w:tc>
        <w:tc>
          <w:tcPr>
            <w:tcW w:w="578" w:type="pct"/>
            <w:vMerge/>
          </w:tcPr>
          <w:p w:rsidR="001A26B0" w:rsidRDefault="001A26B0">
            <w:pPr>
              <w:spacing w:before="60" w:after="60"/>
              <w:jc w:val="center"/>
              <w:rPr>
                <w:noProof/>
                <w:sz w:val="18"/>
                <w:szCs w:val="18"/>
              </w:rPr>
            </w:pPr>
          </w:p>
        </w:tc>
        <w:tc>
          <w:tcPr>
            <w:tcW w:w="584" w:type="pct"/>
            <w:vMerge/>
          </w:tcPr>
          <w:p w:rsidR="001A26B0" w:rsidRDefault="001A26B0">
            <w:pPr>
              <w:spacing w:before="60" w:after="60"/>
              <w:jc w:val="center"/>
              <w:rPr>
                <w:noProof/>
                <w:sz w:val="18"/>
                <w:szCs w:val="18"/>
              </w:rPr>
            </w:pPr>
          </w:p>
        </w:tc>
      </w:tr>
    </w:tbl>
    <w:p w:rsidR="001A26B0" w:rsidRDefault="00E33A99">
      <w:pPr>
        <w:spacing w:before="240" w:after="120"/>
        <w:rPr>
          <w:noProof/>
          <w:szCs w:val="24"/>
        </w:rPr>
      </w:pPr>
      <w:r>
        <w:rPr>
          <w:noProof/>
          <w:szCs w:val="24"/>
        </w:rPr>
        <w:t xml:space="preserve">Furthermore, in order to reach these higher sales levels, as explained in Section 5.3.2.2, three different LEV incentive policy instruments are being considered: </w:t>
      </w:r>
    </w:p>
    <w:p w:rsidR="001A26B0" w:rsidRDefault="00E33A99">
      <w:pPr>
        <w:pStyle w:val="ListParagraph"/>
        <w:numPr>
          <w:ilvl w:val="0"/>
          <w:numId w:val="90"/>
        </w:numPr>
        <w:spacing w:after="120"/>
        <w:ind w:left="958" w:hanging="601"/>
        <w:contextualSpacing w:val="0"/>
        <w:rPr>
          <w:noProof/>
          <w:szCs w:val="24"/>
        </w:rPr>
      </w:pPr>
      <w:r>
        <w:rPr>
          <w:noProof/>
          <w:szCs w:val="24"/>
        </w:rPr>
        <w:t>binding mandate (LEVT_MAND);</w:t>
      </w:r>
    </w:p>
    <w:p w:rsidR="001A26B0" w:rsidRDefault="00E33A99">
      <w:pPr>
        <w:pStyle w:val="ListParagraph"/>
        <w:numPr>
          <w:ilvl w:val="0"/>
          <w:numId w:val="90"/>
        </w:numPr>
        <w:spacing w:after="120"/>
        <w:ind w:left="958" w:hanging="601"/>
        <w:contextualSpacing w:val="0"/>
        <w:rPr>
          <w:noProof/>
          <w:szCs w:val="24"/>
        </w:rPr>
      </w:pPr>
      <w:r>
        <w:rPr>
          <w:noProof/>
          <w:szCs w:val="24"/>
        </w:rPr>
        <w:t>crediting system with a one-way CO</w:t>
      </w:r>
      <w:r>
        <w:rPr>
          <w:noProof/>
          <w:szCs w:val="24"/>
          <w:vertAlign w:val="subscript"/>
        </w:rPr>
        <w:t>2</w:t>
      </w:r>
      <w:r>
        <w:rPr>
          <w:noProof/>
          <w:szCs w:val="24"/>
        </w:rPr>
        <w:t xml:space="preserve"> target adjustment (LEVT_CRED</w:t>
      </w:r>
      <w:r>
        <w:rPr>
          <w:noProof/>
          <w:szCs w:val="24"/>
        </w:rPr>
        <w:t xml:space="preserve">1); </w:t>
      </w:r>
    </w:p>
    <w:p w:rsidR="001A26B0" w:rsidRDefault="00E33A99">
      <w:pPr>
        <w:pStyle w:val="ListParagraph"/>
        <w:numPr>
          <w:ilvl w:val="0"/>
          <w:numId w:val="90"/>
        </w:numPr>
        <w:spacing w:after="120"/>
        <w:ind w:left="958" w:hanging="601"/>
        <w:contextualSpacing w:val="0"/>
        <w:rPr>
          <w:noProof/>
          <w:szCs w:val="24"/>
        </w:rPr>
      </w:pPr>
      <w:r>
        <w:rPr>
          <w:noProof/>
          <w:szCs w:val="24"/>
        </w:rPr>
        <w:t>crediting system with a two-way adjustment (LEVT_CRED2).</w:t>
      </w:r>
    </w:p>
    <w:p w:rsidR="001A26B0" w:rsidRDefault="00E33A99">
      <w:pPr>
        <w:pStyle w:val="Heading4"/>
        <w:keepNext/>
        <w:rPr>
          <w:noProof/>
        </w:rPr>
      </w:pPr>
      <w:bookmarkStart w:id="587" w:name="_Ref494022304"/>
      <w:bookmarkStart w:id="588" w:name="_Toc496635626"/>
      <w:r>
        <w:rPr>
          <w:noProof/>
        </w:rPr>
        <w:t>Economic impacts</w:t>
      </w:r>
      <w:bookmarkEnd w:id="586"/>
      <w:bookmarkEnd w:id="587"/>
      <w:bookmarkEnd w:id="588"/>
    </w:p>
    <w:p w:rsidR="001A26B0" w:rsidRDefault="00E33A99">
      <w:pPr>
        <w:spacing w:after="120"/>
        <w:rPr>
          <w:noProof/>
          <w:szCs w:val="24"/>
        </w:rPr>
      </w:pPr>
      <w:r>
        <w:rPr>
          <w:noProof/>
          <w:szCs w:val="24"/>
        </w:rPr>
        <w:t>For the assessment of the economic impacts of the LEV incentives options, the same indicators are used as for assessing the options regarding the EU-wide CO</w:t>
      </w:r>
      <w:r>
        <w:rPr>
          <w:noProof/>
          <w:szCs w:val="24"/>
          <w:vertAlign w:val="subscript"/>
        </w:rPr>
        <w:t>2</w:t>
      </w:r>
      <w:r>
        <w:rPr>
          <w:noProof/>
          <w:szCs w:val="24"/>
        </w:rPr>
        <w:t xml:space="preserve"> target levels (TLC) (see Section 6.3.2.2). </w:t>
      </w:r>
    </w:p>
    <w:p w:rsidR="001A26B0" w:rsidRDefault="00E33A99">
      <w:pPr>
        <w:spacing w:after="120"/>
        <w:rPr>
          <w:noProof/>
          <w:szCs w:val="24"/>
        </w:rPr>
      </w:pPr>
      <w:r>
        <w:rPr>
          <w:noProof/>
          <w:szCs w:val="24"/>
        </w:rPr>
        <w:t xml:space="preserve">Below, the net savings achieved under the different LEV incentives options are summarised for the indicator "TCO-15 years". The results for the other indicators regarding </w:t>
      </w:r>
      <w:r>
        <w:rPr>
          <w:noProof/>
        </w:rPr>
        <w:t>net economic savings from a societal per</w:t>
      </w:r>
      <w:r>
        <w:rPr>
          <w:noProof/>
        </w:rPr>
        <w:t xml:space="preserve">spective and </w:t>
      </w:r>
      <w:r>
        <w:rPr>
          <w:noProof/>
          <w:szCs w:val="24"/>
        </w:rPr>
        <w:t>net economic savings over the first five years were very similar.</w:t>
      </w:r>
    </w:p>
    <w:p w:rsidR="001A26B0" w:rsidRDefault="00E33A99">
      <w:pPr>
        <w:spacing w:after="120"/>
        <w:rPr>
          <w:noProof/>
          <w:szCs w:val="24"/>
        </w:rPr>
      </w:pPr>
      <w:r>
        <w:rPr>
          <w:noProof/>
          <w:szCs w:val="24"/>
        </w:rPr>
        <w:t>The detailed results for all options and indicators as well as the results of a sensitivity analysis varying the cost assumptions for the battery are provided in Annex 8.</w:t>
      </w:r>
    </w:p>
    <w:p w:rsidR="001A26B0" w:rsidRDefault="00E33A99">
      <w:pPr>
        <w:spacing w:after="120"/>
        <w:rPr>
          <w:i/>
          <w:noProof/>
          <w:szCs w:val="24"/>
        </w:rPr>
      </w:pPr>
      <w:r>
        <w:rPr>
          <w:i/>
          <w:noProof/>
          <w:szCs w:val="24"/>
        </w:rPr>
        <w:t>TCO-15</w:t>
      </w:r>
      <w:r>
        <w:rPr>
          <w:i/>
          <w:noProof/>
          <w:szCs w:val="24"/>
        </w:rPr>
        <w:t xml:space="preserve"> years (vehicle lifetime)</w:t>
      </w:r>
    </w:p>
    <w:p w:rsidR="001A26B0" w:rsidRDefault="00E33A99">
      <w:pPr>
        <w:spacing w:after="120"/>
        <w:rPr>
          <w:noProof/>
          <w:szCs w:val="24"/>
        </w:rPr>
      </w:pPr>
      <w:r>
        <w:rPr>
          <w:noProof/>
          <w:szCs w:val="24"/>
        </w:rPr>
        <w:fldChar w:fldCharType="begin"/>
      </w:r>
      <w:r>
        <w:rPr>
          <w:noProof/>
          <w:szCs w:val="24"/>
        </w:rPr>
        <w:instrText xml:space="preserve"> REF _Ref493616965 \h </w:instrText>
      </w:r>
      <w:r>
        <w:rPr>
          <w:noProof/>
          <w:szCs w:val="24"/>
        </w:rPr>
      </w:r>
      <w:r>
        <w:rPr>
          <w:noProof/>
          <w:szCs w:val="24"/>
        </w:rPr>
        <w:fldChar w:fldCharType="separate"/>
      </w:r>
      <w:r>
        <w:rPr>
          <w:noProof/>
        </w:rPr>
        <w:t>Figure 33</w:t>
      </w:r>
      <w:r>
        <w:rPr>
          <w:noProof/>
          <w:szCs w:val="24"/>
        </w:rPr>
        <w:fldChar w:fldCharType="end"/>
      </w:r>
      <w:r>
        <w:rPr>
          <w:noProof/>
          <w:szCs w:val="24"/>
        </w:rPr>
        <w:t xml:space="preserve"> shows the net economic savings, taking into account capital costs, O&amp;M costs and fuel costs, over the lifetime of an "average" pass</w:t>
      </w:r>
      <w:r>
        <w:rPr>
          <w:noProof/>
          <w:szCs w:val="24"/>
        </w:rPr>
        <w:t>enger car registered in 2025 or in 2030 for the different LEV incentive options as regards the definition (LEVD) and target/benchmark level (LEV%), in combination with four different options for the EU-wide CO</w:t>
      </w:r>
      <w:r>
        <w:rPr>
          <w:noProof/>
          <w:szCs w:val="24"/>
          <w:vertAlign w:val="subscript"/>
        </w:rPr>
        <w:t>2</w:t>
      </w:r>
      <w:r>
        <w:rPr>
          <w:noProof/>
          <w:szCs w:val="24"/>
        </w:rPr>
        <w:t xml:space="preserve"> target level (TLC20, TLC25, TLC30 and TLC40).</w:t>
      </w:r>
      <w:r>
        <w:rPr>
          <w:noProof/>
          <w:szCs w:val="24"/>
        </w:rPr>
        <w:t xml:space="preserve"> The net savings are calculated as the difference with the baseline.</w:t>
      </w:r>
    </w:p>
    <w:p w:rsidR="001A26B0" w:rsidRDefault="00E33A99">
      <w:pPr>
        <w:spacing w:after="120"/>
        <w:rPr>
          <w:noProof/>
          <w:szCs w:val="24"/>
        </w:rPr>
      </w:pPr>
      <w:r>
        <w:rPr>
          <w:noProof/>
          <w:szCs w:val="24"/>
        </w:rPr>
        <w:t xml:space="preserve">The key general trends observed can be summarised as follows. </w:t>
      </w:r>
    </w:p>
    <w:p w:rsidR="001A26B0" w:rsidRDefault="00E33A99">
      <w:pPr>
        <w:spacing w:after="120"/>
        <w:rPr>
          <w:noProof/>
          <w:szCs w:val="24"/>
        </w:rPr>
      </w:pPr>
      <w:r>
        <w:rPr>
          <w:noProof/>
          <w:szCs w:val="24"/>
        </w:rPr>
        <w:t xml:space="preserve">Firstly, all options considered bring net economic savings over the vehicle lifetime. Depending on the option, net savings </w:t>
      </w:r>
      <w:r>
        <w:rPr>
          <w:noProof/>
          <w:szCs w:val="24"/>
        </w:rPr>
        <w:t>per car are up to about 1,000 EUR in 2025 and up to about 2,400 EUR in 2030, and they increase with increasingly strong CO</w:t>
      </w:r>
      <w:r>
        <w:rPr>
          <w:noProof/>
          <w:szCs w:val="24"/>
          <w:vertAlign w:val="subscript"/>
        </w:rPr>
        <w:t>2</w:t>
      </w:r>
      <w:r>
        <w:rPr>
          <w:noProof/>
          <w:szCs w:val="24"/>
        </w:rPr>
        <w:t xml:space="preserve"> target levels.</w:t>
      </w:r>
    </w:p>
    <w:p w:rsidR="001A26B0" w:rsidRDefault="00E33A99">
      <w:pPr>
        <w:spacing w:after="120"/>
        <w:rPr>
          <w:noProof/>
          <w:szCs w:val="24"/>
        </w:rPr>
      </w:pPr>
      <w:r>
        <w:rPr>
          <w:noProof/>
          <w:szCs w:val="24"/>
        </w:rPr>
        <w:t>Both the fuel savings and the capital costs are key factors as regards the net savings achieved. The capital costs of</w:t>
      </w:r>
      <w:r>
        <w:rPr>
          <w:noProof/>
          <w:szCs w:val="24"/>
        </w:rPr>
        <w:t xml:space="preserve"> LEV, and in particular of ZEV, are mainly determined by the cost of batteries and, as explained above, these are set to decrease with the introduction of additional LEV incentives creating economies of scale. </w:t>
      </w:r>
    </w:p>
    <w:p w:rsidR="001A26B0" w:rsidRDefault="00E33A99">
      <w:pPr>
        <w:spacing w:after="120"/>
        <w:rPr>
          <w:noProof/>
          <w:szCs w:val="24"/>
        </w:rPr>
      </w:pPr>
      <w:r>
        <w:rPr>
          <w:noProof/>
          <w:szCs w:val="24"/>
        </w:rPr>
        <w:t>Secondly, in 2030 net economic savings are hi</w:t>
      </w:r>
      <w:r>
        <w:rPr>
          <w:noProof/>
          <w:szCs w:val="24"/>
        </w:rPr>
        <w:t xml:space="preserve">ghest for the options with the lower LEV incentive compared to the other options, i.e. higher LEV incentives and LEV0. </w:t>
      </w:r>
    </w:p>
    <w:p w:rsidR="001A26B0" w:rsidRDefault="00E33A99">
      <w:pPr>
        <w:spacing w:after="120"/>
        <w:rPr>
          <w:noProof/>
          <w:szCs w:val="24"/>
        </w:rPr>
      </w:pPr>
      <w:r>
        <w:rPr>
          <w:noProof/>
          <w:szCs w:val="24"/>
        </w:rPr>
        <w:t>In some cases, the higher LEV incentives have lower net economic savings than the option LEV0 without an additional incentive, e.g. in 2</w:t>
      </w:r>
      <w:r>
        <w:rPr>
          <w:noProof/>
          <w:szCs w:val="24"/>
        </w:rPr>
        <w:t xml:space="preserve">030 for TLC20 combined with LEVD_25 or LEVD_50 and for TLC25 combined with LEVD_50. </w:t>
      </w:r>
    </w:p>
    <w:p w:rsidR="001A26B0" w:rsidRDefault="00E33A99">
      <w:pPr>
        <w:spacing w:after="120"/>
        <w:rPr>
          <w:noProof/>
          <w:szCs w:val="24"/>
        </w:rPr>
      </w:pPr>
      <w:r>
        <w:rPr>
          <w:noProof/>
          <w:szCs w:val="24"/>
        </w:rPr>
        <w:t xml:space="preserve">More generally, for TLC20 the potential net savings in case of a LEV mandate or crediting system are much lower, or slightly negative. This is not surprising: in order to </w:t>
      </w:r>
      <w:r>
        <w:rPr>
          <w:noProof/>
          <w:szCs w:val="24"/>
        </w:rPr>
        <w:t>reach the lowest CO</w:t>
      </w:r>
      <w:r>
        <w:rPr>
          <w:noProof/>
          <w:szCs w:val="24"/>
          <w:vertAlign w:val="subscript"/>
        </w:rPr>
        <w:t>2</w:t>
      </w:r>
      <w:r>
        <w:rPr>
          <w:noProof/>
          <w:szCs w:val="24"/>
        </w:rPr>
        <w:t xml:space="preserve"> target combined with a LEV mandate or crediting system, higher PHEV and BEV uptake would substitute for the wide deployment of the least costly less advanced ICEV technologies. </w:t>
      </w:r>
    </w:p>
    <w:p w:rsidR="001A26B0" w:rsidRDefault="00E33A99">
      <w:pPr>
        <w:spacing w:after="120"/>
        <w:rPr>
          <w:noProof/>
          <w:szCs w:val="24"/>
        </w:rPr>
      </w:pPr>
      <w:r>
        <w:rPr>
          <w:noProof/>
          <w:szCs w:val="24"/>
        </w:rPr>
        <w:t>The results for 2025 are largely similar as for 2030.</w:t>
      </w:r>
    </w:p>
    <w:p w:rsidR="001A26B0" w:rsidRDefault="00E33A99">
      <w:pPr>
        <w:pStyle w:val="Caption"/>
        <w:keepNext/>
        <w:rPr>
          <w:noProof/>
        </w:rPr>
      </w:pPr>
      <w:bookmarkStart w:id="589" w:name="_Ref493616965"/>
      <w:bookmarkStart w:id="590" w:name="_Toc496688579"/>
      <w:r>
        <w:rPr>
          <w:noProof/>
        </w:rPr>
        <w:t>Fig</w:t>
      </w:r>
      <w:r>
        <w:rPr>
          <w:noProof/>
        </w:rPr>
        <w:t xml:space="preserve">ure </w:t>
      </w:r>
      <w:r>
        <w:rPr>
          <w:noProof/>
        </w:rPr>
        <w:fldChar w:fldCharType="begin"/>
      </w:r>
      <w:r>
        <w:rPr>
          <w:noProof/>
        </w:rPr>
        <w:instrText xml:space="preserve"> SEQ Figure \* ARABIC </w:instrText>
      </w:r>
      <w:r>
        <w:rPr>
          <w:noProof/>
        </w:rPr>
        <w:fldChar w:fldCharType="separate"/>
      </w:r>
      <w:r>
        <w:rPr>
          <w:noProof/>
        </w:rPr>
        <w:t>33</w:t>
      </w:r>
      <w:r>
        <w:rPr>
          <w:noProof/>
        </w:rPr>
        <w:fldChar w:fldCharType="end"/>
      </w:r>
      <w:bookmarkEnd w:id="589"/>
      <w:r>
        <w:rPr>
          <w:noProof/>
        </w:rPr>
        <w:t>: TCO-15 years (vehicle lifetime) (net savings in EUR/car for 2025 and 2030) for different LEV incentive options</w:t>
      </w:r>
      <w:bookmarkEnd w:id="590"/>
    </w:p>
    <w:p w:rsidR="001A26B0" w:rsidRDefault="00E33A99">
      <w:pPr>
        <w:spacing w:after="120"/>
        <w:jc w:val="center"/>
        <w:rPr>
          <w:noProof/>
          <w:color w:val="000000" w:themeColor="text1"/>
          <w:szCs w:val="24"/>
        </w:rPr>
      </w:pPr>
      <w:r>
        <w:rPr>
          <w:noProof/>
          <w:lang w:eastAsia="en-GB"/>
        </w:rPr>
        <w:drawing>
          <wp:inline distT="0" distB="0" distL="0" distR="0">
            <wp:extent cx="5469255" cy="6032386"/>
            <wp:effectExtent l="0" t="0" r="0" b="6985"/>
            <wp:docPr id="7175"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69255" cy="6032386"/>
                    </a:xfrm>
                    <a:prstGeom prst="rect">
                      <a:avLst/>
                    </a:prstGeom>
                    <a:noFill/>
                    <a:ln>
                      <a:noFill/>
                    </a:ln>
                  </pic:spPr>
                </pic:pic>
              </a:graphicData>
            </a:graphic>
          </wp:inline>
        </w:drawing>
      </w:r>
      <w:bookmarkStart w:id="591" w:name="_Ref493617978"/>
    </w:p>
    <w:p w:rsidR="001A26B0" w:rsidRDefault="00E33A99">
      <w:pPr>
        <w:spacing w:after="120"/>
        <w:rPr>
          <w:noProof/>
          <w:color w:val="000000" w:themeColor="text1"/>
          <w:szCs w:val="24"/>
        </w:rPr>
      </w:pPr>
      <w:r>
        <w:rPr>
          <w:noProof/>
          <w:color w:val="000000" w:themeColor="text1"/>
          <w:szCs w:val="24"/>
        </w:rPr>
        <w:t xml:space="preserve">In terms of the policy instrument chosen to reach the higher sales levels, the first option, i.e. the binding </w:t>
      </w:r>
      <w:r>
        <w:rPr>
          <w:noProof/>
          <w:color w:val="000000" w:themeColor="text1"/>
          <w:szCs w:val="24"/>
        </w:rPr>
        <w:t>mandate, will deliver if combined with a strong enough compliance system. However, this situation could be different in the case of the crediting system which, in principle, leaves more flexibility to car manufacturers tailored to their own sales and innov</w:t>
      </w:r>
      <w:r>
        <w:rPr>
          <w:noProof/>
          <w:color w:val="000000" w:themeColor="text1"/>
          <w:szCs w:val="24"/>
        </w:rPr>
        <w:t>ation strategy.</w:t>
      </w:r>
    </w:p>
    <w:p w:rsidR="001A26B0" w:rsidRDefault="00E33A99">
      <w:pPr>
        <w:spacing w:after="120"/>
        <w:rPr>
          <w:noProof/>
          <w:color w:val="000000" w:themeColor="text1"/>
          <w:szCs w:val="24"/>
        </w:rPr>
      </w:pPr>
      <w:r>
        <w:rPr>
          <w:noProof/>
          <w:szCs w:val="24"/>
        </w:rPr>
        <w:t>Compared to a crediting system, a binding mandate reduces the flexibility for manufacturers to react to changes in relative costs between LEV/ZEV and conventional technologies. If e.g. battery costs decrease faster than expected, a creditin</w:t>
      </w:r>
      <w:r>
        <w:rPr>
          <w:noProof/>
          <w:szCs w:val="24"/>
        </w:rPr>
        <w:t>g system offers stronger incentives to invest further in LEV/ZEVs and increase further the competitiveness of the European automotive industry in this technology. A pure binding mandate does not offer these flexibilities and scores therefore lower in terms</w:t>
      </w:r>
      <w:r>
        <w:rPr>
          <w:noProof/>
          <w:szCs w:val="24"/>
        </w:rPr>
        <w:t xml:space="preserve"> of efficiency and proportionality.</w:t>
      </w:r>
    </w:p>
    <w:p w:rsidR="001A26B0" w:rsidRDefault="00E33A99">
      <w:pPr>
        <w:spacing w:after="120"/>
        <w:rPr>
          <w:noProof/>
          <w:color w:val="000000" w:themeColor="text1"/>
          <w:szCs w:val="24"/>
        </w:rPr>
      </w:pPr>
      <w:r>
        <w:rPr>
          <w:noProof/>
          <w:color w:val="000000" w:themeColor="text1"/>
          <w:szCs w:val="24"/>
        </w:rPr>
        <w:t>Under the two crediting options, LEVT_CRED1 and LEVT_CRED2, the LEV benchmark would be non-binding, which means that it may be over- or underachieved by individual manufacturers or pools, and this will affect their fleet</w:t>
      </w:r>
      <w:r>
        <w:rPr>
          <w:noProof/>
          <w:color w:val="000000" w:themeColor="text1"/>
          <w:szCs w:val="24"/>
        </w:rPr>
        <w:t>-wide CO</w:t>
      </w:r>
      <w:r>
        <w:rPr>
          <w:noProof/>
          <w:color w:val="000000" w:themeColor="text1"/>
          <w:szCs w:val="24"/>
          <w:vertAlign w:val="subscript"/>
        </w:rPr>
        <w:t>2</w:t>
      </w:r>
      <w:r>
        <w:rPr>
          <w:noProof/>
          <w:color w:val="000000" w:themeColor="text1"/>
          <w:szCs w:val="24"/>
        </w:rPr>
        <w:t xml:space="preserve"> target as explained in Section 5.3.2.2. </w:t>
      </w:r>
    </w:p>
    <w:p w:rsidR="001A26B0" w:rsidRDefault="00E33A99">
      <w:pPr>
        <w:spacing w:after="120"/>
        <w:rPr>
          <w:noProof/>
          <w:color w:val="000000" w:themeColor="text1"/>
          <w:szCs w:val="24"/>
        </w:rPr>
      </w:pPr>
      <w:r>
        <w:rPr>
          <w:noProof/>
          <w:color w:val="000000" w:themeColor="text1"/>
          <w:szCs w:val="24"/>
        </w:rPr>
        <w:t>The economic impacts of these options will depend on the extent to which the LEV share of different manufacturers will be above or below the LEV benchmark in 2025 and 2030.</w:t>
      </w:r>
    </w:p>
    <w:p w:rsidR="001A26B0" w:rsidRDefault="00E33A99">
      <w:pPr>
        <w:spacing w:after="120"/>
        <w:rPr>
          <w:noProof/>
          <w:color w:val="000000" w:themeColor="text1"/>
          <w:szCs w:val="24"/>
        </w:rPr>
      </w:pPr>
      <w:r>
        <w:rPr>
          <w:noProof/>
          <w:color w:val="000000" w:themeColor="text1"/>
          <w:szCs w:val="24"/>
        </w:rPr>
        <w:t>As the strategic choices that wi</w:t>
      </w:r>
      <w:r>
        <w:rPr>
          <w:noProof/>
          <w:color w:val="000000" w:themeColor="text1"/>
          <w:szCs w:val="24"/>
        </w:rPr>
        <w:t>ll be made by individual manufacturers are not known in advance, numerous variants could be designed in terms of LEV share and, consequently, the corresponding CO</w:t>
      </w:r>
      <w:r>
        <w:rPr>
          <w:noProof/>
          <w:color w:val="000000" w:themeColor="text1"/>
          <w:szCs w:val="24"/>
          <w:vertAlign w:val="subscript"/>
        </w:rPr>
        <w:t>2</w:t>
      </w:r>
      <w:r>
        <w:rPr>
          <w:noProof/>
          <w:color w:val="000000" w:themeColor="text1"/>
          <w:szCs w:val="24"/>
        </w:rPr>
        <w:t xml:space="preserve"> target. </w:t>
      </w:r>
    </w:p>
    <w:p w:rsidR="001A26B0" w:rsidRDefault="00E33A99">
      <w:pPr>
        <w:spacing w:after="120"/>
        <w:rPr>
          <w:noProof/>
          <w:color w:val="000000" w:themeColor="text1"/>
          <w:szCs w:val="24"/>
        </w:rPr>
      </w:pPr>
      <w:r>
        <w:rPr>
          <w:noProof/>
          <w:color w:val="000000" w:themeColor="text1"/>
          <w:szCs w:val="24"/>
        </w:rPr>
        <w:t>In order to understand the overall bandwidth and the potential trade-offs, a "low L</w:t>
      </w:r>
      <w:r>
        <w:rPr>
          <w:noProof/>
          <w:color w:val="000000" w:themeColor="text1"/>
          <w:szCs w:val="24"/>
        </w:rPr>
        <w:t xml:space="preserve">EV" case, where the average LEV fleet share is </w:t>
      </w:r>
      <w:r>
        <w:rPr>
          <w:b/>
          <w:noProof/>
          <w:color w:val="000000" w:themeColor="text1"/>
          <w:szCs w:val="24"/>
        </w:rPr>
        <w:t>below</w:t>
      </w:r>
      <w:r>
        <w:rPr>
          <w:noProof/>
          <w:color w:val="000000" w:themeColor="text1"/>
          <w:szCs w:val="24"/>
        </w:rPr>
        <w:t xml:space="preserve"> the LEV benchmark, and a "high LEV" case, where the average LEV fleet share is </w:t>
      </w:r>
      <w:r>
        <w:rPr>
          <w:b/>
          <w:noProof/>
          <w:color w:val="000000" w:themeColor="text1"/>
          <w:szCs w:val="24"/>
        </w:rPr>
        <w:t>above</w:t>
      </w:r>
      <w:r>
        <w:rPr>
          <w:noProof/>
          <w:color w:val="000000" w:themeColor="text1"/>
          <w:szCs w:val="24"/>
        </w:rPr>
        <w:t xml:space="preserve"> the LEV benchmark, will be further analysed. </w:t>
      </w:r>
    </w:p>
    <w:p w:rsidR="001A26B0" w:rsidRDefault="00E33A99">
      <w:pPr>
        <w:spacing w:after="120"/>
        <w:rPr>
          <w:noProof/>
          <w:color w:val="000000" w:themeColor="text1"/>
          <w:szCs w:val="24"/>
        </w:rPr>
      </w:pPr>
      <w:r>
        <w:rPr>
          <w:noProof/>
          <w:color w:val="000000" w:themeColor="text1"/>
          <w:szCs w:val="24"/>
        </w:rPr>
        <w:t xml:space="preserve">The figures below are examples with the aim of illustrating how </w:t>
      </w:r>
      <w:r>
        <w:rPr>
          <w:noProof/>
          <w:szCs w:val="24"/>
        </w:rPr>
        <w:t>the econ</w:t>
      </w:r>
      <w:r>
        <w:rPr>
          <w:noProof/>
          <w:szCs w:val="24"/>
        </w:rPr>
        <w:t>omic impacts of options LEVT_CRED1 and LEVT_CRED2 could evolve in case the LEV benchmark set is not met at the level of the EU-wide fleet.</w:t>
      </w:r>
    </w:p>
    <w:p w:rsidR="001A26B0" w:rsidRDefault="00E33A99">
      <w:pPr>
        <w:spacing w:after="120"/>
        <w:rPr>
          <w:noProof/>
          <w:szCs w:val="24"/>
        </w:rPr>
      </w:pPr>
      <w:r>
        <w:rPr>
          <w:noProof/>
          <w:szCs w:val="24"/>
        </w:rPr>
        <w:fldChar w:fldCharType="begin"/>
      </w:r>
      <w:r>
        <w:rPr>
          <w:noProof/>
          <w:szCs w:val="24"/>
        </w:rPr>
        <w:instrText xml:space="preserve"> REF _Ref493841930 \h  \* MERGEFORMAT </w:instrText>
      </w:r>
      <w:r>
        <w:rPr>
          <w:noProof/>
          <w:szCs w:val="24"/>
        </w:rPr>
      </w:r>
      <w:r>
        <w:rPr>
          <w:noProof/>
          <w:szCs w:val="24"/>
        </w:rPr>
        <w:fldChar w:fldCharType="separate"/>
      </w:r>
      <w:r>
        <w:rPr>
          <w:noProof/>
        </w:rPr>
        <w:t>Figure 34</w:t>
      </w:r>
      <w:r>
        <w:rPr>
          <w:noProof/>
          <w:szCs w:val="24"/>
        </w:rPr>
        <w:fldChar w:fldCharType="end"/>
      </w:r>
      <w:r>
        <w:rPr>
          <w:noProof/>
          <w:szCs w:val="24"/>
        </w:rPr>
        <w:t xml:space="preserve"> illustrates the effects on net savings for TCO-15 years which could be expected in case of a </w:t>
      </w:r>
      <w:r>
        <w:rPr>
          <w:b/>
          <w:noProof/>
          <w:szCs w:val="24"/>
        </w:rPr>
        <w:t>two-way</w:t>
      </w:r>
      <w:r>
        <w:rPr>
          <w:noProof/>
          <w:szCs w:val="24"/>
        </w:rPr>
        <w:t xml:space="preserve"> adjustment of the CO</w:t>
      </w:r>
      <w:r>
        <w:rPr>
          <w:noProof/>
          <w:szCs w:val="24"/>
          <w:vertAlign w:val="subscript"/>
        </w:rPr>
        <w:t>2</w:t>
      </w:r>
      <w:r>
        <w:rPr>
          <w:noProof/>
          <w:szCs w:val="24"/>
        </w:rPr>
        <w:t xml:space="preserve"> target level (option LEVT_CRED2). It shows the situation for 2030 with a CO</w:t>
      </w:r>
      <w:r>
        <w:rPr>
          <w:noProof/>
          <w:szCs w:val="24"/>
          <w:vertAlign w:val="subscript"/>
        </w:rPr>
        <w:t>2</w:t>
      </w:r>
      <w:r>
        <w:rPr>
          <w:noProof/>
          <w:szCs w:val="24"/>
        </w:rPr>
        <w:t xml:space="preserve"> target as under option TLC30 and the lower benchmark of</w:t>
      </w:r>
      <w:r>
        <w:rPr>
          <w:noProof/>
          <w:szCs w:val="24"/>
        </w:rPr>
        <w:t xml:space="preserve"> option LEV%_A</w:t>
      </w:r>
      <w:r>
        <w:rPr>
          <w:rStyle w:val="FootnoteReference"/>
          <w:noProof/>
          <w:szCs w:val="24"/>
        </w:rPr>
        <w:footnoteReference w:id="194"/>
      </w:r>
      <w:r>
        <w:rPr>
          <w:noProof/>
          <w:szCs w:val="24"/>
        </w:rPr>
        <w:t xml:space="preserve">. </w:t>
      </w:r>
    </w:p>
    <w:p w:rsidR="001A26B0" w:rsidRDefault="00E33A99">
      <w:pPr>
        <w:spacing w:after="120"/>
        <w:rPr>
          <w:noProof/>
          <w:szCs w:val="24"/>
        </w:rPr>
      </w:pPr>
      <w:r>
        <w:rPr>
          <w:noProof/>
          <w:szCs w:val="24"/>
        </w:rPr>
        <w:t xml:space="preserve">Under this option, net savings will tend to evolve between the situation where the LEV benchmark is exactly met (point A) and the "end points" for the "low LEV" case (point B) or "high LEV" case (point C). </w:t>
      </w:r>
      <w:r>
        <w:rPr>
          <w:noProof/>
          <w:color w:val="000000" w:themeColor="text1"/>
          <w:szCs w:val="24"/>
        </w:rPr>
        <w:t xml:space="preserve">In this case, the tightening or </w:t>
      </w:r>
      <w:r>
        <w:rPr>
          <w:noProof/>
          <w:color w:val="000000" w:themeColor="text1"/>
          <w:szCs w:val="24"/>
        </w:rPr>
        <w:t>relaxation of the CO</w:t>
      </w:r>
      <w:r>
        <w:rPr>
          <w:noProof/>
          <w:color w:val="000000" w:themeColor="text1"/>
          <w:szCs w:val="24"/>
          <w:vertAlign w:val="subscript"/>
        </w:rPr>
        <w:t>2</w:t>
      </w:r>
      <w:r>
        <w:rPr>
          <w:noProof/>
          <w:color w:val="000000" w:themeColor="text1"/>
          <w:szCs w:val="24"/>
        </w:rPr>
        <w:t xml:space="preserve"> target will be limited to a maximum of 5%, which determines the two end points of the possible range.</w:t>
      </w:r>
    </w:p>
    <w:p w:rsidR="001A26B0" w:rsidRDefault="00E33A99">
      <w:pPr>
        <w:spacing w:after="120"/>
        <w:rPr>
          <w:noProof/>
          <w:szCs w:val="24"/>
        </w:rPr>
      </w:pPr>
      <w:r>
        <w:rPr>
          <w:noProof/>
          <w:szCs w:val="24"/>
        </w:rPr>
        <w:t>In case the overall LEV fleet share is below the LEV benchmark, net savings will evolve towards point B as the EU-wide fleet CO</w:t>
      </w:r>
      <w:r>
        <w:rPr>
          <w:noProof/>
          <w:szCs w:val="24"/>
          <w:vertAlign w:val="subscript"/>
        </w:rPr>
        <w:t>2</w:t>
      </w:r>
      <w:r>
        <w:rPr>
          <w:noProof/>
          <w:szCs w:val="24"/>
        </w:rPr>
        <w:t xml:space="preserve"> tar</w:t>
      </w:r>
      <w:r>
        <w:rPr>
          <w:noProof/>
          <w:szCs w:val="24"/>
        </w:rPr>
        <w:t>get becomes up to 5% stricter, while the market penetration of LEV decreases and would become too low to create economies of scale. As a result of this, battery costs would be higher than in case the LEV benchmark is met.</w:t>
      </w:r>
    </w:p>
    <w:p w:rsidR="001A26B0" w:rsidRDefault="00E33A99">
      <w:pPr>
        <w:spacing w:after="120"/>
        <w:rPr>
          <w:noProof/>
          <w:szCs w:val="24"/>
        </w:rPr>
      </w:pPr>
      <w:r>
        <w:rPr>
          <w:noProof/>
          <w:szCs w:val="24"/>
        </w:rPr>
        <w:t>In case the manufacturer reaches a</w:t>
      </w:r>
      <w:r>
        <w:rPr>
          <w:noProof/>
          <w:szCs w:val="24"/>
        </w:rPr>
        <w:t>n overall LEV share in the fleet that is higher than the LEV benchmark, the net savings will evolve towards point C with increasing LEV fleet shares as the EU-wide fleet CO</w:t>
      </w:r>
      <w:r>
        <w:rPr>
          <w:noProof/>
          <w:szCs w:val="24"/>
          <w:vertAlign w:val="subscript"/>
        </w:rPr>
        <w:t>2</w:t>
      </w:r>
      <w:r>
        <w:rPr>
          <w:noProof/>
          <w:szCs w:val="24"/>
        </w:rPr>
        <w:t xml:space="preserve"> target becomes up to 5% less strict, but the market uptake of LEV increases.</w:t>
      </w:r>
    </w:p>
    <w:p w:rsidR="001A26B0" w:rsidRDefault="00E33A99">
      <w:pPr>
        <w:spacing w:after="120"/>
        <w:rPr>
          <w:noProof/>
          <w:szCs w:val="24"/>
        </w:rPr>
      </w:pPr>
      <w:r>
        <w:rPr>
          <w:noProof/>
          <w:szCs w:val="24"/>
        </w:rPr>
        <w:fldChar w:fldCharType="begin"/>
      </w:r>
      <w:r>
        <w:rPr>
          <w:noProof/>
          <w:szCs w:val="24"/>
        </w:rPr>
        <w:instrText xml:space="preserve"> REF </w:instrText>
      </w:r>
      <w:r>
        <w:rPr>
          <w:noProof/>
          <w:szCs w:val="24"/>
        </w:rPr>
        <w:instrText xml:space="preserve">_Ref493618574 \h </w:instrText>
      </w:r>
      <w:r>
        <w:rPr>
          <w:noProof/>
          <w:szCs w:val="24"/>
        </w:rPr>
      </w:r>
      <w:r>
        <w:rPr>
          <w:noProof/>
          <w:szCs w:val="24"/>
        </w:rPr>
        <w:fldChar w:fldCharType="separate"/>
      </w:r>
      <w:r>
        <w:rPr>
          <w:noProof/>
        </w:rPr>
        <w:t>Figure 35</w:t>
      </w:r>
      <w:r>
        <w:rPr>
          <w:noProof/>
          <w:szCs w:val="24"/>
        </w:rPr>
        <w:fldChar w:fldCharType="end"/>
      </w:r>
      <w:r>
        <w:rPr>
          <w:noProof/>
          <w:szCs w:val="24"/>
        </w:rPr>
        <w:t xml:space="preserve"> illustrates the expected impacts on net savings (TCO-15 years) in case of option LEVT_CRED1 (</w:t>
      </w:r>
      <w:r>
        <w:rPr>
          <w:b/>
          <w:noProof/>
          <w:szCs w:val="24"/>
        </w:rPr>
        <w:t>one-way</w:t>
      </w:r>
      <w:r>
        <w:rPr>
          <w:noProof/>
          <w:szCs w:val="24"/>
        </w:rPr>
        <w:t xml:space="preserve"> adjustment of the CO</w:t>
      </w:r>
      <w:r>
        <w:rPr>
          <w:noProof/>
          <w:szCs w:val="24"/>
          <w:vertAlign w:val="subscript"/>
        </w:rPr>
        <w:t>2</w:t>
      </w:r>
      <w:r>
        <w:rPr>
          <w:noProof/>
          <w:szCs w:val="24"/>
        </w:rPr>
        <w:t xml:space="preserve"> target level). </w:t>
      </w:r>
    </w:p>
    <w:p w:rsidR="001A26B0" w:rsidRDefault="00E33A99">
      <w:pPr>
        <w:spacing w:after="120"/>
        <w:rPr>
          <w:noProof/>
          <w:szCs w:val="24"/>
        </w:rPr>
      </w:pPr>
      <w:r>
        <w:rPr>
          <w:noProof/>
          <w:szCs w:val="24"/>
        </w:rPr>
        <w:t>Under this option, the</w:t>
      </w:r>
      <w:r>
        <w:rPr>
          <w:noProof/>
          <w:szCs w:val="24"/>
        </w:rPr>
        <w:t xml:space="preserve"> situation is the same as for LEVT_CRED2 in case the overall LEV share in the fleet is higher than the LEV benchmark (point C).</w:t>
      </w:r>
    </w:p>
    <w:p w:rsidR="001A26B0" w:rsidRDefault="00E33A99">
      <w:pPr>
        <w:spacing w:after="120"/>
        <w:rPr>
          <w:noProof/>
          <w:szCs w:val="24"/>
        </w:rPr>
      </w:pPr>
      <w:r>
        <w:rPr>
          <w:noProof/>
          <w:szCs w:val="24"/>
        </w:rPr>
        <w:t>However, in case the overall LEV fleet share is below the LEV benchmark, net savings will evolve towards point B, as the initial</w:t>
      </w:r>
      <w:r>
        <w:rPr>
          <w:noProof/>
          <w:szCs w:val="24"/>
        </w:rPr>
        <w:t xml:space="preserve"> CO</w:t>
      </w:r>
      <w:r>
        <w:rPr>
          <w:noProof/>
          <w:szCs w:val="24"/>
          <w:vertAlign w:val="subscript"/>
        </w:rPr>
        <w:t>2</w:t>
      </w:r>
      <w:r>
        <w:rPr>
          <w:noProof/>
          <w:szCs w:val="24"/>
        </w:rPr>
        <w:t xml:space="preserve"> target level is not tightened. As for LEVT_CRED2, battery costs would be higher than in case the LEV benchmark is met.</w:t>
      </w:r>
    </w:p>
    <w:p w:rsidR="001A26B0" w:rsidRDefault="00E33A99">
      <w:pPr>
        <w:spacing w:after="120"/>
        <w:rPr>
          <w:noProof/>
          <w:szCs w:val="24"/>
        </w:rPr>
      </w:pPr>
      <w:r>
        <w:rPr>
          <w:noProof/>
          <w:szCs w:val="24"/>
        </w:rPr>
        <w:t xml:space="preserve">As can be seen, for the situation shown, the net savings would always tend to decrease in case the LEV benchmark is not met. </w:t>
      </w:r>
    </w:p>
    <w:p w:rsidR="001A26B0" w:rsidRDefault="00E33A99">
      <w:pPr>
        <w:spacing w:after="120"/>
        <w:rPr>
          <w:noProof/>
          <w:szCs w:val="24"/>
        </w:rPr>
      </w:pPr>
      <w:r>
        <w:rPr>
          <w:noProof/>
          <w:szCs w:val="24"/>
        </w:rPr>
        <w:t>Furthe</w:t>
      </w:r>
      <w:r>
        <w:rPr>
          <w:noProof/>
          <w:szCs w:val="24"/>
        </w:rPr>
        <w:t>rmore, under option LEVT_CRED1, the one-way adjustment mechanism weakens the signal provided to the market as regards the uptake of LEV. Indeed, as there would be no consequences for manufacturers in not achieving the LEV benchmark, the LEV benchmark would</w:t>
      </w:r>
      <w:r>
        <w:rPr>
          <w:noProof/>
          <w:szCs w:val="24"/>
        </w:rPr>
        <w:t xml:space="preserve"> become fully voluntary.</w:t>
      </w:r>
    </w:p>
    <w:p w:rsidR="001A26B0" w:rsidRDefault="00E33A99">
      <w:pPr>
        <w:keepNext/>
        <w:spacing w:after="120"/>
        <w:rPr>
          <w:noProof/>
        </w:rPr>
      </w:pPr>
      <w:bookmarkStart w:id="592" w:name="_Ref493841930"/>
      <w:bookmarkStart w:id="593" w:name="_Toc496688580"/>
      <w:r>
        <w:rPr>
          <w:b/>
          <w:noProof/>
        </w:rPr>
        <w:t xml:space="preserve">Figure </w:t>
      </w:r>
      <w:r>
        <w:rPr>
          <w:b/>
          <w:noProof/>
        </w:rPr>
        <w:fldChar w:fldCharType="begin"/>
      </w:r>
      <w:r>
        <w:rPr>
          <w:b/>
          <w:noProof/>
        </w:rPr>
        <w:instrText xml:space="preserve"> SEQ Figure \* ARABIC </w:instrText>
      </w:r>
      <w:r>
        <w:rPr>
          <w:b/>
          <w:noProof/>
        </w:rPr>
        <w:fldChar w:fldCharType="separate"/>
      </w:r>
      <w:r>
        <w:rPr>
          <w:b/>
          <w:noProof/>
        </w:rPr>
        <w:t>34</w:t>
      </w:r>
      <w:r>
        <w:rPr>
          <w:b/>
          <w:noProof/>
        </w:rPr>
        <w:fldChar w:fldCharType="end"/>
      </w:r>
      <w:bookmarkEnd w:id="591"/>
      <w:bookmarkEnd w:id="592"/>
      <w:r>
        <w:rPr>
          <w:b/>
          <w:noProof/>
        </w:rPr>
        <w:t>: Illustration of the impacts of option LEVT_CRED2 (net savings, TCO-15 years) in case the LEV benchmark is not exactly met (with the CO</w:t>
      </w:r>
      <w:r>
        <w:rPr>
          <w:b/>
          <w:noProof/>
          <w:vertAlign w:val="subscript"/>
        </w:rPr>
        <w:t>2</w:t>
      </w:r>
      <w:r>
        <w:rPr>
          <w:b/>
          <w:noProof/>
        </w:rPr>
        <w:t xml:space="preserve"> target of option TLC30 and the benchmark of option LEV%_A)</w:t>
      </w:r>
      <w:bookmarkEnd w:id="593"/>
    </w:p>
    <w:p w:rsidR="001A26B0" w:rsidRDefault="00E33A99">
      <w:pPr>
        <w:spacing w:after="200"/>
        <w:jc w:val="center"/>
        <w:rPr>
          <w:i/>
          <w:noProof/>
        </w:rPr>
      </w:pPr>
      <w:r>
        <w:rPr>
          <w:i/>
          <w:noProof/>
          <w:lang w:eastAsia="en-GB"/>
        </w:rPr>
        <w:drawing>
          <wp:inline distT="0" distB="0" distL="0" distR="0">
            <wp:extent cx="3505200" cy="2790027"/>
            <wp:effectExtent l="0" t="0" r="0" b="0"/>
            <wp:docPr id="7177"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505200" cy="2790027"/>
                    </a:xfrm>
                    <a:prstGeom prst="rect">
                      <a:avLst/>
                    </a:prstGeom>
                    <a:noFill/>
                  </pic:spPr>
                </pic:pic>
              </a:graphicData>
            </a:graphic>
          </wp:inline>
        </w:drawing>
      </w:r>
      <w:r>
        <w:rPr>
          <w:i/>
          <w:noProof/>
          <w:lang w:eastAsia="en-GB"/>
        </w:rPr>
        <w:drawing>
          <wp:inline distT="0" distB="0" distL="0" distR="0">
            <wp:extent cx="3505200" cy="2781489"/>
            <wp:effectExtent l="0" t="0" r="0" b="0"/>
            <wp:docPr id="7178" name="Picture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505200" cy="2781489"/>
                    </a:xfrm>
                    <a:prstGeom prst="rect">
                      <a:avLst/>
                    </a:prstGeom>
                    <a:noFill/>
                  </pic:spPr>
                </pic:pic>
              </a:graphicData>
            </a:graphic>
          </wp:inline>
        </w:drawing>
      </w:r>
      <w:r>
        <w:rPr>
          <w:i/>
          <w:noProof/>
          <w:lang w:eastAsia="en-GB"/>
        </w:rPr>
        <w:drawing>
          <wp:inline distT="0" distB="0" distL="0" distR="0">
            <wp:extent cx="3505200" cy="2784433"/>
            <wp:effectExtent l="0" t="0" r="0" b="0"/>
            <wp:docPr id="7179" name="Pictu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505200" cy="2784433"/>
                    </a:xfrm>
                    <a:prstGeom prst="rect">
                      <a:avLst/>
                    </a:prstGeom>
                    <a:noFill/>
                  </pic:spPr>
                </pic:pic>
              </a:graphicData>
            </a:graphic>
          </wp:inline>
        </w:drawing>
      </w:r>
    </w:p>
    <w:p w:rsidR="001A26B0" w:rsidRDefault="00E33A99">
      <w:pPr>
        <w:pStyle w:val="Caption"/>
        <w:keepNext/>
        <w:rPr>
          <w:noProof/>
        </w:rPr>
      </w:pPr>
      <w:bookmarkStart w:id="594" w:name="_Ref493618574"/>
      <w:bookmarkStart w:id="595" w:name="_Toc496688581"/>
      <w:r>
        <w:rPr>
          <w:noProof/>
        </w:rPr>
        <w:t xml:space="preserve">Figure </w:t>
      </w:r>
      <w:r>
        <w:rPr>
          <w:noProof/>
        </w:rPr>
        <w:fldChar w:fldCharType="begin"/>
      </w:r>
      <w:r>
        <w:rPr>
          <w:noProof/>
        </w:rPr>
        <w:instrText xml:space="preserve"> SEQ Figure \* ARABIC </w:instrText>
      </w:r>
      <w:r>
        <w:rPr>
          <w:noProof/>
        </w:rPr>
        <w:fldChar w:fldCharType="separate"/>
      </w:r>
      <w:r>
        <w:rPr>
          <w:noProof/>
        </w:rPr>
        <w:t>35</w:t>
      </w:r>
      <w:r>
        <w:rPr>
          <w:noProof/>
        </w:rPr>
        <w:fldChar w:fldCharType="end"/>
      </w:r>
      <w:bookmarkEnd w:id="594"/>
      <w:r>
        <w:rPr>
          <w:noProof/>
        </w:rPr>
        <w:t>: Illustration of the impacts of option LEVT_CRED1 (net savings, TCO-15 years) in case the LEV benchmark is not exactly met (with the CO</w:t>
      </w:r>
      <w:r>
        <w:rPr>
          <w:noProof/>
          <w:vertAlign w:val="subscript"/>
        </w:rPr>
        <w:t>2</w:t>
      </w:r>
      <w:r>
        <w:rPr>
          <w:noProof/>
        </w:rPr>
        <w:t xml:space="preserve"> target of option TLC30 and the benchmark of option LEV%_A)</w:t>
      </w:r>
      <w:bookmarkEnd w:id="595"/>
    </w:p>
    <w:p w:rsidR="001A26B0" w:rsidRDefault="00E33A99">
      <w:pPr>
        <w:spacing w:after="200"/>
        <w:jc w:val="center"/>
        <w:rPr>
          <w:i/>
          <w:noProof/>
        </w:rPr>
      </w:pPr>
      <w:r>
        <w:rPr>
          <w:i/>
          <w:noProof/>
          <w:lang w:eastAsia="en-GB"/>
        </w:rPr>
        <w:drawing>
          <wp:inline distT="0" distB="0" distL="0" distR="0">
            <wp:extent cx="3505200" cy="2790027"/>
            <wp:effectExtent l="0" t="0" r="0" b="0"/>
            <wp:docPr id="7180" name="Picture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505200" cy="2790027"/>
                    </a:xfrm>
                    <a:prstGeom prst="rect">
                      <a:avLst/>
                    </a:prstGeom>
                    <a:noFill/>
                  </pic:spPr>
                </pic:pic>
              </a:graphicData>
            </a:graphic>
          </wp:inline>
        </w:drawing>
      </w:r>
      <w:r>
        <w:rPr>
          <w:i/>
          <w:noProof/>
          <w:lang w:eastAsia="en-GB"/>
        </w:rPr>
        <w:drawing>
          <wp:inline distT="0" distB="0" distL="0" distR="0">
            <wp:extent cx="3505200" cy="2781489"/>
            <wp:effectExtent l="0" t="0" r="0" b="0"/>
            <wp:docPr id="7181"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505200" cy="2781489"/>
                    </a:xfrm>
                    <a:prstGeom prst="rect">
                      <a:avLst/>
                    </a:prstGeom>
                    <a:noFill/>
                  </pic:spPr>
                </pic:pic>
              </a:graphicData>
            </a:graphic>
          </wp:inline>
        </w:drawing>
      </w:r>
      <w:r>
        <w:rPr>
          <w:i/>
          <w:noProof/>
          <w:lang w:eastAsia="en-GB"/>
        </w:rPr>
        <w:drawing>
          <wp:inline distT="0" distB="0" distL="0" distR="0">
            <wp:extent cx="3505200" cy="2784433"/>
            <wp:effectExtent l="0" t="0" r="0" b="0"/>
            <wp:docPr id="7182" name="Picture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505200" cy="2784433"/>
                    </a:xfrm>
                    <a:prstGeom prst="rect">
                      <a:avLst/>
                    </a:prstGeom>
                    <a:noFill/>
                  </pic:spPr>
                </pic:pic>
              </a:graphicData>
            </a:graphic>
          </wp:inline>
        </w:drawing>
      </w:r>
    </w:p>
    <w:p w:rsidR="001A26B0" w:rsidRDefault="00E33A99">
      <w:pPr>
        <w:spacing w:after="120"/>
        <w:rPr>
          <w:i/>
          <w:noProof/>
          <w:szCs w:val="24"/>
        </w:rPr>
      </w:pPr>
      <w:r>
        <w:rPr>
          <w:i/>
          <w:noProof/>
          <w:szCs w:val="24"/>
        </w:rPr>
        <w:t>Interaction betwe</w:t>
      </w:r>
      <w:r>
        <w:rPr>
          <w:i/>
          <w:noProof/>
          <w:szCs w:val="24"/>
        </w:rPr>
        <w:t>en the LEV/ZEV crediting system and the CO</w:t>
      </w:r>
      <w:r>
        <w:rPr>
          <w:i/>
          <w:noProof/>
          <w:szCs w:val="24"/>
          <w:vertAlign w:val="subscript"/>
        </w:rPr>
        <w:t>2</w:t>
      </w:r>
      <w:r>
        <w:rPr>
          <w:i/>
          <w:noProof/>
          <w:szCs w:val="24"/>
        </w:rPr>
        <w:t xml:space="preserve"> fleet-wide reduction level</w:t>
      </w:r>
    </w:p>
    <w:p w:rsidR="001A26B0" w:rsidRDefault="00E33A99">
      <w:pPr>
        <w:spacing w:after="120"/>
        <w:rPr>
          <w:noProof/>
          <w:szCs w:val="24"/>
        </w:rPr>
      </w:pPr>
      <w:r>
        <w:rPr>
          <w:noProof/>
          <w:szCs w:val="24"/>
        </w:rPr>
        <w:t>The CO</w:t>
      </w:r>
      <w:r>
        <w:rPr>
          <w:noProof/>
          <w:szCs w:val="24"/>
          <w:vertAlign w:val="subscript"/>
        </w:rPr>
        <w:t>2</w:t>
      </w:r>
      <w:r>
        <w:rPr>
          <w:noProof/>
          <w:szCs w:val="24"/>
        </w:rPr>
        <w:t xml:space="preserve"> fleet-wide reduction level and the level of the ZEV/LEV benchmark in the case of the crediting system will also have an impact on the efficiency of the conventional vehicles. Se</w:t>
      </w:r>
      <w:r>
        <w:rPr>
          <w:noProof/>
          <w:szCs w:val="24"/>
        </w:rPr>
        <w:t>tting a LEV incentive increases the market uptake of LEV. As a consequence, in order to comply with the CO</w:t>
      </w:r>
      <w:r>
        <w:rPr>
          <w:noProof/>
          <w:szCs w:val="24"/>
          <w:vertAlign w:val="subscript"/>
        </w:rPr>
        <w:t>2</w:t>
      </w:r>
      <w:r>
        <w:rPr>
          <w:noProof/>
          <w:szCs w:val="24"/>
        </w:rPr>
        <w:t xml:space="preserve"> fleet-wide target, lower efforts are required to improve the efficiency of the conventional vehicles.</w:t>
      </w:r>
    </w:p>
    <w:p w:rsidR="001A26B0" w:rsidRDefault="00E33A99">
      <w:pPr>
        <w:spacing w:after="120"/>
        <w:rPr>
          <w:noProof/>
          <w:szCs w:val="24"/>
        </w:rPr>
      </w:pPr>
      <w:r>
        <w:rPr>
          <w:noProof/>
          <w:szCs w:val="24"/>
        </w:rPr>
        <w:fldChar w:fldCharType="begin"/>
      </w:r>
      <w:r>
        <w:rPr>
          <w:noProof/>
          <w:szCs w:val="24"/>
        </w:rPr>
        <w:instrText xml:space="preserve"> REF _Ref494123720 \h  \* MERGEFORMAT </w:instrText>
      </w:r>
      <w:r>
        <w:rPr>
          <w:noProof/>
          <w:szCs w:val="24"/>
        </w:rPr>
      </w:r>
      <w:r>
        <w:rPr>
          <w:noProof/>
          <w:szCs w:val="24"/>
        </w:rPr>
        <w:fldChar w:fldCharType="separate"/>
      </w:r>
      <w:r>
        <w:rPr>
          <w:noProof/>
        </w:rPr>
        <w:t>Table 38</w:t>
      </w:r>
      <w:r>
        <w:rPr>
          <w:noProof/>
          <w:szCs w:val="24"/>
        </w:rPr>
        <w:fldChar w:fldCharType="end"/>
      </w:r>
      <w:r>
        <w:rPr>
          <w:noProof/>
          <w:szCs w:val="24"/>
        </w:rPr>
        <w:t xml:space="preserve"> shows the changes in percentages of the emissions of an average conventional car in 2030 compared with the average baseline conventional vehicle in 2020/2021 when combining the CO</w:t>
      </w:r>
      <w:r>
        <w:rPr>
          <w:noProof/>
          <w:szCs w:val="24"/>
          <w:vertAlign w:val="subscript"/>
        </w:rPr>
        <w:t>2</w:t>
      </w:r>
      <w:r>
        <w:rPr>
          <w:noProof/>
          <w:szCs w:val="24"/>
        </w:rPr>
        <w:t xml:space="preserve"> fleet </w:t>
      </w:r>
      <w:r>
        <w:rPr>
          <w:noProof/>
          <w:szCs w:val="24"/>
        </w:rPr>
        <w:t>target of 25% or 30% reduction with a LEV mandate or with a LEV crediting system.</w:t>
      </w:r>
    </w:p>
    <w:p w:rsidR="001A26B0" w:rsidRDefault="00E33A99">
      <w:pPr>
        <w:spacing w:after="120"/>
        <w:rPr>
          <w:noProof/>
          <w:szCs w:val="24"/>
        </w:rPr>
      </w:pPr>
      <w:r>
        <w:rPr>
          <w:noProof/>
          <w:szCs w:val="24"/>
        </w:rPr>
        <w:t>It shows that the efforts required for conventional vehicles would be significantly lower in case of a crediting system with a 5% overachievement of the LEV benchmark. As a m</w:t>
      </w:r>
      <w:r>
        <w:rPr>
          <w:noProof/>
          <w:szCs w:val="24"/>
        </w:rPr>
        <w:t>atter of fact, CO</w:t>
      </w:r>
      <w:r>
        <w:rPr>
          <w:noProof/>
          <w:szCs w:val="24"/>
          <w:vertAlign w:val="subscript"/>
        </w:rPr>
        <w:t>2</w:t>
      </w:r>
      <w:r>
        <w:rPr>
          <w:noProof/>
          <w:szCs w:val="24"/>
        </w:rPr>
        <w:t xml:space="preserve"> emissions of the average conventional vehicle could be relaxed and become 2 to 12% higher in case of a 25% reduction target. For a 30% reduction target, the range of changes in emissions would be from -5 to +5%.  </w:t>
      </w:r>
    </w:p>
    <w:p w:rsidR="001A26B0" w:rsidRDefault="00E33A99">
      <w:pPr>
        <w:spacing w:after="120"/>
        <w:rPr>
          <w:noProof/>
          <w:szCs w:val="24"/>
        </w:rPr>
      </w:pPr>
      <w:r>
        <w:rPr>
          <w:noProof/>
          <w:szCs w:val="24"/>
        </w:rPr>
        <w:t>In the other case of 5%</w:t>
      </w:r>
      <w:r>
        <w:rPr>
          <w:noProof/>
          <w:szCs w:val="24"/>
        </w:rPr>
        <w:t xml:space="preserve"> underachievement of the LEV benchmark, manufacturers would have to significantly reduce CO</w:t>
      </w:r>
      <w:r>
        <w:rPr>
          <w:noProof/>
          <w:szCs w:val="24"/>
          <w:vertAlign w:val="subscript"/>
        </w:rPr>
        <w:t>2</w:t>
      </w:r>
      <w:r>
        <w:rPr>
          <w:noProof/>
          <w:szCs w:val="24"/>
        </w:rPr>
        <w:t xml:space="preserve"> emissions from their conventional vehicles as indicated in </w:t>
      </w:r>
      <w:r>
        <w:rPr>
          <w:noProof/>
          <w:szCs w:val="24"/>
        </w:rPr>
        <w:fldChar w:fldCharType="begin"/>
      </w:r>
      <w:r>
        <w:rPr>
          <w:noProof/>
          <w:szCs w:val="24"/>
        </w:rPr>
        <w:instrText xml:space="preserve"> REF _Ref494123720 \h  \* MERGEFORMAT </w:instrText>
      </w:r>
      <w:r>
        <w:rPr>
          <w:noProof/>
          <w:szCs w:val="24"/>
        </w:rPr>
      </w:r>
      <w:r>
        <w:rPr>
          <w:noProof/>
          <w:szCs w:val="24"/>
        </w:rPr>
        <w:fldChar w:fldCharType="separate"/>
      </w:r>
      <w:r>
        <w:rPr>
          <w:noProof/>
        </w:rPr>
        <w:t>Table 38</w:t>
      </w:r>
      <w:r>
        <w:rPr>
          <w:noProof/>
          <w:szCs w:val="24"/>
        </w:rPr>
        <w:fldChar w:fldCharType="end"/>
      </w:r>
      <w:r>
        <w:rPr>
          <w:noProof/>
          <w:szCs w:val="24"/>
        </w:rPr>
        <w:t xml:space="preserve">: average emissions would be 12% or </w:t>
      </w:r>
      <w:bookmarkStart w:id="596" w:name="_Ref493870894"/>
      <w:r>
        <w:rPr>
          <w:noProof/>
          <w:szCs w:val="24"/>
        </w:rPr>
        <w:t>18 % lower than for the baseline vehicle, in case of a 25% and a 30% reduction target, respectively. This would give quite a strong signal to manufacturers to reach the LEV benchmark and would have to be consid</w:t>
      </w:r>
      <w:r>
        <w:rPr>
          <w:noProof/>
          <w:szCs w:val="24"/>
        </w:rPr>
        <w:t>ered when designing the trade-off between the level of underachievement and the corresponding adjustment of the CO</w:t>
      </w:r>
      <w:r>
        <w:rPr>
          <w:noProof/>
          <w:szCs w:val="24"/>
          <w:vertAlign w:val="subscript"/>
        </w:rPr>
        <w:t>2</w:t>
      </w:r>
      <w:r>
        <w:rPr>
          <w:noProof/>
          <w:szCs w:val="24"/>
        </w:rPr>
        <w:t xml:space="preserve"> target. </w:t>
      </w:r>
    </w:p>
    <w:p w:rsidR="001A26B0" w:rsidRDefault="00E33A99">
      <w:pPr>
        <w:spacing w:after="120"/>
        <w:rPr>
          <w:noProof/>
          <w:szCs w:val="24"/>
        </w:rPr>
      </w:pPr>
      <w:r>
        <w:rPr>
          <w:noProof/>
          <w:szCs w:val="24"/>
        </w:rPr>
        <w:t>In a situation with a LEV mandate, CO</w:t>
      </w:r>
      <w:r>
        <w:rPr>
          <w:noProof/>
          <w:szCs w:val="24"/>
          <w:vertAlign w:val="subscript"/>
        </w:rPr>
        <w:t>2</w:t>
      </w:r>
      <w:r>
        <w:rPr>
          <w:noProof/>
          <w:szCs w:val="24"/>
        </w:rPr>
        <w:t xml:space="preserve"> emissions of the average conventional vehicle are between 3 and 7% and between 8 and 13% lower than for the baseline vehicle, in case of a 25% and a 30% reduction target, respectively.</w:t>
      </w:r>
    </w:p>
    <w:p w:rsidR="001A26B0" w:rsidRDefault="00E33A99">
      <w:pPr>
        <w:spacing w:after="120"/>
        <w:rPr>
          <w:noProof/>
          <w:szCs w:val="24"/>
        </w:rPr>
      </w:pPr>
      <w:r>
        <w:rPr>
          <w:noProof/>
          <w:szCs w:val="24"/>
        </w:rPr>
        <w:t xml:space="preserve">So, in a number of the options below there would be no incentive left </w:t>
      </w:r>
      <w:r>
        <w:rPr>
          <w:noProof/>
          <w:szCs w:val="24"/>
        </w:rPr>
        <w:t>for the technological advancement of internal combustion engines after 2020/21. This will have to be taken into consideration as part of the wider industrial policy when designing the trade-off between the percentage of over achievement and the credit in t</w:t>
      </w:r>
      <w:r>
        <w:rPr>
          <w:noProof/>
          <w:szCs w:val="24"/>
        </w:rPr>
        <w:t>erms of lowering the CO</w:t>
      </w:r>
      <w:r>
        <w:rPr>
          <w:noProof/>
          <w:szCs w:val="24"/>
          <w:vertAlign w:val="subscript"/>
        </w:rPr>
        <w:t>2</w:t>
      </w:r>
      <w:r>
        <w:rPr>
          <w:noProof/>
          <w:szCs w:val="24"/>
        </w:rPr>
        <w:t xml:space="preserve"> target.</w:t>
      </w:r>
    </w:p>
    <w:p w:rsidR="001A26B0" w:rsidRDefault="00E33A99">
      <w:pPr>
        <w:spacing w:after="120"/>
        <w:rPr>
          <w:b/>
          <w:noProof/>
          <w:szCs w:val="24"/>
        </w:rPr>
      </w:pPr>
      <w:bookmarkStart w:id="597" w:name="_Ref494123720"/>
      <w:r>
        <w:rPr>
          <w:b/>
          <w:noProof/>
        </w:rPr>
        <w:t xml:space="preserve">Table </w:t>
      </w:r>
      <w:r>
        <w:rPr>
          <w:b/>
          <w:noProof/>
        </w:rPr>
        <w:fldChar w:fldCharType="begin"/>
      </w:r>
      <w:r>
        <w:rPr>
          <w:b/>
          <w:noProof/>
        </w:rPr>
        <w:instrText xml:space="preserve"> SEQ Table \* ARABIC </w:instrText>
      </w:r>
      <w:r>
        <w:rPr>
          <w:b/>
          <w:noProof/>
        </w:rPr>
        <w:fldChar w:fldCharType="separate"/>
      </w:r>
      <w:r>
        <w:rPr>
          <w:b/>
          <w:noProof/>
        </w:rPr>
        <w:t>38</w:t>
      </w:r>
      <w:r>
        <w:rPr>
          <w:b/>
          <w:noProof/>
        </w:rPr>
        <w:fldChar w:fldCharType="end"/>
      </w:r>
      <w:bookmarkEnd w:id="596"/>
      <w:bookmarkEnd w:id="597"/>
      <w:r>
        <w:rPr>
          <w:b/>
          <w:noProof/>
        </w:rPr>
        <w:t xml:space="preserve">: </w:t>
      </w:r>
      <w:r>
        <w:rPr>
          <w:b/>
          <w:noProof/>
          <w:szCs w:val="24"/>
        </w:rPr>
        <w:t xml:space="preserve">Emissions of an average conventional car in 2030 - expressed as % difference compared with a baseline conventional car in 2020/2021 - under options TLC25 and TLC30 in case of a LEV mandate </w:t>
      </w:r>
      <w:r>
        <w:rPr>
          <w:b/>
          <w:noProof/>
          <w:szCs w:val="24"/>
        </w:rPr>
        <w:t>(LEV%_A) and in case of a crediting system, with 5% overachievement of the LEV benchmark</w:t>
      </w:r>
    </w:p>
    <w:tbl>
      <w:tblPr>
        <w:tblStyle w:val="TableGrid"/>
        <w:tblW w:w="5000" w:type="pct"/>
        <w:tblLook w:val="04A0" w:firstRow="1" w:lastRow="0" w:firstColumn="1" w:lastColumn="0" w:noHBand="0" w:noVBand="1"/>
      </w:tblPr>
      <w:tblGrid>
        <w:gridCol w:w="3922"/>
        <w:gridCol w:w="2454"/>
        <w:gridCol w:w="2453"/>
      </w:tblGrid>
      <w:tr w:rsidR="001A26B0">
        <w:tc>
          <w:tcPr>
            <w:tcW w:w="2221" w:type="pct"/>
          </w:tcPr>
          <w:p w:rsidR="001A26B0" w:rsidRDefault="00E33A99">
            <w:pPr>
              <w:spacing w:after="120"/>
              <w:rPr>
                <w:b/>
                <w:noProof/>
                <w:szCs w:val="24"/>
                <w:lang w:val="fr-FR"/>
              </w:rPr>
            </w:pPr>
            <w:r>
              <w:rPr>
                <w:b/>
                <w:noProof/>
                <w:szCs w:val="24"/>
                <w:lang w:val="fr-FR"/>
              </w:rPr>
              <w:t>LEVD_ZEV</w:t>
            </w:r>
          </w:p>
        </w:tc>
        <w:tc>
          <w:tcPr>
            <w:tcW w:w="1390" w:type="pct"/>
          </w:tcPr>
          <w:p w:rsidR="001A26B0" w:rsidRDefault="00E33A99">
            <w:pPr>
              <w:spacing w:after="120"/>
              <w:jc w:val="center"/>
              <w:rPr>
                <w:b/>
                <w:noProof/>
                <w:szCs w:val="24"/>
                <w:lang w:val="fr-FR"/>
              </w:rPr>
            </w:pPr>
            <w:r>
              <w:rPr>
                <w:b/>
                <w:noProof/>
                <w:szCs w:val="24"/>
                <w:lang w:val="fr-FR"/>
              </w:rPr>
              <w:t>TLC25</w:t>
            </w:r>
          </w:p>
        </w:tc>
        <w:tc>
          <w:tcPr>
            <w:tcW w:w="1389" w:type="pct"/>
          </w:tcPr>
          <w:p w:rsidR="001A26B0" w:rsidRDefault="00E33A99">
            <w:pPr>
              <w:spacing w:after="120"/>
              <w:jc w:val="center"/>
              <w:rPr>
                <w:b/>
                <w:noProof/>
                <w:szCs w:val="24"/>
                <w:lang w:val="fr-FR"/>
              </w:rPr>
            </w:pPr>
            <w:r>
              <w:rPr>
                <w:b/>
                <w:noProof/>
                <w:szCs w:val="24"/>
                <w:lang w:val="fr-FR"/>
              </w:rPr>
              <w:t>TLC30</w:t>
            </w:r>
          </w:p>
        </w:tc>
      </w:tr>
      <w:tr w:rsidR="001A26B0">
        <w:tc>
          <w:tcPr>
            <w:tcW w:w="2221" w:type="pct"/>
          </w:tcPr>
          <w:p w:rsidR="001A26B0" w:rsidRDefault="00E33A99">
            <w:pPr>
              <w:spacing w:after="120"/>
              <w:rPr>
                <w:noProof/>
                <w:szCs w:val="24"/>
                <w:lang w:val="fr-FR"/>
              </w:rPr>
            </w:pPr>
            <w:r>
              <w:rPr>
                <w:noProof/>
                <w:szCs w:val="24"/>
                <w:lang w:val="fr-FR"/>
              </w:rPr>
              <w:t>LEVT_MAND</w:t>
            </w:r>
          </w:p>
        </w:tc>
        <w:tc>
          <w:tcPr>
            <w:tcW w:w="1390" w:type="pct"/>
            <w:vAlign w:val="center"/>
          </w:tcPr>
          <w:p w:rsidR="001A26B0" w:rsidRDefault="00E33A99">
            <w:pPr>
              <w:spacing w:after="120"/>
              <w:jc w:val="center"/>
              <w:rPr>
                <w:noProof/>
                <w:szCs w:val="24"/>
                <w:lang w:val="fr-FR"/>
              </w:rPr>
            </w:pPr>
            <w:r>
              <w:rPr>
                <w:noProof/>
                <w:color w:val="000000"/>
              </w:rPr>
              <w:t>-7%</w:t>
            </w:r>
          </w:p>
        </w:tc>
        <w:tc>
          <w:tcPr>
            <w:tcW w:w="1389" w:type="pct"/>
            <w:vAlign w:val="center"/>
          </w:tcPr>
          <w:p w:rsidR="001A26B0" w:rsidRDefault="00E33A99">
            <w:pPr>
              <w:spacing w:after="120"/>
              <w:jc w:val="center"/>
              <w:rPr>
                <w:noProof/>
                <w:szCs w:val="24"/>
                <w:lang w:val="fr-FR"/>
              </w:rPr>
            </w:pPr>
            <w:r>
              <w:rPr>
                <w:noProof/>
                <w:color w:val="000000"/>
              </w:rPr>
              <w:t>-13%</w:t>
            </w:r>
          </w:p>
        </w:tc>
      </w:tr>
      <w:tr w:rsidR="001A26B0">
        <w:tc>
          <w:tcPr>
            <w:tcW w:w="2221" w:type="pct"/>
          </w:tcPr>
          <w:p w:rsidR="001A26B0" w:rsidRDefault="00E33A99">
            <w:pPr>
              <w:spacing w:after="120"/>
              <w:jc w:val="left"/>
              <w:rPr>
                <w:noProof/>
                <w:szCs w:val="24"/>
              </w:rPr>
            </w:pPr>
            <w:r>
              <w:rPr>
                <w:noProof/>
                <w:szCs w:val="24"/>
              </w:rPr>
              <w:t>LEVT_CRED with 5% overachievement of the benchmark</w:t>
            </w:r>
          </w:p>
        </w:tc>
        <w:tc>
          <w:tcPr>
            <w:tcW w:w="1390" w:type="pct"/>
            <w:vAlign w:val="center"/>
          </w:tcPr>
          <w:p w:rsidR="001A26B0" w:rsidRDefault="00E33A99">
            <w:pPr>
              <w:spacing w:after="120"/>
              <w:jc w:val="center"/>
              <w:rPr>
                <w:noProof/>
                <w:szCs w:val="24"/>
                <w:lang w:val="fr-FR"/>
              </w:rPr>
            </w:pPr>
            <w:r>
              <w:rPr>
                <w:noProof/>
                <w:color w:val="000000"/>
              </w:rPr>
              <w:t>+2%</w:t>
            </w:r>
          </w:p>
        </w:tc>
        <w:tc>
          <w:tcPr>
            <w:tcW w:w="1389" w:type="pct"/>
            <w:vAlign w:val="center"/>
          </w:tcPr>
          <w:p w:rsidR="001A26B0" w:rsidRDefault="00E33A99">
            <w:pPr>
              <w:spacing w:after="120"/>
              <w:jc w:val="center"/>
              <w:rPr>
                <w:noProof/>
                <w:szCs w:val="24"/>
                <w:lang w:val="fr-FR"/>
              </w:rPr>
            </w:pPr>
            <w:r>
              <w:rPr>
                <w:noProof/>
                <w:color w:val="000000"/>
              </w:rPr>
              <w:t>-5%</w:t>
            </w:r>
          </w:p>
        </w:tc>
      </w:tr>
      <w:tr w:rsidR="001A26B0">
        <w:tc>
          <w:tcPr>
            <w:tcW w:w="2221" w:type="pct"/>
          </w:tcPr>
          <w:p w:rsidR="001A26B0" w:rsidRDefault="00E33A99">
            <w:pPr>
              <w:spacing w:after="120"/>
              <w:jc w:val="left"/>
              <w:rPr>
                <w:noProof/>
                <w:szCs w:val="24"/>
              </w:rPr>
            </w:pPr>
            <w:r>
              <w:rPr>
                <w:noProof/>
                <w:szCs w:val="24"/>
              </w:rPr>
              <w:t>LEVT_CRED with 5% underachievement of the benchmark</w:t>
            </w:r>
          </w:p>
        </w:tc>
        <w:tc>
          <w:tcPr>
            <w:tcW w:w="1390" w:type="pct"/>
            <w:vAlign w:val="center"/>
          </w:tcPr>
          <w:p w:rsidR="001A26B0" w:rsidRDefault="00E33A99">
            <w:pPr>
              <w:spacing w:after="120"/>
              <w:jc w:val="center"/>
              <w:rPr>
                <w:noProof/>
                <w:szCs w:val="24"/>
              </w:rPr>
            </w:pPr>
            <w:r>
              <w:rPr>
                <w:noProof/>
                <w:color w:val="000000"/>
              </w:rPr>
              <w:t>-12%</w:t>
            </w:r>
          </w:p>
        </w:tc>
        <w:tc>
          <w:tcPr>
            <w:tcW w:w="1389" w:type="pct"/>
            <w:vAlign w:val="center"/>
          </w:tcPr>
          <w:p w:rsidR="001A26B0" w:rsidRDefault="00E33A99">
            <w:pPr>
              <w:spacing w:after="120"/>
              <w:jc w:val="center"/>
              <w:rPr>
                <w:noProof/>
                <w:szCs w:val="24"/>
              </w:rPr>
            </w:pPr>
            <w:r>
              <w:rPr>
                <w:noProof/>
                <w:color w:val="000000"/>
              </w:rPr>
              <w:t>-18%</w:t>
            </w:r>
          </w:p>
        </w:tc>
      </w:tr>
    </w:tbl>
    <w:p w:rsidR="001A26B0" w:rsidRDefault="001A26B0">
      <w:pPr>
        <w:spacing w:after="0"/>
        <w:rPr>
          <w:noProof/>
          <w:szCs w:val="24"/>
        </w:rPr>
      </w:pPr>
    </w:p>
    <w:tbl>
      <w:tblPr>
        <w:tblStyle w:val="TableGrid"/>
        <w:tblW w:w="5000" w:type="pct"/>
        <w:tblLook w:val="04A0" w:firstRow="1" w:lastRow="0" w:firstColumn="1" w:lastColumn="0" w:noHBand="0" w:noVBand="1"/>
      </w:tblPr>
      <w:tblGrid>
        <w:gridCol w:w="3922"/>
        <w:gridCol w:w="2454"/>
        <w:gridCol w:w="2453"/>
      </w:tblGrid>
      <w:tr w:rsidR="001A26B0">
        <w:tc>
          <w:tcPr>
            <w:tcW w:w="2221" w:type="pct"/>
          </w:tcPr>
          <w:p w:rsidR="001A26B0" w:rsidRDefault="00E33A99">
            <w:pPr>
              <w:keepNext/>
              <w:spacing w:after="120"/>
              <w:rPr>
                <w:b/>
                <w:noProof/>
                <w:szCs w:val="24"/>
                <w:lang w:val="da-DK"/>
              </w:rPr>
            </w:pPr>
            <w:r>
              <w:rPr>
                <w:b/>
                <w:noProof/>
                <w:szCs w:val="24"/>
                <w:lang w:val="da-DK"/>
              </w:rPr>
              <w:t>LEVD_25</w:t>
            </w:r>
          </w:p>
        </w:tc>
        <w:tc>
          <w:tcPr>
            <w:tcW w:w="1390" w:type="pct"/>
          </w:tcPr>
          <w:p w:rsidR="001A26B0" w:rsidRDefault="00E33A99">
            <w:pPr>
              <w:keepNext/>
              <w:spacing w:after="120"/>
              <w:jc w:val="center"/>
              <w:rPr>
                <w:b/>
                <w:noProof/>
                <w:szCs w:val="24"/>
                <w:lang w:val="fr-FR"/>
              </w:rPr>
            </w:pPr>
            <w:r>
              <w:rPr>
                <w:b/>
                <w:noProof/>
                <w:szCs w:val="24"/>
                <w:lang w:val="fr-FR"/>
              </w:rPr>
              <w:t>TLC25</w:t>
            </w:r>
          </w:p>
        </w:tc>
        <w:tc>
          <w:tcPr>
            <w:tcW w:w="1389" w:type="pct"/>
          </w:tcPr>
          <w:p w:rsidR="001A26B0" w:rsidRDefault="00E33A99">
            <w:pPr>
              <w:keepNext/>
              <w:spacing w:after="120"/>
              <w:jc w:val="center"/>
              <w:rPr>
                <w:b/>
                <w:noProof/>
                <w:szCs w:val="24"/>
                <w:lang w:val="fr-FR"/>
              </w:rPr>
            </w:pPr>
            <w:r>
              <w:rPr>
                <w:b/>
                <w:noProof/>
                <w:szCs w:val="24"/>
                <w:lang w:val="fr-FR"/>
              </w:rPr>
              <w:t>TLC30</w:t>
            </w:r>
          </w:p>
        </w:tc>
      </w:tr>
      <w:tr w:rsidR="001A26B0">
        <w:tc>
          <w:tcPr>
            <w:tcW w:w="2221" w:type="pct"/>
          </w:tcPr>
          <w:p w:rsidR="001A26B0" w:rsidRDefault="00E33A99">
            <w:pPr>
              <w:keepNext/>
              <w:spacing w:after="120"/>
              <w:rPr>
                <w:noProof/>
                <w:szCs w:val="24"/>
                <w:lang w:val="fr-FR"/>
              </w:rPr>
            </w:pPr>
            <w:r>
              <w:rPr>
                <w:noProof/>
                <w:szCs w:val="24"/>
                <w:lang w:val="fr-FR"/>
              </w:rPr>
              <w:t>LEVT_MAND</w:t>
            </w:r>
          </w:p>
        </w:tc>
        <w:tc>
          <w:tcPr>
            <w:tcW w:w="1390" w:type="pct"/>
            <w:vAlign w:val="center"/>
          </w:tcPr>
          <w:p w:rsidR="001A26B0" w:rsidRDefault="00E33A99">
            <w:pPr>
              <w:keepNext/>
              <w:spacing w:after="120"/>
              <w:jc w:val="center"/>
              <w:rPr>
                <w:noProof/>
                <w:szCs w:val="24"/>
                <w:lang w:val="fr-FR"/>
              </w:rPr>
            </w:pPr>
            <w:r>
              <w:rPr>
                <w:noProof/>
                <w:color w:val="000000"/>
              </w:rPr>
              <w:t>-4%</w:t>
            </w:r>
          </w:p>
        </w:tc>
        <w:tc>
          <w:tcPr>
            <w:tcW w:w="1389" w:type="pct"/>
            <w:vAlign w:val="center"/>
          </w:tcPr>
          <w:p w:rsidR="001A26B0" w:rsidRDefault="00E33A99">
            <w:pPr>
              <w:keepNext/>
              <w:spacing w:after="120"/>
              <w:jc w:val="center"/>
              <w:rPr>
                <w:noProof/>
                <w:szCs w:val="24"/>
                <w:lang w:val="fr-FR"/>
              </w:rPr>
            </w:pPr>
            <w:r>
              <w:rPr>
                <w:noProof/>
                <w:color w:val="000000"/>
              </w:rPr>
              <w:t>-10%</w:t>
            </w:r>
          </w:p>
        </w:tc>
      </w:tr>
      <w:tr w:rsidR="001A26B0">
        <w:tc>
          <w:tcPr>
            <w:tcW w:w="2221" w:type="pct"/>
          </w:tcPr>
          <w:p w:rsidR="001A26B0" w:rsidRDefault="00E33A99">
            <w:pPr>
              <w:spacing w:after="120"/>
              <w:jc w:val="left"/>
              <w:rPr>
                <w:noProof/>
                <w:szCs w:val="24"/>
              </w:rPr>
            </w:pPr>
            <w:r>
              <w:rPr>
                <w:noProof/>
                <w:szCs w:val="24"/>
              </w:rPr>
              <w:t>LEVT_CRED with 5% overachievement of the benchmark</w:t>
            </w:r>
          </w:p>
        </w:tc>
        <w:tc>
          <w:tcPr>
            <w:tcW w:w="1390" w:type="pct"/>
            <w:vAlign w:val="center"/>
          </w:tcPr>
          <w:p w:rsidR="001A26B0" w:rsidRDefault="00E33A99">
            <w:pPr>
              <w:spacing w:after="120"/>
              <w:jc w:val="center"/>
              <w:rPr>
                <w:noProof/>
                <w:szCs w:val="24"/>
                <w:lang w:val="fr-FR"/>
              </w:rPr>
            </w:pPr>
            <w:r>
              <w:rPr>
                <w:noProof/>
                <w:color w:val="000000"/>
              </w:rPr>
              <w:t>+9%</w:t>
            </w:r>
          </w:p>
        </w:tc>
        <w:tc>
          <w:tcPr>
            <w:tcW w:w="1389" w:type="pct"/>
            <w:vAlign w:val="center"/>
          </w:tcPr>
          <w:p w:rsidR="001A26B0" w:rsidRDefault="00E33A99">
            <w:pPr>
              <w:spacing w:after="120"/>
              <w:jc w:val="center"/>
              <w:rPr>
                <w:noProof/>
                <w:szCs w:val="24"/>
                <w:lang w:val="fr-FR"/>
              </w:rPr>
            </w:pPr>
            <w:r>
              <w:rPr>
                <w:noProof/>
                <w:color w:val="000000"/>
              </w:rPr>
              <w:t>+2%</w:t>
            </w:r>
          </w:p>
        </w:tc>
      </w:tr>
      <w:tr w:rsidR="001A26B0">
        <w:tc>
          <w:tcPr>
            <w:tcW w:w="2221" w:type="pct"/>
          </w:tcPr>
          <w:p w:rsidR="001A26B0" w:rsidRDefault="00E33A99">
            <w:pPr>
              <w:spacing w:after="120"/>
              <w:jc w:val="left"/>
              <w:rPr>
                <w:noProof/>
                <w:szCs w:val="24"/>
              </w:rPr>
            </w:pPr>
            <w:r>
              <w:rPr>
                <w:noProof/>
                <w:szCs w:val="24"/>
              </w:rPr>
              <w:t>LEVT_CRED with 5% underachievement of the benchmark</w:t>
            </w:r>
          </w:p>
        </w:tc>
        <w:tc>
          <w:tcPr>
            <w:tcW w:w="1390" w:type="pct"/>
            <w:vAlign w:val="center"/>
          </w:tcPr>
          <w:p w:rsidR="001A26B0" w:rsidRDefault="00E33A99">
            <w:pPr>
              <w:spacing w:after="120"/>
              <w:jc w:val="center"/>
              <w:rPr>
                <w:noProof/>
                <w:szCs w:val="24"/>
              </w:rPr>
            </w:pPr>
            <w:r>
              <w:rPr>
                <w:noProof/>
                <w:color w:val="000000"/>
              </w:rPr>
              <w:t>-12%</w:t>
            </w:r>
          </w:p>
        </w:tc>
        <w:tc>
          <w:tcPr>
            <w:tcW w:w="1389" w:type="pct"/>
            <w:vAlign w:val="center"/>
          </w:tcPr>
          <w:p w:rsidR="001A26B0" w:rsidRDefault="00E33A99">
            <w:pPr>
              <w:spacing w:after="120"/>
              <w:jc w:val="center"/>
              <w:rPr>
                <w:noProof/>
                <w:szCs w:val="24"/>
              </w:rPr>
            </w:pPr>
            <w:r>
              <w:rPr>
                <w:noProof/>
                <w:color w:val="000000"/>
              </w:rPr>
              <w:t>-18%</w:t>
            </w:r>
          </w:p>
        </w:tc>
      </w:tr>
    </w:tbl>
    <w:p w:rsidR="001A26B0" w:rsidRDefault="001A26B0">
      <w:pPr>
        <w:spacing w:after="0"/>
        <w:rPr>
          <w:noProof/>
          <w:szCs w:val="24"/>
        </w:rPr>
      </w:pPr>
    </w:p>
    <w:tbl>
      <w:tblPr>
        <w:tblStyle w:val="TableGrid"/>
        <w:tblW w:w="5000" w:type="pct"/>
        <w:tblLook w:val="04A0" w:firstRow="1" w:lastRow="0" w:firstColumn="1" w:lastColumn="0" w:noHBand="0" w:noVBand="1"/>
      </w:tblPr>
      <w:tblGrid>
        <w:gridCol w:w="3922"/>
        <w:gridCol w:w="2454"/>
        <w:gridCol w:w="2453"/>
      </w:tblGrid>
      <w:tr w:rsidR="001A26B0">
        <w:tc>
          <w:tcPr>
            <w:tcW w:w="2221" w:type="pct"/>
          </w:tcPr>
          <w:p w:rsidR="001A26B0" w:rsidRDefault="00E33A99">
            <w:pPr>
              <w:spacing w:after="120"/>
              <w:rPr>
                <w:b/>
                <w:noProof/>
                <w:szCs w:val="24"/>
                <w:lang w:val="da-DK"/>
              </w:rPr>
            </w:pPr>
            <w:r>
              <w:rPr>
                <w:b/>
                <w:noProof/>
                <w:szCs w:val="24"/>
                <w:lang w:val="da-DK"/>
              </w:rPr>
              <w:t>LEVD_50</w:t>
            </w:r>
          </w:p>
        </w:tc>
        <w:tc>
          <w:tcPr>
            <w:tcW w:w="1390" w:type="pct"/>
          </w:tcPr>
          <w:p w:rsidR="001A26B0" w:rsidRDefault="00E33A99">
            <w:pPr>
              <w:spacing w:after="120"/>
              <w:jc w:val="center"/>
              <w:rPr>
                <w:b/>
                <w:noProof/>
                <w:szCs w:val="24"/>
                <w:lang w:val="fr-FR"/>
              </w:rPr>
            </w:pPr>
            <w:r>
              <w:rPr>
                <w:b/>
                <w:noProof/>
                <w:szCs w:val="24"/>
                <w:lang w:val="fr-FR"/>
              </w:rPr>
              <w:t>TLC25</w:t>
            </w:r>
          </w:p>
        </w:tc>
        <w:tc>
          <w:tcPr>
            <w:tcW w:w="1389" w:type="pct"/>
          </w:tcPr>
          <w:p w:rsidR="001A26B0" w:rsidRDefault="00E33A99">
            <w:pPr>
              <w:spacing w:after="120"/>
              <w:jc w:val="center"/>
              <w:rPr>
                <w:b/>
                <w:noProof/>
                <w:szCs w:val="24"/>
                <w:lang w:val="fr-FR"/>
              </w:rPr>
            </w:pPr>
            <w:r>
              <w:rPr>
                <w:b/>
                <w:noProof/>
                <w:szCs w:val="24"/>
                <w:lang w:val="fr-FR"/>
              </w:rPr>
              <w:t>TLC30</w:t>
            </w:r>
          </w:p>
        </w:tc>
      </w:tr>
      <w:tr w:rsidR="001A26B0">
        <w:tc>
          <w:tcPr>
            <w:tcW w:w="2221" w:type="pct"/>
          </w:tcPr>
          <w:p w:rsidR="001A26B0" w:rsidRDefault="00E33A99">
            <w:pPr>
              <w:spacing w:after="120"/>
              <w:rPr>
                <w:noProof/>
                <w:szCs w:val="24"/>
                <w:lang w:val="fr-FR"/>
              </w:rPr>
            </w:pPr>
            <w:r>
              <w:rPr>
                <w:noProof/>
                <w:szCs w:val="24"/>
                <w:lang w:val="fr-FR"/>
              </w:rPr>
              <w:t>LEVT_MAND</w:t>
            </w:r>
          </w:p>
        </w:tc>
        <w:tc>
          <w:tcPr>
            <w:tcW w:w="1390" w:type="pct"/>
            <w:vAlign w:val="center"/>
          </w:tcPr>
          <w:p w:rsidR="001A26B0" w:rsidRDefault="00E33A99">
            <w:pPr>
              <w:spacing w:after="120"/>
              <w:jc w:val="center"/>
              <w:rPr>
                <w:noProof/>
                <w:szCs w:val="24"/>
                <w:lang w:val="fr-FR"/>
              </w:rPr>
            </w:pPr>
            <w:r>
              <w:rPr>
                <w:noProof/>
                <w:color w:val="000000"/>
              </w:rPr>
              <w:t>-3%</w:t>
            </w:r>
          </w:p>
        </w:tc>
        <w:tc>
          <w:tcPr>
            <w:tcW w:w="1389" w:type="pct"/>
            <w:vAlign w:val="center"/>
          </w:tcPr>
          <w:p w:rsidR="001A26B0" w:rsidRDefault="00E33A99">
            <w:pPr>
              <w:spacing w:after="120"/>
              <w:jc w:val="center"/>
              <w:rPr>
                <w:noProof/>
                <w:szCs w:val="24"/>
                <w:lang w:val="fr-FR"/>
              </w:rPr>
            </w:pPr>
            <w:r>
              <w:rPr>
                <w:noProof/>
                <w:color w:val="000000"/>
              </w:rPr>
              <w:t>-8%</w:t>
            </w:r>
          </w:p>
        </w:tc>
      </w:tr>
      <w:tr w:rsidR="001A26B0">
        <w:tc>
          <w:tcPr>
            <w:tcW w:w="2221" w:type="pct"/>
          </w:tcPr>
          <w:p w:rsidR="001A26B0" w:rsidRDefault="00E33A99">
            <w:pPr>
              <w:spacing w:after="120"/>
              <w:jc w:val="left"/>
              <w:rPr>
                <w:noProof/>
                <w:szCs w:val="24"/>
              </w:rPr>
            </w:pPr>
            <w:r>
              <w:rPr>
                <w:noProof/>
                <w:szCs w:val="24"/>
              </w:rPr>
              <w:t>LEVT_CRED with 5% overachievement of the benchmark</w:t>
            </w:r>
          </w:p>
        </w:tc>
        <w:tc>
          <w:tcPr>
            <w:tcW w:w="1390" w:type="pct"/>
            <w:vAlign w:val="center"/>
          </w:tcPr>
          <w:p w:rsidR="001A26B0" w:rsidRDefault="00E33A99">
            <w:pPr>
              <w:spacing w:after="120"/>
              <w:jc w:val="center"/>
              <w:rPr>
                <w:noProof/>
                <w:szCs w:val="24"/>
                <w:lang w:val="fr-FR"/>
              </w:rPr>
            </w:pPr>
            <w:r>
              <w:rPr>
                <w:noProof/>
                <w:color w:val="000000"/>
              </w:rPr>
              <w:t>+12%</w:t>
            </w:r>
          </w:p>
        </w:tc>
        <w:tc>
          <w:tcPr>
            <w:tcW w:w="1389" w:type="pct"/>
            <w:vAlign w:val="center"/>
          </w:tcPr>
          <w:p w:rsidR="001A26B0" w:rsidRDefault="00E33A99">
            <w:pPr>
              <w:spacing w:after="120"/>
              <w:jc w:val="center"/>
              <w:rPr>
                <w:noProof/>
                <w:szCs w:val="24"/>
                <w:lang w:val="fr-FR"/>
              </w:rPr>
            </w:pPr>
            <w:r>
              <w:rPr>
                <w:noProof/>
                <w:color w:val="000000"/>
              </w:rPr>
              <w:t>+5%</w:t>
            </w:r>
          </w:p>
        </w:tc>
      </w:tr>
      <w:tr w:rsidR="001A26B0">
        <w:tc>
          <w:tcPr>
            <w:tcW w:w="2221" w:type="pct"/>
          </w:tcPr>
          <w:p w:rsidR="001A26B0" w:rsidRDefault="00E33A99">
            <w:pPr>
              <w:spacing w:after="120"/>
              <w:jc w:val="left"/>
              <w:rPr>
                <w:noProof/>
                <w:szCs w:val="24"/>
              </w:rPr>
            </w:pPr>
            <w:r>
              <w:rPr>
                <w:noProof/>
                <w:szCs w:val="24"/>
              </w:rPr>
              <w:t>LEVT_CRED with 5% underachievement of the benchmark</w:t>
            </w:r>
          </w:p>
        </w:tc>
        <w:tc>
          <w:tcPr>
            <w:tcW w:w="1390" w:type="pct"/>
            <w:vAlign w:val="center"/>
          </w:tcPr>
          <w:p w:rsidR="001A26B0" w:rsidRDefault="00E33A99">
            <w:pPr>
              <w:spacing w:after="120"/>
              <w:jc w:val="center"/>
              <w:rPr>
                <w:noProof/>
                <w:szCs w:val="24"/>
              </w:rPr>
            </w:pPr>
            <w:r>
              <w:rPr>
                <w:noProof/>
                <w:color w:val="000000"/>
              </w:rPr>
              <w:t>-12%</w:t>
            </w:r>
          </w:p>
        </w:tc>
        <w:tc>
          <w:tcPr>
            <w:tcW w:w="1389" w:type="pct"/>
            <w:vAlign w:val="center"/>
          </w:tcPr>
          <w:p w:rsidR="001A26B0" w:rsidRDefault="00E33A99">
            <w:pPr>
              <w:spacing w:after="120"/>
              <w:jc w:val="center"/>
              <w:rPr>
                <w:noProof/>
                <w:szCs w:val="24"/>
              </w:rPr>
            </w:pPr>
            <w:r>
              <w:rPr>
                <w:noProof/>
                <w:color w:val="000000"/>
              </w:rPr>
              <w:t>-18%</w:t>
            </w:r>
          </w:p>
        </w:tc>
      </w:tr>
    </w:tbl>
    <w:p w:rsidR="001A26B0" w:rsidRDefault="00E33A99">
      <w:pPr>
        <w:spacing w:before="120" w:after="120"/>
        <w:rPr>
          <w:i/>
          <w:noProof/>
          <w:szCs w:val="24"/>
        </w:rPr>
      </w:pPr>
      <w:r>
        <w:rPr>
          <w:i/>
          <w:noProof/>
        </w:rPr>
        <w:t>Macroeconomi</w:t>
      </w:r>
      <w:r>
        <w:rPr>
          <w:i/>
          <w:noProof/>
          <w:szCs w:val="24"/>
        </w:rPr>
        <w:t>c assessment, including employment</w:t>
      </w:r>
    </w:p>
    <w:p w:rsidR="001A26B0" w:rsidRDefault="00E33A99">
      <w:pPr>
        <w:spacing w:after="120"/>
        <w:rPr>
          <w:noProof/>
          <w:szCs w:val="24"/>
        </w:rPr>
      </w:pPr>
      <w:r>
        <w:rPr>
          <w:noProof/>
          <w:szCs w:val="24"/>
        </w:rPr>
        <w:t>The assessment of the macro-economic impacts of the options regarding LEV/ZEV incentives is done at the level of the light-duty vehicles</w:t>
      </w:r>
      <w:r>
        <w:rPr>
          <w:noProof/>
          <w:szCs w:val="24"/>
        </w:rPr>
        <w:t xml:space="preserve"> as a whole and this is presented in Section 6.5.4.</w:t>
      </w:r>
    </w:p>
    <w:p w:rsidR="001A26B0" w:rsidRDefault="00E33A99">
      <w:pPr>
        <w:spacing w:after="120"/>
        <w:rPr>
          <w:i/>
          <w:noProof/>
        </w:rPr>
      </w:pPr>
      <w:r>
        <w:rPr>
          <w:i/>
          <w:noProof/>
        </w:rPr>
        <w:t>Energy system impacts</w:t>
      </w:r>
    </w:p>
    <w:p w:rsidR="001A26B0" w:rsidRDefault="00E33A99">
      <w:pPr>
        <w:spacing w:after="120"/>
        <w:rPr>
          <w:noProof/>
        </w:rPr>
      </w:pPr>
      <w:r>
        <w:rPr>
          <w:noProof/>
        </w:rPr>
        <w:t>The final energy demand from passenger cars in 2030 shows limited variation amongst the different options considered for the LEV incentives (including LEV0).</w:t>
      </w:r>
    </w:p>
    <w:p w:rsidR="001A26B0" w:rsidRDefault="00E33A99">
      <w:pPr>
        <w:spacing w:after="120"/>
        <w:rPr>
          <w:noProof/>
        </w:rPr>
      </w:pPr>
      <w:r>
        <w:rPr>
          <w:noProof/>
        </w:rPr>
        <w:t xml:space="preserve">The increased market penetration of electrically chargeable vehicles (BEV, PHEV) leads to higher shares of electricity in the final energy demand for transport. Nevertheless, as illustrated in </w:t>
      </w:r>
      <w:r>
        <w:rPr>
          <w:noProof/>
        </w:rPr>
        <w:fldChar w:fldCharType="begin"/>
      </w:r>
      <w:r>
        <w:rPr>
          <w:noProof/>
        </w:rPr>
        <w:instrText xml:space="preserve"> REF _Ref493619179 \h </w:instrText>
      </w:r>
      <w:r>
        <w:rPr>
          <w:noProof/>
        </w:rPr>
      </w:r>
      <w:r>
        <w:rPr>
          <w:noProof/>
        </w:rPr>
        <w:fldChar w:fldCharType="separate"/>
      </w:r>
      <w:r>
        <w:rPr>
          <w:noProof/>
        </w:rPr>
        <w:t>Table 39</w:t>
      </w:r>
      <w:r>
        <w:rPr>
          <w:noProof/>
        </w:rPr>
        <w:fldChar w:fldCharType="end"/>
      </w:r>
      <w:r>
        <w:rPr>
          <w:noProof/>
        </w:rPr>
        <w:t>, these effects remain rather limited across the range of options considered.</w:t>
      </w:r>
    </w:p>
    <w:p w:rsidR="001A26B0" w:rsidRDefault="00E33A99">
      <w:pPr>
        <w:pStyle w:val="Caption"/>
        <w:keepNext/>
        <w:rPr>
          <w:noProof/>
        </w:rPr>
      </w:pPr>
      <w:bookmarkStart w:id="598" w:name="_Ref493619179"/>
      <w:r>
        <w:rPr>
          <w:noProof/>
        </w:rPr>
        <w:t xml:space="preserve">Table </w:t>
      </w:r>
      <w:r>
        <w:rPr>
          <w:noProof/>
        </w:rPr>
        <w:fldChar w:fldCharType="begin"/>
      </w:r>
      <w:r>
        <w:rPr>
          <w:noProof/>
        </w:rPr>
        <w:instrText xml:space="preserve"> SEQ Table \* ARABIC </w:instrText>
      </w:r>
      <w:r>
        <w:rPr>
          <w:noProof/>
        </w:rPr>
        <w:fldChar w:fldCharType="separate"/>
      </w:r>
      <w:r>
        <w:rPr>
          <w:noProof/>
        </w:rPr>
        <w:t>39</w:t>
      </w:r>
      <w:r>
        <w:rPr>
          <w:noProof/>
        </w:rPr>
        <w:fldChar w:fldCharType="end"/>
      </w:r>
      <w:bookmarkEnd w:id="598"/>
      <w:r>
        <w:rPr>
          <w:noProof/>
        </w:rPr>
        <w:t>: Electricity share in the final energy demand for passenger cars</w:t>
      </w:r>
    </w:p>
    <w:tbl>
      <w:tblPr>
        <w:tblStyle w:val="TableGrid"/>
        <w:tblW w:w="0" w:type="auto"/>
        <w:tblLook w:val="04A0" w:firstRow="1" w:lastRow="0" w:firstColumn="1" w:lastColumn="0" w:noHBand="0" w:noVBand="1"/>
      </w:tblPr>
      <w:tblGrid>
        <w:gridCol w:w="1778"/>
        <w:gridCol w:w="1763"/>
        <w:gridCol w:w="1764"/>
        <w:gridCol w:w="1762"/>
        <w:gridCol w:w="1762"/>
      </w:tblGrid>
      <w:tr w:rsidR="001A26B0">
        <w:tc>
          <w:tcPr>
            <w:tcW w:w="1778" w:type="dxa"/>
            <w:vMerge w:val="restart"/>
          </w:tcPr>
          <w:p w:rsidR="001A26B0" w:rsidRDefault="00E33A99">
            <w:pPr>
              <w:spacing w:after="120"/>
              <w:jc w:val="left"/>
              <w:rPr>
                <w:b/>
                <w:noProof/>
              </w:rPr>
            </w:pPr>
            <w:r>
              <w:rPr>
                <w:b/>
                <w:noProof/>
              </w:rPr>
              <w:t>Option for EU-wide fleet CO</w:t>
            </w:r>
            <w:r>
              <w:rPr>
                <w:b/>
                <w:noProof/>
                <w:vertAlign w:val="subscript"/>
              </w:rPr>
              <w:t>2</w:t>
            </w:r>
            <w:r>
              <w:rPr>
                <w:b/>
                <w:noProof/>
              </w:rPr>
              <w:t xml:space="preserve"> target level </w:t>
            </w:r>
          </w:p>
        </w:tc>
        <w:tc>
          <w:tcPr>
            <w:tcW w:w="3527" w:type="dxa"/>
            <w:gridSpan w:val="2"/>
          </w:tcPr>
          <w:p w:rsidR="001A26B0" w:rsidRDefault="00E33A99">
            <w:pPr>
              <w:spacing w:after="120"/>
              <w:jc w:val="center"/>
              <w:rPr>
                <w:b/>
                <w:noProof/>
              </w:rPr>
            </w:pPr>
            <w:r>
              <w:rPr>
                <w:b/>
                <w:noProof/>
              </w:rPr>
              <w:t>LEV0</w:t>
            </w:r>
          </w:p>
        </w:tc>
        <w:tc>
          <w:tcPr>
            <w:tcW w:w="3524" w:type="dxa"/>
            <w:gridSpan w:val="2"/>
          </w:tcPr>
          <w:p w:rsidR="001A26B0" w:rsidRDefault="00E33A99">
            <w:pPr>
              <w:spacing w:after="120"/>
              <w:jc w:val="center"/>
              <w:rPr>
                <w:b/>
                <w:noProof/>
              </w:rPr>
            </w:pPr>
            <w:r>
              <w:rPr>
                <w:b/>
                <w:noProof/>
              </w:rPr>
              <w:t xml:space="preserve">Other LEV options </w:t>
            </w:r>
            <w:r>
              <w:rPr>
                <w:b/>
                <w:noProof/>
              </w:rPr>
              <w:br/>
              <w:t>(various LEVT, LEVD, LEV%)</w:t>
            </w:r>
          </w:p>
        </w:tc>
      </w:tr>
      <w:tr w:rsidR="001A26B0">
        <w:tc>
          <w:tcPr>
            <w:tcW w:w="1778" w:type="dxa"/>
            <w:vMerge/>
          </w:tcPr>
          <w:p w:rsidR="001A26B0" w:rsidRDefault="001A26B0">
            <w:pPr>
              <w:spacing w:after="120"/>
              <w:rPr>
                <w:b/>
                <w:noProof/>
              </w:rPr>
            </w:pPr>
          </w:p>
        </w:tc>
        <w:tc>
          <w:tcPr>
            <w:tcW w:w="1763" w:type="dxa"/>
          </w:tcPr>
          <w:p w:rsidR="001A26B0" w:rsidRDefault="00E33A99">
            <w:pPr>
              <w:spacing w:after="120"/>
              <w:jc w:val="center"/>
              <w:rPr>
                <w:b/>
                <w:noProof/>
              </w:rPr>
            </w:pPr>
            <w:r>
              <w:rPr>
                <w:b/>
                <w:noProof/>
              </w:rPr>
              <w:t>2025</w:t>
            </w:r>
          </w:p>
        </w:tc>
        <w:tc>
          <w:tcPr>
            <w:tcW w:w="1764" w:type="dxa"/>
          </w:tcPr>
          <w:p w:rsidR="001A26B0" w:rsidRDefault="00E33A99">
            <w:pPr>
              <w:spacing w:after="120"/>
              <w:jc w:val="center"/>
              <w:rPr>
                <w:b/>
                <w:noProof/>
              </w:rPr>
            </w:pPr>
            <w:r>
              <w:rPr>
                <w:b/>
                <w:noProof/>
              </w:rPr>
              <w:t>2030</w:t>
            </w:r>
          </w:p>
        </w:tc>
        <w:tc>
          <w:tcPr>
            <w:tcW w:w="1762" w:type="dxa"/>
          </w:tcPr>
          <w:p w:rsidR="001A26B0" w:rsidRDefault="00E33A99">
            <w:pPr>
              <w:spacing w:after="120"/>
              <w:jc w:val="center"/>
              <w:rPr>
                <w:b/>
                <w:noProof/>
              </w:rPr>
            </w:pPr>
            <w:r>
              <w:rPr>
                <w:b/>
                <w:noProof/>
              </w:rPr>
              <w:t>2025</w:t>
            </w:r>
          </w:p>
        </w:tc>
        <w:tc>
          <w:tcPr>
            <w:tcW w:w="1762" w:type="dxa"/>
          </w:tcPr>
          <w:p w:rsidR="001A26B0" w:rsidRDefault="00E33A99">
            <w:pPr>
              <w:spacing w:after="120"/>
              <w:jc w:val="center"/>
              <w:rPr>
                <w:b/>
                <w:noProof/>
              </w:rPr>
            </w:pPr>
            <w:r>
              <w:rPr>
                <w:b/>
                <w:noProof/>
              </w:rPr>
              <w:t>2030</w:t>
            </w:r>
          </w:p>
        </w:tc>
      </w:tr>
      <w:tr w:rsidR="001A26B0">
        <w:tc>
          <w:tcPr>
            <w:tcW w:w="1778" w:type="dxa"/>
          </w:tcPr>
          <w:p w:rsidR="001A26B0" w:rsidRDefault="00E33A99">
            <w:pPr>
              <w:spacing w:after="120"/>
              <w:rPr>
                <w:noProof/>
              </w:rPr>
            </w:pPr>
            <w:r>
              <w:rPr>
                <w:noProof/>
              </w:rPr>
              <w:t>TLC20</w:t>
            </w:r>
          </w:p>
        </w:tc>
        <w:tc>
          <w:tcPr>
            <w:tcW w:w="1763" w:type="dxa"/>
          </w:tcPr>
          <w:p w:rsidR="001A26B0" w:rsidRDefault="00E33A99">
            <w:pPr>
              <w:spacing w:after="120"/>
              <w:jc w:val="center"/>
              <w:rPr>
                <w:noProof/>
              </w:rPr>
            </w:pPr>
            <w:r>
              <w:rPr>
                <w:noProof/>
              </w:rPr>
              <w:t>0.7%</w:t>
            </w:r>
          </w:p>
        </w:tc>
        <w:tc>
          <w:tcPr>
            <w:tcW w:w="1764" w:type="dxa"/>
          </w:tcPr>
          <w:p w:rsidR="001A26B0" w:rsidRDefault="00E33A99">
            <w:pPr>
              <w:spacing w:after="120"/>
              <w:jc w:val="center"/>
              <w:rPr>
                <w:noProof/>
              </w:rPr>
            </w:pPr>
            <w:r>
              <w:rPr>
                <w:noProof/>
              </w:rPr>
              <w:t>1.8%</w:t>
            </w:r>
          </w:p>
        </w:tc>
        <w:tc>
          <w:tcPr>
            <w:tcW w:w="1762" w:type="dxa"/>
          </w:tcPr>
          <w:p w:rsidR="001A26B0" w:rsidRDefault="00E33A99">
            <w:pPr>
              <w:spacing w:after="120"/>
              <w:jc w:val="center"/>
              <w:rPr>
                <w:noProof/>
              </w:rPr>
            </w:pPr>
            <w:r>
              <w:rPr>
                <w:noProof/>
              </w:rPr>
              <w:t>Up to 1.6%</w:t>
            </w:r>
          </w:p>
        </w:tc>
        <w:tc>
          <w:tcPr>
            <w:tcW w:w="1762" w:type="dxa"/>
          </w:tcPr>
          <w:p w:rsidR="001A26B0" w:rsidRDefault="00E33A99">
            <w:pPr>
              <w:spacing w:after="120"/>
              <w:jc w:val="center"/>
              <w:rPr>
                <w:noProof/>
              </w:rPr>
            </w:pPr>
            <w:r>
              <w:rPr>
                <w:noProof/>
              </w:rPr>
              <w:t>Up to 4%</w:t>
            </w:r>
          </w:p>
        </w:tc>
      </w:tr>
      <w:tr w:rsidR="001A26B0">
        <w:tc>
          <w:tcPr>
            <w:tcW w:w="1778" w:type="dxa"/>
          </w:tcPr>
          <w:p w:rsidR="001A26B0" w:rsidRDefault="00E33A99">
            <w:pPr>
              <w:spacing w:after="120"/>
              <w:rPr>
                <w:noProof/>
              </w:rPr>
            </w:pPr>
            <w:r>
              <w:rPr>
                <w:noProof/>
              </w:rPr>
              <w:t>TLC25</w:t>
            </w:r>
          </w:p>
        </w:tc>
        <w:tc>
          <w:tcPr>
            <w:tcW w:w="1763" w:type="dxa"/>
          </w:tcPr>
          <w:p w:rsidR="001A26B0" w:rsidRDefault="00E33A99">
            <w:pPr>
              <w:spacing w:after="120"/>
              <w:jc w:val="center"/>
              <w:rPr>
                <w:noProof/>
              </w:rPr>
            </w:pPr>
            <w:r>
              <w:rPr>
                <w:noProof/>
              </w:rPr>
              <w:t>0.7%</w:t>
            </w:r>
          </w:p>
        </w:tc>
        <w:tc>
          <w:tcPr>
            <w:tcW w:w="1764" w:type="dxa"/>
          </w:tcPr>
          <w:p w:rsidR="001A26B0" w:rsidRDefault="00E33A99">
            <w:pPr>
              <w:spacing w:after="120"/>
              <w:jc w:val="center"/>
              <w:rPr>
                <w:noProof/>
              </w:rPr>
            </w:pPr>
            <w:r>
              <w:rPr>
                <w:noProof/>
              </w:rPr>
              <w:t>1.9%</w:t>
            </w:r>
          </w:p>
        </w:tc>
        <w:tc>
          <w:tcPr>
            <w:tcW w:w="1762" w:type="dxa"/>
          </w:tcPr>
          <w:p w:rsidR="001A26B0" w:rsidRDefault="00E33A99">
            <w:pPr>
              <w:spacing w:after="120"/>
              <w:jc w:val="center"/>
              <w:rPr>
                <w:noProof/>
              </w:rPr>
            </w:pPr>
            <w:r>
              <w:rPr>
                <w:noProof/>
              </w:rPr>
              <w:t>Up to 1.6%</w:t>
            </w:r>
          </w:p>
        </w:tc>
        <w:tc>
          <w:tcPr>
            <w:tcW w:w="1762" w:type="dxa"/>
          </w:tcPr>
          <w:p w:rsidR="001A26B0" w:rsidRDefault="00E33A99">
            <w:pPr>
              <w:spacing w:after="120"/>
              <w:jc w:val="center"/>
              <w:rPr>
                <w:noProof/>
              </w:rPr>
            </w:pPr>
            <w:r>
              <w:rPr>
                <w:noProof/>
              </w:rPr>
              <w:t>Up to 4%</w:t>
            </w:r>
          </w:p>
        </w:tc>
      </w:tr>
      <w:tr w:rsidR="001A26B0">
        <w:tc>
          <w:tcPr>
            <w:tcW w:w="1778" w:type="dxa"/>
          </w:tcPr>
          <w:p w:rsidR="001A26B0" w:rsidRDefault="00E33A99">
            <w:pPr>
              <w:spacing w:after="120"/>
              <w:rPr>
                <w:noProof/>
              </w:rPr>
            </w:pPr>
            <w:r>
              <w:rPr>
                <w:noProof/>
              </w:rPr>
              <w:t>TLC30</w:t>
            </w:r>
          </w:p>
        </w:tc>
        <w:tc>
          <w:tcPr>
            <w:tcW w:w="1763" w:type="dxa"/>
          </w:tcPr>
          <w:p w:rsidR="001A26B0" w:rsidRDefault="00E33A99">
            <w:pPr>
              <w:spacing w:after="120"/>
              <w:jc w:val="center"/>
              <w:rPr>
                <w:noProof/>
              </w:rPr>
            </w:pPr>
            <w:r>
              <w:rPr>
                <w:noProof/>
              </w:rPr>
              <w:t>0.7%</w:t>
            </w:r>
          </w:p>
        </w:tc>
        <w:tc>
          <w:tcPr>
            <w:tcW w:w="1764" w:type="dxa"/>
          </w:tcPr>
          <w:p w:rsidR="001A26B0" w:rsidRDefault="00E33A99">
            <w:pPr>
              <w:spacing w:after="120"/>
              <w:jc w:val="center"/>
              <w:rPr>
                <w:noProof/>
              </w:rPr>
            </w:pPr>
            <w:r>
              <w:rPr>
                <w:noProof/>
              </w:rPr>
              <w:t>2.0%</w:t>
            </w:r>
          </w:p>
        </w:tc>
        <w:tc>
          <w:tcPr>
            <w:tcW w:w="1762" w:type="dxa"/>
          </w:tcPr>
          <w:p w:rsidR="001A26B0" w:rsidRDefault="00E33A99">
            <w:pPr>
              <w:spacing w:after="120"/>
              <w:jc w:val="center"/>
              <w:rPr>
                <w:noProof/>
              </w:rPr>
            </w:pPr>
            <w:r>
              <w:rPr>
                <w:noProof/>
              </w:rPr>
              <w:t>Up to 1.6%</w:t>
            </w:r>
          </w:p>
        </w:tc>
        <w:tc>
          <w:tcPr>
            <w:tcW w:w="1762" w:type="dxa"/>
          </w:tcPr>
          <w:p w:rsidR="001A26B0" w:rsidRDefault="00E33A99">
            <w:pPr>
              <w:spacing w:after="120"/>
              <w:jc w:val="center"/>
              <w:rPr>
                <w:noProof/>
              </w:rPr>
            </w:pPr>
            <w:r>
              <w:rPr>
                <w:noProof/>
              </w:rPr>
              <w:t>Up to 4%</w:t>
            </w:r>
          </w:p>
        </w:tc>
      </w:tr>
      <w:tr w:rsidR="001A26B0">
        <w:tc>
          <w:tcPr>
            <w:tcW w:w="1778" w:type="dxa"/>
          </w:tcPr>
          <w:p w:rsidR="001A26B0" w:rsidRDefault="00E33A99">
            <w:pPr>
              <w:spacing w:after="120"/>
              <w:rPr>
                <w:noProof/>
              </w:rPr>
            </w:pPr>
            <w:r>
              <w:rPr>
                <w:noProof/>
              </w:rPr>
              <w:t>TLC40</w:t>
            </w:r>
          </w:p>
        </w:tc>
        <w:tc>
          <w:tcPr>
            <w:tcW w:w="1763" w:type="dxa"/>
          </w:tcPr>
          <w:p w:rsidR="001A26B0" w:rsidRDefault="00E33A99">
            <w:pPr>
              <w:spacing w:after="120"/>
              <w:jc w:val="center"/>
              <w:rPr>
                <w:noProof/>
              </w:rPr>
            </w:pPr>
            <w:r>
              <w:rPr>
                <w:noProof/>
              </w:rPr>
              <w:t>0.7%</w:t>
            </w:r>
          </w:p>
        </w:tc>
        <w:tc>
          <w:tcPr>
            <w:tcW w:w="1764" w:type="dxa"/>
          </w:tcPr>
          <w:p w:rsidR="001A26B0" w:rsidRDefault="00E33A99">
            <w:pPr>
              <w:spacing w:after="120"/>
              <w:jc w:val="center"/>
              <w:rPr>
                <w:noProof/>
              </w:rPr>
            </w:pPr>
            <w:r>
              <w:rPr>
                <w:noProof/>
              </w:rPr>
              <w:t>2.6%</w:t>
            </w:r>
          </w:p>
        </w:tc>
        <w:tc>
          <w:tcPr>
            <w:tcW w:w="1762" w:type="dxa"/>
          </w:tcPr>
          <w:p w:rsidR="001A26B0" w:rsidRDefault="00E33A99">
            <w:pPr>
              <w:spacing w:after="120"/>
              <w:jc w:val="center"/>
              <w:rPr>
                <w:noProof/>
              </w:rPr>
            </w:pPr>
            <w:r>
              <w:rPr>
                <w:noProof/>
              </w:rPr>
              <w:t>Up to 1.8%</w:t>
            </w:r>
          </w:p>
        </w:tc>
        <w:tc>
          <w:tcPr>
            <w:tcW w:w="1762" w:type="dxa"/>
          </w:tcPr>
          <w:p w:rsidR="001A26B0" w:rsidRDefault="00E33A99">
            <w:pPr>
              <w:spacing w:after="120"/>
              <w:jc w:val="center"/>
              <w:rPr>
                <w:noProof/>
              </w:rPr>
            </w:pPr>
            <w:r>
              <w:rPr>
                <w:noProof/>
              </w:rPr>
              <w:t>Up to 4.5%</w:t>
            </w:r>
          </w:p>
        </w:tc>
      </w:tr>
    </w:tbl>
    <w:p w:rsidR="001A26B0" w:rsidRDefault="00E33A99">
      <w:pPr>
        <w:spacing w:before="240" w:after="120"/>
        <w:rPr>
          <w:noProof/>
        </w:rPr>
      </w:pPr>
      <w:r>
        <w:rPr>
          <w:noProof/>
        </w:rPr>
        <w:t xml:space="preserve">The share of cars and vans in the total EU-28 electricity consumption is shown in </w:t>
      </w:r>
      <w:r>
        <w:rPr>
          <w:noProof/>
        </w:rPr>
        <w:fldChar w:fldCharType="begin"/>
      </w:r>
      <w:r>
        <w:rPr>
          <w:noProof/>
        </w:rPr>
        <w:instrText xml:space="preserve"> REF _Ref493682220 \h  \* MERGEFORMAT </w:instrText>
      </w:r>
      <w:r>
        <w:rPr>
          <w:noProof/>
        </w:rPr>
      </w:r>
      <w:r>
        <w:rPr>
          <w:noProof/>
        </w:rPr>
        <w:fldChar w:fldCharType="separate"/>
      </w:r>
      <w:r>
        <w:rPr>
          <w:noProof/>
        </w:rPr>
        <w:t>Table 9</w:t>
      </w:r>
      <w:r>
        <w:rPr>
          <w:noProof/>
        </w:rPr>
        <w:fldChar w:fldCharType="end"/>
      </w:r>
      <w:r>
        <w:rPr>
          <w:noProof/>
        </w:rPr>
        <w:t xml:space="preserve"> (Section 6.3.2.2.1.4).</w:t>
      </w:r>
    </w:p>
    <w:p w:rsidR="001A26B0" w:rsidRDefault="00E33A99">
      <w:pPr>
        <w:spacing w:after="120"/>
        <w:rPr>
          <w:i/>
          <w:noProof/>
        </w:rPr>
      </w:pPr>
      <w:r>
        <w:rPr>
          <w:i/>
          <w:noProof/>
        </w:rPr>
        <w:t>Administrative burden</w:t>
      </w:r>
    </w:p>
    <w:p w:rsidR="001A26B0" w:rsidRDefault="00E33A99">
      <w:pPr>
        <w:spacing w:after="120"/>
        <w:rPr>
          <w:noProof/>
        </w:rPr>
      </w:pPr>
      <w:r>
        <w:rPr>
          <w:noProof/>
        </w:rPr>
        <w:t>The different op</w:t>
      </w:r>
      <w:r>
        <w:rPr>
          <w:noProof/>
        </w:rPr>
        <w:t xml:space="preserve">tions considered as regards the ZEV/LEV incentives would not create significant additional administrative costs. </w:t>
      </w:r>
    </w:p>
    <w:p w:rsidR="001A26B0" w:rsidRDefault="00E33A99">
      <w:pPr>
        <w:spacing w:after="120"/>
        <w:rPr>
          <w:noProof/>
        </w:rPr>
      </w:pPr>
      <w:r>
        <w:rPr>
          <w:noProof/>
        </w:rPr>
        <w:t>In case of a binding mandate (LEVT_MAND), an additional dedicated regime would need to be established to allow verifying whether individual ma</w:t>
      </w:r>
      <w:r>
        <w:rPr>
          <w:noProof/>
        </w:rPr>
        <w:t>nufacturers comply with the mandatory LEV share.</w:t>
      </w:r>
    </w:p>
    <w:p w:rsidR="001A26B0" w:rsidRDefault="00E33A99">
      <w:pPr>
        <w:spacing w:after="120"/>
        <w:rPr>
          <w:noProof/>
        </w:rPr>
      </w:pPr>
      <w:r>
        <w:rPr>
          <w:noProof/>
        </w:rPr>
        <w:t>In contrast, under a crediting system (LEVT_CRED), compliance checking would only be against the CO</w:t>
      </w:r>
      <w:r>
        <w:rPr>
          <w:noProof/>
          <w:vertAlign w:val="subscript"/>
        </w:rPr>
        <w:t>2</w:t>
      </w:r>
      <w:r>
        <w:rPr>
          <w:noProof/>
        </w:rPr>
        <w:t xml:space="preserve"> target.</w:t>
      </w:r>
    </w:p>
    <w:p w:rsidR="001A26B0" w:rsidRDefault="00E33A99">
      <w:pPr>
        <w:pStyle w:val="Heading4"/>
        <w:keepNext/>
        <w:rPr>
          <w:noProof/>
        </w:rPr>
      </w:pPr>
      <w:bookmarkStart w:id="599" w:name="_Toc496635627"/>
      <w:r>
        <w:rPr>
          <w:noProof/>
        </w:rPr>
        <w:t>Social Impacts</w:t>
      </w:r>
      <w:bookmarkEnd w:id="599"/>
    </w:p>
    <w:p w:rsidR="001A26B0" w:rsidRDefault="00E33A99">
      <w:pPr>
        <w:spacing w:after="120"/>
        <w:rPr>
          <w:noProof/>
        </w:rPr>
      </w:pPr>
      <w:r>
        <w:rPr>
          <w:noProof/>
        </w:rPr>
        <w:t>As for the assessment of the options regarding the EU-wide CO</w:t>
      </w:r>
      <w:r>
        <w:rPr>
          <w:noProof/>
          <w:vertAlign w:val="subscript"/>
        </w:rPr>
        <w:t>2</w:t>
      </w:r>
      <w:r>
        <w:rPr>
          <w:noProof/>
        </w:rPr>
        <w:t xml:space="preserve"> targets (TLC), the T</w:t>
      </w:r>
      <w:r>
        <w:rPr>
          <w:noProof/>
        </w:rPr>
        <w:t>CO (net savings) for the second user was used as an indicator for quantifying the social impacts of the LEV incentives options.</w:t>
      </w:r>
    </w:p>
    <w:p w:rsidR="001A26B0" w:rsidRDefault="00E33A99">
      <w:pPr>
        <w:spacing w:after="120"/>
        <w:rPr>
          <w:noProof/>
        </w:rPr>
      </w:pPr>
      <w:r>
        <w:rPr>
          <w:noProof/>
        </w:rPr>
        <w:t xml:space="preserve">The figures below show the results for an "average" passenger car newly registered in 2025 or 2030. </w:t>
      </w:r>
    </w:p>
    <w:p w:rsidR="001A26B0" w:rsidRDefault="00E33A99">
      <w:pPr>
        <w:spacing w:after="120"/>
        <w:rPr>
          <w:noProof/>
        </w:rPr>
      </w:pPr>
      <w:r>
        <w:rPr>
          <w:noProof/>
        </w:rPr>
        <w:t>The general findings are si</w:t>
      </w:r>
      <w:r>
        <w:rPr>
          <w:noProof/>
        </w:rPr>
        <w:t>milar to those discussed in relation to the economic impacts (see Section 6.5.2.1). However, the differences between the various scenarios in the absolute net savings per car tend to be lower when looking at the TCO for the second user compared to the vehi</w:t>
      </w:r>
      <w:r>
        <w:rPr>
          <w:noProof/>
        </w:rPr>
        <w:t>cle lifetime (TCO-15 years).</w:t>
      </w:r>
    </w:p>
    <w:p w:rsidR="001A26B0" w:rsidRDefault="00E33A99">
      <w:pPr>
        <w:keepNext/>
        <w:spacing w:after="120"/>
        <w:rPr>
          <w:noProof/>
        </w:rPr>
      </w:pPr>
      <w:bookmarkStart w:id="600" w:name="_Toc496688582"/>
      <w:r>
        <w:rPr>
          <w:b/>
          <w:noProof/>
        </w:rPr>
        <w:t xml:space="preserve">Figure </w:t>
      </w:r>
      <w:r>
        <w:rPr>
          <w:b/>
          <w:noProof/>
        </w:rPr>
        <w:fldChar w:fldCharType="begin"/>
      </w:r>
      <w:r>
        <w:rPr>
          <w:b/>
          <w:noProof/>
        </w:rPr>
        <w:instrText xml:space="preserve"> SEQ Figure \* ARABIC </w:instrText>
      </w:r>
      <w:r>
        <w:rPr>
          <w:b/>
          <w:noProof/>
        </w:rPr>
        <w:fldChar w:fldCharType="separate"/>
      </w:r>
      <w:r>
        <w:rPr>
          <w:b/>
          <w:noProof/>
        </w:rPr>
        <w:t>36</w:t>
      </w:r>
      <w:r>
        <w:rPr>
          <w:b/>
          <w:noProof/>
        </w:rPr>
        <w:fldChar w:fldCharType="end"/>
      </w:r>
      <w:r>
        <w:rPr>
          <w:b/>
          <w:noProof/>
        </w:rPr>
        <w:t>: TCO-second user (years 6-10) (EUR/car) in 2025 and 2030 for different LEVD/LEVT options</w:t>
      </w:r>
      <w:bookmarkEnd w:id="600"/>
    </w:p>
    <w:p w:rsidR="001A26B0" w:rsidRDefault="00E33A99">
      <w:pPr>
        <w:pStyle w:val="Caption"/>
        <w:jc w:val="center"/>
        <w:rPr>
          <w:noProof/>
        </w:rPr>
      </w:pPr>
      <w:r>
        <w:rPr>
          <w:noProof/>
          <w:lang w:eastAsia="en-GB"/>
        </w:rPr>
        <w:drawing>
          <wp:inline distT="0" distB="0" distL="0" distR="0">
            <wp:extent cx="5469255" cy="6335826"/>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69255" cy="6335826"/>
                    </a:xfrm>
                    <a:prstGeom prst="rect">
                      <a:avLst/>
                    </a:prstGeom>
                    <a:noFill/>
                    <a:ln>
                      <a:noFill/>
                    </a:ln>
                  </pic:spPr>
                </pic:pic>
              </a:graphicData>
            </a:graphic>
          </wp:inline>
        </w:drawing>
      </w:r>
    </w:p>
    <w:p w:rsidR="001A26B0" w:rsidRDefault="00E33A99">
      <w:pPr>
        <w:pStyle w:val="Heading4"/>
        <w:keepNext/>
        <w:rPr>
          <w:noProof/>
        </w:rPr>
      </w:pPr>
      <w:bookmarkStart w:id="601" w:name="_Toc496635628"/>
      <w:r>
        <w:rPr>
          <w:noProof/>
        </w:rPr>
        <w:t>Environmental impacts</w:t>
      </w:r>
      <w:bookmarkEnd w:id="601"/>
      <w:r>
        <w:rPr>
          <w:noProof/>
        </w:rPr>
        <w:t xml:space="preserve"> </w:t>
      </w:r>
    </w:p>
    <w:p w:rsidR="001A26B0" w:rsidRDefault="00E33A99">
      <w:pPr>
        <w:spacing w:after="120"/>
        <w:rPr>
          <w:i/>
          <w:noProof/>
          <w:lang w:val="fr-BE"/>
        </w:rPr>
      </w:pPr>
      <w:r>
        <w:rPr>
          <w:i/>
          <w:noProof/>
          <w:lang w:val="fr-BE"/>
        </w:rPr>
        <w:t>CO</w:t>
      </w:r>
      <w:r>
        <w:rPr>
          <w:i/>
          <w:noProof/>
          <w:vertAlign w:val="subscript"/>
          <w:lang w:val="fr-BE"/>
        </w:rPr>
        <w:t>2</w:t>
      </w:r>
      <w:r>
        <w:rPr>
          <w:i/>
          <w:noProof/>
          <w:lang w:val="fr-BE"/>
        </w:rPr>
        <w:t xml:space="preserve"> emissions (tailpipe)</w:t>
      </w:r>
    </w:p>
    <w:p w:rsidR="001A26B0" w:rsidRDefault="00E33A99">
      <w:pPr>
        <w:spacing w:after="120"/>
        <w:rPr>
          <w:noProof/>
        </w:rPr>
      </w:pPr>
      <w:r>
        <w:rPr>
          <w:noProof/>
        </w:rPr>
        <w:t>The different options for the LEV incentives show var</w:t>
      </w:r>
      <w:r>
        <w:rPr>
          <w:noProof/>
        </w:rPr>
        <w:t>iations in the tailpipe CO</w:t>
      </w:r>
      <w:r>
        <w:rPr>
          <w:noProof/>
          <w:vertAlign w:val="subscript"/>
        </w:rPr>
        <w:t>2</w:t>
      </w:r>
      <w:r>
        <w:rPr>
          <w:noProof/>
        </w:rPr>
        <w:t xml:space="preserve"> emission levels as shown in the table below. The emissions are mainly determined by the EU-wide fleet CO</w:t>
      </w:r>
      <w:r>
        <w:rPr>
          <w:noProof/>
          <w:vertAlign w:val="subscript"/>
        </w:rPr>
        <w:t>2</w:t>
      </w:r>
      <w:r>
        <w:rPr>
          <w:noProof/>
        </w:rPr>
        <w:t xml:space="preserve"> target, but also the fleet composition has an effect due to the differences in the gap between test and real word emission</w:t>
      </w:r>
      <w:r>
        <w:rPr>
          <w:noProof/>
        </w:rPr>
        <w:t xml:space="preserve">s. </w:t>
      </w:r>
    </w:p>
    <w:p w:rsidR="001A26B0" w:rsidRDefault="00E33A99">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40</w:t>
      </w:r>
      <w:r>
        <w:rPr>
          <w:noProof/>
        </w:rPr>
        <w:fldChar w:fldCharType="end"/>
      </w:r>
      <w:r>
        <w:rPr>
          <w:noProof/>
        </w:rPr>
        <w:t>: CO</w:t>
      </w:r>
      <w:r>
        <w:rPr>
          <w:noProof/>
          <w:vertAlign w:val="subscript"/>
        </w:rPr>
        <w:t>2</w:t>
      </w:r>
      <w:r>
        <w:rPr>
          <w:noProof/>
        </w:rPr>
        <w:t xml:space="preserve"> emission reductions (%) between 2005 and 2030 (passenger cars) </w:t>
      </w:r>
    </w:p>
    <w:tbl>
      <w:tblPr>
        <w:tblStyle w:val="TableGrid"/>
        <w:tblW w:w="5000" w:type="pct"/>
        <w:tblLook w:val="04A0" w:firstRow="1" w:lastRow="0" w:firstColumn="1" w:lastColumn="0" w:noHBand="0" w:noVBand="1"/>
      </w:tblPr>
      <w:tblGrid>
        <w:gridCol w:w="3348"/>
        <w:gridCol w:w="1081"/>
        <w:gridCol w:w="4400"/>
      </w:tblGrid>
      <w:tr w:rsidR="001A26B0">
        <w:tc>
          <w:tcPr>
            <w:tcW w:w="1896" w:type="pct"/>
          </w:tcPr>
          <w:p w:rsidR="001A26B0" w:rsidRDefault="00E33A99">
            <w:pPr>
              <w:keepNext/>
              <w:spacing w:after="120"/>
              <w:rPr>
                <w:b/>
                <w:noProof/>
              </w:rPr>
            </w:pPr>
            <w:r>
              <w:rPr>
                <w:b/>
                <w:noProof/>
              </w:rPr>
              <w:t xml:space="preserve">Option for EU-wide fleet </w:t>
            </w:r>
            <w:r>
              <w:rPr>
                <w:b/>
                <w:noProof/>
              </w:rPr>
              <w:br/>
              <w:t>CO</w:t>
            </w:r>
            <w:r>
              <w:rPr>
                <w:b/>
                <w:noProof/>
                <w:vertAlign w:val="subscript"/>
              </w:rPr>
              <w:t>2</w:t>
            </w:r>
            <w:r>
              <w:rPr>
                <w:b/>
                <w:noProof/>
              </w:rPr>
              <w:t xml:space="preserve"> target level</w:t>
            </w:r>
          </w:p>
        </w:tc>
        <w:tc>
          <w:tcPr>
            <w:tcW w:w="612" w:type="pct"/>
          </w:tcPr>
          <w:p w:rsidR="001A26B0" w:rsidRDefault="00E33A99">
            <w:pPr>
              <w:keepNext/>
              <w:spacing w:after="120"/>
              <w:jc w:val="center"/>
              <w:rPr>
                <w:b/>
                <w:noProof/>
              </w:rPr>
            </w:pPr>
            <w:r>
              <w:rPr>
                <w:b/>
                <w:noProof/>
              </w:rPr>
              <w:t>LEV0</w:t>
            </w:r>
          </w:p>
        </w:tc>
        <w:tc>
          <w:tcPr>
            <w:tcW w:w="2492" w:type="pct"/>
          </w:tcPr>
          <w:p w:rsidR="001A26B0" w:rsidRDefault="00E33A99">
            <w:pPr>
              <w:keepNext/>
              <w:spacing w:after="120"/>
              <w:jc w:val="center"/>
              <w:rPr>
                <w:b/>
                <w:noProof/>
              </w:rPr>
            </w:pPr>
            <w:r>
              <w:rPr>
                <w:b/>
                <w:noProof/>
              </w:rPr>
              <w:t xml:space="preserve">Other LEV options </w:t>
            </w:r>
            <w:r>
              <w:rPr>
                <w:b/>
                <w:noProof/>
              </w:rPr>
              <w:br/>
              <w:t>(various LEVT, LEVD, LEV%)</w:t>
            </w:r>
          </w:p>
        </w:tc>
      </w:tr>
      <w:tr w:rsidR="001A26B0">
        <w:tc>
          <w:tcPr>
            <w:tcW w:w="1896" w:type="pct"/>
          </w:tcPr>
          <w:p w:rsidR="001A26B0" w:rsidRDefault="00E33A99">
            <w:pPr>
              <w:keepNext/>
              <w:spacing w:after="120"/>
              <w:rPr>
                <w:noProof/>
              </w:rPr>
            </w:pPr>
            <w:r>
              <w:rPr>
                <w:noProof/>
              </w:rPr>
              <w:t>TLC20</w:t>
            </w:r>
          </w:p>
        </w:tc>
        <w:tc>
          <w:tcPr>
            <w:tcW w:w="612" w:type="pct"/>
          </w:tcPr>
          <w:p w:rsidR="001A26B0" w:rsidRDefault="00E33A99">
            <w:pPr>
              <w:keepNext/>
              <w:spacing w:after="120"/>
              <w:jc w:val="center"/>
              <w:rPr>
                <w:noProof/>
              </w:rPr>
            </w:pPr>
            <w:r>
              <w:rPr>
                <w:noProof/>
              </w:rPr>
              <w:t>30%</w:t>
            </w:r>
          </w:p>
        </w:tc>
        <w:tc>
          <w:tcPr>
            <w:tcW w:w="2492" w:type="pct"/>
          </w:tcPr>
          <w:p w:rsidR="001A26B0" w:rsidRDefault="00E33A99">
            <w:pPr>
              <w:keepNext/>
              <w:spacing w:after="120"/>
              <w:jc w:val="center"/>
              <w:rPr>
                <w:noProof/>
              </w:rPr>
            </w:pPr>
            <w:r>
              <w:rPr>
                <w:noProof/>
              </w:rPr>
              <w:t>32.2% - 32.4%</w:t>
            </w:r>
          </w:p>
        </w:tc>
      </w:tr>
      <w:tr w:rsidR="001A26B0">
        <w:tc>
          <w:tcPr>
            <w:tcW w:w="1896" w:type="pct"/>
          </w:tcPr>
          <w:p w:rsidR="001A26B0" w:rsidRDefault="00E33A99">
            <w:pPr>
              <w:keepNext/>
              <w:spacing w:after="120"/>
              <w:rPr>
                <w:noProof/>
              </w:rPr>
            </w:pPr>
            <w:r>
              <w:rPr>
                <w:noProof/>
              </w:rPr>
              <w:t>TLC25</w:t>
            </w:r>
          </w:p>
        </w:tc>
        <w:tc>
          <w:tcPr>
            <w:tcW w:w="612" w:type="pct"/>
          </w:tcPr>
          <w:p w:rsidR="001A26B0" w:rsidRDefault="00E33A99">
            <w:pPr>
              <w:keepNext/>
              <w:spacing w:after="120"/>
              <w:jc w:val="center"/>
              <w:rPr>
                <w:noProof/>
              </w:rPr>
            </w:pPr>
            <w:r>
              <w:rPr>
                <w:noProof/>
              </w:rPr>
              <w:t>30.5%</w:t>
            </w:r>
          </w:p>
        </w:tc>
        <w:tc>
          <w:tcPr>
            <w:tcW w:w="2492" w:type="pct"/>
          </w:tcPr>
          <w:p w:rsidR="001A26B0" w:rsidRDefault="00E33A99">
            <w:pPr>
              <w:keepNext/>
              <w:spacing w:after="120"/>
              <w:jc w:val="center"/>
              <w:rPr>
                <w:noProof/>
              </w:rPr>
            </w:pPr>
            <w:r>
              <w:rPr>
                <w:noProof/>
              </w:rPr>
              <w:t>32.2% - 32.4%</w:t>
            </w:r>
          </w:p>
        </w:tc>
      </w:tr>
      <w:tr w:rsidR="001A26B0">
        <w:tc>
          <w:tcPr>
            <w:tcW w:w="1896" w:type="pct"/>
          </w:tcPr>
          <w:p w:rsidR="001A26B0" w:rsidRDefault="00E33A99">
            <w:pPr>
              <w:keepNext/>
              <w:spacing w:after="120"/>
              <w:rPr>
                <w:noProof/>
              </w:rPr>
            </w:pPr>
            <w:r>
              <w:rPr>
                <w:noProof/>
              </w:rPr>
              <w:t>TLC30</w:t>
            </w:r>
          </w:p>
        </w:tc>
        <w:tc>
          <w:tcPr>
            <w:tcW w:w="612" w:type="pct"/>
          </w:tcPr>
          <w:p w:rsidR="001A26B0" w:rsidRDefault="00E33A99">
            <w:pPr>
              <w:keepNext/>
              <w:spacing w:after="120"/>
              <w:jc w:val="center"/>
              <w:rPr>
                <w:noProof/>
              </w:rPr>
            </w:pPr>
            <w:r>
              <w:rPr>
                <w:noProof/>
              </w:rPr>
              <w:t>31%</w:t>
            </w:r>
          </w:p>
        </w:tc>
        <w:tc>
          <w:tcPr>
            <w:tcW w:w="2492" w:type="pct"/>
          </w:tcPr>
          <w:p w:rsidR="001A26B0" w:rsidRDefault="00E33A99">
            <w:pPr>
              <w:keepNext/>
              <w:spacing w:after="120"/>
              <w:jc w:val="center"/>
              <w:rPr>
                <w:noProof/>
              </w:rPr>
            </w:pPr>
            <w:r>
              <w:rPr>
                <w:noProof/>
              </w:rPr>
              <w:t>32.2% - 32.4%</w:t>
            </w:r>
          </w:p>
        </w:tc>
      </w:tr>
      <w:tr w:rsidR="001A26B0">
        <w:tc>
          <w:tcPr>
            <w:tcW w:w="1896" w:type="pct"/>
          </w:tcPr>
          <w:p w:rsidR="001A26B0" w:rsidRDefault="00E33A99">
            <w:pPr>
              <w:spacing w:after="120"/>
              <w:rPr>
                <w:noProof/>
              </w:rPr>
            </w:pPr>
            <w:r>
              <w:rPr>
                <w:noProof/>
              </w:rPr>
              <w:t>TLC40</w:t>
            </w:r>
          </w:p>
        </w:tc>
        <w:tc>
          <w:tcPr>
            <w:tcW w:w="612" w:type="pct"/>
          </w:tcPr>
          <w:p w:rsidR="001A26B0" w:rsidRDefault="00E33A99">
            <w:pPr>
              <w:spacing w:after="120"/>
              <w:jc w:val="center"/>
              <w:rPr>
                <w:noProof/>
              </w:rPr>
            </w:pPr>
            <w:r>
              <w:rPr>
                <w:noProof/>
              </w:rPr>
              <w:t>33.6%</w:t>
            </w:r>
          </w:p>
        </w:tc>
        <w:tc>
          <w:tcPr>
            <w:tcW w:w="2492" w:type="pct"/>
          </w:tcPr>
          <w:p w:rsidR="001A26B0" w:rsidRDefault="00E33A99">
            <w:pPr>
              <w:spacing w:after="120"/>
              <w:jc w:val="center"/>
              <w:rPr>
                <w:noProof/>
              </w:rPr>
            </w:pPr>
            <w:r>
              <w:rPr>
                <w:noProof/>
              </w:rPr>
              <w:t>34.4% - 34.6%</w:t>
            </w:r>
          </w:p>
        </w:tc>
      </w:tr>
    </w:tbl>
    <w:p w:rsidR="001A26B0" w:rsidRDefault="00E33A99">
      <w:pPr>
        <w:spacing w:before="240" w:after="120"/>
        <w:jc w:val="left"/>
        <w:rPr>
          <w:i/>
          <w:noProof/>
          <w:szCs w:val="24"/>
        </w:rPr>
      </w:pPr>
      <w:r>
        <w:rPr>
          <w:i/>
          <w:noProof/>
          <w:szCs w:val="24"/>
        </w:rPr>
        <w:t>Impacts of options LEVT_CRED in case the LEV benchmark is not met or overachieved</w:t>
      </w:r>
    </w:p>
    <w:p w:rsidR="001A26B0" w:rsidRDefault="00E33A99">
      <w:pPr>
        <w:spacing w:after="120"/>
        <w:rPr>
          <w:noProof/>
          <w:color w:val="000000" w:themeColor="text1"/>
          <w:szCs w:val="24"/>
        </w:rPr>
      </w:pPr>
      <w:r>
        <w:rPr>
          <w:noProof/>
        </w:rPr>
        <w:t>As explained in Section 5.3.2.2, in case of a LEV crediting system, the EU-wide fleet CO</w:t>
      </w:r>
      <w:r>
        <w:rPr>
          <w:noProof/>
          <w:vertAlign w:val="subscript"/>
        </w:rPr>
        <w:t>2</w:t>
      </w:r>
      <w:r>
        <w:rPr>
          <w:noProof/>
        </w:rPr>
        <w:t xml:space="preserve"> target may vary depending on whether the LEV benchmark is under- or overachieved. </w:t>
      </w:r>
      <w:r>
        <w:rPr>
          <w:noProof/>
          <w:color w:val="000000" w:themeColor="text1"/>
          <w:szCs w:val="24"/>
        </w:rPr>
        <w:t>The adjustment of the CO</w:t>
      </w:r>
      <w:r>
        <w:rPr>
          <w:noProof/>
          <w:color w:val="000000" w:themeColor="text1"/>
          <w:szCs w:val="24"/>
          <w:vertAlign w:val="subscript"/>
        </w:rPr>
        <w:t>2</w:t>
      </w:r>
      <w:r>
        <w:rPr>
          <w:noProof/>
          <w:color w:val="000000" w:themeColor="text1"/>
          <w:szCs w:val="24"/>
        </w:rPr>
        <w:t xml:space="preserve"> target is however limited to a maximum of 5%. </w:t>
      </w:r>
      <w:r>
        <w:rPr>
          <w:noProof/>
        </w:rPr>
        <w:t>Therefore, the "end points" for the LEVT_CRED options as regards the environmental impact in terms of</w:t>
      </w:r>
      <w:r>
        <w:rPr>
          <w:noProof/>
        </w:rPr>
        <w:t xml:space="preserve"> CO</w:t>
      </w:r>
      <w:r>
        <w:rPr>
          <w:noProof/>
          <w:vertAlign w:val="subscript"/>
        </w:rPr>
        <w:t>2</w:t>
      </w:r>
      <w:r>
        <w:rPr>
          <w:noProof/>
        </w:rPr>
        <w:t xml:space="preserve"> tailpipe emissions would be similar as for the TLC options with a </w:t>
      </w:r>
      <w:r>
        <w:rPr>
          <w:noProof/>
          <w:color w:val="000000" w:themeColor="text1"/>
          <w:szCs w:val="24"/>
        </w:rPr>
        <w:t>CO</w:t>
      </w:r>
      <w:r>
        <w:rPr>
          <w:noProof/>
          <w:color w:val="000000" w:themeColor="text1"/>
          <w:szCs w:val="24"/>
          <w:vertAlign w:val="subscript"/>
        </w:rPr>
        <w:t>2</w:t>
      </w:r>
      <w:r>
        <w:rPr>
          <w:noProof/>
          <w:color w:val="000000" w:themeColor="text1"/>
          <w:szCs w:val="24"/>
        </w:rPr>
        <w:t xml:space="preserve"> target</w:t>
      </w:r>
      <w:r>
        <w:rPr>
          <w:noProof/>
        </w:rPr>
        <w:t xml:space="preserve"> that is 5% higher, respectively 5% lower (only in case of LEVT_CRED2) than in the corresponding LEVT_MAND option</w:t>
      </w:r>
      <w:r>
        <w:rPr>
          <w:rStyle w:val="FootnoteReference"/>
          <w:noProof/>
        </w:rPr>
        <w:footnoteReference w:id="195"/>
      </w:r>
      <w:r>
        <w:rPr>
          <w:noProof/>
        </w:rPr>
        <w:t>. These impacts can be derived from the results shown in Sect</w:t>
      </w:r>
      <w:r>
        <w:rPr>
          <w:noProof/>
        </w:rPr>
        <w:t>ion 6.3.2.4.1.</w:t>
      </w:r>
    </w:p>
    <w:p w:rsidR="001A26B0" w:rsidRDefault="00E33A99">
      <w:pPr>
        <w:spacing w:after="120"/>
        <w:rPr>
          <w:i/>
          <w:noProof/>
        </w:rPr>
      </w:pPr>
      <w:r>
        <w:rPr>
          <w:i/>
          <w:noProof/>
        </w:rPr>
        <w:t xml:space="preserve">Air pollutant emissions </w:t>
      </w:r>
    </w:p>
    <w:p w:rsidR="001A26B0" w:rsidRDefault="00E33A99">
      <w:pPr>
        <w:spacing w:after="120"/>
        <w:rPr>
          <w:noProof/>
        </w:rPr>
      </w:pPr>
      <w:r>
        <w:rPr>
          <w:noProof/>
        </w:rPr>
        <w:t xml:space="preserve">The LEV incentives options lead to somewhat lower air pollutant emissions, in particular due to the higher market shares of ZEV. As shown in </w:t>
      </w:r>
      <w:r>
        <w:rPr>
          <w:noProof/>
        </w:rPr>
        <w:fldChar w:fldCharType="begin"/>
      </w:r>
      <w:r>
        <w:rPr>
          <w:noProof/>
        </w:rPr>
        <w:instrText xml:space="preserve"> REF _Ref493622771 \h </w:instrText>
      </w:r>
      <w:r>
        <w:rPr>
          <w:noProof/>
        </w:rPr>
      </w:r>
      <w:r>
        <w:rPr>
          <w:noProof/>
        </w:rPr>
        <w:fldChar w:fldCharType="separate"/>
      </w:r>
      <w:r>
        <w:rPr>
          <w:noProof/>
        </w:rPr>
        <w:t>Table 41</w:t>
      </w:r>
      <w:r>
        <w:rPr>
          <w:noProof/>
        </w:rPr>
        <w:fldChar w:fldCharType="end"/>
      </w:r>
      <w:r>
        <w:rPr>
          <w:noProof/>
        </w:rPr>
        <w:t xml:space="preserve"> and </w:t>
      </w:r>
      <w:r>
        <w:rPr>
          <w:noProof/>
        </w:rPr>
        <w:fldChar w:fldCharType="begin"/>
      </w:r>
      <w:r>
        <w:rPr>
          <w:noProof/>
        </w:rPr>
        <w:instrText xml:space="preserve"> REF _Ref493622780 \h  \* MERGEFORMAT </w:instrText>
      </w:r>
      <w:r>
        <w:rPr>
          <w:noProof/>
        </w:rPr>
      </w:r>
      <w:r>
        <w:rPr>
          <w:noProof/>
        </w:rPr>
        <w:fldChar w:fldCharType="separate"/>
      </w:r>
      <w:r>
        <w:rPr>
          <w:noProof/>
        </w:rPr>
        <w:t>Table 42</w:t>
      </w:r>
      <w:r>
        <w:rPr>
          <w:noProof/>
        </w:rPr>
        <w:fldChar w:fldCharType="end"/>
      </w:r>
      <w:r>
        <w:rPr>
          <w:noProof/>
        </w:rPr>
        <w:t>, emission reductions of NO</w:t>
      </w:r>
      <w:r>
        <w:rPr>
          <w:noProof/>
          <w:vertAlign w:val="subscript"/>
        </w:rPr>
        <w:t>x</w:t>
      </w:r>
      <w:r>
        <w:rPr>
          <w:noProof/>
        </w:rPr>
        <w:t xml:space="preserve"> and PM</w:t>
      </w:r>
      <w:r>
        <w:rPr>
          <w:noProof/>
          <w:vertAlign w:val="subscript"/>
        </w:rPr>
        <w:t>2.5</w:t>
      </w:r>
      <w:r>
        <w:rPr>
          <w:noProof/>
        </w:rPr>
        <w:t xml:space="preserve"> over the period 2020-2030 show rath</w:t>
      </w:r>
      <w:r>
        <w:rPr>
          <w:noProof/>
        </w:rPr>
        <w:t>er limited variation among the different LEV incentive options considered.</w:t>
      </w:r>
    </w:p>
    <w:p w:rsidR="001A26B0" w:rsidRDefault="00E33A99">
      <w:pPr>
        <w:pStyle w:val="Caption"/>
        <w:keepNext/>
        <w:rPr>
          <w:b w:val="0"/>
          <w:noProof/>
          <w:szCs w:val="24"/>
        </w:rPr>
      </w:pPr>
      <w:bookmarkStart w:id="602" w:name="_Ref493622771"/>
      <w:r>
        <w:rPr>
          <w:noProof/>
        </w:rPr>
        <w:t xml:space="preserve">Table </w:t>
      </w:r>
      <w:r>
        <w:rPr>
          <w:noProof/>
        </w:rPr>
        <w:fldChar w:fldCharType="begin"/>
      </w:r>
      <w:r>
        <w:rPr>
          <w:noProof/>
        </w:rPr>
        <w:instrText xml:space="preserve"> SEQ Table \* ARABIC </w:instrText>
      </w:r>
      <w:r>
        <w:rPr>
          <w:noProof/>
        </w:rPr>
        <w:fldChar w:fldCharType="separate"/>
      </w:r>
      <w:r>
        <w:rPr>
          <w:noProof/>
        </w:rPr>
        <w:t>41</w:t>
      </w:r>
      <w:r>
        <w:rPr>
          <w:noProof/>
        </w:rPr>
        <w:fldChar w:fldCharType="end"/>
      </w:r>
      <w:bookmarkEnd w:id="602"/>
      <w:r>
        <w:rPr>
          <w:noProof/>
        </w:rPr>
        <w:t xml:space="preserve">: </w:t>
      </w:r>
      <w:r>
        <w:rPr>
          <w:noProof/>
          <w:szCs w:val="24"/>
        </w:rPr>
        <w:t>NO</w:t>
      </w:r>
      <w:r>
        <w:rPr>
          <w:noProof/>
          <w:szCs w:val="24"/>
          <w:vertAlign w:val="subscript"/>
        </w:rPr>
        <w:t>x</w:t>
      </w:r>
      <w:r>
        <w:rPr>
          <w:noProof/>
          <w:szCs w:val="24"/>
        </w:rPr>
        <w:t xml:space="preserve"> emission reductions (%) between 2020 and 2030 (passenger cars) </w:t>
      </w:r>
    </w:p>
    <w:tbl>
      <w:tblPr>
        <w:tblStyle w:val="TableGrid"/>
        <w:tblW w:w="0" w:type="auto"/>
        <w:tblLook w:val="04A0" w:firstRow="1" w:lastRow="0" w:firstColumn="1" w:lastColumn="0" w:noHBand="0" w:noVBand="1"/>
      </w:tblPr>
      <w:tblGrid>
        <w:gridCol w:w="3348"/>
        <w:gridCol w:w="1080"/>
        <w:gridCol w:w="4401"/>
      </w:tblGrid>
      <w:tr w:rsidR="001A26B0">
        <w:tc>
          <w:tcPr>
            <w:tcW w:w="3348" w:type="dxa"/>
          </w:tcPr>
          <w:p w:rsidR="001A26B0" w:rsidRDefault="00E33A99">
            <w:pPr>
              <w:spacing w:after="120"/>
              <w:jc w:val="left"/>
              <w:rPr>
                <w:b/>
                <w:noProof/>
              </w:rPr>
            </w:pPr>
            <w:r>
              <w:rPr>
                <w:b/>
                <w:noProof/>
              </w:rPr>
              <w:t xml:space="preserve">Option for EU-wide fleet </w:t>
            </w:r>
            <w:r>
              <w:rPr>
                <w:b/>
                <w:noProof/>
              </w:rPr>
              <w:br/>
              <w:t>CO</w:t>
            </w:r>
            <w:r>
              <w:rPr>
                <w:b/>
                <w:noProof/>
                <w:vertAlign w:val="subscript"/>
              </w:rPr>
              <w:t>2</w:t>
            </w:r>
            <w:r>
              <w:rPr>
                <w:b/>
                <w:noProof/>
              </w:rPr>
              <w:t xml:space="preserve"> target level</w:t>
            </w:r>
          </w:p>
        </w:tc>
        <w:tc>
          <w:tcPr>
            <w:tcW w:w="1080" w:type="dxa"/>
          </w:tcPr>
          <w:p w:rsidR="001A26B0" w:rsidRDefault="00E33A99">
            <w:pPr>
              <w:spacing w:after="120"/>
              <w:jc w:val="center"/>
              <w:rPr>
                <w:b/>
                <w:noProof/>
              </w:rPr>
            </w:pPr>
            <w:r>
              <w:rPr>
                <w:b/>
                <w:noProof/>
              </w:rPr>
              <w:t>LEV0</w:t>
            </w:r>
          </w:p>
        </w:tc>
        <w:tc>
          <w:tcPr>
            <w:tcW w:w="4401" w:type="dxa"/>
          </w:tcPr>
          <w:p w:rsidR="001A26B0" w:rsidRDefault="00E33A99">
            <w:pPr>
              <w:spacing w:after="120"/>
              <w:jc w:val="center"/>
              <w:rPr>
                <w:b/>
                <w:noProof/>
                <w:highlight w:val="yellow"/>
              </w:rPr>
            </w:pPr>
            <w:r>
              <w:rPr>
                <w:b/>
                <w:noProof/>
              </w:rPr>
              <w:t xml:space="preserve">Other LEV options </w:t>
            </w:r>
            <w:r>
              <w:rPr>
                <w:b/>
                <w:noProof/>
              </w:rPr>
              <w:br/>
              <w:t>(various LEV</w:t>
            </w:r>
            <w:r>
              <w:rPr>
                <w:b/>
                <w:noProof/>
              </w:rPr>
              <w:t>T, LEVD, LEV%)</w:t>
            </w:r>
          </w:p>
        </w:tc>
      </w:tr>
      <w:tr w:rsidR="001A26B0">
        <w:tc>
          <w:tcPr>
            <w:tcW w:w="3348" w:type="dxa"/>
          </w:tcPr>
          <w:p w:rsidR="001A26B0" w:rsidRDefault="00E33A99">
            <w:pPr>
              <w:spacing w:after="120"/>
              <w:rPr>
                <w:noProof/>
              </w:rPr>
            </w:pPr>
            <w:r>
              <w:rPr>
                <w:noProof/>
              </w:rPr>
              <w:t>TLC20</w:t>
            </w:r>
          </w:p>
        </w:tc>
        <w:tc>
          <w:tcPr>
            <w:tcW w:w="1080" w:type="dxa"/>
          </w:tcPr>
          <w:p w:rsidR="001A26B0" w:rsidRDefault="00E33A99">
            <w:pPr>
              <w:spacing w:after="120"/>
              <w:jc w:val="center"/>
              <w:rPr>
                <w:noProof/>
              </w:rPr>
            </w:pPr>
            <w:r>
              <w:rPr>
                <w:noProof/>
              </w:rPr>
              <w:t>38%</w:t>
            </w:r>
          </w:p>
        </w:tc>
        <w:tc>
          <w:tcPr>
            <w:tcW w:w="4401" w:type="dxa"/>
          </w:tcPr>
          <w:p w:rsidR="001A26B0" w:rsidRDefault="00E33A99">
            <w:pPr>
              <w:spacing w:after="120"/>
              <w:jc w:val="center"/>
              <w:rPr>
                <w:noProof/>
              </w:rPr>
            </w:pPr>
            <w:r>
              <w:rPr>
                <w:noProof/>
              </w:rPr>
              <w:t>42% - 46%</w:t>
            </w:r>
          </w:p>
        </w:tc>
      </w:tr>
      <w:tr w:rsidR="001A26B0">
        <w:tc>
          <w:tcPr>
            <w:tcW w:w="3348" w:type="dxa"/>
          </w:tcPr>
          <w:p w:rsidR="001A26B0" w:rsidRDefault="00E33A99">
            <w:pPr>
              <w:spacing w:after="120"/>
              <w:rPr>
                <w:noProof/>
              </w:rPr>
            </w:pPr>
            <w:r>
              <w:rPr>
                <w:noProof/>
              </w:rPr>
              <w:t>TLC25</w:t>
            </w:r>
          </w:p>
        </w:tc>
        <w:tc>
          <w:tcPr>
            <w:tcW w:w="1080" w:type="dxa"/>
          </w:tcPr>
          <w:p w:rsidR="001A26B0" w:rsidRDefault="00E33A99">
            <w:pPr>
              <w:spacing w:after="120"/>
              <w:jc w:val="center"/>
              <w:rPr>
                <w:noProof/>
              </w:rPr>
            </w:pPr>
            <w:r>
              <w:rPr>
                <w:noProof/>
              </w:rPr>
              <w:t>38.5%</w:t>
            </w:r>
          </w:p>
        </w:tc>
        <w:tc>
          <w:tcPr>
            <w:tcW w:w="4401" w:type="dxa"/>
          </w:tcPr>
          <w:p w:rsidR="001A26B0" w:rsidRDefault="00E33A99">
            <w:pPr>
              <w:spacing w:after="120"/>
              <w:jc w:val="center"/>
              <w:rPr>
                <w:noProof/>
              </w:rPr>
            </w:pPr>
            <w:r>
              <w:rPr>
                <w:noProof/>
              </w:rPr>
              <w:t>42% – 46%</w:t>
            </w:r>
          </w:p>
        </w:tc>
      </w:tr>
      <w:tr w:rsidR="001A26B0">
        <w:tc>
          <w:tcPr>
            <w:tcW w:w="3348" w:type="dxa"/>
          </w:tcPr>
          <w:p w:rsidR="001A26B0" w:rsidRDefault="00E33A99">
            <w:pPr>
              <w:spacing w:after="120"/>
              <w:rPr>
                <w:noProof/>
              </w:rPr>
            </w:pPr>
            <w:r>
              <w:rPr>
                <w:noProof/>
              </w:rPr>
              <w:t>TLC30</w:t>
            </w:r>
          </w:p>
        </w:tc>
        <w:tc>
          <w:tcPr>
            <w:tcW w:w="1080" w:type="dxa"/>
          </w:tcPr>
          <w:p w:rsidR="001A26B0" w:rsidRDefault="00E33A99">
            <w:pPr>
              <w:spacing w:after="120"/>
              <w:jc w:val="center"/>
              <w:rPr>
                <w:noProof/>
              </w:rPr>
            </w:pPr>
            <w:r>
              <w:rPr>
                <w:noProof/>
              </w:rPr>
              <w:t>39%</w:t>
            </w:r>
          </w:p>
        </w:tc>
        <w:tc>
          <w:tcPr>
            <w:tcW w:w="4401" w:type="dxa"/>
          </w:tcPr>
          <w:p w:rsidR="001A26B0" w:rsidRDefault="00E33A99">
            <w:pPr>
              <w:spacing w:after="120"/>
              <w:jc w:val="center"/>
              <w:rPr>
                <w:noProof/>
              </w:rPr>
            </w:pPr>
            <w:r>
              <w:rPr>
                <w:noProof/>
              </w:rPr>
              <w:t>42% – 46%</w:t>
            </w:r>
          </w:p>
        </w:tc>
      </w:tr>
      <w:tr w:rsidR="001A26B0">
        <w:tc>
          <w:tcPr>
            <w:tcW w:w="3348" w:type="dxa"/>
          </w:tcPr>
          <w:p w:rsidR="001A26B0" w:rsidRDefault="00E33A99">
            <w:pPr>
              <w:spacing w:after="120"/>
              <w:rPr>
                <w:noProof/>
              </w:rPr>
            </w:pPr>
            <w:r>
              <w:rPr>
                <w:noProof/>
              </w:rPr>
              <w:t>TLC40</w:t>
            </w:r>
          </w:p>
        </w:tc>
        <w:tc>
          <w:tcPr>
            <w:tcW w:w="1080" w:type="dxa"/>
          </w:tcPr>
          <w:p w:rsidR="001A26B0" w:rsidRDefault="00E33A99">
            <w:pPr>
              <w:spacing w:after="120"/>
              <w:jc w:val="center"/>
              <w:rPr>
                <w:noProof/>
              </w:rPr>
            </w:pPr>
            <w:r>
              <w:rPr>
                <w:noProof/>
              </w:rPr>
              <w:t>42%</w:t>
            </w:r>
          </w:p>
        </w:tc>
        <w:tc>
          <w:tcPr>
            <w:tcW w:w="4401" w:type="dxa"/>
          </w:tcPr>
          <w:p w:rsidR="001A26B0" w:rsidRDefault="00E33A99">
            <w:pPr>
              <w:spacing w:after="120"/>
              <w:jc w:val="center"/>
              <w:rPr>
                <w:noProof/>
              </w:rPr>
            </w:pPr>
            <w:r>
              <w:rPr>
                <w:noProof/>
              </w:rPr>
              <w:t>44% - 46%</w:t>
            </w:r>
          </w:p>
        </w:tc>
      </w:tr>
    </w:tbl>
    <w:p w:rsidR="001A26B0" w:rsidRDefault="001A26B0">
      <w:pPr>
        <w:pStyle w:val="ZDGName"/>
        <w:rPr>
          <w:noProof/>
        </w:rPr>
      </w:pPr>
    </w:p>
    <w:p w:rsidR="001A26B0" w:rsidRDefault="00E33A99">
      <w:pPr>
        <w:keepNext/>
        <w:spacing w:after="120"/>
        <w:rPr>
          <w:b/>
          <w:noProof/>
          <w:szCs w:val="24"/>
        </w:rPr>
      </w:pPr>
      <w:bookmarkStart w:id="603" w:name="_Ref493622780"/>
      <w:r>
        <w:rPr>
          <w:b/>
          <w:noProof/>
        </w:rPr>
        <w:t xml:space="preserve">Table </w:t>
      </w:r>
      <w:r>
        <w:rPr>
          <w:b/>
          <w:noProof/>
        </w:rPr>
        <w:fldChar w:fldCharType="begin"/>
      </w:r>
      <w:r>
        <w:rPr>
          <w:b/>
          <w:noProof/>
        </w:rPr>
        <w:instrText xml:space="preserve"> SEQ Table \* ARABIC </w:instrText>
      </w:r>
      <w:r>
        <w:rPr>
          <w:b/>
          <w:noProof/>
        </w:rPr>
        <w:fldChar w:fldCharType="separate"/>
      </w:r>
      <w:r>
        <w:rPr>
          <w:b/>
          <w:noProof/>
        </w:rPr>
        <w:t>42</w:t>
      </w:r>
      <w:r>
        <w:rPr>
          <w:b/>
          <w:noProof/>
        </w:rPr>
        <w:fldChar w:fldCharType="end"/>
      </w:r>
      <w:bookmarkEnd w:id="603"/>
      <w:r>
        <w:rPr>
          <w:b/>
          <w:noProof/>
        </w:rPr>
        <w:t xml:space="preserve">: </w:t>
      </w:r>
      <w:r>
        <w:rPr>
          <w:b/>
          <w:noProof/>
          <w:szCs w:val="24"/>
        </w:rPr>
        <w:t xml:space="preserve">PM2.5 emission reductions (%) between 2020 and 2030 (passenger cars) </w:t>
      </w:r>
    </w:p>
    <w:tbl>
      <w:tblPr>
        <w:tblStyle w:val="TableGrid"/>
        <w:tblW w:w="0" w:type="auto"/>
        <w:tblLook w:val="04A0" w:firstRow="1" w:lastRow="0" w:firstColumn="1" w:lastColumn="0" w:noHBand="0" w:noVBand="1"/>
      </w:tblPr>
      <w:tblGrid>
        <w:gridCol w:w="3348"/>
        <w:gridCol w:w="1080"/>
        <w:gridCol w:w="4401"/>
      </w:tblGrid>
      <w:tr w:rsidR="001A26B0">
        <w:tc>
          <w:tcPr>
            <w:tcW w:w="3348" w:type="dxa"/>
          </w:tcPr>
          <w:p w:rsidR="001A26B0" w:rsidRDefault="00E33A99">
            <w:pPr>
              <w:spacing w:after="120"/>
              <w:jc w:val="left"/>
              <w:rPr>
                <w:noProof/>
              </w:rPr>
            </w:pPr>
            <w:r>
              <w:rPr>
                <w:b/>
                <w:noProof/>
              </w:rPr>
              <w:t xml:space="preserve">Option for EU-wide fleet </w:t>
            </w:r>
            <w:r>
              <w:rPr>
                <w:b/>
                <w:noProof/>
              </w:rPr>
              <w:br/>
              <w:t>CO</w:t>
            </w:r>
            <w:r>
              <w:rPr>
                <w:b/>
                <w:noProof/>
                <w:vertAlign w:val="subscript"/>
              </w:rPr>
              <w:t>2</w:t>
            </w:r>
            <w:r>
              <w:rPr>
                <w:b/>
                <w:noProof/>
              </w:rPr>
              <w:t xml:space="preserve"> target level</w:t>
            </w:r>
          </w:p>
        </w:tc>
        <w:tc>
          <w:tcPr>
            <w:tcW w:w="1080" w:type="dxa"/>
          </w:tcPr>
          <w:p w:rsidR="001A26B0" w:rsidRDefault="00E33A99">
            <w:pPr>
              <w:spacing w:after="120"/>
              <w:jc w:val="center"/>
              <w:rPr>
                <w:b/>
                <w:noProof/>
              </w:rPr>
            </w:pPr>
            <w:r>
              <w:rPr>
                <w:b/>
                <w:noProof/>
              </w:rPr>
              <w:t>LEV0</w:t>
            </w:r>
          </w:p>
        </w:tc>
        <w:tc>
          <w:tcPr>
            <w:tcW w:w="4401" w:type="dxa"/>
          </w:tcPr>
          <w:p w:rsidR="001A26B0" w:rsidRDefault="00E33A99">
            <w:pPr>
              <w:spacing w:after="120"/>
              <w:jc w:val="center"/>
              <w:rPr>
                <w:b/>
                <w:noProof/>
              </w:rPr>
            </w:pPr>
            <w:r>
              <w:rPr>
                <w:b/>
                <w:noProof/>
              </w:rPr>
              <w:t xml:space="preserve">Other LEV options </w:t>
            </w:r>
            <w:r>
              <w:rPr>
                <w:b/>
                <w:noProof/>
              </w:rPr>
              <w:br/>
              <w:t>(various LEVT, LEVD, LEV%)</w:t>
            </w:r>
          </w:p>
        </w:tc>
      </w:tr>
      <w:tr w:rsidR="001A26B0">
        <w:tc>
          <w:tcPr>
            <w:tcW w:w="3348" w:type="dxa"/>
          </w:tcPr>
          <w:p w:rsidR="001A26B0" w:rsidRDefault="00E33A99">
            <w:pPr>
              <w:spacing w:after="120"/>
              <w:rPr>
                <w:noProof/>
              </w:rPr>
            </w:pPr>
            <w:r>
              <w:rPr>
                <w:noProof/>
              </w:rPr>
              <w:t>TLC20</w:t>
            </w:r>
          </w:p>
        </w:tc>
        <w:tc>
          <w:tcPr>
            <w:tcW w:w="1080" w:type="dxa"/>
          </w:tcPr>
          <w:p w:rsidR="001A26B0" w:rsidRDefault="00E33A99">
            <w:pPr>
              <w:spacing w:after="120"/>
              <w:jc w:val="center"/>
              <w:rPr>
                <w:noProof/>
              </w:rPr>
            </w:pPr>
            <w:r>
              <w:rPr>
                <w:noProof/>
              </w:rPr>
              <w:t>34%</w:t>
            </w:r>
          </w:p>
        </w:tc>
        <w:tc>
          <w:tcPr>
            <w:tcW w:w="4401" w:type="dxa"/>
          </w:tcPr>
          <w:p w:rsidR="001A26B0" w:rsidRDefault="00E33A99">
            <w:pPr>
              <w:spacing w:after="120"/>
              <w:jc w:val="center"/>
              <w:rPr>
                <w:noProof/>
              </w:rPr>
            </w:pPr>
            <w:r>
              <w:rPr>
                <w:noProof/>
              </w:rPr>
              <w:t>38% - 42%</w:t>
            </w:r>
          </w:p>
        </w:tc>
      </w:tr>
      <w:tr w:rsidR="001A26B0">
        <w:tc>
          <w:tcPr>
            <w:tcW w:w="3348" w:type="dxa"/>
          </w:tcPr>
          <w:p w:rsidR="001A26B0" w:rsidRDefault="00E33A99">
            <w:pPr>
              <w:spacing w:after="120"/>
              <w:rPr>
                <w:noProof/>
              </w:rPr>
            </w:pPr>
            <w:r>
              <w:rPr>
                <w:noProof/>
              </w:rPr>
              <w:t>TLC25</w:t>
            </w:r>
          </w:p>
        </w:tc>
        <w:tc>
          <w:tcPr>
            <w:tcW w:w="1080" w:type="dxa"/>
          </w:tcPr>
          <w:p w:rsidR="001A26B0" w:rsidRDefault="00E33A99">
            <w:pPr>
              <w:spacing w:after="120"/>
              <w:jc w:val="center"/>
              <w:rPr>
                <w:noProof/>
              </w:rPr>
            </w:pPr>
            <w:r>
              <w:rPr>
                <w:noProof/>
              </w:rPr>
              <w:t>34.5%</w:t>
            </w:r>
          </w:p>
        </w:tc>
        <w:tc>
          <w:tcPr>
            <w:tcW w:w="4401" w:type="dxa"/>
          </w:tcPr>
          <w:p w:rsidR="001A26B0" w:rsidRDefault="00E33A99">
            <w:pPr>
              <w:spacing w:after="120"/>
              <w:jc w:val="center"/>
              <w:rPr>
                <w:noProof/>
              </w:rPr>
            </w:pPr>
            <w:r>
              <w:rPr>
                <w:noProof/>
              </w:rPr>
              <w:t>38% - 43%</w:t>
            </w:r>
          </w:p>
        </w:tc>
      </w:tr>
      <w:tr w:rsidR="001A26B0">
        <w:tc>
          <w:tcPr>
            <w:tcW w:w="3348" w:type="dxa"/>
          </w:tcPr>
          <w:p w:rsidR="001A26B0" w:rsidRDefault="00E33A99">
            <w:pPr>
              <w:spacing w:after="120"/>
              <w:rPr>
                <w:noProof/>
              </w:rPr>
            </w:pPr>
            <w:r>
              <w:rPr>
                <w:noProof/>
              </w:rPr>
              <w:t>TLC30</w:t>
            </w:r>
          </w:p>
        </w:tc>
        <w:tc>
          <w:tcPr>
            <w:tcW w:w="1080" w:type="dxa"/>
          </w:tcPr>
          <w:p w:rsidR="001A26B0" w:rsidRDefault="00E33A99">
            <w:pPr>
              <w:spacing w:after="120"/>
              <w:jc w:val="center"/>
              <w:rPr>
                <w:noProof/>
              </w:rPr>
            </w:pPr>
            <w:r>
              <w:rPr>
                <w:noProof/>
              </w:rPr>
              <w:t>35%</w:t>
            </w:r>
          </w:p>
        </w:tc>
        <w:tc>
          <w:tcPr>
            <w:tcW w:w="4401" w:type="dxa"/>
          </w:tcPr>
          <w:p w:rsidR="001A26B0" w:rsidRDefault="00E33A99">
            <w:pPr>
              <w:spacing w:after="120"/>
              <w:jc w:val="center"/>
              <w:rPr>
                <w:noProof/>
              </w:rPr>
            </w:pPr>
            <w:r>
              <w:rPr>
                <w:noProof/>
              </w:rPr>
              <w:t>38% - 43%</w:t>
            </w:r>
          </w:p>
        </w:tc>
      </w:tr>
      <w:tr w:rsidR="001A26B0">
        <w:tc>
          <w:tcPr>
            <w:tcW w:w="3348" w:type="dxa"/>
          </w:tcPr>
          <w:p w:rsidR="001A26B0" w:rsidRDefault="00E33A99">
            <w:pPr>
              <w:spacing w:after="120"/>
              <w:rPr>
                <w:noProof/>
              </w:rPr>
            </w:pPr>
            <w:r>
              <w:rPr>
                <w:noProof/>
              </w:rPr>
              <w:t>TLC40</w:t>
            </w:r>
          </w:p>
        </w:tc>
        <w:tc>
          <w:tcPr>
            <w:tcW w:w="1080" w:type="dxa"/>
          </w:tcPr>
          <w:p w:rsidR="001A26B0" w:rsidRDefault="00E33A99">
            <w:pPr>
              <w:spacing w:after="120"/>
              <w:jc w:val="center"/>
              <w:rPr>
                <w:noProof/>
              </w:rPr>
            </w:pPr>
            <w:r>
              <w:rPr>
                <w:noProof/>
              </w:rPr>
              <w:t>38%</w:t>
            </w:r>
          </w:p>
        </w:tc>
        <w:tc>
          <w:tcPr>
            <w:tcW w:w="4401" w:type="dxa"/>
          </w:tcPr>
          <w:p w:rsidR="001A26B0" w:rsidRDefault="00E33A99">
            <w:pPr>
              <w:spacing w:after="120"/>
              <w:jc w:val="center"/>
              <w:rPr>
                <w:noProof/>
              </w:rPr>
            </w:pPr>
            <w:r>
              <w:rPr>
                <w:noProof/>
              </w:rPr>
              <w:t>40% - 43%</w:t>
            </w:r>
          </w:p>
        </w:tc>
      </w:tr>
    </w:tbl>
    <w:p w:rsidR="001A26B0" w:rsidRDefault="00E33A99">
      <w:pPr>
        <w:pStyle w:val="Heading3"/>
        <w:rPr>
          <w:noProof/>
          <w:szCs w:val="24"/>
        </w:rPr>
      </w:pPr>
      <w:bookmarkStart w:id="604" w:name="_Toc493689262"/>
      <w:bookmarkStart w:id="605" w:name="_Toc493689372"/>
      <w:bookmarkStart w:id="606" w:name="_Toc493689484"/>
      <w:bookmarkStart w:id="607" w:name="_Toc496635629"/>
      <w:bookmarkEnd w:id="604"/>
      <w:bookmarkEnd w:id="605"/>
      <w:bookmarkEnd w:id="606"/>
      <w:r>
        <w:rPr>
          <w:noProof/>
        </w:rPr>
        <w:t xml:space="preserve">Vans: </w:t>
      </w:r>
      <w:bookmarkStart w:id="608" w:name="_Toc493623292"/>
      <w:bookmarkStart w:id="609" w:name="_Toc493623293"/>
      <w:bookmarkStart w:id="610" w:name="_Toc493689264"/>
      <w:bookmarkStart w:id="611" w:name="_Toc493689374"/>
      <w:bookmarkStart w:id="612" w:name="_Toc493689486"/>
      <w:bookmarkEnd w:id="608"/>
      <w:bookmarkEnd w:id="609"/>
      <w:bookmarkEnd w:id="610"/>
      <w:bookmarkEnd w:id="611"/>
      <w:bookmarkEnd w:id="612"/>
      <w:r>
        <w:rPr>
          <w:noProof/>
          <w:szCs w:val="24"/>
        </w:rPr>
        <w:t>assessment of options with additional incentives for low-emission vehicles</w:t>
      </w:r>
      <w:bookmarkEnd w:id="607"/>
    </w:p>
    <w:p w:rsidR="001A26B0" w:rsidRDefault="00E33A99">
      <w:pPr>
        <w:spacing w:after="120"/>
        <w:rPr>
          <w:noProof/>
          <w:szCs w:val="24"/>
        </w:rPr>
      </w:pPr>
      <w:r>
        <w:rPr>
          <w:noProof/>
          <w:szCs w:val="24"/>
        </w:rPr>
        <w:t xml:space="preserve">Similarly to passenger cars (Section </w:t>
      </w:r>
      <w:r>
        <w:rPr>
          <w:noProof/>
          <w:szCs w:val="24"/>
        </w:rPr>
        <w:t>6.5.2), additional incentives were considered in order to accelerate the sales of low emission vans.</w:t>
      </w:r>
    </w:p>
    <w:p w:rsidR="001A26B0" w:rsidRDefault="00E33A99">
      <w:pPr>
        <w:spacing w:after="120"/>
        <w:rPr>
          <w:noProof/>
          <w:szCs w:val="24"/>
        </w:rPr>
      </w:pPr>
      <w:r>
        <w:rPr>
          <w:noProof/>
          <w:szCs w:val="24"/>
        </w:rPr>
        <w:fldChar w:fldCharType="begin"/>
      </w:r>
      <w:r>
        <w:rPr>
          <w:noProof/>
          <w:szCs w:val="24"/>
        </w:rPr>
        <w:instrText xml:space="preserve"> REF _Ref493842912 \h  \* MERGEFORMAT </w:instrText>
      </w:r>
      <w:r>
        <w:rPr>
          <w:noProof/>
          <w:szCs w:val="24"/>
        </w:rPr>
      </w:r>
      <w:r>
        <w:rPr>
          <w:noProof/>
          <w:szCs w:val="24"/>
        </w:rPr>
        <w:fldChar w:fldCharType="separate"/>
      </w:r>
      <w:r>
        <w:rPr>
          <w:noProof/>
          <w:szCs w:val="24"/>
        </w:rPr>
        <w:t>Table 43</w:t>
      </w:r>
      <w:r>
        <w:rPr>
          <w:noProof/>
          <w:szCs w:val="24"/>
        </w:rPr>
        <w:fldChar w:fldCharType="end"/>
      </w:r>
      <w:r>
        <w:rPr>
          <w:noProof/>
          <w:szCs w:val="24"/>
        </w:rPr>
        <w:t xml:space="preserve"> shows in the first column (option LEV0) t</w:t>
      </w:r>
      <w:r>
        <w:rPr>
          <w:noProof/>
          <w:szCs w:val="24"/>
        </w:rPr>
        <w:t>he share of LEV in the new van fleet, which without an additional market signal  would only be determined by the EU-wide CO</w:t>
      </w:r>
      <w:r>
        <w:rPr>
          <w:noProof/>
          <w:szCs w:val="24"/>
          <w:vertAlign w:val="subscript"/>
        </w:rPr>
        <w:t>2</w:t>
      </w:r>
      <w:r>
        <w:rPr>
          <w:noProof/>
          <w:szCs w:val="24"/>
        </w:rPr>
        <w:t xml:space="preserve"> target. For example, in 2025, the ZEV share would range between 2.5% and 3.5 % increasing with the CO</w:t>
      </w:r>
      <w:r>
        <w:rPr>
          <w:noProof/>
          <w:szCs w:val="24"/>
          <w:vertAlign w:val="subscript"/>
        </w:rPr>
        <w:t>2</w:t>
      </w:r>
      <w:r>
        <w:rPr>
          <w:noProof/>
          <w:szCs w:val="24"/>
        </w:rPr>
        <w:t xml:space="preserve"> target level as already highlighted in Section 6.3.2.</w:t>
      </w:r>
    </w:p>
    <w:p w:rsidR="001A26B0" w:rsidRDefault="00E33A99">
      <w:pPr>
        <w:spacing w:after="120"/>
        <w:rPr>
          <w:noProof/>
          <w:szCs w:val="24"/>
        </w:rPr>
      </w:pPr>
      <w:r>
        <w:rPr>
          <w:noProof/>
          <w:szCs w:val="24"/>
        </w:rPr>
        <w:t>It should be noted that a low emission van is defined differently across the three options LEVD_ZEV, LEVD_40 and LEVD_50, so the LEV shares cannot be directly compared between those three options becau</w:t>
      </w:r>
      <w:r>
        <w:rPr>
          <w:noProof/>
          <w:szCs w:val="24"/>
        </w:rPr>
        <w:t>se of the different coverage of vehicle types.</w:t>
      </w:r>
    </w:p>
    <w:p w:rsidR="001A26B0" w:rsidRDefault="00E33A99">
      <w:pPr>
        <w:spacing w:after="120"/>
        <w:rPr>
          <w:noProof/>
          <w:szCs w:val="24"/>
        </w:rPr>
      </w:pPr>
      <w:r>
        <w:rPr>
          <w:noProof/>
          <w:szCs w:val="24"/>
        </w:rPr>
        <w:fldChar w:fldCharType="begin"/>
      </w:r>
      <w:r>
        <w:rPr>
          <w:noProof/>
          <w:szCs w:val="24"/>
        </w:rPr>
        <w:instrText xml:space="preserve"> REF _Ref493842912 \h  \* MERGEFORMAT </w:instrText>
      </w:r>
      <w:r>
        <w:rPr>
          <w:noProof/>
          <w:szCs w:val="24"/>
        </w:rPr>
      </w:r>
      <w:r>
        <w:rPr>
          <w:noProof/>
          <w:szCs w:val="24"/>
        </w:rPr>
        <w:fldChar w:fldCharType="separate"/>
      </w:r>
      <w:r>
        <w:rPr>
          <w:noProof/>
          <w:szCs w:val="24"/>
        </w:rPr>
        <w:t>Table 43</w:t>
      </w:r>
      <w:r>
        <w:rPr>
          <w:noProof/>
          <w:szCs w:val="24"/>
        </w:rPr>
        <w:fldChar w:fldCharType="end"/>
      </w:r>
      <w:r>
        <w:rPr>
          <w:noProof/>
          <w:szCs w:val="24"/>
        </w:rPr>
        <w:t xml:space="preserve"> also shows two different LEV mandate or benchmark levels, (options LEV%_A and LEV%_B) for the y</w:t>
      </w:r>
      <w:r>
        <w:rPr>
          <w:noProof/>
          <w:szCs w:val="24"/>
        </w:rPr>
        <w:t>ears 2025 and 2030. For example, for zero emission vehicles (ZEV) sales would be raised to 10% or 15% in 2025, and to 15% or 20% in 2030.</w:t>
      </w:r>
    </w:p>
    <w:p w:rsidR="001A26B0" w:rsidRDefault="00E33A99">
      <w:pPr>
        <w:spacing w:after="120"/>
        <w:rPr>
          <w:b/>
          <w:noProof/>
          <w:szCs w:val="24"/>
        </w:rPr>
      </w:pPr>
      <w:bookmarkStart w:id="613" w:name="_Ref493842912"/>
      <w:r>
        <w:rPr>
          <w:b/>
          <w:noProof/>
          <w:szCs w:val="24"/>
        </w:rPr>
        <w:t xml:space="preserve">Table </w:t>
      </w:r>
      <w:r>
        <w:rPr>
          <w:b/>
          <w:noProof/>
          <w:szCs w:val="24"/>
        </w:rPr>
        <w:fldChar w:fldCharType="begin"/>
      </w:r>
      <w:r>
        <w:rPr>
          <w:b/>
          <w:noProof/>
          <w:szCs w:val="24"/>
        </w:rPr>
        <w:instrText xml:space="preserve"> SEQ Table \* ARABIC </w:instrText>
      </w:r>
      <w:r>
        <w:rPr>
          <w:b/>
          <w:noProof/>
          <w:szCs w:val="24"/>
        </w:rPr>
        <w:fldChar w:fldCharType="separate"/>
      </w:r>
      <w:r>
        <w:rPr>
          <w:b/>
          <w:noProof/>
          <w:szCs w:val="24"/>
        </w:rPr>
        <w:t>43</w:t>
      </w:r>
      <w:r>
        <w:rPr>
          <w:b/>
          <w:noProof/>
          <w:szCs w:val="24"/>
        </w:rPr>
        <w:fldChar w:fldCharType="end"/>
      </w:r>
      <w:bookmarkEnd w:id="613"/>
      <w:r>
        <w:rPr>
          <w:b/>
          <w:noProof/>
          <w:szCs w:val="24"/>
        </w:rPr>
        <w:t>: Overview of the share (%) of LEV in the new van fleet in 2025 and 2030 when no LEV i</w:t>
      </w:r>
      <w:r>
        <w:rPr>
          <w:b/>
          <w:noProof/>
          <w:szCs w:val="24"/>
        </w:rPr>
        <w:t>ncentive is applied (LEV0) and of two LEV mandates/benchmarks in 2025 and 2030 for different combinations of LEV definitions (LEVD) and CO</w:t>
      </w:r>
      <w:r>
        <w:rPr>
          <w:b/>
          <w:noProof/>
          <w:szCs w:val="24"/>
          <w:vertAlign w:val="subscript"/>
        </w:rPr>
        <w:t>2</w:t>
      </w:r>
      <w:r>
        <w:rPr>
          <w:b/>
          <w:noProof/>
          <w:szCs w:val="24"/>
        </w:rPr>
        <w:t xml:space="preserve"> target levels (TLV)</w:t>
      </w:r>
    </w:p>
    <w:tbl>
      <w:tblPr>
        <w:tblStyle w:val="TableGrid"/>
        <w:tblW w:w="5000" w:type="pct"/>
        <w:tblLayout w:type="fixed"/>
        <w:tblLook w:val="04A0" w:firstRow="1" w:lastRow="0" w:firstColumn="1" w:lastColumn="0" w:noHBand="0" w:noVBand="1"/>
      </w:tblPr>
      <w:tblGrid>
        <w:gridCol w:w="1431"/>
        <w:gridCol w:w="1077"/>
        <w:gridCol w:w="1211"/>
        <w:gridCol w:w="1211"/>
        <w:gridCol w:w="1058"/>
        <w:gridCol w:w="1420"/>
        <w:gridCol w:w="1421"/>
      </w:tblGrid>
      <w:tr w:rsidR="001A26B0">
        <w:tc>
          <w:tcPr>
            <w:tcW w:w="810" w:type="pct"/>
            <w:vMerge w:val="restart"/>
          </w:tcPr>
          <w:p w:rsidR="001A26B0" w:rsidRDefault="00E33A99">
            <w:pPr>
              <w:spacing w:after="120"/>
              <w:jc w:val="left"/>
              <w:rPr>
                <w:b/>
                <w:noProof/>
                <w:sz w:val="18"/>
                <w:szCs w:val="18"/>
              </w:rPr>
            </w:pPr>
            <w:r>
              <w:rPr>
                <w:b/>
                <w:i/>
                <w:noProof/>
                <w:sz w:val="18"/>
                <w:szCs w:val="18"/>
                <w:lang w:eastAsia="en-GB"/>
              </w:rPr>
              <w:t>LEVD_ZEV</w:t>
            </w:r>
          </w:p>
        </w:tc>
        <w:tc>
          <w:tcPr>
            <w:tcW w:w="1982" w:type="pct"/>
            <w:gridSpan w:val="3"/>
          </w:tcPr>
          <w:p w:rsidR="001A26B0" w:rsidRDefault="00E33A99">
            <w:pPr>
              <w:spacing w:after="120"/>
              <w:jc w:val="center"/>
              <w:rPr>
                <w:b/>
                <w:noProof/>
                <w:sz w:val="18"/>
                <w:szCs w:val="18"/>
              </w:rPr>
            </w:pPr>
            <w:r>
              <w:rPr>
                <w:b/>
                <w:noProof/>
                <w:sz w:val="18"/>
                <w:szCs w:val="18"/>
              </w:rPr>
              <w:t>2025</w:t>
            </w:r>
          </w:p>
        </w:tc>
        <w:tc>
          <w:tcPr>
            <w:tcW w:w="2208" w:type="pct"/>
            <w:gridSpan w:val="3"/>
          </w:tcPr>
          <w:p w:rsidR="001A26B0" w:rsidRDefault="00E33A99">
            <w:pPr>
              <w:spacing w:after="120"/>
              <w:jc w:val="center"/>
              <w:rPr>
                <w:b/>
                <w:noProof/>
                <w:sz w:val="18"/>
                <w:szCs w:val="18"/>
              </w:rPr>
            </w:pPr>
            <w:r>
              <w:rPr>
                <w:b/>
                <w:noProof/>
                <w:sz w:val="18"/>
                <w:szCs w:val="18"/>
              </w:rPr>
              <w:t>2030</w:t>
            </w:r>
          </w:p>
        </w:tc>
      </w:tr>
      <w:tr w:rsidR="001A26B0">
        <w:tc>
          <w:tcPr>
            <w:tcW w:w="810" w:type="pct"/>
            <w:vMerge/>
          </w:tcPr>
          <w:p w:rsidR="001A26B0" w:rsidRDefault="001A26B0">
            <w:pPr>
              <w:spacing w:after="120"/>
              <w:rPr>
                <w:b/>
                <w:noProof/>
                <w:sz w:val="18"/>
                <w:szCs w:val="18"/>
              </w:rPr>
            </w:pPr>
          </w:p>
        </w:tc>
        <w:tc>
          <w:tcPr>
            <w:tcW w:w="610" w:type="pct"/>
          </w:tcPr>
          <w:p w:rsidR="001A26B0" w:rsidRDefault="00E33A99">
            <w:pPr>
              <w:spacing w:after="120"/>
              <w:jc w:val="center"/>
              <w:rPr>
                <w:b/>
                <w:noProof/>
                <w:sz w:val="18"/>
                <w:szCs w:val="18"/>
              </w:rPr>
            </w:pPr>
            <w:r>
              <w:rPr>
                <w:b/>
                <w:noProof/>
                <w:sz w:val="18"/>
                <w:szCs w:val="18"/>
              </w:rPr>
              <w:t>LEV0</w:t>
            </w:r>
          </w:p>
        </w:tc>
        <w:tc>
          <w:tcPr>
            <w:tcW w:w="686" w:type="pct"/>
          </w:tcPr>
          <w:p w:rsidR="001A26B0" w:rsidRDefault="00E33A99">
            <w:pPr>
              <w:spacing w:after="120"/>
              <w:jc w:val="center"/>
              <w:rPr>
                <w:b/>
                <w:noProof/>
                <w:sz w:val="18"/>
                <w:szCs w:val="18"/>
              </w:rPr>
            </w:pPr>
            <w:r>
              <w:rPr>
                <w:b/>
                <w:noProof/>
                <w:sz w:val="18"/>
                <w:szCs w:val="18"/>
              </w:rPr>
              <w:t>LEV%_A</w:t>
            </w:r>
          </w:p>
        </w:tc>
        <w:tc>
          <w:tcPr>
            <w:tcW w:w="686" w:type="pct"/>
          </w:tcPr>
          <w:p w:rsidR="001A26B0" w:rsidRDefault="00E33A99">
            <w:pPr>
              <w:spacing w:after="120"/>
              <w:jc w:val="center"/>
              <w:rPr>
                <w:b/>
                <w:noProof/>
                <w:sz w:val="18"/>
                <w:szCs w:val="18"/>
              </w:rPr>
            </w:pPr>
            <w:r>
              <w:rPr>
                <w:b/>
                <w:noProof/>
                <w:sz w:val="18"/>
                <w:szCs w:val="18"/>
              </w:rPr>
              <w:t>LEV%_B</w:t>
            </w:r>
          </w:p>
        </w:tc>
        <w:tc>
          <w:tcPr>
            <w:tcW w:w="599" w:type="pct"/>
          </w:tcPr>
          <w:p w:rsidR="001A26B0" w:rsidRDefault="00E33A99">
            <w:pPr>
              <w:spacing w:after="120"/>
              <w:jc w:val="center"/>
              <w:rPr>
                <w:b/>
                <w:noProof/>
                <w:sz w:val="18"/>
                <w:szCs w:val="18"/>
              </w:rPr>
            </w:pPr>
            <w:r>
              <w:rPr>
                <w:b/>
                <w:noProof/>
                <w:sz w:val="18"/>
                <w:szCs w:val="18"/>
              </w:rPr>
              <w:t>LEV0</w:t>
            </w:r>
          </w:p>
        </w:tc>
        <w:tc>
          <w:tcPr>
            <w:tcW w:w="804" w:type="pct"/>
          </w:tcPr>
          <w:p w:rsidR="001A26B0" w:rsidRDefault="00E33A99">
            <w:pPr>
              <w:spacing w:after="120"/>
              <w:jc w:val="center"/>
              <w:rPr>
                <w:b/>
                <w:noProof/>
                <w:sz w:val="18"/>
                <w:szCs w:val="18"/>
              </w:rPr>
            </w:pPr>
            <w:r>
              <w:rPr>
                <w:b/>
                <w:noProof/>
                <w:sz w:val="18"/>
                <w:szCs w:val="18"/>
              </w:rPr>
              <w:t>LEV%_A</w:t>
            </w:r>
          </w:p>
        </w:tc>
        <w:tc>
          <w:tcPr>
            <w:tcW w:w="805" w:type="pct"/>
          </w:tcPr>
          <w:p w:rsidR="001A26B0" w:rsidRDefault="00E33A99">
            <w:pPr>
              <w:spacing w:after="120"/>
              <w:jc w:val="center"/>
              <w:rPr>
                <w:b/>
                <w:noProof/>
                <w:sz w:val="18"/>
                <w:szCs w:val="18"/>
              </w:rPr>
            </w:pPr>
            <w:r>
              <w:rPr>
                <w:b/>
                <w:noProof/>
                <w:sz w:val="18"/>
                <w:szCs w:val="18"/>
              </w:rPr>
              <w:t>LEV%_B</w:t>
            </w:r>
          </w:p>
        </w:tc>
      </w:tr>
      <w:tr w:rsidR="001A26B0">
        <w:tc>
          <w:tcPr>
            <w:tcW w:w="810" w:type="pct"/>
          </w:tcPr>
          <w:p w:rsidR="001A26B0" w:rsidRDefault="00E33A99">
            <w:pPr>
              <w:spacing w:after="120"/>
              <w:rPr>
                <w:noProof/>
                <w:sz w:val="18"/>
                <w:szCs w:val="18"/>
              </w:rPr>
            </w:pPr>
            <w:r>
              <w:rPr>
                <w:noProof/>
                <w:sz w:val="18"/>
                <w:szCs w:val="18"/>
              </w:rPr>
              <w:t>TLV20</w:t>
            </w:r>
          </w:p>
        </w:tc>
        <w:tc>
          <w:tcPr>
            <w:tcW w:w="610" w:type="pct"/>
            <w:vAlign w:val="center"/>
          </w:tcPr>
          <w:p w:rsidR="001A26B0" w:rsidRDefault="00E33A99">
            <w:pPr>
              <w:spacing w:after="120"/>
              <w:jc w:val="center"/>
              <w:rPr>
                <w:noProof/>
                <w:sz w:val="18"/>
                <w:szCs w:val="18"/>
              </w:rPr>
            </w:pPr>
            <w:r>
              <w:rPr>
                <w:noProof/>
                <w:sz w:val="18"/>
                <w:szCs w:val="18"/>
                <w:lang w:eastAsia="en-GB"/>
              </w:rPr>
              <w:t>2.5%</w:t>
            </w:r>
          </w:p>
        </w:tc>
        <w:tc>
          <w:tcPr>
            <w:tcW w:w="686" w:type="pct"/>
            <w:vMerge w:val="restart"/>
            <w:vAlign w:val="center"/>
          </w:tcPr>
          <w:p w:rsidR="001A26B0" w:rsidRDefault="00E33A99">
            <w:pPr>
              <w:spacing w:after="120"/>
              <w:jc w:val="center"/>
              <w:rPr>
                <w:noProof/>
                <w:sz w:val="18"/>
                <w:szCs w:val="18"/>
              </w:rPr>
            </w:pPr>
            <w:r>
              <w:rPr>
                <w:noProof/>
                <w:sz w:val="18"/>
                <w:szCs w:val="18"/>
              </w:rPr>
              <w:t>10%</w:t>
            </w:r>
          </w:p>
        </w:tc>
        <w:tc>
          <w:tcPr>
            <w:tcW w:w="686" w:type="pct"/>
            <w:vMerge w:val="restart"/>
            <w:vAlign w:val="center"/>
          </w:tcPr>
          <w:p w:rsidR="001A26B0" w:rsidRDefault="00E33A99">
            <w:pPr>
              <w:spacing w:after="120"/>
              <w:jc w:val="center"/>
              <w:rPr>
                <w:noProof/>
                <w:sz w:val="18"/>
                <w:szCs w:val="18"/>
              </w:rPr>
            </w:pPr>
            <w:r>
              <w:rPr>
                <w:noProof/>
                <w:sz w:val="18"/>
                <w:szCs w:val="18"/>
              </w:rPr>
              <w:t>15%</w:t>
            </w:r>
          </w:p>
        </w:tc>
        <w:tc>
          <w:tcPr>
            <w:tcW w:w="599" w:type="pct"/>
            <w:vAlign w:val="center"/>
          </w:tcPr>
          <w:p w:rsidR="001A26B0" w:rsidRDefault="00E33A99">
            <w:pPr>
              <w:spacing w:after="120"/>
              <w:jc w:val="center"/>
              <w:rPr>
                <w:noProof/>
                <w:sz w:val="18"/>
                <w:szCs w:val="18"/>
              </w:rPr>
            </w:pPr>
            <w:r>
              <w:rPr>
                <w:noProof/>
                <w:sz w:val="18"/>
                <w:szCs w:val="18"/>
                <w:lang w:eastAsia="en-GB"/>
              </w:rPr>
              <w:t>3.5%</w:t>
            </w:r>
          </w:p>
        </w:tc>
        <w:tc>
          <w:tcPr>
            <w:tcW w:w="804" w:type="pct"/>
            <w:vMerge w:val="restart"/>
            <w:vAlign w:val="center"/>
          </w:tcPr>
          <w:p w:rsidR="001A26B0" w:rsidRDefault="00E33A99">
            <w:pPr>
              <w:spacing w:after="120"/>
              <w:jc w:val="center"/>
              <w:rPr>
                <w:noProof/>
                <w:sz w:val="18"/>
                <w:szCs w:val="18"/>
              </w:rPr>
            </w:pPr>
            <w:r>
              <w:rPr>
                <w:noProof/>
                <w:sz w:val="18"/>
                <w:szCs w:val="18"/>
              </w:rPr>
              <w:t>15%</w:t>
            </w:r>
          </w:p>
        </w:tc>
        <w:tc>
          <w:tcPr>
            <w:tcW w:w="805" w:type="pct"/>
            <w:vMerge w:val="restart"/>
            <w:vAlign w:val="center"/>
          </w:tcPr>
          <w:p w:rsidR="001A26B0" w:rsidRDefault="00E33A99">
            <w:pPr>
              <w:spacing w:after="120"/>
              <w:jc w:val="center"/>
              <w:rPr>
                <w:noProof/>
                <w:sz w:val="18"/>
                <w:szCs w:val="18"/>
              </w:rPr>
            </w:pPr>
            <w:r>
              <w:rPr>
                <w:noProof/>
                <w:sz w:val="18"/>
                <w:szCs w:val="18"/>
              </w:rPr>
              <w:t>20%</w:t>
            </w:r>
          </w:p>
        </w:tc>
      </w:tr>
      <w:tr w:rsidR="001A26B0">
        <w:tc>
          <w:tcPr>
            <w:tcW w:w="810" w:type="pct"/>
          </w:tcPr>
          <w:p w:rsidR="001A26B0" w:rsidRDefault="00E33A99">
            <w:pPr>
              <w:spacing w:after="120"/>
              <w:rPr>
                <w:noProof/>
                <w:sz w:val="18"/>
                <w:szCs w:val="18"/>
              </w:rPr>
            </w:pPr>
            <w:r>
              <w:rPr>
                <w:noProof/>
                <w:sz w:val="18"/>
                <w:szCs w:val="18"/>
              </w:rPr>
              <w:t>TLV25</w:t>
            </w:r>
          </w:p>
        </w:tc>
        <w:tc>
          <w:tcPr>
            <w:tcW w:w="610" w:type="pct"/>
            <w:vAlign w:val="center"/>
          </w:tcPr>
          <w:p w:rsidR="001A26B0" w:rsidRDefault="00E33A99">
            <w:pPr>
              <w:spacing w:after="120"/>
              <w:jc w:val="center"/>
              <w:rPr>
                <w:noProof/>
                <w:sz w:val="18"/>
                <w:szCs w:val="18"/>
              </w:rPr>
            </w:pPr>
            <w:r>
              <w:rPr>
                <w:noProof/>
                <w:sz w:val="18"/>
                <w:szCs w:val="18"/>
                <w:lang w:eastAsia="en-GB"/>
              </w:rPr>
              <w:t>2.7%</w:t>
            </w:r>
          </w:p>
        </w:tc>
        <w:tc>
          <w:tcPr>
            <w:tcW w:w="686" w:type="pct"/>
            <w:vMerge/>
          </w:tcPr>
          <w:p w:rsidR="001A26B0" w:rsidRDefault="001A26B0">
            <w:pPr>
              <w:spacing w:after="120"/>
              <w:jc w:val="center"/>
              <w:rPr>
                <w:noProof/>
                <w:sz w:val="18"/>
                <w:szCs w:val="18"/>
              </w:rPr>
            </w:pPr>
          </w:p>
        </w:tc>
        <w:tc>
          <w:tcPr>
            <w:tcW w:w="686" w:type="pct"/>
            <w:vMerge/>
          </w:tcPr>
          <w:p w:rsidR="001A26B0" w:rsidRDefault="001A26B0">
            <w:pPr>
              <w:spacing w:after="120"/>
              <w:jc w:val="center"/>
              <w:rPr>
                <w:noProof/>
                <w:sz w:val="18"/>
                <w:szCs w:val="18"/>
              </w:rPr>
            </w:pPr>
          </w:p>
        </w:tc>
        <w:tc>
          <w:tcPr>
            <w:tcW w:w="599" w:type="pct"/>
            <w:vAlign w:val="center"/>
          </w:tcPr>
          <w:p w:rsidR="001A26B0" w:rsidRDefault="00E33A99">
            <w:pPr>
              <w:spacing w:after="120"/>
              <w:jc w:val="center"/>
              <w:rPr>
                <w:noProof/>
                <w:sz w:val="18"/>
                <w:szCs w:val="18"/>
              </w:rPr>
            </w:pPr>
            <w:r>
              <w:rPr>
                <w:noProof/>
                <w:sz w:val="18"/>
                <w:szCs w:val="18"/>
                <w:lang w:eastAsia="en-GB"/>
              </w:rPr>
              <w:t>3.7%</w:t>
            </w:r>
          </w:p>
        </w:tc>
        <w:tc>
          <w:tcPr>
            <w:tcW w:w="804" w:type="pct"/>
            <w:vMerge/>
          </w:tcPr>
          <w:p w:rsidR="001A26B0" w:rsidRDefault="001A26B0">
            <w:pPr>
              <w:spacing w:after="120"/>
              <w:jc w:val="center"/>
              <w:rPr>
                <w:noProof/>
                <w:sz w:val="18"/>
                <w:szCs w:val="18"/>
              </w:rPr>
            </w:pPr>
          </w:p>
        </w:tc>
        <w:tc>
          <w:tcPr>
            <w:tcW w:w="805" w:type="pct"/>
            <w:vMerge/>
          </w:tcPr>
          <w:p w:rsidR="001A26B0" w:rsidRDefault="001A26B0">
            <w:pPr>
              <w:spacing w:after="120"/>
              <w:jc w:val="center"/>
              <w:rPr>
                <w:noProof/>
                <w:sz w:val="18"/>
                <w:szCs w:val="18"/>
              </w:rPr>
            </w:pPr>
          </w:p>
        </w:tc>
      </w:tr>
      <w:tr w:rsidR="001A26B0">
        <w:tc>
          <w:tcPr>
            <w:tcW w:w="810" w:type="pct"/>
          </w:tcPr>
          <w:p w:rsidR="001A26B0" w:rsidRDefault="00E33A99">
            <w:pPr>
              <w:spacing w:after="120"/>
              <w:rPr>
                <w:noProof/>
                <w:sz w:val="18"/>
                <w:szCs w:val="18"/>
              </w:rPr>
            </w:pPr>
            <w:r>
              <w:rPr>
                <w:noProof/>
                <w:sz w:val="18"/>
                <w:szCs w:val="18"/>
              </w:rPr>
              <w:t>TLV40</w:t>
            </w:r>
          </w:p>
        </w:tc>
        <w:tc>
          <w:tcPr>
            <w:tcW w:w="610" w:type="pct"/>
            <w:vAlign w:val="center"/>
          </w:tcPr>
          <w:p w:rsidR="001A26B0" w:rsidRDefault="00E33A99">
            <w:pPr>
              <w:spacing w:after="120"/>
              <w:jc w:val="center"/>
              <w:rPr>
                <w:noProof/>
                <w:sz w:val="18"/>
                <w:szCs w:val="18"/>
              </w:rPr>
            </w:pPr>
            <w:r>
              <w:rPr>
                <w:noProof/>
                <w:sz w:val="18"/>
                <w:szCs w:val="18"/>
                <w:lang w:eastAsia="en-GB"/>
              </w:rPr>
              <w:t>3.5%</w:t>
            </w:r>
          </w:p>
        </w:tc>
        <w:tc>
          <w:tcPr>
            <w:tcW w:w="686" w:type="pct"/>
            <w:vMerge/>
          </w:tcPr>
          <w:p w:rsidR="001A26B0" w:rsidRDefault="001A26B0">
            <w:pPr>
              <w:spacing w:after="120"/>
              <w:jc w:val="center"/>
              <w:rPr>
                <w:noProof/>
                <w:sz w:val="18"/>
                <w:szCs w:val="18"/>
              </w:rPr>
            </w:pPr>
          </w:p>
        </w:tc>
        <w:tc>
          <w:tcPr>
            <w:tcW w:w="686" w:type="pct"/>
            <w:vMerge/>
          </w:tcPr>
          <w:p w:rsidR="001A26B0" w:rsidRDefault="001A26B0">
            <w:pPr>
              <w:spacing w:after="120"/>
              <w:jc w:val="center"/>
              <w:rPr>
                <w:noProof/>
                <w:sz w:val="18"/>
                <w:szCs w:val="18"/>
              </w:rPr>
            </w:pPr>
          </w:p>
        </w:tc>
        <w:tc>
          <w:tcPr>
            <w:tcW w:w="599" w:type="pct"/>
            <w:vAlign w:val="center"/>
          </w:tcPr>
          <w:p w:rsidR="001A26B0" w:rsidRDefault="00E33A99">
            <w:pPr>
              <w:spacing w:after="120"/>
              <w:jc w:val="center"/>
              <w:rPr>
                <w:noProof/>
                <w:sz w:val="18"/>
                <w:szCs w:val="18"/>
              </w:rPr>
            </w:pPr>
            <w:r>
              <w:rPr>
                <w:noProof/>
                <w:sz w:val="18"/>
                <w:szCs w:val="18"/>
                <w:lang w:eastAsia="en-GB"/>
              </w:rPr>
              <w:t>5.5%</w:t>
            </w:r>
          </w:p>
        </w:tc>
        <w:tc>
          <w:tcPr>
            <w:tcW w:w="804" w:type="pct"/>
            <w:vMerge/>
          </w:tcPr>
          <w:p w:rsidR="001A26B0" w:rsidRDefault="001A26B0">
            <w:pPr>
              <w:spacing w:after="120"/>
              <w:jc w:val="center"/>
              <w:rPr>
                <w:noProof/>
                <w:sz w:val="18"/>
                <w:szCs w:val="18"/>
              </w:rPr>
            </w:pPr>
          </w:p>
        </w:tc>
        <w:tc>
          <w:tcPr>
            <w:tcW w:w="805" w:type="pct"/>
            <w:vMerge/>
          </w:tcPr>
          <w:p w:rsidR="001A26B0" w:rsidRDefault="001A26B0">
            <w:pPr>
              <w:spacing w:after="120"/>
              <w:jc w:val="center"/>
              <w:rPr>
                <w:noProof/>
                <w:sz w:val="18"/>
                <w:szCs w:val="18"/>
              </w:rPr>
            </w:pPr>
          </w:p>
        </w:tc>
      </w:tr>
    </w:tbl>
    <w:p w:rsidR="001A26B0" w:rsidRDefault="001A26B0">
      <w:pPr>
        <w:spacing w:after="120"/>
        <w:rPr>
          <w:noProof/>
          <w:sz w:val="18"/>
          <w:szCs w:val="18"/>
        </w:rPr>
      </w:pPr>
    </w:p>
    <w:tbl>
      <w:tblPr>
        <w:tblStyle w:val="TableGrid"/>
        <w:tblW w:w="8868" w:type="dxa"/>
        <w:tblLayout w:type="fixed"/>
        <w:tblLook w:val="04A0" w:firstRow="1" w:lastRow="0" w:firstColumn="1" w:lastColumn="0" w:noHBand="0" w:noVBand="1"/>
      </w:tblPr>
      <w:tblGrid>
        <w:gridCol w:w="1428"/>
        <w:gridCol w:w="1080"/>
        <w:gridCol w:w="1200"/>
        <w:gridCol w:w="1200"/>
        <w:gridCol w:w="1080"/>
        <w:gridCol w:w="1440"/>
        <w:gridCol w:w="1440"/>
      </w:tblGrid>
      <w:tr w:rsidR="001A26B0">
        <w:tc>
          <w:tcPr>
            <w:tcW w:w="1428" w:type="dxa"/>
            <w:vMerge w:val="restart"/>
          </w:tcPr>
          <w:p w:rsidR="001A26B0" w:rsidRDefault="00E33A99">
            <w:pPr>
              <w:spacing w:after="120"/>
              <w:jc w:val="left"/>
              <w:rPr>
                <w:b/>
                <w:noProof/>
                <w:sz w:val="18"/>
                <w:szCs w:val="18"/>
              </w:rPr>
            </w:pPr>
            <w:r>
              <w:rPr>
                <w:b/>
                <w:i/>
                <w:noProof/>
                <w:sz w:val="18"/>
                <w:szCs w:val="18"/>
                <w:lang w:eastAsia="en-GB"/>
              </w:rPr>
              <w:t>LEVD_40</w:t>
            </w:r>
          </w:p>
        </w:tc>
        <w:tc>
          <w:tcPr>
            <w:tcW w:w="3480" w:type="dxa"/>
            <w:gridSpan w:val="3"/>
          </w:tcPr>
          <w:p w:rsidR="001A26B0" w:rsidRDefault="00E33A99">
            <w:pPr>
              <w:spacing w:after="120"/>
              <w:jc w:val="center"/>
              <w:rPr>
                <w:b/>
                <w:noProof/>
                <w:sz w:val="18"/>
                <w:szCs w:val="18"/>
              </w:rPr>
            </w:pPr>
            <w:r>
              <w:rPr>
                <w:b/>
                <w:noProof/>
                <w:sz w:val="18"/>
                <w:szCs w:val="18"/>
              </w:rPr>
              <w:t>2025</w:t>
            </w:r>
          </w:p>
        </w:tc>
        <w:tc>
          <w:tcPr>
            <w:tcW w:w="3960" w:type="dxa"/>
            <w:gridSpan w:val="3"/>
          </w:tcPr>
          <w:p w:rsidR="001A26B0" w:rsidRDefault="00E33A99">
            <w:pPr>
              <w:spacing w:after="120"/>
              <w:jc w:val="center"/>
              <w:rPr>
                <w:b/>
                <w:noProof/>
                <w:sz w:val="18"/>
                <w:szCs w:val="18"/>
              </w:rPr>
            </w:pPr>
            <w:r>
              <w:rPr>
                <w:b/>
                <w:noProof/>
                <w:sz w:val="18"/>
                <w:szCs w:val="18"/>
              </w:rPr>
              <w:t>2030</w:t>
            </w:r>
          </w:p>
        </w:tc>
      </w:tr>
      <w:tr w:rsidR="001A26B0">
        <w:tc>
          <w:tcPr>
            <w:tcW w:w="1428" w:type="dxa"/>
            <w:vMerge/>
          </w:tcPr>
          <w:p w:rsidR="001A26B0" w:rsidRDefault="001A26B0">
            <w:pPr>
              <w:spacing w:after="120"/>
              <w:rPr>
                <w:b/>
                <w:noProof/>
                <w:sz w:val="18"/>
                <w:szCs w:val="18"/>
              </w:rPr>
            </w:pPr>
          </w:p>
        </w:tc>
        <w:tc>
          <w:tcPr>
            <w:tcW w:w="1080" w:type="dxa"/>
          </w:tcPr>
          <w:p w:rsidR="001A26B0" w:rsidRDefault="00E33A99">
            <w:pPr>
              <w:spacing w:after="120"/>
              <w:jc w:val="center"/>
              <w:rPr>
                <w:b/>
                <w:noProof/>
                <w:sz w:val="18"/>
                <w:szCs w:val="18"/>
              </w:rPr>
            </w:pPr>
            <w:r>
              <w:rPr>
                <w:b/>
                <w:noProof/>
                <w:sz w:val="18"/>
                <w:szCs w:val="18"/>
              </w:rPr>
              <w:t>LEV0</w:t>
            </w:r>
          </w:p>
        </w:tc>
        <w:tc>
          <w:tcPr>
            <w:tcW w:w="1200" w:type="dxa"/>
          </w:tcPr>
          <w:p w:rsidR="001A26B0" w:rsidRDefault="00E33A99">
            <w:pPr>
              <w:spacing w:after="120"/>
              <w:jc w:val="center"/>
              <w:rPr>
                <w:b/>
                <w:noProof/>
                <w:sz w:val="18"/>
                <w:szCs w:val="18"/>
              </w:rPr>
            </w:pPr>
            <w:r>
              <w:rPr>
                <w:b/>
                <w:noProof/>
                <w:sz w:val="18"/>
                <w:szCs w:val="18"/>
              </w:rPr>
              <w:t>LEV%_A</w:t>
            </w:r>
          </w:p>
        </w:tc>
        <w:tc>
          <w:tcPr>
            <w:tcW w:w="1200" w:type="dxa"/>
          </w:tcPr>
          <w:p w:rsidR="001A26B0" w:rsidRDefault="00E33A99">
            <w:pPr>
              <w:spacing w:after="120"/>
              <w:jc w:val="center"/>
              <w:rPr>
                <w:b/>
                <w:noProof/>
                <w:sz w:val="18"/>
                <w:szCs w:val="18"/>
              </w:rPr>
            </w:pPr>
            <w:r>
              <w:rPr>
                <w:b/>
                <w:noProof/>
                <w:sz w:val="18"/>
                <w:szCs w:val="18"/>
              </w:rPr>
              <w:t>LEV%_B</w:t>
            </w:r>
          </w:p>
        </w:tc>
        <w:tc>
          <w:tcPr>
            <w:tcW w:w="1080" w:type="dxa"/>
          </w:tcPr>
          <w:p w:rsidR="001A26B0" w:rsidRDefault="00E33A99">
            <w:pPr>
              <w:spacing w:after="120"/>
              <w:jc w:val="center"/>
              <w:rPr>
                <w:b/>
                <w:noProof/>
                <w:sz w:val="18"/>
                <w:szCs w:val="18"/>
              </w:rPr>
            </w:pPr>
            <w:r>
              <w:rPr>
                <w:b/>
                <w:noProof/>
                <w:sz w:val="18"/>
                <w:szCs w:val="18"/>
              </w:rPr>
              <w:t>LEV0</w:t>
            </w:r>
          </w:p>
        </w:tc>
        <w:tc>
          <w:tcPr>
            <w:tcW w:w="1440" w:type="dxa"/>
          </w:tcPr>
          <w:p w:rsidR="001A26B0" w:rsidRDefault="00E33A99">
            <w:pPr>
              <w:spacing w:after="120"/>
              <w:jc w:val="center"/>
              <w:rPr>
                <w:b/>
                <w:noProof/>
                <w:sz w:val="18"/>
                <w:szCs w:val="18"/>
              </w:rPr>
            </w:pPr>
            <w:r>
              <w:rPr>
                <w:b/>
                <w:noProof/>
                <w:sz w:val="18"/>
                <w:szCs w:val="18"/>
              </w:rPr>
              <w:t>LEV%_A</w:t>
            </w:r>
          </w:p>
        </w:tc>
        <w:tc>
          <w:tcPr>
            <w:tcW w:w="1440" w:type="dxa"/>
          </w:tcPr>
          <w:p w:rsidR="001A26B0" w:rsidRDefault="00E33A99">
            <w:pPr>
              <w:spacing w:after="120"/>
              <w:jc w:val="center"/>
              <w:rPr>
                <w:b/>
                <w:noProof/>
                <w:sz w:val="18"/>
                <w:szCs w:val="18"/>
              </w:rPr>
            </w:pPr>
            <w:r>
              <w:rPr>
                <w:b/>
                <w:noProof/>
                <w:sz w:val="18"/>
                <w:szCs w:val="18"/>
              </w:rPr>
              <w:t>LEV%_B</w:t>
            </w:r>
          </w:p>
        </w:tc>
      </w:tr>
      <w:tr w:rsidR="001A26B0">
        <w:tc>
          <w:tcPr>
            <w:tcW w:w="1428" w:type="dxa"/>
          </w:tcPr>
          <w:p w:rsidR="001A26B0" w:rsidRDefault="00E33A99">
            <w:pPr>
              <w:spacing w:after="120"/>
              <w:rPr>
                <w:noProof/>
                <w:sz w:val="18"/>
                <w:szCs w:val="18"/>
              </w:rPr>
            </w:pPr>
            <w:r>
              <w:rPr>
                <w:noProof/>
                <w:sz w:val="18"/>
                <w:szCs w:val="18"/>
              </w:rPr>
              <w:t>TLV20</w:t>
            </w:r>
          </w:p>
        </w:tc>
        <w:tc>
          <w:tcPr>
            <w:tcW w:w="1080" w:type="dxa"/>
            <w:vAlign w:val="center"/>
          </w:tcPr>
          <w:p w:rsidR="001A26B0" w:rsidRDefault="00E33A99">
            <w:pPr>
              <w:spacing w:after="120"/>
              <w:jc w:val="center"/>
              <w:rPr>
                <w:noProof/>
                <w:sz w:val="18"/>
                <w:szCs w:val="18"/>
              </w:rPr>
            </w:pPr>
            <w:r>
              <w:rPr>
                <w:noProof/>
                <w:sz w:val="18"/>
                <w:szCs w:val="18"/>
                <w:lang w:eastAsia="en-GB"/>
              </w:rPr>
              <w:t>10.5%</w:t>
            </w:r>
          </w:p>
        </w:tc>
        <w:tc>
          <w:tcPr>
            <w:tcW w:w="1200" w:type="dxa"/>
            <w:vMerge w:val="restart"/>
            <w:vAlign w:val="center"/>
          </w:tcPr>
          <w:p w:rsidR="001A26B0" w:rsidRDefault="00E33A99">
            <w:pPr>
              <w:spacing w:after="120"/>
              <w:jc w:val="center"/>
              <w:rPr>
                <w:noProof/>
                <w:sz w:val="18"/>
                <w:szCs w:val="18"/>
              </w:rPr>
            </w:pPr>
            <w:r>
              <w:rPr>
                <w:noProof/>
                <w:sz w:val="18"/>
                <w:szCs w:val="18"/>
              </w:rPr>
              <w:t>15%</w:t>
            </w:r>
          </w:p>
        </w:tc>
        <w:tc>
          <w:tcPr>
            <w:tcW w:w="1200" w:type="dxa"/>
            <w:vMerge w:val="restart"/>
            <w:vAlign w:val="center"/>
          </w:tcPr>
          <w:p w:rsidR="001A26B0" w:rsidRDefault="00E33A99">
            <w:pPr>
              <w:spacing w:after="120"/>
              <w:jc w:val="center"/>
              <w:rPr>
                <w:noProof/>
                <w:sz w:val="18"/>
                <w:szCs w:val="18"/>
              </w:rPr>
            </w:pPr>
            <w:r>
              <w:rPr>
                <w:noProof/>
                <w:sz w:val="18"/>
                <w:szCs w:val="18"/>
              </w:rPr>
              <w:t>20%</w:t>
            </w:r>
          </w:p>
        </w:tc>
        <w:tc>
          <w:tcPr>
            <w:tcW w:w="1080" w:type="dxa"/>
            <w:vAlign w:val="center"/>
          </w:tcPr>
          <w:p w:rsidR="001A26B0" w:rsidRDefault="00E33A99">
            <w:pPr>
              <w:spacing w:after="120"/>
              <w:jc w:val="center"/>
              <w:rPr>
                <w:noProof/>
                <w:sz w:val="18"/>
                <w:szCs w:val="18"/>
              </w:rPr>
            </w:pPr>
            <w:r>
              <w:rPr>
                <w:noProof/>
                <w:sz w:val="18"/>
                <w:szCs w:val="18"/>
                <w:lang w:eastAsia="en-GB"/>
              </w:rPr>
              <w:t>17.5%</w:t>
            </w:r>
          </w:p>
        </w:tc>
        <w:tc>
          <w:tcPr>
            <w:tcW w:w="1440" w:type="dxa"/>
            <w:vMerge w:val="restart"/>
            <w:vAlign w:val="center"/>
          </w:tcPr>
          <w:p w:rsidR="001A26B0" w:rsidRDefault="00E33A99">
            <w:pPr>
              <w:spacing w:after="120"/>
              <w:jc w:val="center"/>
              <w:rPr>
                <w:noProof/>
                <w:sz w:val="18"/>
                <w:szCs w:val="18"/>
              </w:rPr>
            </w:pPr>
            <w:r>
              <w:rPr>
                <w:noProof/>
                <w:sz w:val="18"/>
                <w:szCs w:val="18"/>
              </w:rPr>
              <w:t>25%</w:t>
            </w:r>
          </w:p>
        </w:tc>
        <w:tc>
          <w:tcPr>
            <w:tcW w:w="1440" w:type="dxa"/>
            <w:vMerge w:val="restart"/>
            <w:vAlign w:val="center"/>
          </w:tcPr>
          <w:p w:rsidR="001A26B0" w:rsidRDefault="00E33A99">
            <w:pPr>
              <w:spacing w:after="120"/>
              <w:jc w:val="center"/>
              <w:rPr>
                <w:noProof/>
                <w:sz w:val="18"/>
                <w:szCs w:val="18"/>
              </w:rPr>
            </w:pPr>
            <w:r>
              <w:rPr>
                <w:noProof/>
                <w:sz w:val="18"/>
                <w:szCs w:val="18"/>
              </w:rPr>
              <w:t>30%</w:t>
            </w:r>
          </w:p>
        </w:tc>
      </w:tr>
      <w:tr w:rsidR="001A26B0">
        <w:tc>
          <w:tcPr>
            <w:tcW w:w="1428" w:type="dxa"/>
          </w:tcPr>
          <w:p w:rsidR="001A26B0" w:rsidRDefault="00E33A99">
            <w:pPr>
              <w:spacing w:after="120"/>
              <w:rPr>
                <w:noProof/>
                <w:sz w:val="18"/>
                <w:szCs w:val="18"/>
              </w:rPr>
            </w:pPr>
            <w:r>
              <w:rPr>
                <w:noProof/>
                <w:sz w:val="18"/>
                <w:szCs w:val="18"/>
              </w:rPr>
              <w:t>TLV25</w:t>
            </w:r>
          </w:p>
        </w:tc>
        <w:tc>
          <w:tcPr>
            <w:tcW w:w="1080" w:type="dxa"/>
            <w:vAlign w:val="center"/>
          </w:tcPr>
          <w:p w:rsidR="001A26B0" w:rsidRDefault="00E33A99">
            <w:pPr>
              <w:spacing w:after="120"/>
              <w:jc w:val="center"/>
              <w:rPr>
                <w:noProof/>
                <w:sz w:val="18"/>
                <w:szCs w:val="18"/>
              </w:rPr>
            </w:pPr>
            <w:r>
              <w:rPr>
                <w:noProof/>
                <w:sz w:val="18"/>
                <w:szCs w:val="18"/>
                <w:lang w:eastAsia="en-GB"/>
              </w:rPr>
              <w:t>11.5%</w:t>
            </w:r>
          </w:p>
        </w:tc>
        <w:tc>
          <w:tcPr>
            <w:tcW w:w="1200" w:type="dxa"/>
            <w:vMerge/>
          </w:tcPr>
          <w:p w:rsidR="001A26B0" w:rsidRDefault="001A26B0">
            <w:pPr>
              <w:spacing w:after="120"/>
              <w:jc w:val="center"/>
              <w:rPr>
                <w:noProof/>
                <w:sz w:val="18"/>
                <w:szCs w:val="18"/>
              </w:rPr>
            </w:pPr>
          </w:p>
        </w:tc>
        <w:tc>
          <w:tcPr>
            <w:tcW w:w="1200" w:type="dxa"/>
            <w:vMerge/>
          </w:tcPr>
          <w:p w:rsidR="001A26B0" w:rsidRDefault="001A26B0">
            <w:pPr>
              <w:spacing w:after="120"/>
              <w:jc w:val="center"/>
              <w:rPr>
                <w:noProof/>
                <w:sz w:val="18"/>
                <w:szCs w:val="18"/>
              </w:rPr>
            </w:pPr>
          </w:p>
        </w:tc>
        <w:tc>
          <w:tcPr>
            <w:tcW w:w="1080" w:type="dxa"/>
            <w:vAlign w:val="center"/>
          </w:tcPr>
          <w:p w:rsidR="001A26B0" w:rsidRDefault="00E33A99">
            <w:pPr>
              <w:spacing w:after="120"/>
              <w:jc w:val="center"/>
              <w:rPr>
                <w:noProof/>
                <w:sz w:val="18"/>
                <w:szCs w:val="18"/>
              </w:rPr>
            </w:pPr>
            <w:r>
              <w:rPr>
                <w:noProof/>
                <w:sz w:val="18"/>
                <w:szCs w:val="18"/>
                <w:lang w:eastAsia="en-GB"/>
              </w:rPr>
              <w:t>18.5%</w:t>
            </w:r>
          </w:p>
        </w:tc>
        <w:tc>
          <w:tcPr>
            <w:tcW w:w="1440" w:type="dxa"/>
            <w:vMerge/>
          </w:tcPr>
          <w:p w:rsidR="001A26B0" w:rsidRDefault="001A26B0">
            <w:pPr>
              <w:spacing w:after="120"/>
              <w:jc w:val="center"/>
              <w:rPr>
                <w:noProof/>
                <w:sz w:val="18"/>
                <w:szCs w:val="18"/>
              </w:rPr>
            </w:pPr>
          </w:p>
        </w:tc>
        <w:tc>
          <w:tcPr>
            <w:tcW w:w="1440" w:type="dxa"/>
            <w:vMerge/>
          </w:tcPr>
          <w:p w:rsidR="001A26B0" w:rsidRDefault="001A26B0">
            <w:pPr>
              <w:spacing w:after="120"/>
              <w:jc w:val="center"/>
              <w:rPr>
                <w:noProof/>
                <w:sz w:val="18"/>
                <w:szCs w:val="18"/>
              </w:rPr>
            </w:pPr>
          </w:p>
        </w:tc>
      </w:tr>
      <w:tr w:rsidR="001A26B0">
        <w:tc>
          <w:tcPr>
            <w:tcW w:w="1428" w:type="dxa"/>
          </w:tcPr>
          <w:p w:rsidR="001A26B0" w:rsidRDefault="00E33A99">
            <w:pPr>
              <w:spacing w:after="120"/>
              <w:rPr>
                <w:noProof/>
                <w:sz w:val="18"/>
                <w:szCs w:val="18"/>
              </w:rPr>
            </w:pPr>
            <w:r>
              <w:rPr>
                <w:noProof/>
                <w:sz w:val="18"/>
                <w:szCs w:val="18"/>
              </w:rPr>
              <w:t>TLV40</w:t>
            </w:r>
          </w:p>
        </w:tc>
        <w:tc>
          <w:tcPr>
            <w:tcW w:w="1080" w:type="dxa"/>
            <w:vAlign w:val="center"/>
          </w:tcPr>
          <w:p w:rsidR="001A26B0" w:rsidRDefault="00E33A99">
            <w:pPr>
              <w:spacing w:after="120"/>
              <w:jc w:val="center"/>
              <w:rPr>
                <w:noProof/>
                <w:sz w:val="18"/>
                <w:szCs w:val="18"/>
              </w:rPr>
            </w:pPr>
            <w:r>
              <w:rPr>
                <w:noProof/>
                <w:sz w:val="18"/>
                <w:szCs w:val="18"/>
                <w:lang w:eastAsia="en-GB"/>
              </w:rPr>
              <w:t>16.5%</w:t>
            </w:r>
          </w:p>
        </w:tc>
        <w:tc>
          <w:tcPr>
            <w:tcW w:w="1200" w:type="dxa"/>
          </w:tcPr>
          <w:p w:rsidR="001A26B0" w:rsidRDefault="00E33A99">
            <w:pPr>
              <w:spacing w:after="120"/>
              <w:jc w:val="center"/>
              <w:rPr>
                <w:noProof/>
                <w:sz w:val="18"/>
                <w:szCs w:val="18"/>
              </w:rPr>
            </w:pPr>
            <w:r>
              <w:rPr>
                <w:noProof/>
                <w:sz w:val="18"/>
                <w:szCs w:val="18"/>
              </w:rPr>
              <w:t>20%</w:t>
            </w:r>
          </w:p>
        </w:tc>
        <w:tc>
          <w:tcPr>
            <w:tcW w:w="1200" w:type="dxa"/>
          </w:tcPr>
          <w:p w:rsidR="001A26B0" w:rsidRDefault="00E33A99">
            <w:pPr>
              <w:spacing w:after="120"/>
              <w:jc w:val="center"/>
              <w:rPr>
                <w:noProof/>
                <w:sz w:val="18"/>
                <w:szCs w:val="18"/>
              </w:rPr>
            </w:pPr>
            <w:r>
              <w:rPr>
                <w:noProof/>
                <w:sz w:val="18"/>
                <w:szCs w:val="18"/>
              </w:rPr>
              <w:t>25%</w:t>
            </w:r>
          </w:p>
        </w:tc>
        <w:tc>
          <w:tcPr>
            <w:tcW w:w="1080" w:type="dxa"/>
            <w:vAlign w:val="center"/>
          </w:tcPr>
          <w:p w:rsidR="001A26B0" w:rsidRDefault="00E33A99">
            <w:pPr>
              <w:spacing w:after="120"/>
              <w:jc w:val="center"/>
              <w:rPr>
                <w:noProof/>
                <w:sz w:val="18"/>
                <w:szCs w:val="18"/>
              </w:rPr>
            </w:pPr>
            <w:r>
              <w:rPr>
                <w:noProof/>
                <w:sz w:val="18"/>
                <w:szCs w:val="18"/>
                <w:lang w:eastAsia="en-GB"/>
              </w:rPr>
              <w:t>30%</w:t>
            </w:r>
          </w:p>
        </w:tc>
        <w:tc>
          <w:tcPr>
            <w:tcW w:w="1440" w:type="dxa"/>
          </w:tcPr>
          <w:p w:rsidR="001A26B0" w:rsidRDefault="00E33A99">
            <w:pPr>
              <w:spacing w:after="120"/>
              <w:jc w:val="center"/>
              <w:rPr>
                <w:noProof/>
                <w:sz w:val="18"/>
                <w:szCs w:val="18"/>
              </w:rPr>
            </w:pPr>
            <w:r>
              <w:rPr>
                <w:noProof/>
                <w:sz w:val="18"/>
                <w:szCs w:val="18"/>
              </w:rPr>
              <w:t>35%</w:t>
            </w:r>
          </w:p>
        </w:tc>
        <w:tc>
          <w:tcPr>
            <w:tcW w:w="1440" w:type="dxa"/>
          </w:tcPr>
          <w:p w:rsidR="001A26B0" w:rsidRDefault="00E33A99">
            <w:pPr>
              <w:spacing w:after="120"/>
              <w:jc w:val="center"/>
              <w:rPr>
                <w:noProof/>
                <w:sz w:val="18"/>
                <w:szCs w:val="18"/>
              </w:rPr>
            </w:pPr>
            <w:r>
              <w:rPr>
                <w:noProof/>
                <w:sz w:val="18"/>
                <w:szCs w:val="18"/>
              </w:rPr>
              <w:t>40%</w:t>
            </w:r>
          </w:p>
        </w:tc>
      </w:tr>
    </w:tbl>
    <w:p w:rsidR="001A26B0" w:rsidRDefault="001A26B0">
      <w:pPr>
        <w:spacing w:after="120"/>
        <w:rPr>
          <w:noProof/>
          <w:sz w:val="18"/>
          <w:szCs w:val="18"/>
        </w:rPr>
      </w:pPr>
    </w:p>
    <w:tbl>
      <w:tblPr>
        <w:tblStyle w:val="TableGrid"/>
        <w:tblW w:w="0" w:type="auto"/>
        <w:tblLayout w:type="fixed"/>
        <w:tblLook w:val="04A0" w:firstRow="1" w:lastRow="0" w:firstColumn="1" w:lastColumn="0" w:noHBand="0" w:noVBand="1"/>
      </w:tblPr>
      <w:tblGrid>
        <w:gridCol w:w="1428"/>
        <w:gridCol w:w="1080"/>
        <w:gridCol w:w="1200"/>
        <w:gridCol w:w="1200"/>
        <w:gridCol w:w="1080"/>
        <w:gridCol w:w="1440"/>
        <w:gridCol w:w="1401"/>
      </w:tblGrid>
      <w:tr w:rsidR="001A26B0">
        <w:tc>
          <w:tcPr>
            <w:tcW w:w="1428" w:type="dxa"/>
            <w:vMerge w:val="restart"/>
          </w:tcPr>
          <w:p w:rsidR="001A26B0" w:rsidRDefault="00E33A99">
            <w:pPr>
              <w:spacing w:after="120"/>
              <w:jc w:val="left"/>
              <w:rPr>
                <w:b/>
                <w:noProof/>
                <w:sz w:val="18"/>
                <w:szCs w:val="18"/>
              </w:rPr>
            </w:pPr>
            <w:r>
              <w:rPr>
                <w:b/>
                <w:i/>
                <w:noProof/>
                <w:sz w:val="18"/>
                <w:szCs w:val="18"/>
                <w:lang w:eastAsia="en-GB"/>
              </w:rPr>
              <w:t>LEVD_50</w:t>
            </w:r>
          </w:p>
        </w:tc>
        <w:tc>
          <w:tcPr>
            <w:tcW w:w="3480" w:type="dxa"/>
            <w:gridSpan w:val="3"/>
          </w:tcPr>
          <w:p w:rsidR="001A26B0" w:rsidRDefault="00E33A99">
            <w:pPr>
              <w:spacing w:after="120"/>
              <w:jc w:val="center"/>
              <w:rPr>
                <w:b/>
                <w:noProof/>
                <w:sz w:val="18"/>
                <w:szCs w:val="18"/>
              </w:rPr>
            </w:pPr>
            <w:r>
              <w:rPr>
                <w:b/>
                <w:noProof/>
                <w:sz w:val="18"/>
                <w:szCs w:val="18"/>
              </w:rPr>
              <w:t>2025</w:t>
            </w:r>
          </w:p>
        </w:tc>
        <w:tc>
          <w:tcPr>
            <w:tcW w:w="3921" w:type="dxa"/>
            <w:gridSpan w:val="3"/>
          </w:tcPr>
          <w:p w:rsidR="001A26B0" w:rsidRDefault="00E33A99">
            <w:pPr>
              <w:spacing w:after="120"/>
              <w:jc w:val="center"/>
              <w:rPr>
                <w:b/>
                <w:noProof/>
                <w:sz w:val="18"/>
                <w:szCs w:val="18"/>
              </w:rPr>
            </w:pPr>
            <w:r>
              <w:rPr>
                <w:b/>
                <w:noProof/>
                <w:sz w:val="18"/>
                <w:szCs w:val="18"/>
              </w:rPr>
              <w:t>2030</w:t>
            </w:r>
          </w:p>
        </w:tc>
      </w:tr>
      <w:tr w:rsidR="001A26B0">
        <w:tc>
          <w:tcPr>
            <w:tcW w:w="1428" w:type="dxa"/>
            <w:vMerge/>
          </w:tcPr>
          <w:p w:rsidR="001A26B0" w:rsidRDefault="001A26B0">
            <w:pPr>
              <w:spacing w:after="120"/>
              <w:rPr>
                <w:b/>
                <w:noProof/>
                <w:sz w:val="18"/>
                <w:szCs w:val="18"/>
              </w:rPr>
            </w:pPr>
          </w:p>
        </w:tc>
        <w:tc>
          <w:tcPr>
            <w:tcW w:w="1080" w:type="dxa"/>
          </w:tcPr>
          <w:p w:rsidR="001A26B0" w:rsidRDefault="00E33A99">
            <w:pPr>
              <w:spacing w:after="120"/>
              <w:jc w:val="center"/>
              <w:rPr>
                <w:b/>
                <w:noProof/>
                <w:sz w:val="18"/>
                <w:szCs w:val="18"/>
              </w:rPr>
            </w:pPr>
            <w:r>
              <w:rPr>
                <w:b/>
                <w:noProof/>
                <w:sz w:val="18"/>
                <w:szCs w:val="18"/>
              </w:rPr>
              <w:t>LEV0</w:t>
            </w:r>
          </w:p>
        </w:tc>
        <w:tc>
          <w:tcPr>
            <w:tcW w:w="1200" w:type="dxa"/>
          </w:tcPr>
          <w:p w:rsidR="001A26B0" w:rsidRDefault="00E33A99">
            <w:pPr>
              <w:spacing w:after="120"/>
              <w:jc w:val="center"/>
              <w:rPr>
                <w:b/>
                <w:noProof/>
                <w:sz w:val="18"/>
                <w:szCs w:val="18"/>
              </w:rPr>
            </w:pPr>
            <w:r>
              <w:rPr>
                <w:b/>
                <w:noProof/>
                <w:sz w:val="18"/>
                <w:szCs w:val="18"/>
              </w:rPr>
              <w:t>LEV%_A</w:t>
            </w:r>
          </w:p>
        </w:tc>
        <w:tc>
          <w:tcPr>
            <w:tcW w:w="1200" w:type="dxa"/>
          </w:tcPr>
          <w:p w:rsidR="001A26B0" w:rsidRDefault="00E33A99">
            <w:pPr>
              <w:spacing w:after="120"/>
              <w:jc w:val="center"/>
              <w:rPr>
                <w:b/>
                <w:noProof/>
                <w:sz w:val="18"/>
                <w:szCs w:val="18"/>
              </w:rPr>
            </w:pPr>
            <w:r>
              <w:rPr>
                <w:b/>
                <w:noProof/>
                <w:sz w:val="18"/>
                <w:szCs w:val="18"/>
              </w:rPr>
              <w:t>LEV%_B</w:t>
            </w:r>
          </w:p>
        </w:tc>
        <w:tc>
          <w:tcPr>
            <w:tcW w:w="1080" w:type="dxa"/>
          </w:tcPr>
          <w:p w:rsidR="001A26B0" w:rsidRDefault="00E33A99">
            <w:pPr>
              <w:spacing w:after="120"/>
              <w:jc w:val="center"/>
              <w:rPr>
                <w:b/>
                <w:noProof/>
                <w:sz w:val="18"/>
                <w:szCs w:val="18"/>
              </w:rPr>
            </w:pPr>
            <w:r>
              <w:rPr>
                <w:b/>
                <w:noProof/>
                <w:sz w:val="18"/>
                <w:szCs w:val="18"/>
              </w:rPr>
              <w:t>LEV0</w:t>
            </w:r>
          </w:p>
        </w:tc>
        <w:tc>
          <w:tcPr>
            <w:tcW w:w="1440" w:type="dxa"/>
          </w:tcPr>
          <w:p w:rsidR="001A26B0" w:rsidRDefault="00E33A99">
            <w:pPr>
              <w:spacing w:after="120"/>
              <w:jc w:val="center"/>
              <w:rPr>
                <w:b/>
                <w:noProof/>
                <w:sz w:val="18"/>
                <w:szCs w:val="18"/>
              </w:rPr>
            </w:pPr>
            <w:r>
              <w:rPr>
                <w:b/>
                <w:noProof/>
                <w:sz w:val="18"/>
                <w:szCs w:val="18"/>
              </w:rPr>
              <w:t>LEV%_A</w:t>
            </w:r>
          </w:p>
        </w:tc>
        <w:tc>
          <w:tcPr>
            <w:tcW w:w="1401" w:type="dxa"/>
          </w:tcPr>
          <w:p w:rsidR="001A26B0" w:rsidRDefault="00E33A99">
            <w:pPr>
              <w:spacing w:after="120"/>
              <w:jc w:val="center"/>
              <w:rPr>
                <w:b/>
                <w:noProof/>
                <w:sz w:val="18"/>
                <w:szCs w:val="18"/>
              </w:rPr>
            </w:pPr>
            <w:r>
              <w:rPr>
                <w:b/>
                <w:noProof/>
                <w:sz w:val="18"/>
                <w:szCs w:val="18"/>
              </w:rPr>
              <w:t>LEV%_B</w:t>
            </w:r>
          </w:p>
        </w:tc>
      </w:tr>
      <w:tr w:rsidR="001A26B0">
        <w:tc>
          <w:tcPr>
            <w:tcW w:w="1428" w:type="dxa"/>
          </w:tcPr>
          <w:p w:rsidR="001A26B0" w:rsidRDefault="00E33A99">
            <w:pPr>
              <w:spacing w:after="120"/>
              <w:rPr>
                <w:noProof/>
                <w:sz w:val="18"/>
                <w:szCs w:val="18"/>
              </w:rPr>
            </w:pPr>
            <w:r>
              <w:rPr>
                <w:noProof/>
                <w:sz w:val="18"/>
                <w:szCs w:val="18"/>
              </w:rPr>
              <w:t>TLV20</w:t>
            </w:r>
          </w:p>
        </w:tc>
        <w:tc>
          <w:tcPr>
            <w:tcW w:w="1080" w:type="dxa"/>
            <w:vAlign w:val="center"/>
          </w:tcPr>
          <w:p w:rsidR="001A26B0" w:rsidRDefault="00E33A99">
            <w:pPr>
              <w:spacing w:after="120"/>
              <w:jc w:val="center"/>
              <w:rPr>
                <w:noProof/>
                <w:sz w:val="18"/>
                <w:szCs w:val="18"/>
              </w:rPr>
            </w:pPr>
            <w:r>
              <w:rPr>
                <w:noProof/>
                <w:sz w:val="18"/>
                <w:szCs w:val="18"/>
                <w:lang w:eastAsia="en-GB"/>
              </w:rPr>
              <w:t>4.5%</w:t>
            </w:r>
          </w:p>
        </w:tc>
        <w:tc>
          <w:tcPr>
            <w:tcW w:w="1200" w:type="dxa"/>
            <w:vMerge w:val="restart"/>
            <w:vAlign w:val="center"/>
          </w:tcPr>
          <w:p w:rsidR="001A26B0" w:rsidRDefault="00E33A99">
            <w:pPr>
              <w:spacing w:after="120"/>
              <w:jc w:val="center"/>
              <w:rPr>
                <w:noProof/>
                <w:sz w:val="18"/>
                <w:szCs w:val="18"/>
              </w:rPr>
            </w:pPr>
            <w:r>
              <w:rPr>
                <w:noProof/>
                <w:sz w:val="18"/>
                <w:szCs w:val="18"/>
              </w:rPr>
              <w:t>15%</w:t>
            </w:r>
          </w:p>
        </w:tc>
        <w:tc>
          <w:tcPr>
            <w:tcW w:w="1200" w:type="dxa"/>
            <w:vMerge w:val="restart"/>
            <w:vAlign w:val="center"/>
          </w:tcPr>
          <w:p w:rsidR="001A26B0" w:rsidRDefault="00E33A99">
            <w:pPr>
              <w:spacing w:after="120"/>
              <w:jc w:val="center"/>
              <w:rPr>
                <w:noProof/>
                <w:sz w:val="18"/>
                <w:szCs w:val="18"/>
              </w:rPr>
            </w:pPr>
            <w:r>
              <w:rPr>
                <w:noProof/>
                <w:sz w:val="18"/>
                <w:szCs w:val="18"/>
              </w:rPr>
              <w:t>20%</w:t>
            </w:r>
          </w:p>
        </w:tc>
        <w:tc>
          <w:tcPr>
            <w:tcW w:w="1080" w:type="dxa"/>
            <w:vAlign w:val="center"/>
          </w:tcPr>
          <w:p w:rsidR="001A26B0" w:rsidRDefault="00E33A99">
            <w:pPr>
              <w:spacing w:after="120"/>
              <w:jc w:val="center"/>
              <w:rPr>
                <w:noProof/>
                <w:sz w:val="18"/>
                <w:szCs w:val="18"/>
              </w:rPr>
            </w:pPr>
            <w:r>
              <w:rPr>
                <w:noProof/>
                <w:sz w:val="18"/>
                <w:szCs w:val="18"/>
                <w:lang w:eastAsia="en-GB"/>
              </w:rPr>
              <w:t>7.5%</w:t>
            </w:r>
          </w:p>
        </w:tc>
        <w:tc>
          <w:tcPr>
            <w:tcW w:w="1440" w:type="dxa"/>
            <w:vMerge w:val="restart"/>
            <w:vAlign w:val="center"/>
          </w:tcPr>
          <w:p w:rsidR="001A26B0" w:rsidRDefault="00E33A99">
            <w:pPr>
              <w:spacing w:after="120"/>
              <w:jc w:val="center"/>
              <w:rPr>
                <w:noProof/>
                <w:sz w:val="18"/>
                <w:szCs w:val="18"/>
              </w:rPr>
            </w:pPr>
            <w:r>
              <w:rPr>
                <w:noProof/>
                <w:sz w:val="18"/>
                <w:szCs w:val="18"/>
              </w:rPr>
              <w:t>25%</w:t>
            </w:r>
          </w:p>
        </w:tc>
        <w:tc>
          <w:tcPr>
            <w:tcW w:w="1401" w:type="dxa"/>
            <w:vMerge w:val="restart"/>
            <w:vAlign w:val="center"/>
          </w:tcPr>
          <w:p w:rsidR="001A26B0" w:rsidRDefault="00E33A99">
            <w:pPr>
              <w:spacing w:after="120"/>
              <w:jc w:val="center"/>
              <w:rPr>
                <w:noProof/>
                <w:sz w:val="18"/>
                <w:szCs w:val="18"/>
              </w:rPr>
            </w:pPr>
            <w:r>
              <w:rPr>
                <w:noProof/>
                <w:sz w:val="18"/>
                <w:szCs w:val="18"/>
              </w:rPr>
              <w:t>30%</w:t>
            </w:r>
          </w:p>
        </w:tc>
      </w:tr>
      <w:tr w:rsidR="001A26B0">
        <w:tc>
          <w:tcPr>
            <w:tcW w:w="1428" w:type="dxa"/>
          </w:tcPr>
          <w:p w:rsidR="001A26B0" w:rsidRDefault="00E33A99">
            <w:pPr>
              <w:spacing w:after="120"/>
              <w:rPr>
                <w:noProof/>
                <w:sz w:val="18"/>
                <w:szCs w:val="18"/>
              </w:rPr>
            </w:pPr>
            <w:r>
              <w:rPr>
                <w:noProof/>
                <w:sz w:val="18"/>
                <w:szCs w:val="18"/>
              </w:rPr>
              <w:t>TLV25</w:t>
            </w:r>
          </w:p>
        </w:tc>
        <w:tc>
          <w:tcPr>
            <w:tcW w:w="1080" w:type="dxa"/>
            <w:vAlign w:val="center"/>
          </w:tcPr>
          <w:p w:rsidR="001A26B0" w:rsidRDefault="00E33A99">
            <w:pPr>
              <w:spacing w:after="120"/>
              <w:jc w:val="center"/>
              <w:rPr>
                <w:noProof/>
                <w:sz w:val="18"/>
                <w:szCs w:val="18"/>
              </w:rPr>
            </w:pPr>
            <w:r>
              <w:rPr>
                <w:noProof/>
                <w:sz w:val="18"/>
                <w:szCs w:val="18"/>
                <w:lang w:eastAsia="en-GB"/>
              </w:rPr>
              <w:t>5%</w:t>
            </w:r>
          </w:p>
        </w:tc>
        <w:tc>
          <w:tcPr>
            <w:tcW w:w="1200" w:type="dxa"/>
            <w:vMerge/>
          </w:tcPr>
          <w:p w:rsidR="001A26B0" w:rsidRDefault="001A26B0">
            <w:pPr>
              <w:spacing w:after="120"/>
              <w:jc w:val="center"/>
              <w:rPr>
                <w:noProof/>
                <w:sz w:val="18"/>
                <w:szCs w:val="18"/>
              </w:rPr>
            </w:pPr>
          </w:p>
        </w:tc>
        <w:tc>
          <w:tcPr>
            <w:tcW w:w="1200" w:type="dxa"/>
            <w:vMerge/>
          </w:tcPr>
          <w:p w:rsidR="001A26B0" w:rsidRDefault="001A26B0">
            <w:pPr>
              <w:spacing w:after="120"/>
              <w:jc w:val="center"/>
              <w:rPr>
                <w:noProof/>
                <w:sz w:val="18"/>
                <w:szCs w:val="18"/>
              </w:rPr>
            </w:pPr>
          </w:p>
        </w:tc>
        <w:tc>
          <w:tcPr>
            <w:tcW w:w="1080" w:type="dxa"/>
            <w:vAlign w:val="center"/>
          </w:tcPr>
          <w:p w:rsidR="001A26B0" w:rsidRDefault="00E33A99">
            <w:pPr>
              <w:spacing w:after="120"/>
              <w:jc w:val="center"/>
              <w:rPr>
                <w:noProof/>
                <w:sz w:val="18"/>
                <w:szCs w:val="18"/>
              </w:rPr>
            </w:pPr>
            <w:r>
              <w:rPr>
                <w:noProof/>
                <w:sz w:val="18"/>
                <w:szCs w:val="18"/>
                <w:lang w:eastAsia="en-GB"/>
              </w:rPr>
              <w:t>8%</w:t>
            </w:r>
          </w:p>
        </w:tc>
        <w:tc>
          <w:tcPr>
            <w:tcW w:w="1440" w:type="dxa"/>
            <w:vMerge/>
          </w:tcPr>
          <w:p w:rsidR="001A26B0" w:rsidRDefault="001A26B0">
            <w:pPr>
              <w:spacing w:after="120"/>
              <w:jc w:val="center"/>
              <w:rPr>
                <w:noProof/>
                <w:sz w:val="18"/>
                <w:szCs w:val="18"/>
              </w:rPr>
            </w:pPr>
          </w:p>
        </w:tc>
        <w:tc>
          <w:tcPr>
            <w:tcW w:w="1401" w:type="dxa"/>
            <w:vMerge/>
          </w:tcPr>
          <w:p w:rsidR="001A26B0" w:rsidRDefault="001A26B0">
            <w:pPr>
              <w:spacing w:after="120"/>
              <w:jc w:val="center"/>
              <w:rPr>
                <w:noProof/>
                <w:sz w:val="18"/>
                <w:szCs w:val="18"/>
              </w:rPr>
            </w:pPr>
          </w:p>
        </w:tc>
      </w:tr>
      <w:tr w:rsidR="001A26B0">
        <w:tc>
          <w:tcPr>
            <w:tcW w:w="1428" w:type="dxa"/>
          </w:tcPr>
          <w:p w:rsidR="001A26B0" w:rsidRDefault="00E33A99">
            <w:pPr>
              <w:spacing w:after="120"/>
              <w:rPr>
                <w:noProof/>
                <w:sz w:val="18"/>
                <w:szCs w:val="18"/>
              </w:rPr>
            </w:pPr>
            <w:r>
              <w:rPr>
                <w:noProof/>
                <w:sz w:val="18"/>
                <w:szCs w:val="18"/>
              </w:rPr>
              <w:t>TLV40</w:t>
            </w:r>
          </w:p>
        </w:tc>
        <w:tc>
          <w:tcPr>
            <w:tcW w:w="1080" w:type="dxa"/>
            <w:vAlign w:val="center"/>
          </w:tcPr>
          <w:p w:rsidR="001A26B0" w:rsidRDefault="00E33A99">
            <w:pPr>
              <w:spacing w:after="120"/>
              <w:jc w:val="center"/>
              <w:rPr>
                <w:noProof/>
                <w:sz w:val="18"/>
                <w:szCs w:val="18"/>
              </w:rPr>
            </w:pPr>
            <w:r>
              <w:rPr>
                <w:noProof/>
                <w:sz w:val="18"/>
                <w:szCs w:val="18"/>
                <w:lang w:eastAsia="en-GB"/>
              </w:rPr>
              <w:t>7.5%</w:t>
            </w:r>
          </w:p>
        </w:tc>
        <w:tc>
          <w:tcPr>
            <w:tcW w:w="1200" w:type="dxa"/>
            <w:vMerge/>
          </w:tcPr>
          <w:p w:rsidR="001A26B0" w:rsidRDefault="001A26B0">
            <w:pPr>
              <w:spacing w:after="120"/>
              <w:jc w:val="center"/>
              <w:rPr>
                <w:noProof/>
                <w:sz w:val="18"/>
                <w:szCs w:val="18"/>
              </w:rPr>
            </w:pPr>
          </w:p>
        </w:tc>
        <w:tc>
          <w:tcPr>
            <w:tcW w:w="1200" w:type="dxa"/>
            <w:vMerge/>
          </w:tcPr>
          <w:p w:rsidR="001A26B0" w:rsidRDefault="001A26B0">
            <w:pPr>
              <w:spacing w:after="120"/>
              <w:jc w:val="center"/>
              <w:rPr>
                <w:noProof/>
                <w:sz w:val="18"/>
                <w:szCs w:val="18"/>
              </w:rPr>
            </w:pPr>
          </w:p>
        </w:tc>
        <w:tc>
          <w:tcPr>
            <w:tcW w:w="1080" w:type="dxa"/>
            <w:vAlign w:val="center"/>
          </w:tcPr>
          <w:p w:rsidR="001A26B0" w:rsidRDefault="00E33A99">
            <w:pPr>
              <w:spacing w:after="120"/>
              <w:jc w:val="center"/>
              <w:rPr>
                <w:noProof/>
                <w:sz w:val="18"/>
                <w:szCs w:val="18"/>
              </w:rPr>
            </w:pPr>
            <w:r>
              <w:rPr>
                <w:noProof/>
                <w:sz w:val="18"/>
                <w:szCs w:val="18"/>
                <w:lang w:eastAsia="en-GB"/>
              </w:rPr>
              <w:t>12.5%</w:t>
            </w:r>
          </w:p>
        </w:tc>
        <w:tc>
          <w:tcPr>
            <w:tcW w:w="1440" w:type="dxa"/>
            <w:vMerge/>
          </w:tcPr>
          <w:p w:rsidR="001A26B0" w:rsidRDefault="001A26B0">
            <w:pPr>
              <w:spacing w:after="120"/>
              <w:jc w:val="center"/>
              <w:rPr>
                <w:noProof/>
                <w:sz w:val="18"/>
                <w:szCs w:val="18"/>
              </w:rPr>
            </w:pPr>
          </w:p>
        </w:tc>
        <w:tc>
          <w:tcPr>
            <w:tcW w:w="1401" w:type="dxa"/>
            <w:vMerge/>
          </w:tcPr>
          <w:p w:rsidR="001A26B0" w:rsidRDefault="001A26B0">
            <w:pPr>
              <w:spacing w:after="120"/>
              <w:jc w:val="center"/>
              <w:rPr>
                <w:noProof/>
                <w:sz w:val="18"/>
                <w:szCs w:val="18"/>
              </w:rPr>
            </w:pPr>
          </w:p>
        </w:tc>
      </w:tr>
    </w:tbl>
    <w:p w:rsidR="001A26B0" w:rsidRDefault="00E33A99">
      <w:pPr>
        <w:spacing w:before="240" w:after="120"/>
        <w:rPr>
          <w:noProof/>
          <w:szCs w:val="24"/>
        </w:rPr>
      </w:pPr>
      <w:r>
        <w:rPr>
          <w:noProof/>
          <w:szCs w:val="24"/>
        </w:rPr>
        <w:t xml:space="preserve">In order to reach these higher sales levels, as explained in Section 5.3.2.2, three different LEV incentive policy instruments are being considered: </w:t>
      </w:r>
    </w:p>
    <w:p w:rsidR="001A26B0" w:rsidRDefault="00E33A99">
      <w:pPr>
        <w:pStyle w:val="ListParagraph"/>
        <w:numPr>
          <w:ilvl w:val="0"/>
          <w:numId w:val="91"/>
        </w:numPr>
        <w:spacing w:after="120"/>
        <w:ind w:left="960" w:hanging="600"/>
        <w:contextualSpacing w:val="0"/>
        <w:rPr>
          <w:noProof/>
          <w:szCs w:val="24"/>
        </w:rPr>
      </w:pPr>
      <w:r>
        <w:rPr>
          <w:noProof/>
          <w:szCs w:val="24"/>
        </w:rPr>
        <w:t>binding mandate (LEVT_MAND);</w:t>
      </w:r>
    </w:p>
    <w:p w:rsidR="001A26B0" w:rsidRDefault="00E33A99">
      <w:pPr>
        <w:pStyle w:val="ListParagraph"/>
        <w:numPr>
          <w:ilvl w:val="0"/>
          <w:numId w:val="91"/>
        </w:numPr>
        <w:spacing w:after="120"/>
        <w:ind w:left="960" w:hanging="600"/>
        <w:contextualSpacing w:val="0"/>
        <w:rPr>
          <w:noProof/>
          <w:szCs w:val="24"/>
        </w:rPr>
      </w:pPr>
      <w:r>
        <w:rPr>
          <w:noProof/>
          <w:szCs w:val="24"/>
        </w:rPr>
        <w:t>crediting system with a one-way CO</w:t>
      </w:r>
      <w:r>
        <w:rPr>
          <w:noProof/>
          <w:szCs w:val="24"/>
          <w:vertAlign w:val="subscript"/>
        </w:rPr>
        <w:t>2</w:t>
      </w:r>
      <w:r>
        <w:rPr>
          <w:noProof/>
          <w:szCs w:val="24"/>
        </w:rPr>
        <w:t xml:space="preserve"> target adjustment (LEVT_CRED1); </w:t>
      </w:r>
    </w:p>
    <w:p w:rsidR="001A26B0" w:rsidRDefault="00E33A99">
      <w:pPr>
        <w:pStyle w:val="ListParagraph"/>
        <w:numPr>
          <w:ilvl w:val="0"/>
          <w:numId w:val="91"/>
        </w:numPr>
        <w:spacing w:after="120"/>
        <w:ind w:left="960" w:hanging="600"/>
        <w:contextualSpacing w:val="0"/>
        <w:rPr>
          <w:noProof/>
          <w:szCs w:val="24"/>
        </w:rPr>
      </w:pPr>
      <w:r>
        <w:rPr>
          <w:noProof/>
          <w:szCs w:val="24"/>
        </w:rPr>
        <w:t>crediting system with a two-way adjustment (LEVT_CRED2).</w:t>
      </w:r>
    </w:p>
    <w:p w:rsidR="001A26B0" w:rsidRDefault="00E33A99">
      <w:pPr>
        <w:pStyle w:val="Heading4"/>
        <w:keepNext/>
        <w:rPr>
          <w:noProof/>
        </w:rPr>
      </w:pPr>
      <w:bookmarkStart w:id="614" w:name="_Toc493623295"/>
      <w:bookmarkStart w:id="615" w:name="_Toc493689266"/>
      <w:bookmarkStart w:id="616" w:name="_Toc493689376"/>
      <w:bookmarkStart w:id="617" w:name="_Toc493689488"/>
      <w:bookmarkStart w:id="618" w:name="_Ref494022281"/>
      <w:bookmarkStart w:id="619" w:name="_Toc496635630"/>
      <w:bookmarkEnd w:id="614"/>
      <w:bookmarkEnd w:id="615"/>
      <w:bookmarkEnd w:id="616"/>
      <w:bookmarkEnd w:id="617"/>
      <w:r>
        <w:rPr>
          <w:noProof/>
        </w:rPr>
        <w:t>Economic impacts</w:t>
      </w:r>
      <w:bookmarkEnd w:id="618"/>
      <w:bookmarkEnd w:id="619"/>
    </w:p>
    <w:p w:rsidR="001A26B0" w:rsidRDefault="00E33A99">
      <w:pPr>
        <w:spacing w:after="120"/>
        <w:rPr>
          <w:noProof/>
          <w:szCs w:val="24"/>
        </w:rPr>
      </w:pPr>
      <w:r>
        <w:rPr>
          <w:noProof/>
          <w:szCs w:val="24"/>
        </w:rPr>
        <w:t>For the assessment of the economic impacts of the LEV incentives options, the same indicators are used as for the</w:t>
      </w:r>
      <w:r>
        <w:rPr>
          <w:noProof/>
          <w:szCs w:val="24"/>
        </w:rPr>
        <w:t xml:space="preserve"> assessing the options regarding the EU-wide CO</w:t>
      </w:r>
      <w:r>
        <w:rPr>
          <w:noProof/>
          <w:szCs w:val="24"/>
          <w:vertAlign w:val="subscript"/>
        </w:rPr>
        <w:t>2</w:t>
      </w:r>
      <w:r>
        <w:rPr>
          <w:noProof/>
          <w:szCs w:val="24"/>
        </w:rPr>
        <w:t xml:space="preserve"> target levels (TLV) (see Section 6.3.2.2.2). </w:t>
      </w:r>
    </w:p>
    <w:p w:rsidR="001A26B0" w:rsidRDefault="00E33A99">
      <w:pPr>
        <w:spacing w:after="120"/>
        <w:rPr>
          <w:noProof/>
          <w:szCs w:val="24"/>
        </w:rPr>
      </w:pPr>
      <w:r>
        <w:rPr>
          <w:noProof/>
          <w:szCs w:val="24"/>
        </w:rPr>
        <w:t>Below, the net savings achieved under the different LEV incentives options are summarised for the indicator TCO-15 years. The results for the other indicators (</w:t>
      </w:r>
      <w:r>
        <w:rPr>
          <w:noProof/>
        </w:rPr>
        <w:t>n</w:t>
      </w:r>
      <w:r>
        <w:rPr>
          <w:noProof/>
        </w:rPr>
        <w:t xml:space="preserve">et economic savings from a societal perspective and </w:t>
      </w:r>
      <w:r>
        <w:rPr>
          <w:noProof/>
          <w:szCs w:val="24"/>
        </w:rPr>
        <w:t>net economic savings over the first five years) were very similar.</w:t>
      </w:r>
    </w:p>
    <w:p w:rsidR="001A26B0" w:rsidRDefault="00E33A99">
      <w:pPr>
        <w:spacing w:after="120"/>
        <w:rPr>
          <w:noProof/>
          <w:szCs w:val="24"/>
        </w:rPr>
      </w:pPr>
      <w:r>
        <w:rPr>
          <w:noProof/>
          <w:szCs w:val="24"/>
        </w:rPr>
        <w:t>The detailed results for all options and indicators are provided in Annex 8.</w:t>
      </w:r>
    </w:p>
    <w:p w:rsidR="001A26B0" w:rsidRDefault="00E33A99">
      <w:pPr>
        <w:spacing w:after="120"/>
        <w:rPr>
          <w:i/>
          <w:noProof/>
          <w:szCs w:val="24"/>
        </w:rPr>
      </w:pPr>
      <w:r>
        <w:rPr>
          <w:i/>
          <w:noProof/>
          <w:szCs w:val="24"/>
        </w:rPr>
        <w:t>TCO-15 years (vehicle lifetime)</w:t>
      </w:r>
    </w:p>
    <w:p w:rsidR="001A26B0" w:rsidRDefault="00E33A99">
      <w:pPr>
        <w:spacing w:after="120"/>
        <w:rPr>
          <w:noProof/>
          <w:szCs w:val="24"/>
        </w:rPr>
      </w:pPr>
      <w:r>
        <w:rPr>
          <w:noProof/>
          <w:szCs w:val="24"/>
        </w:rPr>
        <w:fldChar w:fldCharType="begin"/>
      </w:r>
      <w:r>
        <w:rPr>
          <w:noProof/>
          <w:szCs w:val="24"/>
        </w:rPr>
        <w:instrText xml:space="preserve"> REF _Ref494022095 \h </w:instrText>
      </w:r>
      <w:r>
        <w:rPr>
          <w:noProof/>
          <w:szCs w:val="24"/>
        </w:rPr>
      </w:r>
      <w:r>
        <w:rPr>
          <w:noProof/>
          <w:szCs w:val="24"/>
        </w:rPr>
        <w:fldChar w:fldCharType="separate"/>
      </w:r>
      <w:r>
        <w:rPr>
          <w:noProof/>
        </w:rPr>
        <w:t>Figure</w:t>
      </w:r>
      <w:r>
        <w:rPr>
          <w:noProof/>
        </w:rPr>
        <w:t xml:space="preserve"> 37</w:t>
      </w:r>
      <w:r>
        <w:rPr>
          <w:noProof/>
          <w:szCs w:val="24"/>
        </w:rPr>
        <w:fldChar w:fldCharType="end"/>
      </w:r>
      <w:r>
        <w:rPr>
          <w:noProof/>
          <w:szCs w:val="24"/>
        </w:rPr>
        <w:t xml:space="preserve"> shows the net economic savings taking into account capital costs, O&amp;M costs and fuel costs over the lifetime of an "average" van in 2025 and 2030 for the different LEV incentive options</w:t>
      </w:r>
      <w:r>
        <w:rPr>
          <w:noProof/>
          <w:szCs w:val="24"/>
        </w:rPr>
        <w:t xml:space="preserve"> as regards the definition (LEVD) and target/benchmark level (LEV%), in combination with three different options for the EU-wide CO</w:t>
      </w:r>
      <w:r>
        <w:rPr>
          <w:noProof/>
          <w:szCs w:val="24"/>
          <w:vertAlign w:val="subscript"/>
        </w:rPr>
        <w:t>2</w:t>
      </w:r>
      <w:r>
        <w:rPr>
          <w:noProof/>
          <w:szCs w:val="24"/>
        </w:rPr>
        <w:t xml:space="preserve"> target level (TLV20, TLV25 and TLV40). The net savings are calculated as the difference with the baseline.</w:t>
      </w:r>
    </w:p>
    <w:p w:rsidR="001A26B0" w:rsidRDefault="00E33A99">
      <w:pPr>
        <w:spacing w:after="120"/>
        <w:rPr>
          <w:noProof/>
          <w:szCs w:val="24"/>
        </w:rPr>
      </w:pPr>
      <w:r>
        <w:rPr>
          <w:noProof/>
          <w:szCs w:val="24"/>
        </w:rPr>
        <w:t xml:space="preserve">The key general </w:t>
      </w:r>
      <w:r>
        <w:rPr>
          <w:noProof/>
          <w:szCs w:val="24"/>
        </w:rPr>
        <w:t xml:space="preserve">trends observed can be summarised as follows. </w:t>
      </w:r>
    </w:p>
    <w:p w:rsidR="001A26B0" w:rsidRDefault="00E33A99">
      <w:pPr>
        <w:spacing w:after="120"/>
        <w:rPr>
          <w:noProof/>
          <w:szCs w:val="24"/>
        </w:rPr>
      </w:pPr>
      <w:r>
        <w:rPr>
          <w:noProof/>
          <w:szCs w:val="24"/>
        </w:rPr>
        <w:t xml:space="preserve">Firstly, and very different from the results for passenger cars, both for 2025 and for 2030 in all cases with one exception the option where no incentives are set (LEV0) shows the highest net economic savings </w:t>
      </w:r>
      <w:r>
        <w:rPr>
          <w:noProof/>
          <w:szCs w:val="24"/>
        </w:rPr>
        <w:t xml:space="preserve">compared to the options with additional incentives for ZEV/LEV. Furthermore, the net savings are higher for the lower levels of the LEV mandate/benchmark (option LEV%_A). </w:t>
      </w:r>
    </w:p>
    <w:p w:rsidR="001A26B0" w:rsidRDefault="00E33A99">
      <w:pPr>
        <w:spacing w:after="120"/>
        <w:rPr>
          <w:noProof/>
          <w:szCs w:val="24"/>
        </w:rPr>
      </w:pPr>
      <w:r>
        <w:rPr>
          <w:noProof/>
          <w:szCs w:val="24"/>
        </w:rPr>
        <w:t>Still, all options considered with only one exception bring net economic savings ove</w:t>
      </w:r>
      <w:r>
        <w:rPr>
          <w:noProof/>
          <w:szCs w:val="24"/>
        </w:rPr>
        <w:t>r the vehicle lifetime. Depending on the option, net savings are up to about 2,500 EUR for a 2025 new van and up to about 4,500 EUR for a 2030 new van.</w:t>
      </w:r>
    </w:p>
    <w:p w:rsidR="001A26B0" w:rsidRDefault="00E33A99">
      <w:pPr>
        <w:spacing w:after="120"/>
        <w:rPr>
          <w:noProof/>
          <w:szCs w:val="24"/>
        </w:rPr>
      </w:pPr>
      <w:r>
        <w:rPr>
          <w:noProof/>
          <w:szCs w:val="24"/>
        </w:rPr>
        <w:t>Both fuel savings and capital costs are key factors as regards the net savings achieved. The capital cos</w:t>
      </w:r>
      <w:r>
        <w:rPr>
          <w:noProof/>
          <w:szCs w:val="24"/>
        </w:rPr>
        <w:t xml:space="preserve">ts of LEV, and in particular of ZEV, are mainly determined by the cost of batteries and, as explained above, these are set to decrease with the introduction of LEV incentives creating economies of scale. </w:t>
      </w:r>
    </w:p>
    <w:p w:rsidR="001A26B0" w:rsidRDefault="00E33A99">
      <w:pPr>
        <w:spacing w:after="120"/>
        <w:rPr>
          <w:noProof/>
          <w:szCs w:val="24"/>
        </w:rPr>
      </w:pPr>
      <w:r>
        <w:rPr>
          <w:noProof/>
          <w:szCs w:val="24"/>
        </w:rPr>
        <w:t>Secondly, with rising CO</w:t>
      </w:r>
      <w:r>
        <w:rPr>
          <w:noProof/>
          <w:szCs w:val="24"/>
          <w:vertAlign w:val="subscript"/>
        </w:rPr>
        <w:t>2</w:t>
      </w:r>
      <w:r>
        <w:rPr>
          <w:noProof/>
          <w:szCs w:val="24"/>
        </w:rPr>
        <w:t xml:space="preserve"> fleet-wide targets from T</w:t>
      </w:r>
      <w:r>
        <w:rPr>
          <w:noProof/>
          <w:szCs w:val="24"/>
        </w:rPr>
        <w:t xml:space="preserve">LV20, TLV25 to TLV40 also the net economic savings increase. </w:t>
      </w:r>
    </w:p>
    <w:p w:rsidR="001A26B0" w:rsidRDefault="00E33A99">
      <w:pPr>
        <w:pStyle w:val="Caption"/>
        <w:keepNext/>
        <w:rPr>
          <w:noProof/>
        </w:rPr>
      </w:pPr>
      <w:bookmarkStart w:id="620" w:name="_Ref494022095"/>
      <w:bookmarkStart w:id="621" w:name="_Toc496688583"/>
      <w:r>
        <w:rPr>
          <w:noProof/>
        </w:rPr>
        <w:t xml:space="preserve">Figure </w:t>
      </w:r>
      <w:r>
        <w:rPr>
          <w:noProof/>
        </w:rPr>
        <w:fldChar w:fldCharType="begin"/>
      </w:r>
      <w:r>
        <w:rPr>
          <w:noProof/>
        </w:rPr>
        <w:instrText xml:space="preserve"> SEQ Figure \* ARABIC </w:instrText>
      </w:r>
      <w:r>
        <w:rPr>
          <w:noProof/>
        </w:rPr>
        <w:fldChar w:fldCharType="separate"/>
      </w:r>
      <w:r>
        <w:rPr>
          <w:noProof/>
        </w:rPr>
        <w:t>37</w:t>
      </w:r>
      <w:r>
        <w:rPr>
          <w:noProof/>
        </w:rPr>
        <w:fldChar w:fldCharType="end"/>
      </w:r>
      <w:bookmarkEnd w:id="620"/>
      <w:r>
        <w:rPr>
          <w:noProof/>
        </w:rPr>
        <w:t>: TCO- 15 years (EUR/van) in 2025 and 2030 for different LEVD/LEVT options</w:t>
      </w:r>
      <w:bookmarkEnd w:id="621"/>
    </w:p>
    <w:p w:rsidR="001A26B0" w:rsidRDefault="00E33A99">
      <w:pPr>
        <w:rPr>
          <w:noProof/>
          <w:lang w:eastAsia="en-GB"/>
        </w:rPr>
      </w:pPr>
      <w:r>
        <w:rPr>
          <w:noProof/>
          <w:lang w:eastAsia="en-GB"/>
        </w:rPr>
        <w:drawing>
          <wp:inline distT="0" distB="0" distL="0" distR="0">
            <wp:extent cx="5469255" cy="5935155"/>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469255" cy="5935155"/>
                    </a:xfrm>
                    <a:prstGeom prst="rect">
                      <a:avLst/>
                    </a:prstGeom>
                    <a:noFill/>
                    <a:ln>
                      <a:noFill/>
                    </a:ln>
                  </pic:spPr>
                </pic:pic>
              </a:graphicData>
            </a:graphic>
          </wp:inline>
        </w:drawing>
      </w:r>
      <w:bookmarkStart w:id="622" w:name="_Toc485119158"/>
      <w:bookmarkStart w:id="623" w:name="_Toc487211793"/>
    </w:p>
    <w:p w:rsidR="001A26B0" w:rsidRDefault="00E33A99">
      <w:pPr>
        <w:spacing w:after="120"/>
        <w:jc w:val="left"/>
        <w:rPr>
          <w:i/>
          <w:noProof/>
          <w:szCs w:val="24"/>
        </w:rPr>
      </w:pPr>
      <w:r>
        <w:rPr>
          <w:i/>
          <w:noProof/>
          <w:szCs w:val="24"/>
        </w:rPr>
        <w:t>Impacts of options LEVT_CRED (1 and 2) in case the LEV benchmark is not exactly met</w:t>
      </w:r>
      <w:r>
        <w:rPr>
          <w:i/>
          <w:noProof/>
          <w:szCs w:val="24"/>
        </w:rPr>
        <w:t xml:space="preserve"> </w:t>
      </w:r>
    </w:p>
    <w:p w:rsidR="001A26B0" w:rsidRDefault="00E33A99">
      <w:pPr>
        <w:spacing w:after="120"/>
        <w:rPr>
          <w:noProof/>
          <w:color w:val="000000" w:themeColor="text1"/>
          <w:szCs w:val="24"/>
        </w:rPr>
      </w:pPr>
      <w:r>
        <w:rPr>
          <w:noProof/>
          <w:color w:val="000000" w:themeColor="text1"/>
          <w:szCs w:val="24"/>
        </w:rPr>
        <w:t>Under the two crediting system options LEVT_CRED1 and LEV_CRED2, the LEV benchmark would be non-binding, which means that it may be over- or underachieved by individual manufacturers (or pools), which would affect the fleet-wide CO</w:t>
      </w:r>
      <w:r>
        <w:rPr>
          <w:noProof/>
          <w:color w:val="000000" w:themeColor="text1"/>
          <w:szCs w:val="24"/>
          <w:vertAlign w:val="subscript"/>
        </w:rPr>
        <w:t>2</w:t>
      </w:r>
      <w:r>
        <w:rPr>
          <w:noProof/>
          <w:color w:val="000000" w:themeColor="text1"/>
          <w:szCs w:val="24"/>
        </w:rPr>
        <w:t xml:space="preserve"> target as explained in Section 5.3.2.2. Thus, the economic impacts of this option will depend on the extent to which the LEV share of different manufacturers is higher or lower than the LEV benchmark in 2025 or 2030. </w:t>
      </w:r>
    </w:p>
    <w:p w:rsidR="001A26B0" w:rsidRDefault="00E33A99">
      <w:pPr>
        <w:spacing w:after="120"/>
        <w:rPr>
          <w:noProof/>
          <w:color w:val="000000" w:themeColor="text1"/>
          <w:szCs w:val="24"/>
        </w:rPr>
      </w:pPr>
      <w:r>
        <w:rPr>
          <w:noProof/>
          <w:color w:val="000000" w:themeColor="text1"/>
          <w:szCs w:val="24"/>
        </w:rPr>
        <w:t>As the strategic choices that would b</w:t>
      </w:r>
      <w:r>
        <w:rPr>
          <w:noProof/>
          <w:color w:val="000000" w:themeColor="text1"/>
          <w:szCs w:val="24"/>
        </w:rPr>
        <w:t>e made by individual van manufacturers in this respect are not known, for the purpose of the analysis numerous variants could be designed in terms of LEV share and, consequently, CO</w:t>
      </w:r>
      <w:r>
        <w:rPr>
          <w:noProof/>
          <w:color w:val="000000" w:themeColor="text1"/>
          <w:szCs w:val="24"/>
          <w:vertAlign w:val="subscript"/>
        </w:rPr>
        <w:t>2</w:t>
      </w:r>
      <w:r>
        <w:rPr>
          <w:noProof/>
          <w:color w:val="000000" w:themeColor="text1"/>
          <w:szCs w:val="24"/>
        </w:rPr>
        <w:t xml:space="preserve"> target. </w:t>
      </w:r>
    </w:p>
    <w:p w:rsidR="001A26B0" w:rsidRDefault="00E33A99">
      <w:pPr>
        <w:spacing w:after="120"/>
        <w:rPr>
          <w:noProof/>
          <w:color w:val="000000" w:themeColor="text1"/>
          <w:szCs w:val="24"/>
        </w:rPr>
      </w:pPr>
      <w:r>
        <w:rPr>
          <w:noProof/>
          <w:color w:val="000000" w:themeColor="text1"/>
          <w:szCs w:val="24"/>
        </w:rPr>
        <w:t>However, since the economic analysis above showed that the optio</w:t>
      </w:r>
      <w:r>
        <w:rPr>
          <w:noProof/>
          <w:color w:val="000000" w:themeColor="text1"/>
          <w:szCs w:val="24"/>
        </w:rPr>
        <w:t>n without an additional LEV incentive is economically superior compared to the ones with a crediting system, van manufacturers would most likely not voluntarily increase sales of low emission vans to reach or even overachieve the benchmark. This means that</w:t>
      </w:r>
      <w:r>
        <w:rPr>
          <w:noProof/>
          <w:color w:val="000000" w:themeColor="text1"/>
          <w:szCs w:val="24"/>
        </w:rPr>
        <w:t xml:space="preserve"> given the underlying economics setting a voluntary LEV benchmark would most likely not create the necessary incentivising effect. </w:t>
      </w:r>
    </w:p>
    <w:p w:rsidR="001A26B0" w:rsidRDefault="00E33A99">
      <w:pPr>
        <w:spacing w:after="120"/>
        <w:rPr>
          <w:i/>
          <w:noProof/>
        </w:rPr>
      </w:pPr>
      <w:r>
        <w:rPr>
          <w:i/>
          <w:noProof/>
        </w:rPr>
        <w:t>Energy system impacts</w:t>
      </w:r>
    </w:p>
    <w:p w:rsidR="001A26B0" w:rsidRDefault="00E33A99">
      <w:pPr>
        <w:spacing w:after="120"/>
        <w:rPr>
          <w:noProof/>
        </w:rPr>
      </w:pPr>
      <w:r>
        <w:rPr>
          <w:noProof/>
        </w:rPr>
        <w:t>The final energy demand from vans in 2030 shows limited variation amongst the different options consid</w:t>
      </w:r>
      <w:r>
        <w:rPr>
          <w:noProof/>
        </w:rPr>
        <w:t>ered for the LEV incentives (including LEV0).</w:t>
      </w:r>
    </w:p>
    <w:p w:rsidR="001A26B0" w:rsidRDefault="00E33A99">
      <w:pPr>
        <w:spacing w:after="120"/>
        <w:rPr>
          <w:noProof/>
        </w:rPr>
      </w:pPr>
      <w:r>
        <w:rPr>
          <w:noProof/>
        </w:rPr>
        <w:t xml:space="preserve">The increased market penetration of electrically chargeable vehicles (BEV, PHEV) leads to higher shares of electricity in the final energy demand for transport. Nevertheless, as illustrated in the table below, </w:t>
      </w:r>
      <w:r>
        <w:rPr>
          <w:noProof/>
        </w:rPr>
        <w:t>these effects remain rather limited with respect to the total energy demand of vans across the range of options considered.</w:t>
      </w:r>
    </w:p>
    <w:p w:rsidR="001A26B0" w:rsidRDefault="00E33A99">
      <w:pPr>
        <w:pStyle w:val="Caption"/>
        <w:keepNext/>
        <w:rPr>
          <w:noProof/>
        </w:rPr>
      </w:pPr>
      <w:bookmarkStart w:id="624" w:name="_Ref493688780"/>
      <w:r>
        <w:rPr>
          <w:noProof/>
        </w:rPr>
        <w:t xml:space="preserve">Table </w:t>
      </w:r>
      <w:r>
        <w:rPr>
          <w:noProof/>
        </w:rPr>
        <w:fldChar w:fldCharType="begin"/>
      </w:r>
      <w:r>
        <w:rPr>
          <w:noProof/>
        </w:rPr>
        <w:instrText xml:space="preserve"> SEQ Table \* ARABIC </w:instrText>
      </w:r>
      <w:r>
        <w:rPr>
          <w:noProof/>
        </w:rPr>
        <w:fldChar w:fldCharType="separate"/>
      </w:r>
      <w:r>
        <w:rPr>
          <w:noProof/>
        </w:rPr>
        <w:t>44</w:t>
      </w:r>
      <w:r>
        <w:rPr>
          <w:noProof/>
        </w:rPr>
        <w:fldChar w:fldCharType="end"/>
      </w:r>
      <w:bookmarkEnd w:id="624"/>
      <w:r>
        <w:rPr>
          <w:noProof/>
        </w:rPr>
        <w:t xml:space="preserve">: Electricity share in the final energy demand of vans </w:t>
      </w:r>
    </w:p>
    <w:tbl>
      <w:tblPr>
        <w:tblStyle w:val="TableGrid"/>
        <w:tblW w:w="0" w:type="auto"/>
        <w:tblLook w:val="04A0" w:firstRow="1" w:lastRow="0" w:firstColumn="1" w:lastColumn="0" w:noHBand="0" w:noVBand="1"/>
      </w:tblPr>
      <w:tblGrid>
        <w:gridCol w:w="1778"/>
        <w:gridCol w:w="1762"/>
        <w:gridCol w:w="1763"/>
        <w:gridCol w:w="1763"/>
        <w:gridCol w:w="1763"/>
      </w:tblGrid>
      <w:tr w:rsidR="001A26B0">
        <w:tc>
          <w:tcPr>
            <w:tcW w:w="1857" w:type="dxa"/>
          </w:tcPr>
          <w:p w:rsidR="001A26B0" w:rsidRDefault="00E33A99">
            <w:pPr>
              <w:spacing w:after="120"/>
              <w:rPr>
                <w:noProof/>
              </w:rPr>
            </w:pPr>
            <w:r>
              <w:rPr>
                <w:noProof/>
              </w:rPr>
              <w:t>Option for CO</w:t>
            </w:r>
            <w:r>
              <w:rPr>
                <w:noProof/>
                <w:vertAlign w:val="subscript"/>
              </w:rPr>
              <w:t>2</w:t>
            </w:r>
            <w:r>
              <w:rPr>
                <w:noProof/>
              </w:rPr>
              <w:t xml:space="preserve"> target level </w:t>
            </w:r>
          </w:p>
        </w:tc>
        <w:tc>
          <w:tcPr>
            <w:tcW w:w="3715" w:type="dxa"/>
            <w:gridSpan w:val="2"/>
          </w:tcPr>
          <w:p w:rsidR="001A26B0" w:rsidRDefault="00E33A99">
            <w:pPr>
              <w:spacing w:after="120"/>
              <w:jc w:val="center"/>
              <w:rPr>
                <w:noProof/>
              </w:rPr>
            </w:pPr>
            <w:r>
              <w:rPr>
                <w:noProof/>
              </w:rPr>
              <w:t>LEV0</w:t>
            </w:r>
          </w:p>
        </w:tc>
        <w:tc>
          <w:tcPr>
            <w:tcW w:w="3716" w:type="dxa"/>
            <w:gridSpan w:val="2"/>
          </w:tcPr>
          <w:p w:rsidR="001A26B0" w:rsidRDefault="00E33A99">
            <w:pPr>
              <w:spacing w:after="120"/>
              <w:jc w:val="center"/>
              <w:rPr>
                <w:noProof/>
              </w:rPr>
            </w:pPr>
            <w:r>
              <w:rPr>
                <w:noProof/>
              </w:rPr>
              <w:t xml:space="preserve">Other LEV </w:t>
            </w:r>
            <w:r>
              <w:rPr>
                <w:noProof/>
              </w:rPr>
              <w:t>options (various LEVT, LEVD, LEV%)</w:t>
            </w:r>
          </w:p>
        </w:tc>
      </w:tr>
      <w:tr w:rsidR="001A26B0">
        <w:tc>
          <w:tcPr>
            <w:tcW w:w="1857" w:type="dxa"/>
          </w:tcPr>
          <w:p w:rsidR="001A26B0" w:rsidRDefault="001A26B0">
            <w:pPr>
              <w:spacing w:after="120"/>
              <w:rPr>
                <w:noProof/>
              </w:rPr>
            </w:pPr>
          </w:p>
        </w:tc>
        <w:tc>
          <w:tcPr>
            <w:tcW w:w="1857" w:type="dxa"/>
          </w:tcPr>
          <w:p w:rsidR="001A26B0" w:rsidRDefault="00E33A99">
            <w:pPr>
              <w:spacing w:after="120"/>
              <w:jc w:val="center"/>
              <w:rPr>
                <w:noProof/>
              </w:rPr>
            </w:pPr>
            <w:r>
              <w:rPr>
                <w:noProof/>
              </w:rPr>
              <w:t>2025</w:t>
            </w:r>
          </w:p>
        </w:tc>
        <w:tc>
          <w:tcPr>
            <w:tcW w:w="1858" w:type="dxa"/>
          </w:tcPr>
          <w:p w:rsidR="001A26B0" w:rsidRDefault="00E33A99">
            <w:pPr>
              <w:spacing w:after="120"/>
              <w:jc w:val="center"/>
              <w:rPr>
                <w:noProof/>
              </w:rPr>
            </w:pPr>
            <w:r>
              <w:rPr>
                <w:noProof/>
              </w:rPr>
              <w:t>2030</w:t>
            </w:r>
          </w:p>
        </w:tc>
        <w:tc>
          <w:tcPr>
            <w:tcW w:w="1858" w:type="dxa"/>
          </w:tcPr>
          <w:p w:rsidR="001A26B0" w:rsidRDefault="00E33A99">
            <w:pPr>
              <w:spacing w:after="120"/>
              <w:jc w:val="center"/>
              <w:rPr>
                <w:noProof/>
              </w:rPr>
            </w:pPr>
            <w:r>
              <w:rPr>
                <w:noProof/>
              </w:rPr>
              <w:t>2025</w:t>
            </w:r>
          </w:p>
        </w:tc>
        <w:tc>
          <w:tcPr>
            <w:tcW w:w="1858" w:type="dxa"/>
          </w:tcPr>
          <w:p w:rsidR="001A26B0" w:rsidRDefault="00E33A99">
            <w:pPr>
              <w:spacing w:after="120"/>
              <w:jc w:val="center"/>
              <w:rPr>
                <w:noProof/>
              </w:rPr>
            </w:pPr>
            <w:r>
              <w:rPr>
                <w:noProof/>
              </w:rPr>
              <w:t>2030</w:t>
            </w:r>
          </w:p>
        </w:tc>
      </w:tr>
      <w:tr w:rsidR="001A26B0">
        <w:tc>
          <w:tcPr>
            <w:tcW w:w="1857" w:type="dxa"/>
          </w:tcPr>
          <w:p w:rsidR="001A26B0" w:rsidRDefault="00E33A99">
            <w:pPr>
              <w:spacing w:after="120"/>
              <w:rPr>
                <w:noProof/>
              </w:rPr>
            </w:pPr>
            <w:r>
              <w:rPr>
                <w:noProof/>
              </w:rPr>
              <w:t>TLV20</w:t>
            </w:r>
          </w:p>
        </w:tc>
        <w:tc>
          <w:tcPr>
            <w:tcW w:w="1857" w:type="dxa"/>
          </w:tcPr>
          <w:p w:rsidR="001A26B0" w:rsidRDefault="00E33A99">
            <w:pPr>
              <w:spacing w:after="120"/>
              <w:jc w:val="center"/>
              <w:rPr>
                <w:noProof/>
              </w:rPr>
            </w:pPr>
            <w:r>
              <w:rPr>
                <w:noProof/>
              </w:rPr>
              <w:t>0.4%</w:t>
            </w:r>
          </w:p>
        </w:tc>
        <w:tc>
          <w:tcPr>
            <w:tcW w:w="1858" w:type="dxa"/>
          </w:tcPr>
          <w:p w:rsidR="001A26B0" w:rsidRDefault="00E33A99">
            <w:pPr>
              <w:spacing w:after="120"/>
              <w:jc w:val="center"/>
              <w:rPr>
                <w:noProof/>
              </w:rPr>
            </w:pPr>
            <w:r>
              <w:rPr>
                <w:noProof/>
              </w:rPr>
              <w:t>1.5%</w:t>
            </w:r>
          </w:p>
        </w:tc>
        <w:tc>
          <w:tcPr>
            <w:tcW w:w="1858" w:type="dxa"/>
          </w:tcPr>
          <w:p w:rsidR="001A26B0" w:rsidRDefault="00E33A99">
            <w:pPr>
              <w:spacing w:after="120"/>
              <w:jc w:val="center"/>
              <w:rPr>
                <w:noProof/>
              </w:rPr>
            </w:pPr>
            <w:r>
              <w:rPr>
                <w:noProof/>
              </w:rPr>
              <w:t>1% - 1.4%</w:t>
            </w:r>
          </w:p>
        </w:tc>
        <w:tc>
          <w:tcPr>
            <w:tcW w:w="1858" w:type="dxa"/>
          </w:tcPr>
          <w:p w:rsidR="001A26B0" w:rsidRDefault="00E33A99">
            <w:pPr>
              <w:spacing w:after="120"/>
              <w:jc w:val="center"/>
              <w:rPr>
                <w:noProof/>
              </w:rPr>
            </w:pPr>
            <w:r>
              <w:rPr>
                <w:noProof/>
              </w:rPr>
              <w:t>2.5% - 4.7%</w:t>
            </w:r>
          </w:p>
        </w:tc>
      </w:tr>
      <w:tr w:rsidR="001A26B0">
        <w:tc>
          <w:tcPr>
            <w:tcW w:w="1857" w:type="dxa"/>
          </w:tcPr>
          <w:p w:rsidR="001A26B0" w:rsidRDefault="00E33A99">
            <w:pPr>
              <w:spacing w:after="120"/>
              <w:rPr>
                <w:noProof/>
              </w:rPr>
            </w:pPr>
            <w:r>
              <w:rPr>
                <w:noProof/>
              </w:rPr>
              <w:t>TLV25</w:t>
            </w:r>
          </w:p>
        </w:tc>
        <w:tc>
          <w:tcPr>
            <w:tcW w:w="1857" w:type="dxa"/>
          </w:tcPr>
          <w:p w:rsidR="001A26B0" w:rsidRDefault="00E33A99">
            <w:pPr>
              <w:spacing w:after="120"/>
              <w:jc w:val="center"/>
              <w:rPr>
                <w:noProof/>
              </w:rPr>
            </w:pPr>
            <w:r>
              <w:rPr>
                <w:noProof/>
              </w:rPr>
              <w:t>0.5%</w:t>
            </w:r>
          </w:p>
        </w:tc>
        <w:tc>
          <w:tcPr>
            <w:tcW w:w="1858" w:type="dxa"/>
          </w:tcPr>
          <w:p w:rsidR="001A26B0" w:rsidRDefault="00E33A99">
            <w:pPr>
              <w:spacing w:after="120"/>
              <w:jc w:val="center"/>
              <w:rPr>
                <w:noProof/>
              </w:rPr>
            </w:pPr>
            <w:r>
              <w:rPr>
                <w:noProof/>
              </w:rPr>
              <w:t>1.6%</w:t>
            </w:r>
          </w:p>
        </w:tc>
        <w:tc>
          <w:tcPr>
            <w:tcW w:w="1858" w:type="dxa"/>
          </w:tcPr>
          <w:p w:rsidR="001A26B0" w:rsidRDefault="00E33A99">
            <w:pPr>
              <w:spacing w:after="120"/>
              <w:jc w:val="center"/>
              <w:rPr>
                <w:noProof/>
              </w:rPr>
            </w:pPr>
            <w:r>
              <w:rPr>
                <w:noProof/>
              </w:rPr>
              <w:t>0.9% -1.8%</w:t>
            </w:r>
          </w:p>
        </w:tc>
        <w:tc>
          <w:tcPr>
            <w:tcW w:w="1858" w:type="dxa"/>
          </w:tcPr>
          <w:p w:rsidR="001A26B0" w:rsidRDefault="00E33A99">
            <w:pPr>
              <w:spacing w:after="120"/>
              <w:jc w:val="center"/>
              <w:rPr>
                <w:noProof/>
              </w:rPr>
            </w:pPr>
            <w:r>
              <w:rPr>
                <w:noProof/>
              </w:rPr>
              <w:t>2.5% - 4.7%</w:t>
            </w:r>
          </w:p>
        </w:tc>
      </w:tr>
      <w:tr w:rsidR="001A26B0">
        <w:tc>
          <w:tcPr>
            <w:tcW w:w="1857" w:type="dxa"/>
          </w:tcPr>
          <w:p w:rsidR="001A26B0" w:rsidRDefault="00E33A99">
            <w:pPr>
              <w:spacing w:after="120"/>
              <w:rPr>
                <w:noProof/>
              </w:rPr>
            </w:pPr>
            <w:r>
              <w:rPr>
                <w:noProof/>
              </w:rPr>
              <w:t>TLV40</w:t>
            </w:r>
          </w:p>
        </w:tc>
        <w:tc>
          <w:tcPr>
            <w:tcW w:w="1857" w:type="dxa"/>
          </w:tcPr>
          <w:p w:rsidR="001A26B0" w:rsidRDefault="00E33A99">
            <w:pPr>
              <w:spacing w:after="120"/>
              <w:jc w:val="center"/>
              <w:rPr>
                <w:noProof/>
              </w:rPr>
            </w:pPr>
            <w:r>
              <w:rPr>
                <w:noProof/>
              </w:rPr>
              <w:t>0.7%</w:t>
            </w:r>
          </w:p>
        </w:tc>
        <w:tc>
          <w:tcPr>
            <w:tcW w:w="1858" w:type="dxa"/>
          </w:tcPr>
          <w:p w:rsidR="001A26B0" w:rsidRDefault="00E33A99">
            <w:pPr>
              <w:spacing w:after="120"/>
              <w:jc w:val="center"/>
              <w:rPr>
                <w:noProof/>
              </w:rPr>
            </w:pPr>
            <w:r>
              <w:rPr>
                <w:noProof/>
              </w:rPr>
              <w:t>2.3%</w:t>
            </w:r>
          </w:p>
        </w:tc>
        <w:tc>
          <w:tcPr>
            <w:tcW w:w="1858" w:type="dxa"/>
          </w:tcPr>
          <w:p w:rsidR="001A26B0" w:rsidRDefault="00E33A99">
            <w:pPr>
              <w:spacing w:after="120"/>
              <w:jc w:val="center"/>
              <w:rPr>
                <w:noProof/>
              </w:rPr>
            </w:pPr>
            <w:r>
              <w:rPr>
                <w:noProof/>
              </w:rPr>
              <w:t>1.1% -2.3%</w:t>
            </w:r>
          </w:p>
        </w:tc>
        <w:tc>
          <w:tcPr>
            <w:tcW w:w="1858" w:type="dxa"/>
          </w:tcPr>
          <w:p w:rsidR="001A26B0" w:rsidRDefault="00E33A99">
            <w:pPr>
              <w:spacing w:after="120"/>
              <w:jc w:val="center"/>
              <w:rPr>
                <w:noProof/>
              </w:rPr>
            </w:pPr>
            <w:r>
              <w:rPr>
                <w:noProof/>
              </w:rPr>
              <w:t>2.9% - 6.1%</w:t>
            </w:r>
          </w:p>
        </w:tc>
      </w:tr>
    </w:tbl>
    <w:p w:rsidR="001A26B0" w:rsidRDefault="00E33A99">
      <w:pPr>
        <w:spacing w:before="240"/>
        <w:rPr>
          <w:noProof/>
          <w:sz w:val="20"/>
        </w:rPr>
      </w:pPr>
      <w:r>
        <w:rPr>
          <w:i/>
          <w:noProof/>
        </w:rPr>
        <w:t>Light Duty Vehicle Electricity consumption</w:t>
      </w:r>
    </w:p>
    <w:p w:rsidR="001A26B0" w:rsidRDefault="00E33A99">
      <w:pPr>
        <w:rPr>
          <w:noProof/>
        </w:rPr>
      </w:pPr>
      <w:r>
        <w:rPr>
          <w:noProof/>
        </w:rPr>
        <w:fldChar w:fldCharType="begin"/>
      </w:r>
      <w:r>
        <w:rPr>
          <w:noProof/>
        </w:rPr>
        <w:instrText xml:space="preserve"> REF _Ref493688803 \h  \* MERGEFORMAT </w:instrText>
      </w:r>
      <w:r>
        <w:rPr>
          <w:noProof/>
        </w:rPr>
      </w:r>
      <w:r>
        <w:rPr>
          <w:noProof/>
        </w:rPr>
        <w:fldChar w:fldCharType="separate"/>
      </w:r>
      <w:r>
        <w:rPr>
          <w:noProof/>
        </w:rPr>
        <w:t>Table 45</w:t>
      </w:r>
      <w:r>
        <w:rPr>
          <w:noProof/>
        </w:rPr>
        <w:fldChar w:fldCharType="end"/>
      </w:r>
      <w:r>
        <w:rPr>
          <w:noProof/>
        </w:rPr>
        <w:t xml:space="preserve"> shows the share of the total EU-28 electricity consumption used by cars and vans in 2025 and 2030 for selected policy options. It illustrates</w:t>
      </w:r>
      <w:r>
        <w:rPr>
          <w:noProof/>
        </w:rPr>
        <w:t xml:space="preserve"> that, even with the highest LEV mandates/benchmarks considered, the share of electricity used by LDV up to 2030 is not more than a few percent of total electricity consumption. </w:t>
      </w:r>
    </w:p>
    <w:p w:rsidR="001A26B0" w:rsidRDefault="00E33A99">
      <w:pPr>
        <w:keepNext/>
        <w:spacing w:after="120"/>
        <w:rPr>
          <w:noProof/>
        </w:rPr>
      </w:pPr>
      <w:bookmarkStart w:id="625" w:name="_Ref493688803"/>
      <w:r>
        <w:rPr>
          <w:b/>
          <w:noProof/>
        </w:rPr>
        <w:t xml:space="preserve">Table </w:t>
      </w:r>
      <w:r>
        <w:rPr>
          <w:b/>
          <w:noProof/>
        </w:rPr>
        <w:fldChar w:fldCharType="begin"/>
      </w:r>
      <w:r>
        <w:rPr>
          <w:b/>
          <w:noProof/>
        </w:rPr>
        <w:instrText xml:space="preserve"> SEQ Table \* ARABIC </w:instrText>
      </w:r>
      <w:r>
        <w:rPr>
          <w:b/>
          <w:noProof/>
        </w:rPr>
        <w:fldChar w:fldCharType="separate"/>
      </w:r>
      <w:r>
        <w:rPr>
          <w:b/>
          <w:noProof/>
        </w:rPr>
        <w:t>45</w:t>
      </w:r>
      <w:r>
        <w:rPr>
          <w:b/>
          <w:noProof/>
        </w:rPr>
        <w:fldChar w:fldCharType="end"/>
      </w:r>
      <w:bookmarkEnd w:id="625"/>
      <w:r>
        <w:rPr>
          <w:b/>
          <w:noProof/>
        </w:rPr>
        <w:t>: Electricity consumption by cars and vans wi</w:t>
      </w:r>
      <w:r>
        <w:rPr>
          <w:b/>
          <w:noProof/>
        </w:rPr>
        <w:t>th respect to total electricity consumption (EU-28) under different options for the EU-wide CO</w:t>
      </w:r>
      <w:r>
        <w:rPr>
          <w:b/>
          <w:noProof/>
          <w:vertAlign w:val="subscript"/>
        </w:rPr>
        <w:t>2</w:t>
      </w:r>
      <w:r>
        <w:rPr>
          <w:b/>
          <w:noProof/>
        </w:rPr>
        <w:t xml:space="preserve"> target and LEV incentives</w:t>
      </w:r>
    </w:p>
    <w:tbl>
      <w:tblPr>
        <w:tblW w:w="8742" w:type="dxa"/>
        <w:tblInd w:w="-21" w:type="dxa"/>
        <w:tblLayout w:type="fixed"/>
        <w:tblCellMar>
          <w:left w:w="0" w:type="dxa"/>
          <w:right w:w="0" w:type="dxa"/>
        </w:tblCellMar>
        <w:tblLook w:val="04A0" w:firstRow="1" w:lastRow="0" w:firstColumn="1" w:lastColumn="0" w:noHBand="0" w:noVBand="1"/>
      </w:tblPr>
      <w:tblGrid>
        <w:gridCol w:w="2310"/>
        <w:gridCol w:w="2310"/>
        <w:gridCol w:w="2061"/>
        <w:gridCol w:w="2061"/>
      </w:tblGrid>
      <w:tr w:rsidR="001A26B0">
        <w:trPr>
          <w:trHeight w:val="532"/>
        </w:trPr>
        <w:tc>
          <w:tcPr>
            <w:tcW w:w="4620" w:type="dxa"/>
            <w:gridSpan w:val="2"/>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1A26B0" w:rsidRDefault="00E33A99">
            <w:pPr>
              <w:spacing w:after="120"/>
              <w:jc w:val="center"/>
              <w:rPr>
                <w:rFonts w:eastAsiaTheme="minorHAnsi"/>
                <w:noProof/>
                <w:szCs w:val="24"/>
                <w:lang w:eastAsia="en-GB"/>
              </w:rPr>
            </w:pPr>
            <w:r>
              <w:rPr>
                <w:rFonts w:eastAsiaTheme="minorHAnsi"/>
                <w:noProof/>
                <w:szCs w:val="24"/>
                <w:lang w:eastAsia="en-GB"/>
              </w:rPr>
              <w:t>Options</w:t>
            </w:r>
          </w:p>
        </w:tc>
        <w:tc>
          <w:tcPr>
            <w:tcW w:w="4122" w:type="dxa"/>
            <w:gridSpan w:val="2"/>
            <w:tcBorders>
              <w:top w:val="single" w:sz="8" w:space="0" w:color="auto"/>
              <w:left w:val="nil"/>
              <w:bottom w:val="single" w:sz="8" w:space="0" w:color="auto"/>
              <w:right w:val="single" w:sz="8" w:space="0" w:color="000000"/>
            </w:tcBorders>
            <w:tcMar>
              <w:top w:w="0" w:type="dxa"/>
              <w:left w:w="108" w:type="dxa"/>
              <w:bottom w:w="0" w:type="dxa"/>
              <w:right w:w="108" w:type="dxa"/>
            </w:tcMar>
            <w:vAlign w:val="bottom"/>
            <w:hideMark/>
          </w:tcPr>
          <w:p w:rsidR="001A26B0" w:rsidRDefault="00E33A99">
            <w:pPr>
              <w:spacing w:after="120"/>
              <w:jc w:val="center"/>
              <w:rPr>
                <w:rFonts w:eastAsiaTheme="minorHAnsi"/>
                <w:noProof/>
                <w:szCs w:val="24"/>
                <w:lang w:eastAsia="en-GB"/>
              </w:rPr>
            </w:pPr>
            <w:r>
              <w:rPr>
                <w:rFonts w:eastAsiaTheme="minorHAnsi"/>
                <w:noProof/>
                <w:szCs w:val="24"/>
                <w:lang w:eastAsia="en-GB"/>
              </w:rPr>
              <w:t>Share of cars and vans in total electricity consumption</w:t>
            </w:r>
          </w:p>
        </w:tc>
      </w:tr>
      <w:tr w:rsidR="001A26B0">
        <w:trPr>
          <w:trHeight w:val="288"/>
        </w:trPr>
        <w:tc>
          <w:tcPr>
            <w:tcW w:w="23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1A26B0" w:rsidRDefault="00E33A99">
            <w:pPr>
              <w:spacing w:after="120"/>
              <w:jc w:val="center"/>
              <w:rPr>
                <w:rFonts w:eastAsiaTheme="minorHAnsi"/>
                <w:noProof/>
                <w:szCs w:val="24"/>
                <w:lang w:eastAsia="en-GB"/>
              </w:rPr>
            </w:pPr>
            <w:r>
              <w:rPr>
                <w:noProof/>
                <w:szCs w:val="24"/>
                <w:lang w:eastAsia="en-GB"/>
              </w:rPr>
              <w:t>cars</w:t>
            </w:r>
          </w:p>
        </w:tc>
        <w:tc>
          <w:tcPr>
            <w:tcW w:w="23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A26B0" w:rsidRDefault="00E33A99">
            <w:pPr>
              <w:spacing w:after="120"/>
              <w:jc w:val="center"/>
              <w:rPr>
                <w:rFonts w:eastAsiaTheme="minorHAnsi"/>
                <w:noProof/>
                <w:szCs w:val="24"/>
                <w:lang w:eastAsia="en-GB"/>
              </w:rPr>
            </w:pPr>
            <w:r>
              <w:rPr>
                <w:noProof/>
                <w:szCs w:val="24"/>
                <w:lang w:eastAsia="en-GB"/>
              </w:rPr>
              <w:t>vans</w:t>
            </w:r>
          </w:p>
        </w:tc>
        <w:tc>
          <w:tcPr>
            <w:tcW w:w="20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A26B0" w:rsidRDefault="00E33A99">
            <w:pPr>
              <w:spacing w:after="120"/>
              <w:jc w:val="center"/>
              <w:rPr>
                <w:rFonts w:eastAsiaTheme="minorHAnsi"/>
                <w:b/>
                <w:noProof/>
                <w:szCs w:val="24"/>
                <w:lang w:eastAsia="en-GB"/>
              </w:rPr>
            </w:pPr>
            <w:r>
              <w:rPr>
                <w:b/>
                <w:noProof/>
                <w:szCs w:val="24"/>
                <w:lang w:eastAsia="en-GB"/>
              </w:rPr>
              <w:t>2025</w:t>
            </w:r>
          </w:p>
        </w:tc>
        <w:tc>
          <w:tcPr>
            <w:tcW w:w="20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A26B0" w:rsidRDefault="00E33A99">
            <w:pPr>
              <w:spacing w:after="120"/>
              <w:jc w:val="center"/>
              <w:rPr>
                <w:rFonts w:eastAsiaTheme="minorHAnsi"/>
                <w:b/>
                <w:noProof/>
                <w:szCs w:val="24"/>
                <w:lang w:eastAsia="en-GB"/>
              </w:rPr>
            </w:pPr>
            <w:r>
              <w:rPr>
                <w:b/>
                <w:noProof/>
                <w:szCs w:val="24"/>
                <w:lang w:eastAsia="en-GB"/>
              </w:rPr>
              <w:t>2030</w:t>
            </w:r>
          </w:p>
        </w:tc>
      </w:tr>
      <w:tr w:rsidR="001A26B0">
        <w:trPr>
          <w:trHeight w:val="288"/>
        </w:trPr>
        <w:tc>
          <w:tcPr>
            <w:tcW w:w="23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1A26B0" w:rsidRDefault="00E33A99">
            <w:pPr>
              <w:spacing w:after="120"/>
              <w:jc w:val="center"/>
              <w:rPr>
                <w:rFonts w:eastAsiaTheme="minorHAnsi"/>
                <w:noProof/>
                <w:szCs w:val="24"/>
                <w:lang w:eastAsia="en-GB"/>
              </w:rPr>
            </w:pPr>
            <w:r>
              <w:rPr>
                <w:rFonts w:eastAsiaTheme="minorHAnsi"/>
                <w:noProof/>
                <w:szCs w:val="24"/>
                <w:lang w:eastAsia="en-GB"/>
              </w:rPr>
              <w:t>TLC30, LEV%_B</w:t>
            </w:r>
          </w:p>
        </w:tc>
        <w:tc>
          <w:tcPr>
            <w:tcW w:w="23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A26B0" w:rsidRDefault="00E33A99">
            <w:pPr>
              <w:spacing w:after="120"/>
              <w:jc w:val="center"/>
              <w:rPr>
                <w:rFonts w:eastAsiaTheme="minorHAnsi"/>
                <w:noProof/>
                <w:szCs w:val="24"/>
                <w:lang w:eastAsia="en-GB"/>
              </w:rPr>
            </w:pPr>
            <w:r>
              <w:rPr>
                <w:rFonts w:eastAsiaTheme="minorHAnsi"/>
                <w:noProof/>
                <w:szCs w:val="24"/>
                <w:lang w:eastAsia="en-GB"/>
              </w:rPr>
              <w:t>TLV25, LEV%_B</w:t>
            </w:r>
          </w:p>
        </w:tc>
        <w:tc>
          <w:tcPr>
            <w:tcW w:w="2061"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1A26B0" w:rsidRDefault="00E33A99">
            <w:pPr>
              <w:spacing w:after="120"/>
              <w:jc w:val="center"/>
              <w:rPr>
                <w:rFonts w:eastAsiaTheme="minorHAnsi"/>
                <w:noProof/>
                <w:szCs w:val="24"/>
                <w:lang w:eastAsia="en-GB"/>
              </w:rPr>
            </w:pPr>
            <w:r>
              <w:rPr>
                <w:noProof/>
              </w:rPr>
              <w:t>1.0%</w:t>
            </w:r>
          </w:p>
        </w:tc>
        <w:tc>
          <w:tcPr>
            <w:tcW w:w="2061"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1A26B0" w:rsidRDefault="00E33A99">
            <w:pPr>
              <w:spacing w:after="120"/>
              <w:jc w:val="center"/>
              <w:rPr>
                <w:rFonts w:eastAsiaTheme="minorHAnsi"/>
                <w:noProof/>
                <w:szCs w:val="24"/>
                <w:lang w:eastAsia="en-GB"/>
              </w:rPr>
            </w:pPr>
            <w:r>
              <w:rPr>
                <w:noProof/>
              </w:rPr>
              <w:t>2.5%</w:t>
            </w:r>
          </w:p>
        </w:tc>
      </w:tr>
      <w:tr w:rsidR="001A26B0">
        <w:trPr>
          <w:trHeight w:val="288"/>
        </w:trPr>
        <w:tc>
          <w:tcPr>
            <w:tcW w:w="23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1A26B0" w:rsidRDefault="00E33A99">
            <w:pPr>
              <w:spacing w:after="120"/>
              <w:jc w:val="center"/>
              <w:rPr>
                <w:rFonts w:eastAsiaTheme="minorHAnsi"/>
                <w:noProof/>
                <w:szCs w:val="24"/>
                <w:lang w:eastAsia="en-GB"/>
              </w:rPr>
            </w:pPr>
            <w:r>
              <w:rPr>
                <w:rFonts w:eastAsiaTheme="minorHAnsi"/>
                <w:noProof/>
                <w:szCs w:val="24"/>
                <w:lang w:eastAsia="en-GB"/>
              </w:rPr>
              <w:t xml:space="preserve">TLC40, </w:t>
            </w:r>
            <w:r>
              <w:rPr>
                <w:rFonts w:eastAsiaTheme="minorHAnsi"/>
                <w:noProof/>
                <w:szCs w:val="24"/>
                <w:lang w:eastAsia="en-GB"/>
              </w:rPr>
              <w:t>LEV%_B</w:t>
            </w:r>
          </w:p>
        </w:tc>
        <w:tc>
          <w:tcPr>
            <w:tcW w:w="23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A26B0" w:rsidRDefault="00E33A99">
            <w:pPr>
              <w:spacing w:after="120"/>
              <w:jc w:val="center"/>
              <w:rPr>
                <w:rFonts w:eastAsiaTheme="minorHAnsi"/>
                <w:noProof/>
                <w:szCs w:val="24"/>
                <w:lang w:eastAsia="en-GB"/>
              </w:rPr>
            </w:pPr>
            <w:r>
              <w:rPr>
                <w:rFonts w:eastAsiaTheme="minorHAnsi"/>
                <w:noProof/>
                <w:szCs w:val="24"/>
                <w:lang w:eastAsia="en-GB"/>
              </w:rPr>
              <w:t>TLV40, LEV%_B</w:t>
            </w:r>
          </w:p>
        </w:tc>
        <w:tc>
          <w:tcPr>
            <w:tcW w:w="2061"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1A26B0" w:rsidRDefault="00E33A99">
            <w:pPr>
              <w:spacing w:after="120"/>
              <w:jc w:val="center"/>
              <w:rPr>
                <w:rFonts w:eastAsiaTheme="minorHAnsi"/>
                <w:noProof/>
                <w:szCs w:val="24"/>
                <w:lang w:eastAsia="en-GB"/>
              </w:rPr>
            </w:pPr>
            <w:r>
              <w:rPr>
                <w:noProof/>
                <w:lang w:eastAsia="en-GB"/>
              </w:rPr>
              <w:t>1.4%</w:t>
            </w:r>
          </w:p>
        </w:tc>
        <w:tc>
          <w:tcPr>
            <w:tcW w:w="2061"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1A26B0" w:rsidRDefault="00E33A99">
            <w:pPr>
              <w:spacing w:after="120"/>
              <w:jc w:val="center"/>
              <w:rPr>
                <w:rFonts w:eastAsiaTheme="minorHAnsi"/>
                <w:noProof/>
                <w:szCs w:val="24"/>
                <w:lang w:eastAsia="en-GB"/>
              </w:rPr>
            </w:pPr>
            <w:r>
              <w:rPr>
                <w:noProof/>
                <w:lang w:eastAsia="en-GB"/>
              </w:rPr>
              <w:t>3.0%</w:t>
            </w:r>
          </w:p>
        </w:tc>
      </w:tr>
    </w:tbl>
    <w:p w:rsidR="001A26B0" w:rsidRDefault="00E33A99">
      <w:pPr>
        <w:pStyle w:val="Heading4"/>
        <w:rPr>
          <w:noProof/>
        </w:rPr>
      </w:pPr>
      <w:bookmarkStart w:id="626" w:name="_Toc496635631"/>
      <w:r>
        <w:rPr>
          <w:noProof/>
        </w:rPr>
        <w:t>Social Impacts</w:t>
      </w:r>
      <w:bookmarkEnd w:id="626"/>
    </w:p>
    <w:p w:rsidR="001A26B0" w:rsidRDefault="00E33A99">
      <w:pPr>
        <w:spacing w:after="120"/>
        <w:rPr>
          <w:noProof/>
        </w:rPr>
      </w:pPr>
      <w:r>
        <w:rPr>
          <w:noProof/>
        </w:rPr>
        <w:t>As for the assessment of the options regarding the EU-wide CO</w:t>
      </w:r>
      <w:r>
        <w:rPr>
          <w:noProof/>
          <w:vertAlign w:val="subscript"/>
        </w:rPr>
        <w:t>2</w:t>
      </w:r>
      <w:r>
        <w:rPr>
          <w:noProof/>
        </w:rPr>
        <w:t xml:space="preserve"> targets (TLV, see Section 0) the TCO (net savings) for the second user of vans will be used as an indicator for quantifying the social impacts of the LEV incentives options.</w:t>
      </w:r>
    </w:p>
    <w:p w:rsidR="001A26B0" w:rsidRDefault="00E33A99">
      <w:pPr>
        <w:spacing w:after="120"/>
        <w:rPr>
          <w:noProof/>
        </w:rPr>
      </w:pPr>
      <w:r>
        <w:rPr>
          <w:noProof/>
        </w:rPr>
        <w:t xml:space="preserve">The figure below shows the results for an "average" van newly registered in 2025 </w:t>
      </w:r>
      <w:r>
        <w:rPr>
          <w:noProof/>
        </w:rPr>
        <w:t xml:space="preserve">or 2030. </w:t>
      </w:r>
    </w:p>
    <w:p w:rsidR="001A26B0" w:rsidRDefault="00E33A99">
      <w:pPr>
        <w:spacing w:after="120"/>
        <w:rPr>
          <w:noProof/>
        </w:rPr>
      </w:pPr>
      <w:r>
        <w:rPr>
          <w:noProof/>
        </w:rPr>
        <w:t>The general findings are similar to those discussed in relation to the economic impacts (see Section 6.5.3.1). However, the differences between the various scenarios in the absolute net savings per car tend to be smaller when looking at the TCO f</w:t>
      </w:r>
      <w:r>
        <w:rPr>
          <w:noProof/>
        </w:rPr>
        <w:t>or the second user compared to the vehicle lifetime (TCO-15 years).</w:t>
      </w:r>
    </w:p>
    <w:p w:rsidR="001A26B0" w:rsidRDefault="00E33A99">
      <w:pPr>
        <w:pStyle w:val="Caption"/>
        <w:keepNext/>
        <w:rPr>
          <w:noProof/>
          <w:color w:val="000000" w:themeColor="text1"/>
        </w:rPr>
      </w:pPr>
      <w:bookmarkStart w:id="627" w:name="_Toc496688584"/>
      <w:r>
        <w:rPr>
          <w:noProof/>
        </w:rPr>
        <w:t xml:space="preserve">Figure </w:t>
      </w:r>
      <w:r>
        <w:rPr>
          <w:noProof/>
        </w:rPr>
        <w:fldChar w:fldCharType="begin"/>
      </w:r>
      <w:r>
        <w:rPr>
          <w:noProof/>
        </w:rPr>
        <w:instrText xml:space="preserve"> SEQ Figure \* ARABIC </w:instrText>
      </w:r>
      <w:r>
        <w:rPr>
          <w:noProof/>
        </w:rPr>
        <w:fldChar w:fldCharType="separate"/>
      </w:r>
      <w:r>
        <w:rPr>
          <w:noProof/>
        </w:rPr>
        <w:t>38</w:t>
      </w:r>
      <w:r>
        <w:rPr>
          <w:noProof/>
        </w:rPr>
        <w:fldChar w:fldCharType="end"/>
      </w:r>
      <w:r>
        <w:rPr>
          <w:noProof/>
        </w:rPr>
        <w:t>: TCO-second user (years 6-10) (EUR/van) in 2025 and 2030 for different LEVD/LEVT options</w:t>
      </w:r>
      <w:bookmarkEnd w:id="627"/>
    </w:p>
    <w:p w:rsidR="001A26B0" w:rsidRDefault="00E33A99">
      <w:pPr>
        <w:spacing w:after="200" w:line="276" w:lineRule="auto"/>
        <w:jc w:val="left"/>
        <w:rPr>
          <w:noProof/>
          <w:color w:val="000000" w:themeColor="text1"/>
        </w:rPr>
      </w:pPr>
      <w:r>
        <w:rPr>
          <w:noProof/>
          <w:lang w:eastAsia="en-GB"/>
        </w:rPr>
        <w:drawing>
          <wp:inline distT="0" distB="0" distL="0" distR="0">
            <wp:extent cx="5469255" cy="5544954"/>
            <wp:effectExtent l="0" t="0" r="0" b="0"/>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469255" cy="5544954"/>
                    </a:xfrm>
                    <a:prstGeom prst="rect">
                      <a:avLst/>
                    </a:prstGeom>
                    <a:noFill/>
                    <a:ln>
                      <a:noFill/>
                    </a:ln>
                  </pic:spPr>
                </pic:pic>
              </a:graphicData>
            </a:graphic>
          </wp:inline>
        </w:drawing>
      </w:r>
    </w:p>
    <w:p w:rsidR="001A26B0" w:rsidRDefault="00E33A99">
      <w:pPr>
        <w:pStyle w:val="Heading4"/>
        <w:rPr>
          <w:noProof/>
        </w:rPr>
      </w:pPr>
      <w:bookmarkStart w:id="628" w:name="_Toc496635632"/>
      <w:r>
        <w:rPr>
          <w:noProof/>
        </w:rPr>
        <w:t>Environmental impacts</w:t>
      </w:r>
      <w:bookmarkEnd w:id="628"/>
      <w:r>
        <w:rPr>
          <w:noProof/>
        </w:rPr>
        <w:t xml:space="preserve"> </w:t>
      </w:r>
    </w:p>
    <w:p w:rsidR="001A26B0" w:rsidRDefault="00E33A99">
      <w:pPr>
        <w:spacing w:after="120"/>
        <w:rPr>
          <w:i/>
          <w:noProof/>
        </w:rPr>
      </w:pPr>
      <w:r>
        <w:rPr>
          <w:i/>
          <w:noProof/>
        </w:rPr>
        <w:t>CO</w:t>
      </w:r>
      <w:r>
        <w:rPr>
          <w:i/>
          <w:noProof/>
          <w:vertAlign w:val="subscript"/>
        </w:rPr>
        <w:t>2</w:t>
      </w:r>
      <w:r>
        <w:rPr>
          <w:i/>
          <w:noProof/>
        </w:rPr>
        <w:t xml:space="preserve"> emissions (tailpipe) of vans</w:t>
      </w:r>
    </w:p>
    <w:p w:rsidR="001A26B0" w:rsidRDefault="00E33A99">
      <w:pPr>
        <w:spacing w:after="120"/>
        <w:rPr>
          <w:noProof/>
        </w:rPr>
      </w:pPr>
      <w:r>
        <w:rPr>
          <w:noProof/>
        </w:rPr>
        <w:t xml:space="preserve">The </w:t>
      </w:r>
      <w:r>
        <w:rPr>
          <w:noProof/>
        </w:rPr>
        <w:t>different options for the LEV incentives show variations in the tailpipe CO</w:t>
      </w:r>
      <w:r>
        <w:rPr>
          <w:noProof/>
          <w:vertAlign w:val="subscript"/>
        </w:rPr>
        <w:t>2</w:t>
      </w:r>
      <w:r>
        <w:rPr>
          <w:noProof/>
        </w:rPr>
        <w:t xml:space="preserve"> emission levels as shown in the table below. The emissions are mainly determined by the EU-wide fleet CO</w:t>
      </w:r>
      <w:r>
        <w:rPr>
          <w:noProof/>
          <w:vertAlign w:val="subscript"/>
        </w:rPr>
        <w:t>2</w:t>
      </w:r>
      <w:r>
        <w:rPr>
          <w:noProof/>
        </w:rPr>
        <w:t xml:space="preserve"> target, but also the fleet composition has an effect due to the differenc</w:t>
      </w:r>
      <w:r>
        <w:rPr>
          <w:noProof/>
        </w:rPr>
        <w:t xml:space="preserve">es in the gap between test and real word emissions. </w:t>
      </w:r>
    </w:p>
    <w:p w:rsidR="001A26B0" w:rsidRDefault="00E33A99">
      <w:pPr>
        <w:spacing w:after="200" w:line="276" w:lineRule="auto"/>
        <w:jc w:val="left"/>
        <w:rPr>
          <w:b/>
          <w:noProof/>
        </w:rPr>
      </w:pPr>
      <w:r>
        <w:rPr>
          <w:noProof/>
        </w:rPr>
        <w:br w:type="page"/>
      </w:r>
    </w:p>
    <w:p w:rsidR="001A26B0" w:rsidRDefault="00E33A99">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46</w:t>
      </w:r>
      <w:r>
        <w:rPr>
          <w:noProof/>
        </w:rPr>
        <w:fldChar w:fldCharType="end"/>
      </w:r>
      <w:r>
        <w:rPr>
          <w:noProof/>
        </w:rPr>
        <w:t>: CO</w:t>
      </w:r>
      <w:r>
        <w:rPr>
          <w:noProof/>
          <w:vertAlign w:val="subscript"/>
        </w:rPr>
        <w:t>2</w:t>
      </w:r>
      <w:r>
        <w:rPr>
          <w:noProof/>
        </w:rPr>
        <w:t xml:space="preserve"> emission reduction (%) between 2005 and 2030 (vans)</w:t>
      </w:r>
    </w:p>
    <w:tbl>
      <w:tblPr>
        <w:tblStyle w:val="TableGrid"/>
        <w:tblW w:w="0" w:type="auto"/>
        <w:tblLook w:val="04A0" w:firstRow="1" w:lastRow="0" w:firstColumn="1" w:lastColumn="0" w:noHBand="0" w:noVBand="1"/>
      </w:tblPr>
      <w:tblGrid>
        <w:gridCol w:w="3468"/>
        <w:gridCol w:w="1200"/>
        <w:gridCol w:w="4161"/>
      </w:tblGrid>
      <w:tr w:rsidR="001A26B0">
        <w:tc>
          <w:tcPr>
            <w:tcW w:w="3468" w:type="dxa"/>
          </w:tcPr>
          <w:p w:rsidR="001A26B0" w:rsidRDefault="00E33A99">
            <w:pPr>
              <w:spacing w:after="120"/>
              <w:rPr>
                <w:b/>
                <w:noProof/>
              </w:rPr>
            </w:pPr>
            <w:r>
              <w:rPr>
                <w:b/>
                <w:noProof/>
              </w:rPr>
              <w:t xml:space="preserve">Option for EU-wide fleet </w:t>
            </w:r>
            <w:r>
              <w:rPr>
                <w:b/>
                <w:noProof/>
              </w:rPr>
              <w:br/>
              <w:t>CO</w:t>
            </w:r>
            <w:r>
              <w:rPr>
                <w:b/>
                <w:noProof/>
                <w:vertAlign w:val="subscript"/>
              </w:rPr>
              <w:t>2</w:t>
            </w:r>
            <w:r>
              <w:rPr>
                <w:b/>
                <w:noProof/>
              </w:rPr>
              <w:t xml:space="preserve"> target level</w:t>
            </w:r>
          </w:p>
        </w:tc>
        <w:tc>
          <w:tcPr>
            <w:tcW w:w="1200" w:type="dxa"/>
          </w:tcPr>
          <w:p w:rsidR="001A26B0" w:rsidRDefault="00E33A99">
            <w:pPr>
              <w:spacing w:after="120"/>
              <w:jc w:val="center"/>
              <w:rPr>
                <w:b/>
                <w:noProof/>
              </w:rPr>
            </w:pPr>
            <w:r>
              <w:rPr>
                <w:b/>
                <w:noProof/>
              </w:rPr>
              <w:t>LEV0</w:t>
            </w:r>
          </w:p>
        </w:tc>
        <w:tc>
          <w:tcPr>
            <w:tcW w:w="4161" w:type="dxa"/>
          </w:tcPr>
          <w:p w:rsidR="001A26B0" w:rsidRDefault="00E33A99">
            <w:pPr>
              <w:spacing w:after="120"/>
              <w:jc w:val="center"/>
              <w:rPr>
                <w:b/>
                <w:noProof/>
              </w:rPr>
            </w:pPr>
            <w:r>
              <w:rPr>
                <w:b/>
                <w:noProof/>
              </w:rPr>
              <w:t xml:space="preserve">Other LEV options </w:t>
            </w:r>
            <w:r>
              <w:rPr>
                <w:b/>
                <w:noProof/>
              </w:rPr>
              <w:br/>
              <w:t>(various LEVT, LEVD, LEV%)</w:t>
            </w:r>
          </w:p>
        </w:tc>
      </w:tr>
      <w:tr w:rsidR="001A26B0">
        <w:tc>
          <w:tcPr>
            <w:tcW w:w="3468" w:type="dxa"/>
          </w:tcPr>
          <w:p w:rsidR="001A26B0" w:rsidRDefault="00E33A99">
            <w:pPr>
              <w:spacing w:after="120"/>
              <w:rPr>
                <w:noProof/>
              </w:rPr>
            </w:pPr>
            <w:r>
              <w:rPr>
                <w:noProof/>
              </w:rPr>
              <w:t>TLV20</w:t>
            </w:r>
          </w:p>
        </w:tc>
        <w:tc>
          <w:tcPr>
            <w:tcW w:w="1200" w:type="dxa"/>
          </w:tcPr>
          <w:p w:rsidR="001A26B0" w:rsidRDefault="00E33A99">
            <w:pPr>
              <w:spacing w:after="120"/>
              <w:jc w:val="center"/>
              <w:rPr>
                <w:noProof/>
              </w:rPr>
            </w:pPr>
            <w:r>
              <w:rPr>
                <w:noProof/>
              </w:rPr>
              <w:t>22.2%</w:t>
            </w:r>
          </w:p>
        </w:tc>
        <w:tc>
          <w:tcPr>
            <w:tcW w:w="4161" w:type="dxa"/>
          </w:tcPr>
          <w:p w:rsidR="001A26B0" w:rsidRDefault="00E33A99">
            <w:pPr>
              <w:spacing w:after="120"/>
              <w:jc w:val="center"/>
              <w:rPr>
                <w:noProof/>
              </w:rPr>
            </w:pPr>
            <w:r>
              <w:rPr>
                <w:noProof/>
              </w:rPr>
              <w:t>26.1</w:t>
            </w:r>
            <w:r>
              <w:rPr>
                <w:noProof/>
              </w:rPr>
              <w:t>%-26.7%</w:t>
            </w:r>
          </w:p>
        </w:tc>
      </w:tr>
      <w:tr w:rsidR="001A26B0">
        <w:tc>
          <w:tcPr>
            <w:tcW w:w="3468" w:type="dxa"/>
          </w:tcPr>
          <w:p w:rsidR="001A26B0" w:rsidRDefault="00E33A99">
            <w:pPr>
              <w:spacing w:after="120"/>
              <w:rPr>
                <w:noProof/>
              </w:rPr>
            </w:pPr>
            <w:r>
              <w:rPr>
                <w:noProof/>
              </w:rPr>
              <w:t>TLV25</w:t>
            </w:r>
          </w:p>
        </w:tc>
        <w:tc>
          <w:tcPr>
            <w:tcW w:w="1200" w:type="dxa"/>
          </w:tcPr>
          <w:p w:rsidR="001A26B0" w:rsidRDefault="00E33A99">
            <w:pPr>
              <w:spacing w:after="120"/>
              <w:jc w:val="center"/>
              <w:rPr>
                <w:noProof/>
              </w:rPr>
            </w:pPr>
            <w:r>
              <w:rPr>
                <w:noProof/>
              </w:rPr>
              <w:t>22.6%</w:t>
            </w:r>
          </w:p>
        </w:tc>
        <w:tc>
          <w:tcPr>
            <w:tcW w:w="4161" w:type="dxa"/>
          </w:tcPr>
          <w:p w:rsidR="001A26B0" w:rsidRDefault="00E33A99">
            <w:pPr>
              <w:spacing w:after="120"/>
              <w:jc w:val="center"/>
              <w:rPr>
                <w:noProof/>
              </w:rPr>
            </w:pPr>
            <w:r>
              <w:rPr>
                <w:noProof/>
              </w:rPr>
              <w:t>26.3% -26.7 %</w:t>
            </w:r>
          </w:p>
        </w:tc>
      </w:tr>
      <w:tr w:rsidR="001A26B0">
        <w:tc>
          <w:tcPr>
            <w:tcW w:w="3468" w:type="dxa"/>
          </w:tcPr>
          <w:p w:rsidR="001A26B0" w:rsidRDefault="00E33A99">
            <w:pPr>
              <w:spacing w:after="120"/>
              <w:rPr>
                <w:noProof/>
              </w:rPr>
            </w:pPr>
            <w:r>
              <w:rPr>
                <w:noProof/>
              </w:rPr>
              <w:t>TLV40</w:t>
            </w:r>
          </w:p>
        </w:tc>
        <w:tc>
          <w:tcPr>
            <w:tcW w:w="1200" w:type="dxa"/>
          </w:tcPr>
          <w:p w:rsidR="001A26B0" w:rsidRDefault="00E33A99">
            <w:pPr>
              <w:spacing w:after="120"/>
              <w:jc w:val="center"/>
              <w:rPr>
                <w:noProof/>
              </w:rPr>
            </w:pPr>
            <w:r>
              <w:rPr>
                <w:noProof/>
              </w:rPr>
              <w:t>26.4%</w:t>
            </w:r>
          </w:p>
        </w:tc>
        <w:tc>
          <w:tcPr>
            <w:tcW w:w="4161" w:type="dxa"/>
          </w:tcPr>
          <w:p w:rsidR="001A26B0" w:rsidRDefault="00E33A99">
            <w:pPr>
              <w:spacing w:after="120"/>
              <w:jc w:val="center"/>
              <w:rPr>
                <w:noProof/>
              </w:rPr>
            </w:pPr>
            <w:r>
              <w:rPr>
                <w:noProof/>
              </w:rPr>
              <w:t>27.4% - 31.3%</w:t>
            </w:r>
          </w:p>
        </w:tc>
      </w:tr>
    </w:tbl>
    <w:p w:rsidR="001A26B0" w:rsidRDefault="00E33A99">
      <w:pPr>
        <w:spacing w:before="240" w:after="120"/>
        <w:jc w:val="left"/>
        <w:rPr>
          <w:i/>
          <w:noProof/>
          <w:szCs w:val="24"/>
        </w:rPr>
      </w:pPr>
      <w:r>
        <w:rPr>
          <w:i/>
          <w:noProof/>
          <w:szCs w:val="24"/>
        </w:rPr>
        <w:t xml:space="preserve">Impacts of options LEVT_CRED in case the LEV benchmark is not exactly met </w:t>
      </w:r>
    </w:p>
    <w:p w:rsidR="001A26B0" w:rsidRDefault="00E33A99">
      <w:pPr>
        <w:spacing w:after="120"/>
        <w:rPr>
          <w:noProof/>
        </w:rPr>
      </w:pPr>
      <w:r>
        <w:rPr>
          <w:noProof/>
        </w:rPr>
        <w:t>As explained in Section 5.3.2.2, for options LEVT_CRED1 and LEV_CRED2, the EU-wide fleet CO</w:t>
      </w:r>
      <w:r>
        <w:rPr>
          <w:noProof/>
          <w:vertAlign w:val="subscript"/>
        </w:rPr>
        <w:t>2</w:t>
      </w:r>
      <w:r>
        <w:rPr>
          <w:noProof/>
        </w:rPr>
        <w:t xml:space="preserve"> target may vary depending on whether the LEV benchmark is under- or overachieved.</w:t>
      </w:r>
    </w:p>
    <w:p w:rsidR="001A26B0" w:rsidRDefault="00E33A99">
      <w:pPr>
        <w:spacing w:after="120"/>
        <w:rPr>
          <w:noProof/>
          <w:color w:val="000000" w:themeColor="text1"/>
          <w:szCs w:val="24"/>
        </w:rPr>
      </w:pPr>
      <w:r>
        <w:rPr>
          <w:noProof/>
          <w:color w:val="000000" w:themeColor="text1"/>
          <w:szCs w:val="24"/>
        </w:rPr>
        <w:t>The adjustment of the CO</w:t>
      </w:r>
      <w:r>
        <w:rPr>
          <w:noProof/>
          <w:color w:val="000000" w:themeColor="text1"/>
          <w:szCs w:val="24"/>
          <w:vertAlign w:val="subscript"/>
        </w:rPr>
        <w:t>2</w:t>
      </w:r>
      <w:r>
        <w:rPr>
          <w:noProof/>
          <w:color w:val="000000" w:themeColor="text1"/>
          <w:szCs w:val="24"/>
        </w:rPr>
        <w:t xml:space="preserve"> target is however always limited to a maximum of 5%. </w:t>
      </w:r>
      <w:r>
        <w:rPr>
          <w:noProof/>
        </w:rPr>
        <w:t>Therefore, the "end points" for the LEVT_CRED options in terms of CO</w:t>
      </w:r>
      <w:r>
        <w:rPr>
          <w:noProof/>
          <w:vertAlign w:val="subscript"/>
        </w:rPr>
        <w:t>2</w:t>
      </w:r>
      <w:r>
        <w:rPr>
          <w:noProof/>
        </w:rPr>
        <w:t xml:space="preserve"> tailpipe emissions would</w:t>
      </w:r>
      <w:r>
        <w:rPr>
          <w:noProof/>
        </w:rPr>
        <w:t xml:space="preserve"> be similar as for the TLV options with a </w:t>
      </w:r>
      <w:r>
        <w:rPr>
          <w:noProof/>
          <w:color w:val="000000" w:themeColor="text1"/>
          <w:szCs w:val="24"/>
        </w:rPr>
        <w:t>CO</w:t>
      </w:r>
      <w:r>
        <w:rPr>
          <w:noProof/>
          <w:color w:val="000000" w:themeColor="text1"/>
          <w:szCs w:val="24"/>
          <w:vertAlign w:val="subscript"/>
        </w:rPr>
        <w:t>2</w:t>
      </w:r>
      <w:r>
        <w:rPr>
          <w:noProof/>
          <w:color w:val="000000" w:themeColor="text1"/>
          <w:szCs w:val="24"/>
        </w:rPr>
        <w:t xml:space="preserve"> target</w:t>
      </w:r>
      <w:r>
        <w:rPr>
          <w:noProof/>
        </w:rPr>
        <w:t xml:space="preserve"> that is 5% higher (for LEVT_CRED2 only), respectively 5% lower than in the corresponding LEVT_MAND option</w:t>
      </w:r>
      <w:r>
        <w:rPr>
          <w:rStyle w:val="FootnoteReference"/>
          <w:noProof/>
        </w:rPr>
        <w:footnoteReference w:id="196"/>
      </w:r>
      <w:r>
        <w:rPr>
          <w:noProof/>
        </w:rPr>
        <w:t>. These impacts can be derived from the results shown in Section 6.3.2.4.1.</w:t>
      </w:r>
    </w:p>
    <w:p w:rsidR="001A26B0" w:rsidRDefault="00E33A99">
      <w:pPr>
        <w:spacing w:after="120"/>
        <w:rPr>
          <w:i/>
          <w:noProof/>
        </w:rPr>
      </w:pPr>
      <w:r>
        <w:rPr>
          <w:i/>
          <w:noProof/>
        </w:rPr>
        <w:t>Air pollutant emissio</w:t>
      </w:r>
      <w:r>
        <w:rPr>
          <w:i/>
          <w:noProof/>
        </w:rPr>
        <w:t xml:space="preserve">ns </w:t>
      </w:r>
    </w:p>
    <w:p w:rsidR="001A26B0" w:rsidRDefault="00E33A99">
      <w:pPr>
        <w:spacing w:after="120"/>
        <w:rPr>
          <w:noProof/>
        </w:rPr>
      </w:pPr>
      <w:r>
        <w:rPr>
          <w:noProof/>
        </w:rPr>
        <w:t>The LEV incentives options lead to somewhat lower air pollutant emissions, in particular due to the higher market shares of ZEV. As shown in the tables below, emission reductions of NO</w:t>
      </w:r>
      <w:r>
        <w:rPr>
          <w:noProof/>
          <w:vertAlign w:val="subscript"/>
        </w:rPr>
        <w:t>x</w:t>
      </w:r>
      <w:r>
        <w:rPr>
          <w:noProof/>
        </w:rPr>
        <w:t xml:space="preserve"> and PM</w:t>
      </w:r>
      <w:r>
        <w:rPr>
          <w:noProof/>
          <w:vertAlign w:val="subscript"/>
        </w:rPr>
        <w:t>2.5</w:t>
      </w:r>
      <w:r>
        <w:rPr>
          <w:noProof/>
        </w:rPr>
        <w:t xml:space="preserve"> over the period 2020-2030 show limited variation among t</w:t>
      </w:r>
      <w:r>
        <w:rPr>
          <w:noProof/>
        </w:rPr>
        <w:t>he different LEV incentive options considered.</w:t>
      </w:r>
    </w:p>
    <w:p w:rsidR="001A26B0" w:rsidRDefault="00E33A99">
      <w:pPr>
        <w:pStyle w:val="Caption"/>
        <w:keepNext/>
        <w:rPr>
          <w:b w:val="0"/>
          <w:noProof/>
          <w:szCs w:val="24"/>
        </w:rPr>
      </w:pPr>
      <w:r>
        <w:rPr>
          <w:noProof/>
        </w:rPr>
        <w:t xml:space="preserve">Table </w:t>
      </w:r>
      <w:r>
        <w:rPr>
          <w:noProof/>
        </w:rPr>
        <w:fldChar w:fldCharType="begin"/>
      </w:r>
      <w:r>
        <w:rPr>
          <w:noProof/>
        </w:rPr>
        <w:instrText xml:space="preserve"> SEQ Table \* ARABIC </w:instrText>
      </w:r>
      <w:r>
        <w:rPr>
          <w:noProof/>
        </w:rPr>
        <w:fldChar w:fldCharType="separate"/>
      </w:r>
      <w:r>
        <w:rPr>
          <w:noProof/>
        </w:rPr>
        <w:t>47</w:t>
      </w:r>
      <w:r>
        <w:rPr>
          <w:noProof/>
        </w:rPr>
        <w:fldChar w:fldCharType="end"/>
      </w:r>
      <w:r>
        <w:rPr>
          <w:noProof/>
        </w:rPr>
        <w:t xml:space="preserve">: </w:t>
      </w:r>
      <w:r>
        <w:rPr>
          <w:noProof/>
          <w:szCs w:val="24"/>
        </w:rPr>
        <w:t>NO</w:t>
      </w:r>
      <w:r>
        <w:rPr>
          <w:noProof/>
          <w:szCs w:val="24"/>
          <w:vertAlign w:val="subscript"/>
        </w:rPr>
        <w:t>x</w:t>
      </w:r>
      <w:r>
        <w:rPr>
          <w:noProof/>
          <w:szCs w:val="24"/>
        </w:rPr>
        <w:t xml:space="preserve"> emission reduction (%) between 2020 and 2030 (vans) </w:t>
      </w:r>
    </w:p>
    <w:tbl>
      <w:tblPr>
        <w:tblStyle w:val="TableGrid"/>
        <w:tblW w:w="0" w:type="auto"/>
        <w:tblLook w:val="04A0" w:firstRow="1" w:lastRow="0" w:firstColumn="1" w:lastColumn="0" w:noHBand="0" w:noVBand="1"/>
      </w:tblPr>
      <w:tblGrid>
        <w:gridCol w:w="3828"/>
        <w:gridCol w:w="1900"/>
        <w:gridCol w:w="3101"/>
      </w:tblGrid>
      <w:tr w:rsidR="001A26B0">
        <w:tc>
          <w:tcPr>
            <w:tcW w:w="3828" w:type="dxa"/>
          </w:tcPr>
          <w:p w:rsidR="001A26B0" w:rsidRDefault="00E33A99">
            <w:pPr>
              <w:spacing w:after="120"/>
              <w:jc w:val="left"/>
              <w:rPr>
                <w:b/>
                <w:noProof/>
              </w:rPr>
            </w:pPr>
            <w:r>
              <w:rPr>
                <w:b/>
                <w:noProof/>
              </w:rPr>
              <w:t xml:space="preserve">Option for EU-wide fleet </w:t>
            </w:r>
            <w:r>
              <w:rPr>
                <w:b/>
                <w:noProof/>
              </w:rPr>
              <w:br/>
              <w:t>CO</w:t>
            </w:r>
            <w:r>
              <w:rPr>
                <w:b/>
                <w:noProof/>
                <w:vertAlign w:val="subscript"/>
              </w:rPr>
              <w:t>2</w:t>
            </w:r>
            <w:r>
              <w:rPr>
                <w:b/>
                <w:noProof/>
              </w:rPr>
              <w:t xml:space="preserve"> target level</w:t>
            </w:r>
          </w:p>
        </w:tc>
        <w:tc>
          <w:tcPr>
            <w:tcW w:w="1900" w:type="dxa"/>
          </w:tcPr>
          <w:p w:rsidR="001A26B0" w:rsidRDefault="00E33A99">
            <w:pPr>
              <w:spacing w:after="120"/>
              <w:jc w:val="center"/>
              <w:rPr>
                <w:b/>
                <w:noProof/>
              </w:rPr>
            </w:pPr>
            <w:r>
              <w:rPr>
                <w:b/>
                <w:noProof/>
              </w:rPr>
              <w:t>LEV0</w:t>
            </w:r>
          </w:p>
        </w:tc>
        <w:tc>
          <w:tcPr>
            <w:tcW w:w="3101" w:type="dxa"/>
          </w:tcPr>
          <w:p w:rsidR="001A26B0" w:rsidRDefault="00E33A99">
            <w:pPr>
              <w:spacing w:after="120"/>
              <w:jc w:val="center"/>
              <w:rPr>
                <w:b/>
                <w:noProof/>
              </w:rPr>
            </w:pPr>
            <w:r>
              <w:rPr>
                <w:b/>
                <w:noProof/>
              </w:rPr>
              <w:t>Other LEV options (various LEVT, LEVD, LEV%)</w:t>
            </w:r>
          </w:p>
        </w:tc>
      </w:tr>
      <w:tr w:rsidR="001A26B0">
        <w:tc>
          <w:tcPr>
            <w:tcW w:w="3828" w:type="dxa"/>
          </w:tcPr>
          <w:p w:rsidR="001A26B0" w:rsidRDefault="00E33A99">
            <w:pPr>
              <w:spacing w:after="120"/>
              <w:rPr>
                <w:noProof/>
              </w:rPr>
            </w:pPr>
            <w:r>
              <w:rPr>
                <w:noProof/>
              </w:rPr>
              <w:t>TLV20</w:t>
            </w:r>
          </w:p>
        </w:tc>
        <w:tc>
          <w:tcPr>
            <w:tcW w:w="1900" w:type="dxa"/>
          </w:tcPr>
          <w:p w:rsidR="001A26B0" w:rsidRDefault="00E33A99">
            <w:pPr>
              <w:spacing w:after="120"/>
              <w:jc w:val="center"/>
              <w:rPr>
                <w:noProof/>
              </w:rPr>
            </w:pPr>
            <w:r>
              <w:rPr>
                <w:noProof/>
              </w:rPr>
              <w:t>33%</w:t>
            </w:r>
          </w:p>
        </w:tc>
        <w:tc>
          <w:tcPr>
            <w:tcW w:w="3101" w:type="dxa"/>
          </w:tcPr>
          <w:p w:rsidR="001A26B0" w:rsidRDefault="00E33A99">
            <w:pPr>
              <w:spacing w:after="120"/>
              <w:jc w:val="center"/>
              <w:rPr>
                <w:noProof/>
              </w:rPr>
            </w:pPr>
            <w:r>
              <w:rPr>
                <w:noProof/>
              </w:rPr>
              <w:t>37% - 43%</w:t>
            </w:r>
          </w:p>
        </w:tc>
      </w:tr>
      <w:tr w:rsidR="001A26B0">
        <w:tc>
          <w:tcPr>
            <w:tcW w:w="3828" w:type="dxa"/>
          </w:tcPr>
          <w:p w:rsidR="001A26B0" w:rsidRDefault="00E33A99">
            <w:pPr>
              <w:spacing w:after="120"/>
              <w:rPr>
                <w:noProof/>
              </w:rPr>
            </w:pPr>
            <w:r>
              <w:rPr>
                <w:noProof/>
              </w:rPr>
              <w:t>TLV25</w:t>
            </w:r>
          </w:p>
        </w:tc>
        <w:tc>
          <w:tcPr>
            <w:tcW w:w="1900" w:type="dxa"/>
          </w:tcPr>
          <w:p w:rsidR="001A26B0" w:rsidRDefault="00E33A99">
            <w:pPr>
              <w:spacing w:after="120"/>
              <w:jc w:val="center"/>
              <w:rPr>
                <w:noProof/>
              </w:rPr>
            </w:pPr>
            <w:r>
              <w:rPr>
                <w:noProof/>
              </w:rPr>
              <w:t>33%</w:t>
            </w:r>
          </w:p>
        </w:tc>
        <w:tc>
          <w:tcPr>
            <w:tcW w:w="3101" w:type="dxa"/>
          </w:tcPr>
          <w:p w:rsidR="001A26B0" w:rsidRDefault="00E33A99">
            <w:pPr>
              <w:spacing w:after="120"/>
              <w:jc w:val="center"/>
              <w:rPr>
                <w:noProof/>
              </w:rPr>
            </w:pPr>
            <w:r>
              <w:rPr>
                <w:noProof/>
              </w:rPr>
              <w:t>36% – 43%</w:t>
            </w:r>
          </w:p>
        </w:tc>
      </w:tr>
      <w:tr w:rsidR="001A26B0">
        <w:tc>
          <w:tcPr>
            <w:tcW w:w="3828" w:type="dxa"/>
          </w:tcPr>
          <w:p w:rsidR="001A26B0" w:rsidRDefault="00E33A99">
            <w:pPr>
              <w:spacing w:after="120"/>
              <w:rPr>
                <w:noProof/>
              </w:rPr>
            </w:pPr>
            <w:r>
              <w:rPr>
                <w:noProof/>
              </w:rPr>
              <w:t>TLV40</w:t>
            </w:r>
          </w:p>
        </w:tc>
        <w:tc>
          <w:tcPr>
            <w:tcW w:w="1900" w:type="dxa"/>
          </w:tcPr>
          <w:p w:rsidR="001A26B0" w:rsidRDefault="00E33A99">
            <w:pPr>
              <w:spacing w:after="120"/>
              <w:jc w:val="center"/>
              <w:rPr>
                <w:noProof/>
              </w:rPr>
            </w:pPr>
            <w:r>
              <w:rPr>
                <w:noProof/>
              </w:rPr>
              <w:t>36%</w:t>
            </w:r>
          </w:p>
        </w:tc>
        <w:tc>
          <w:tcPr>
            <w:tcW w:w="3101" w:type="dxa"/>
          </w:tcPr>
          <w:p w:rsidR="001A26B0" w:rsidRDefault="00E33A99">
            <w:pPr>
              <w:spacing w:after="120"/>
              <w:jc w:val="center"/>
              <w:rPr>
                <w:noProof/>
              </w:rPr>
            </w:pPr>
            <w:r>
              <w:rPr>
                <w:noProof/>
              </w:rPr>
              <w:t>38% - 45%</w:t>
            </w:r>
          </w:p>
        </w:tc>
      </w:tr>
    </w:tbl>
    <w:p w:rsidR="001A26B0" w:rsidRDefault="001A26B0">
      <w:pPr>
        <w:pStyle w:val="ZDGName"/>
        <w:rPr>
          <w:noProof/>
        </w:rPr>
      </w:pPr>
    </w:p>
    <w:p w:rsidR="001A26B0" w:rsidRDefault="00E33A99">
      <w:pPr>
        <w:spacing w:after="120"/>
        <w:rPr>
          <w:b/>
          <w:noProof/>
          <w:szCs w:val="24"/>
        </w:rPr>
      </w:pPr>
      <w:r>
        <w:rPr>
          <w:b/>
          <w:noProof/>
        </w:rPr>
        <w:t xml:space="preserve">Table </w:t>
      </w:r>
      <w:r>
        <w:rPr>
          <w:b/>
          <w:noProof/>
        </w:rPr>
        <w:fldChar w:fldCharType="begin"/>
      </w:r>
      <w:r>
        <w:rPr>
          <w:b/>
          <w:noProof/>
        </w:rPr>
        <w:instrText xml:space="preserve"> SEQ Table \* ARABIC </w:instrText>
      </w:r>
      <w:r>
        <w:rPr>
          <w:b/>
          <w:noProof/>
        </w:rPr>
        <w:fldChar w:fldCharType="separate"/>
      </w:r>
      <w:r>
        <w:rPr>
          <w:b/>
          <w:noProof/>
        </w:rPr>
        <w:t>48</w:t>
      </w:r>
      <w:r>
        <w:rPr>
          <w:b/>
          <w:noProof/>
        </w:rPr>
        <w:fldChar w:fldCharType="end"/>
      </w:r>
      <w:r>
        <w:rPr>
          <w:b/>
          <w:noProof/>
        </w:rPr>
        <w:t xml:space="preserve">: </w:t>
      </w:r>
      <w:r>
        <w:rPr>
          <w:b/>
          <w:noProof/>
          <w:szCs w:val="24"/>
        </w:rPr>
        <w:t xml:space="preserve">PM2.5 emission reduction (%) between 2020 and 2030 (vans) </w:t>
      </w:r>
    </w:p>
    <w:tbl>
      <w:tblPr>
        <w:tblStyle w:val="TableGrid"/>
        <w:tblW w:w="0" w:type="auto"/>
        <w:tblLook w:val="04A0" w:firstRow="1" w:lastRow="0" w:firstColumn="1" w:lastColumn="0" w:noHBand="0" w:noVBand="1"/>
      </w:tblPr>
      <w:tblGrid>
        <w:gridCol w:w="3828"/>
        <w:gridCol w:w="1900"/>
        <w:gridCol w:w="3101"/>
      </w:tblGrid>
      <w:tr w:rsidR="001A26B0">
        <w:tc>
          <w:tcPr>
            <w:tcW w:w="3828" w:type="dxa"/>
          </w:tcPr>
          <w:p w:rsidR="001A26B0" w:rsidRDefault="00E33A99">
            <w:pPr>
              <w:spacing w:after="120"/>
              <w:jc w:val="left"/>
              <w:rPr>
                <w:b/>
                <w:noProof/>
              </w:rPr>
            </w:pPr>
            <w:r>
              <w:rPr>
                <w:b/>
                <w:noProof/>
              </w:rPr>
              <w:t xml:space="preserve">Option for EU-wide fleet </w:t>
            </w:r>
            <w:r>
              <w:rPr>
                <w:b/>
                <w:noProof/>
              </w:rPr>
              <w:br/>
              <w:t>CO</w:t>
            </w:r>
            <w:r>
              <w:rPr>
                <w:b/>
                <w:noProof/>
                <w:vertAlign w:val="subscript"/>
              </w:rPr>
              <w:t>2</w:t>
            </w:r>
            <w:r>
              <w:rPr>
                <w:b/>
                <w:noProof/>
              </w:rPr>
              <w:t xml:space="preserve"> target level</w:t>
            </w:r>
          </w:p>
        </w:tc>
        <w:tc>
          <w:tcPr>
            <w:tcW w:w="1900" w:type="dxa"/>
          </w:tcPr>
          <w:p w:rsidR="001A26B0" w:rsidRDefault="00E33A99">
            <w:pPr>
              <w:spacing w:after="120"/>
              <w:jc w:val="center"/>
              <w:rPr>
                <w:b/>
                <w:noProof/>
              </w:rPr>
            </w:pPr>
            <w:r>
              <w:rPr>
                <w:b/>
                <w:noProof/>
              </w:rPr>
              <w:t>LEV0</w:t>
            </w:r>
          </w:p>
        </w:tc>
        <w:tc>
          <w:tcPr>
            <w:tcW w:w="3101" w:type="dxa"/>
          </w:tcPr>
          <w:p w:rsidR="001A26B0" w:rsidRDefault="00E33A99">
            <w:pPr>
              <w:spacing w:after="120"/>
              <w:jc w:val="center"/>
              <w:rPr>
                <w:b/>
                <w:noProof/>
              </w:rPr>
            </w:pPr>
            <w:r>
              <w:rPr>
                <w:b/>
                <w:noProof/>
              </w:rPr>
              <w:t>Other LEV options (various LEVT, LEVD, LEV%)</w:t>
            </w:r>
          </w:p>
        </w:tc>
      </w:tr>
      <w:tr w:rsidR="001A26B0">
        <w:tc>
          <w:tcPr>
            <w:tcW w:w="3828" w:type="dxa"/>
          </w:tcPr>
          <w:p w:rsidR="001A26B0" w:rsidRDefault="00E33A99">
            <w:pPr>
              <w:spacing w:after="120"/>
              <w:rPr>
                <w:noProof/>
              </w:rPr>
            </w:pPr>
            <w:r>
              <w:rPr>
                <w:noProof/>
              </w:rPr>
              <w:t>TLV20</w:t>
            </w:r>
          </w:p>
        </w:tc>
        <w:tc>
          <w:tcPr>
            <w:tcW w:w="1900" w:type="dxa"/>
          </w:tcPr>
          <w:p w:rsidR="001A26B0" w:rsidRDefault="00E33A99">
            <w:pPr>
              <w:spacing w:after="120"/>
              <w:jc w:val="center"/>
              <w:rPr>
                <w:noProof/>
              </w:rPr>
            </w:pPr>
            <w:r>
              <w:rPr>
                <w:noProof/>
              </w:rPr>
              <w:t>33%</w:t>
            </w:r>
          </w:p>
        </w:tc>
        <w:tc>
          <w:tcPr>
            <w:tcW w:w="3101" w:type="dxa"/>
          </w:tcPr>
          <w:p w:rsidR="001A26B0" w:rsidRDefault="00E33A99">
            <w:pPr>
              <w:spacing w:after="120"/>
              <w:jc w:val="center"/>
              <w:rPr>
                <w:noProof/>
              </w:rPr>
            </w:pPr>
            <w:r>
              <w:rPr>
                <w:noProof/>
              </w:rPr>
              <w:t>36%-42%</w:t>
            </w:r>
          </w:p>
        </w:tc>
      </w:tr>
      <w:tr w:rsidR="001A26B0">
        <w:tc>
          <w:tcPr>
            <w:tcW w:w="3828" w:type="dxa"/>
          </w:tcPr>
          <w:p w:rsidR="001A26B0" w:rsidRDefault="00E33A99">
            <w:pPr>
              <w:spacing w:after="120"/>
              <w:rPr>
                <w:noProof/>
              </w:rPr>
            </w:pPr>
            <w:r>
              <w:rPr>
                <w:noProof/>
              </w:rPr>
              <w:t>TLV25</w:t>
            </w:r>
          </w:p>
        </w:tc>
        <w:tc>
          <w:tcPr>
            <w:tcW w:w="1900" w:type="dxa"/>
          </w:tcPr>
          <w:p w:rsidR="001A26B0" w:rsidRDefault="00E33A99">
            <w:pPr>
              <w:spacing w:after="120"/>
              <w:jc w:val="center"/>
              <w:rPr>
                <w:noProof/>
              </w:rPr>
            </w:pPr>
            <w:r>
              <w:rPr>
                <w:noProof/>
              </w:rPr>
              <w:t>33%</w:t>
            </w:r>
          </w:p>
        </w:tc>
        <w:tc>
          <w:tcPr>
            <w:tcW w:w="3101" w:type="dxa"/>
          </w:tcPr>
          <w:p w:rsidR="001A26B0" w:rsidRDefault="00E33A99">
            <w:pPr>
              <w:spacing w:after="120"/>
              <w:jc w:val="center"/>
              <w:rPr>
                <w:noProof/>
              </w:rPr>
            </w:pPr>
            <w:r>
              <w:rPr>
                <w:noProof/>
              </w:rPr>
              <w:t>36% - 42%</w:t>
            </w:r>
          </w:p>
        </w:tc>
      </w:tr>
      <w:tr w:rsidR="001A26B0">
        <w:tc>
          <w:tcPr>
            <w:tcW w:w="3828" w:type="dxa"/>
          </w:tcPr>
          <w:p w:rsidR="001A26B0" w:rsidRDefault="00E33A99">
            <w:pPr>
              <w:spacing w:after="120"/>
              <w:rPr>
                <w:noProof/>
              </w:rPr>
            </w:pPr>
            <w:r>
              <w:rPr>
                <w:noProof/>
              </w:rPr>
              <w:t>TLV40</w:t>
            </w:r>
          </w:p>
        </w:tc>
        <w:tc>
          <w:tcPr>
            <w:tcW w:w="1900" w:type="dxa"/>
          </w:tcPr>
          <w:p w:rsidR="001A26B0" w:rsidRDefault="00E33A99">
            <w:pPr>
              <w:spacing w:after="120"/>
              <w:jc w:val="center"/>
              <w:rPr>
                <w:noProof/>
              </w:rPr>
            </w:pPr>
            <w:r>
              <w:rPr>
                <w:noProof/>
              </w:rPr>
              <w:t>36%</w:t>
            </w:r>
          </w:p>
        </w:tc>
        <w:tc>
          <w:tcPr>
            <w:tcW w:w="3101" w:type="dxa"/>
          </w:tcPr>
          <w:p w:rsidR="001A26B0" w:rsidRDefault="00E33A99">
            <w:pPr>
              <w:spacing w:after="120"/>
              <w:jc w:val="center"/>
              <w:rPr>
                <w:noProof/>
              </w:rPr>
            </w:pPr>
            <w:r>
              <w:rPr>
                <w:noProof/>
              </w:rPr>
              <w:t>38% - 45%</w:t>
            </w:r>
          </w:p>
        </w:tc>
      </w:tr>
    </w:tbl>
    <w:p w:rsidR="001A26B0" w:rsidRDefault="00E33A99">
      <w:pPr>
        <w:pStyle w:val="Heading3"/>
        <w:rPr>
          <w:noProof/>
        </w:rPr>
      </w:pPr>
      <w:bookmarkStart w:id="629" w:name="_Ref493004269"/>
      <w:bookmarkStart w:id="630" w:name="_Toc496635633"/>
      <w:r>
        <w:rPr>
          <w:noProof/>
        </w:rPr>
        <w:t>Macroeconomic impacts, including employment, of setting LEV incentives for cars and vans</w:t>
      </w:r>
      <w:bookmarkEnd w:id="629"/>
      <w:bookmarkEnd w:id="630"/>
    </w:p>
    <w:p w:rsidR="001A26B0" w:rsidRDefault="00E33A99">
      <w:pPr>
        <w:pStyle w:val="Heading4"/>
        <w:rPr>
          <w:noProof/>
          <w:szCs w:val="24"/>
        </w:rPr>
      </w:pPr>
      <w:bookmarkStart w:id="631" w:name="_Toc496635634"/>
      <w:r>
        <w:rPr>
          <w:noProof/>
          <w:szCs w:val="24"/>
        </w:rPr>
        <w:t>Introduction and methodological considerations</w:t>
      </w:r>
      <w:bookmarkEnd w:id="631"/>
    </w:p>
    <w:p w:rsidR="001A26B0" w:rsidRDefault="00E33A99">
      <w:pPr>
        <w:spacing w:after="120"/>
        <w:rPr>
          <w:noProof/>
          <w:szCs w:val="24"/>
        </w:rPr>
      </w:pPr>
      <w:r>
        <w:rPr>
          <w:noProof/>
          <w:szCs w:val="24"/>
        </w:rPr>
        <w:t>The E3ME model was used to assess the macro-economic and sectoral economic impacts o</w:t>
      </w:r>
      <w:r>
        <w:rPr>
          <w:noProof/>
          <w:szCs w:val="24"/>
        </w:rPr>
        <w:t xml:space="preserve">f the policy options regarding LEV incentives. A detailed description of this model is provided in Annex 4. </w:t>
      </w:r>
    </w:p>
    <w:p w:rsidR="001A26B0" w:rsidRDefault="00E33A99">
      <w:pPr>
        <w:spacing w:after="120"/>
        <w:rPr>
          <w:noProof/>
          <w:color w:val="000000"/>
          <w:szCs w:val="24"/>
        </w:rPr>
      </w:pPr>
      <w:r>
        <w:rPr>
          <w:noProof/>
          <w:color w:val="000000"/>
          <w:szCs w:val="24"/>
        </w:rPr>
        <w:t>In the policy scenarios different incentives for LEV were considered in addition to the EU-wide fleet CO</w:t>
      </w:r>
      <w:r>
        <w:rPr>
          <w:noProof/>
          <w:color w:val="000000"/>
          <w:szCs w:val="24"/>
          <w:vertAlign w:val="subscript"/>
        </w:rPr>
        <w:t>2</w:t>
      </w:r>
      <w:r>
        <w:rPr>
          <w:noProof/>
          <w:color w:val="000000"/>
          <w:szCs w:val="24"/>
        </w:rPr>
        <w:t xml:space="preserve"> target. The analysis was done for the scenario TL30c/25v, combining options TLC30 (cars) and TLV25 (vans)</w:t>
      </w:r>
      <w:r>
        <w:rPr>
          <w:rStyle w:val="FootnoteReference"/>
          <w:noProof/>
          <w:color w:val="000000"/>
          <w:szCs w:val="24"/>
        </w:rPr>
        <w:footnoteReference w:id="197"/>
      </w:r>
      <w:r>
        <w:rPr>
          <w:noProof/>
          <w:color w:val="000000"/>
          <w:szCs w:val="24"/>
        </w:rPr>
        <w:t>. As regards the LEV definition, the options LEVD_25 (cars) and LEVD_40 (vans) were chosen for this analysis. As regards the LEV mandate/benchmark le</w:t>
      </w:r>
      <w:r>
        <w:rPr>
          <w:noProof/>
          <w:color w:val="000000"/>
          <w:szCs w:val="24"/>
        </w:rPr>
        <w:t xml:space="preserve">vel, two options (LEV%_A and LEV%_B, see Section 5.3.2.2) were modelled. The scenarios modelled are summarised in </w:t>
      </w:r>
      <w:r>
        <w:rPr>
          <w:noProof/>
          <w:color w:val="000000"/>
          <w:szCs w:val="24"/>
        </w:rPr>
        <w:fldChar w:fldCharType="begin"/>
      </w:r>
      <w:r>
        <w:rPr>
          <w:noProof/>
          <w:color w:val="000000"/>
          <w:szCs w:val="24"/>
        </w:rPr>
        <w:instrText xml:space="preserve"> REF _Ref493176092 \h </w:instrText>
      </w:r>
      <w:r>
        <w:rPr>
          <w:noProof/>
          <w:color w:val="000000"/>
          <w:szCs w:val="24"/>
        </w:rPr>
      </w:r>
      <w:r>
        <w:rPr>
          <w:noProof/>
          <w:color w:val="000000"/>
          <w:szCs w:val="24"/>
        </w:rPr>
        <w:fldChar w:fldCharType="separate"/>
      </w:r>
      <w:r>
        <w:rPr>
          <w:noProof/>
        </w:rPr>
        <w:t>Table 49</w:t>
      </w:r>
      <w:r>
        <w:rPr>
          <w:noProof/>
          <w:color w:val="000000"/>
          <w:szCs w:val="24"/>
        </w:rPr>
        <w:fldChar w:fldCharType="end"/>
      </w:r>
      <w:r>
        <w:rPr>
          <w:noProof/>
          <w:color w:val="000000"/>
          <w:szCs w:val="24"/>
        </w:rPr>
        <w:t>.</w:t>
      </w:r>
    </w:p>
    <w:p w:rsidR="001A26B0" w:rsidRDefault="00E33A99">
      <w:pPr>
        <w:pStyle w:val="Caption"/>
        <w:keepNext/>
        <w:rPr>
          <w:noProof/>
          <w:szCs w:val="24"/>
        </w:rPr>
      </w:pPr>
      <w:bookmarkStart w:id="632" w:name="_Ref493176092"/>
      <w:r>
        <w:rPr>
          <w:noProof/>
        </w:rPr>
        <w:t xml:space="preserve">Table </w:t>
      </w:r>
      <w:r>
        <w:rPr>
          <w:noProof/>
        </w:rPr>
        <w:fldChar w:fldCharType="begin"/>
      </w:r>
      <w:r>
        <w:rPr>
          <w:noProof/>
        </w:rPr>
        <w:instrText xml:space="preserve"> SEQ Table \* ARABIC </w:instrText>
      </w:r>
      <w:r>
        <w:rPr>
          <w:noProof/>
        </w:rPr>
        <w:fldChar w:fldCharType="separate"/>
      </w:r>
      <w:r>
        <w:rPr>
          <w:noProof/>
        </w:rPr>
        <w:t>49</w:t>
      </w:r>
      <w:r>
        <w:rPr>
          <w:noProof/>
        </w:rPr>
        <w:fldChar w:fldCharType="end"/>
      </w:r>
      <w:bookmarkEnd w:id="632"/>
      <w:r>
        <w:rPr>
          <w:noProof/>
        </w:rPr>
        <w:t>: Overview</w:t>
      </w:r>
      <w:r>
        <w:rPr>
          <w:noProof/>
        </w:rPr>
        <w:t xml:space="preserve"> of scenarios modelled with E3ME for assessing the macro-economic impacts of various options regarding LEV incentives</w:t>
      </w:r>
    </w:p>
    <w:tbl>
      <w:tblPr>
        <w:tblStyle w:val="TableGrid"/>
        <w:tblW w:w="0" w:type="auto"/>
        <w:tblLook w:val="04A0" w:firstRow="1" w:lastRow="0" w:firstColumn="1" w:lastColumn="0" w:noHBand="0" w:noVBand="1"/>
      </w:tblPr>
      <w:tblGrid>
        <w:gridCol w:w="1897"/>
        <w:gridCol w:w="2411"/>
        <w:gridCol w:w="2223"/>
        <w:gridCol w:w="2298"/>
      </w:tblGrid>
      <w:tr w:rsidR="001A26B0">
        <w:tc>
          <w:tcPr>
            <w:tcW w:w="1897" w:type="dxa"/>
            <w:vMerge w:val="restart"/>
            <w:vAlign w:val="center"/>
          </w:tcPr>
          <w:p w:rsidR="001A26B0" w:rsidRDefault="00E33A99">
            <w:pPr>
              <w:pStyle w:val="Default"/>
              <w:spacing w:after="120"/>
              <w:rPr>
                <w:b/>
                <w:noProof/>
                <w:lang w:val="it-IT"/>
              </w:rPr>
            </w:pPr>
            <w:r>
              <w:rPr>
                <w:b/>
                <w:noProof/>
                <w:lang w:val="it-IT"/>
              </w:rPr>
              <w:t>E3ME scenario</w:t>
            </w:r>
          </w:p>
        </w:tc>
        <w:tc>
          <w:tcPr>
            <w:tcW w:w="2411" w:type="dxa"/>
            <w:vMerge w:val="restart"/>
            <w:vAlign w:val="center"/>
          </w:tcPr>
          <w:p w:rsidR="001A26B0" w:rsidRDefault="00E33A99">
            <w:pPr>
              <w:pStyle w:val="Default"/>
              <w:spacing w:after="120"/>
              <w:rPr>
                <w:b/>
                <w:noProof/>
              </w:rPr>
            </w:pPr>
            <w:r>
              <w:rPr>
                <w:b/>
                <w:noProof/>
              </w:rPr>
              <w:t>Option for EU-wide fleet CO</w:t>
            </w:r>
            <w:r>
              <w:rPr>
                <w:b/>
                <w:noProof/>
                <w:vertAlign w:val="subscript"/>
              </w:rPr>
              <w:t>2</w:t>
            </w:r>
            <w:r>
              <w:rPr>
                <w:b/>
                <w:noProof/>
              </w:rPr>
              <w:t xml:space="preserve"> target level</w:t>
            </w:r>
          </w:p>
        </w:tc>
        <w:tc>
          <w:tcPr>
            <w:tcW w:w="4521" w:type="dxa"/>
            <w:gridSpan w:val="2"/>
          </w:tcPr>
          <w:p w:rsidR="001A26B0" w:rsidRDefault="00E33A99">
            <w:pPr>
              <w:pStyle w:val="Default"/>
              <w:spacing w:after="120"/>
              <w:jc w:val="center"/>
              <w:rPr>
                <w:b/>
                <w:noProof/>
              </w:rPr>
            </w:pPr>
            <w:r>
              <w:rPr>
                <w:b/>
                <w:noProof/>
              </w:rPr>
              <w:t xml:space="preserve">Option for LEV incentive definition </w:t>
            </w:r>
            <w:r>
              <w:rPr>
                <w:b/>
                <w:noProof/>
              </w:rPr>
              <w:br/>
              <w:t>and level</w:t>
            </w:r>
          </w:p>
        </w:tc>
      </w:tr>
      <w:tr w:rsidR="001A26B0">
        <w:tc>
          <w:tcPr>
            <w:tcW w:w="1897" w:type="dxa"/>
            <w:vMerge/>
          </w:tcPr>
          <w:p w:rsidR="001A26B0" w:rsidRDefault="001A26B0">
            <w:pPr>
              <w:pStyle w:val="Default"/>
              <w:spacing w:after="120"/>
              <w:jc w:val="both"/>
              <w:rPr>
                <w:noProof/>
              </w:rPr>
            </w:pPr>
          </w:p>
        </w:tc>
        <w:tc>
          <w:tcPr>
            <w:tcW w:w="2411" w:type="dxa"/>
            <w:vMerge/>
          </w:tcPr>
          <w:p w:rsidR="001A26B0" w:rsidRDefault="001A26B0">
            <w:pPr>
              <w:pStyle w:val="Default"/>
              <w:spacing w:after="120"/>
              <w:jc w:val="both"/>
              <w:rPr>
                <w:noProof/>
              </w:rPr>
            </w:pPr>
          </w:p>
        </w:tc>
        <w:tc>
          <w:tcPr>
            <w:tcW w:w="2223" w:type="dxa"/>
          </w:tcPr>
          <w:p w:rsidR="001A26B0" w:rsidRDefault="00E33A99">
            <w:pPr>
              <w:pStyle w:val="Default"/>
              <w:spacing w:after="120"/>
              <w:jc w:val="center"/>
              <w:rPr>
                <w:noProof/>
              </w:rPr>
            </w:pPr>
            <w:r>
              <w:rPr>
                <w:noProof/>
              </w:rPr>
              <w:t>Cars</w:t>
            </w:r>
          </w:p>
        </w:tc>
        <w:tc>
          <w:tcPr>
            <w:tcW w:w="2298" w:type="dxa"/>
          </w:tcPr>
          <w:p w:rsidR="001A26B0" w:rsidRDefault="00E33A99">
            <w:pPr>
              <w:pStyle w:val="Default"/>
              <w:spacing w:after="120"/>
              <w:jc w:val="center"/>
              <w:rPr>
                <w:noProof/>
              </w:rPr>
            </w:pPr>
            <w:r>
              <w:rPr>
                <w:noProof/>
              </w:rPr>
              <w:t>Vans</w:t>
            </w:r>
          </w:p>
        </w:tc>
      </w:tr>
      <w:tr w:rsidR="001A26B0">
        <w:tc>
          <w:tcPr>
            <w:tcW w:w="1897" w:type="dxa"/>
          </w:tcPr>
          <w:p w:rsidR="001A26B0" w:rsidRDefault="00E33A99">
            <w:pPr>
              <w:pStyle w:val="Default"/>
              <w:spacing w:after="120"/>
              <w:jc w:val="both"/>
              <w:rPr>
                <w:b/>
                <w:noProof/>
              </w:rPr>
            </w:pPr>
            <w:r>
              <w:rPr>
                <w:b/>
                <w:noProof/>
              </w:rPr>
              <w:t>TL0 (Baseline)</w:t>
            </w:r>
          </w:p>
        </w:tc>
        <w:tc>
          <w:tcPr>
            <w:tcW w:w="2411" w:type="dxa"/>
          </w:tcPr>
          <w:p w:rsidR="001A26B0" w:rsidRDefault="00E33A99">
            <w:pPr>
              <w:pStyle w:val="Default"/>
              <w:spacing w:after="120"/>
              <w:jc w:val="center"/>
              <w:rPr>
                <w:noProof/>
              </w:rPr>
            </w:pPr>
            <w:r>
              <w:rPr>
                <w:noProof/>
              </w:rPr>
              <w:t xml:space="preserve">TLC0 </w:t>
            </w:r>
            <w:r>
              <w:rPr>
                <w:noProof/>
              </w:rPr>
              <w:t>and TLV0</w:t>
            </w:r>
          </w:p>
        </w:tc>
        <w:tc>
          <w:tcPr>
            <w:tcW w:w="2223" w:type="dxa"/>
          </w:tcPr>
          <w:p w:rsidR="001A26B0" w:rsidRDefault="00E33A99">
            <w:pPr>
              <w:pStyle w:val="Default"/>
              <w:spacing w:after="120"/>
              <w:jc w:val="center"/>
              <w:rPr>
                <w:noProof/>
              </w:rPr>
            </w:pPr>
            <w:r>
              <w:rPr>
                <w:noProof/>
              </w:rPr>
              <w:t>-</w:t>
            </w:r>
          </w:p>
        </w:tc>
        <w:tc>
          <w:tcPr>
            <w:tcW w:w="2298" w:type="dxa"/>
          </w:tcPr>
          <w:p w:rsidR="001A26B0" w:rsidRDefault="00E33A99">
            <w:pPr>
              <w:pStyle w:val="Default"/>
              <w:spacing w:after="120"/>
              <w:jc w:val="center"/>
              <w:rPr>
                <w:noProof/>
              </w:rPr>
            </w:pPr>
            <w:r>
              <w:rPr>
                <w:noProof/>
              </w:rPr>
              <w:t>-</w:t>
            </w:r>
          </w:p>
        </w:tc>
      </w:tr>
      <w:tr w:rsidR="001A26B0">
        <w:tc>
          <w:tcPr>
            <w:tcW w:w="1897" w:type="dxa"/>
          </w:tcPr>
          <w:p w:rsidR="001A26B0" w:rsidRDefault="00E33A99">
            <w:pPr>
              <w:pStyle w:val="Default"/>
              <w:spacing w:after="120"/>
              <w:jc w:val="both"/>
              <w:rPr>
                <w:b/>
                <w:noProof/>
              </w:rPr>
            </w:pPr>
            <w:r>
              <w:rPr>
                <w:b/>
                <w:noProof/>
              </w:rPr>
              <w:t>LEV_1</w:t>
            </w:r>
          </w:p>
        </w:tc>
        <w:tc>
          <w:tcPr>
            <w:tcW w:w="2411" w:type="dxa"/>
            <w:vMerge w:val="restart"/>
            <w:vAlign w:val="center"/>
          </w:tcPr>
          <w:p w:rsidR="001A26B0" w:rsidRDefault="00E33A99">
            <w:pPr>
              <w:pStyle w:val="Default"/>
              <w:spacing w:after="120"/>
              <w:jc w:val="center"/>
              <w:rPr>
                <w:noProof/>
              </w:rPr>
            </w:pPr>
            <w:r>
              <w:rPr>
                <w:noProof/>
              </w:rPr>
              <w:t>TLC30 and TLV25</w:t>
            </w:r>
          </w:p>
        </w:tc>
        <w:tc>
          <w:tcPr>
            <w:tcW w:w="2223" w:type="dxa"/>
          </w:tcPr>
          <w:p w:rsidR="001A26B0" w:rsidRDefault="00E33A99">
            <w:pPr>
              <w:pStyle w:val="Default"/>
              <w:spacing w:after="120"/>
              <w:jc w:val="center"/>
              <w:rPr>
                <w:noProof/>
              </w:rPr>
            </w:pPr>
            <w:r>
              <w:rPr>
                <w:noProof/>
              </w:rPr>
              <w:t>LEVD_25, LEV%_A</w:t>
            </w:r>
          </w:p>
        </w:tc>
        <w:tc>
          <w:tcPr>
            <w:tcW w:w="2298" w:type="dxa"/>
          </w:tcPr>
          <w:p w:rsidR="001A26B0" w:rsidRDefault="00E33A99">
            <w:pPr>
              <w:pStyle w:val="Default"/>
              <w:spacing w:after="120"/>
              <w:jc w:val="center"/>
              <w:rPr>
                <w:noProof/>
              </w:rPr>
            </w:pPr>
            <w:r>
              <w:rPr>
                <w:noProof/>
              </w:rPr>
              <w:t xml:space="preserve">LEVD_40, </w:t>
            </w:r>
            <w:r>
              <w:rPr>
                <w:noProof/>
              </w:rPr>
              <w:br/>
              <w:t>LEV%_A</w:t>
            </w:r>
          </w:p>
        </w:tc>
      </w:tr>
      <w:tr w:rsidR="001A26B0">
        <w:tc>
          <w:tcPr>
            <w:tcW w:w="1897" w:type="dxa"/>
          </w:tcPr>
          <w:p w:rsidR="001A26B0" w:rsidRDefault="00E33A99">
            <w:pPr>
              <w:pStyle w:val="Default"/>
              <w:spacing w:after="120"/>
              <w:jc w:val="both"/>
              <w:rPr>
                <w:b/>
                <w:noProof/>
              </w:rPr>
            </w:pPr>
            <w:r>
              <w:rPr>
                <w:b/>
                <w:noProof/>
              </w:rPr>
              <w:t>LEV_2</w:t>
            </w:r>
          </w:p>
        </w:tc>
        <w:tc>
          <w:tcPr>
            <w:tcW w:w="2411" w:type="dxa"/>
            <w:vMerge/>
          </w:tcPr>
          <w:p w:rsidR="001A26B0" w:rsidRDefault="001A26B0">
            <w:pPr>
              <w:pStyle w:val="Default"/>
              <w:spacing w:after="120"/>
              <w:jc w:val="both"/>
              <w:rPr>
                <w:noProof/>
              </w:rPr>
            </w:pPr>
          </w:p>
        </w:tc>
        <w:tc>
          <w:tcPr>
            <w:tcW w:w="2223" w:type="dxa"/>
          </w:tcPr>
          <w:p w:rsidR="001A26B0" w:rsidRDefault="00E33A99">
            <w:pPr>
              <w:pStyle w:val="Default"/>
              <w:spacing w:after="120"/>
              <w:jc w:val="center"/>
              <w:rPr>
                <w:noProof/>
              </w:rPr>
            </w:pPr>
            <w:r>
              <w:rPr>
                <w:noProof/>
              </w:rPr>
              <w:t xml:space="preserve">LEVD_25, </w:t>
            </w:r>
            <w:r>
              <w:rPr>
                <w:noProof/>
              </w:rPr>
              <w:br/>
              <w:t>LEV%_B</w:t>
            </w:r>
          </w:p>
        </w:tc>
        <w:tc>
          <w:tcPr>
            <w:tcW w:w="2298" w:type="dxa"/>
          </w:tcPr>
          <w:p w:rsidR="001A26B0" w:rsidRDefault="00E33A99">
            <w:pPr>
              <w:pStyle w:val="Default"/>
              <w:spacing w:after="120"/>
              <w:jc w:val="center"/>
              <w:rPr>
                <w:noProof/>
              </w:rPr>
            </w:pPr>
            <w:r>
              <w:rPr>
                <w:noProof/>
              </w:rPr>
              <w:t xml:space="preserve">LEVD_40, </w:t>
            </w:r>
            <w:r>
              <w:rPr>
                <w:noProof/>
              </w:rPr>
              <w:br/>
              <w:t>LEV%_B</w:t>
            </w:r>
          </w:p>
        </w:tc>
      </w:tr>
    </w:tbl>
    <w:p w:rsidR="001A26B0" w:rsidRDefault="00E33A99">
      <w:pPr>
        <w:pStyle w:val="Default"/>
        <w:spacing w:before="240" w:after="120"/>
        <w:jc w:val="both"/>
        <w:rPr>
          <w:noProof/>
        </w:rPr>
      </w:pPr>
      <w:r>
        <w:rPr>
          <w:noProof/>
        </w:rPr>
        <w:t>All the modelled scenarios assume that only the transport sector undergoes changes due to the new CO</w:t>
      </w:r>
      <w:r>
        <w:rPr>
          <w:noProof/>
          <w:vertAlign w:val="subscript"/>
        </w:rPr>
        <w:t>2</w:t>
      </w:r>
      <w:r>
        <w:rPr>
          <w:noProof/>
        </w:rPr>
        <w:t xml:space="preserve"> target level and the LEV incentives. Compared to the baseline, the other sectors do not undertake higher efforts to decrease GHG emissions or increase energy savings. In this way, it is possible to isolate the macro-economic effects of the specific policy</w:t>
      </w:r>
      <w:r>
        <w:rPr>
          <w:noProof/>
        </w:rPr>
        <w:t>.</w:t>
      </w:r>
    </w:p>
    <w:p w:rsidR="001A26B0" w:rsidRDefault="00E33A99">
      <w:pPr>
        <w:pStyle w:val="Default"/>
        <w:spacing w:after="120"/>
        <w:jc w:val="both"/>
        <w:rPr>
          <w:noProof/>
        </w:rPr>
      </w:pPr>
      <w:r>
        <w:rPr>
          <w:noProof/>
        </w:rPr>
        <w:t>In all scenarios, government revenue neutrality is assumed. The implementation of the new CO</w:t>
      </w:r>
      <w:r>
        <w:rPr>
          <w:noProof/>
          <w:vertAlign w:val="subscript"/>
        </w:rPr>
        <w:t>2</w:t>
      </w:r>
      <w:r>
        <w:rPr>
          <w:noProof/>
        </w:rPr>
        <w:t xml:space="preserve"> targets reduces petrol and diesel consumption, which are commodities upon which taxes are levied in all Member States. This is compensated, in all scenarios, by</w:t>
      </w:r>
      <w:r>
        <w:rPr>
          <w:noProof/>
        </w:rPr>
        <w:t xml:space="preserve"> a proportional increase of VAT rates, and hence, VAT revenues.</w:t>
      </w:r>
    </w:p>
    <w:p w:rsidR="001A26B0" w:rsidRDefault="00E33A99">
      <w:pPr>
        <w:pStyle w:val="Heading5"/>
        <w:rPr>
          <w:noProof/>
        </w:rPr>
      </w:pPr>
      <w:r>
        <w:rPr>
          <w:noProof/>
        </w:rPr>
        <w:t xml:space="preserve">GDP impacts </w:t>
      </w:r>
    </w:p>
    <w:p w:rsidR="001A26B0" w:rsidRDefault="00E33A99">
      <w:pPr>
        <w:spacing w:after="120"/>
        <w:rPr>
          <w:noProof/>
          <w:color w:val="000000"/>
          <w:szCs w:val="24"/>
        </w:rPr>
      </w:pPr>
      <w:r>
        <w:rPr>
          <w:noProof/>
          <w:color w:val="000000"/>
          <w:szCs w:val="24"/>
        </w:rPr>
        <w:fldChar w:fldCharType="begin"/>
      </w:r>
      <w:r>
        <w:rPr>
          <w:noProof/>
          <w:color w:val="000000"/>
          <w:szCs w:val="24"/>
        </w:rPr>
        <w:instrText xml:space="preserve"> REF _Ref493623133 \h  \* MERGEFORMAT </w:instrText>
      </w:r>
      <w:r>
        <w:rPr>
          <w:noProof/>
          <w:color w:val="000000"/>
          <w:szCs w:val="24"/>
        </w:rPr>
      </w:r>
      <w:r>
        <w:rPr>
          <w:noProof/>
          <w:color w:val="000000"/>
          <w:szCs w:val="24"/>
        </w:rPr>
        <w:fldChar w:fldCharType="separate"/>
      </w:r>
      <w:r>
        <w:rPr>
          <w:noProof/>
        </w:rPr>
        <w:t>Table 50</w:t>
      </w:r>
      <w:r>
        <w:rPr>
          <w:noProof/>
          <w:color w:val="000000"/>
          <w:szCs w:val="24"/>
        </w:rPr>
        <w:fldChar w:fldCharType="end"/>
      </w:r>
      <w:r>
        <w:rPr>
          <w:noProof/>
          <w:color w:val="000000"/>
          <w:szCs w:val="24"/>
        </w:rPr>
        <w:t xml:space="preserve"> shows the projected GDP impact for the EU28 for the scenarios LEV</w:t>
      </w:r>
      <w:r>
        <w:rPr>
          <w:noProof/>
          <w:color w:val="000000"/>
          <w:szCs w:val="24"/>
        </w:rPr>
        <w:t xml:space="preserve">_1 and LEV_2, and for the scenario </w:t>
      </w:r>
      <w:r>
        <w:rPr>
          <w:noProof/>
          <w:szCs w:val="24"/>
        </w:rPr>
        <w:t xml:space="preserve">TL30c/25v </w:t>
      </w:r>
      <w:r>
        <w:rPr>
          <w:noProof/>
          <w:color w:val="000000"/>
          <w:szCs w:val="24"/>
        </w:rPr>
        <w:t>(see Section 6.3.2.2.3.1), which has the same EU-wide fleet CO</w:t>
      </w:r>
      <w:r>
        <w:rPr>
          <w:noProof/>
          <w:color w:val="000000"/>
          <w:szCs w:val="24"/>
          <w:vertAlign w:val="subscript"/>
        </w:rPr>
        <w:t>2</w:t>
      </w:r>
      <w:r>
        <w:rPr>
          <w:noProof/>
          <w:color w:val="000000"/>
          <w:szCs w:val="24"/>
        </w:rPr>
        <w:t xml:space="preserve"> targets, but does not foresee additional LEV incentives compared with the baseline. The results shown are based on the assumption that the battery </w:t>
      </w:r>
      <w:r>
        <w:rPr>
          <w:noProof/>
          <w:color w:val="000000"/>
          <w:szCs w:val="24"/>
        </w:rPr>
        <w:t>cells used in electric vehicles are imported in the EU from third countries.</w:t>
      </w:r>
    </w:p>
    <w:p w:rsidR="001A26B0" w:rsidRDefault="00E33A99">
      <w:pPr>
        <w:spacing w:after="120"/>
        <w:rPr>
          <w:noProof/>
          <w:color w:val="000000"/>
          <w:szCs w:val="24"/>
        </w:rPr>
      </w:pPr>
      <w:r>
        <w:rPr>
          <w:noProof/>
          <w:color w:val="000000"/>
          <w:szCs w:val="24"/>
        </w:rPr>
        <w:t>E3ME projects small positive GDP impacts for the LEV scenarios assessed, slightly more positive for the scenario with the lower mandate/benchmark levels (LEV_1). Setting LEV incen</w:t>
      </w:r>
      <w:r>
        <w:rPr>
          <w:noProof/>
          <w:color w:val="000000"/>
          <w:szCs w:val="24"/>
        </w:rPr>
        <w:t>tives also drives marginal improvements with respect to the scenario TL30c/25v starting from 2030 onwards.</w:t>
      </w:r>
    </w:p>
    <w:p w:rsidR="001A26B0" w:rsidRDefault="00E33A99">
      <w:pPr>
        <w:pStyle w:val="Caption"/>
        <w:rPr>
          <w:noProof/>
          <w:color w:val="000000"/>
          <w:szCs w:val="24"/>
        </w:rPr>
      </w:pPr>
      <w:bookmarkStart w:id="633" w:name="_Ref493259699"/>
      <w:bookmarkStart w:id="634" w:name="_Ref493623133"/>
      <w:r>
        <w:rPr>
          <w:noProof/>
        </w:rPr>
        <w:t xml:space="preserve">Table </w:t>
      </w:r>
      <w:r>
        <w:rPr>
          <w:noProof/>
        </w:rPr>
        <w:fldChar w:fldCharType="begin"/>
      </w:r>
      <w:r>
        <w:rPr>
          <w:noProof/>
        </w:rPr>
        <w:instrText xml:space="preserve"> SEQ Table \* ARABIC </w:instrText>
      </w:r>
      <w:r>
        <w:rPr>
          <w:noProof/>
        </w:rPr>
        <w:fldChar w:fldCharType="separate"/>
      </w:r>
      <w:r>
        <w:rPr>
          <w:noProof/>
        </w:rPr>
        <w:t>50</w:t>
      </w:r>
      <w:r>
        <w:rPr>
          <w:noProof/>
        </w:rPr>
        <w:fldChar w:fldCharType="end"/>
      </w:r>
      <w:bookmarkEnd w:id="633"/>
      <w:bookmarkEnd w:id="634"/>
      <w:r>
        <w:rPr>
          <w:noProof/>
          <w:szCs w:val="24"/>
        </w:rPr>
        <w:t>: Impact on GDP (EU-28) of different options regarding the LEV incentives – battery cells imported (</w:t>
      </w:r>
      <w:r>
        <w:rPr>
          <w:noProof/>
        </w:rPr>
        <w:t>E3ME model)</w:t>
      </w:r>
    </w:p>
    <w:tbl>
      <w:tblPr>
        <w:tblW w:w="5000" w:type="pct"/>
        <w:tblLayout w:type="fixed"/>
        <w:tblLook w:val="04A0" w:firstRow="1" w:lastRow="0" w:firstColumn="1" w:lastColumn="0" w:noHBand="0" w:noVBand="1"/>
      </w:tblPr>
      <w:tblGrid>
        <w:gridCol w:w="2028"/>
        <w:gridCol w:w="1701"/>
        <w:gridCol w:w="1700"/>
        <w:gridCol w:w="1700"/>
        <w:gridCol w:w="1700"/>
      </w:tblGrid>
      <w:tr w:rsidR="001A26B0">
        <w:trPr>
          <w:trHeight w:val="300"/>
        </w:trPr>
        <w:tc>
          <w:tcPr>
            <w:tcW w:w="11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B0" w:rsidRDefault="00E33A99">
            <w:pPr>
              <w:spacing w:after="120"/>
              <w:rPr>
                <w:b/>
                <w:noProof/>
                <w:szCs w:val="24"/>
              </w:rPr>
            </w:pPr>
            <w:r>
              <w:rPr>
                <w:b/>
                <w:noProof/>
                <w:szCs w:val="24"/>
              </w:rPr>
              <w:t> </w:t>
            </w:r>
          </w:p>
        </w:tc>
        <w:tc>
          <w:tcPr>
            <w:tcW w:w="963" w:type="pct"/>
            <w:tcBorders>
              <w:top w:val="single" w:sz="4" w:space="0" w:color="auto"/>
              <w:left w:val="nil"/>
              <w:bottom w:val="single" w:sz="4" w:space="0" w:color="auto"/>
              <w:right w:val="single" w:sz="4" w:space="0" w:color="auto"/>
            </w:tcBorders>
            <w:shd w:val="clear" w:color="auto" w:fill="auto"/>
            <w:noWrap/>
            <w:vAlign w:val="bottom"/>
            <w:hideMark/>
          </w:tcPr>
          <w:p w:rsidR="001A26B0" w:rsidRDefault="00E33A99">
            <w:pPr>
              <w:spacing w:after="120"/>
              <w:jc w:val="center"/>
              <w:rPr>
                <w:b/>
                <w:noProof/>
                <w:szCs w:val="24"/>
              </w:rPr>
            </w:pPr>
            <w:r>
              <w:rPr>
                <w:b/>
                <w:noProof/>
                <w:szCs w:val="24"/>
              </w:rPr>
              <w:t>2025</w:t>
            </w:r>
          </w:p>
        </w:tc>
        <w:tc>
          <w:tcPr>
            <w:tcW w:w="963" w:type="pct"/>
            <w:tcBorders>
              <w:top w:val="single" w:sz="4" w:space="0" w:color="auto"/>
              <w:left w:val="nil"/>
              <w:bottom w:val="single" w:sz="4" w:space="0" w:color="auto"/>
              <w:right w:val="single" w:sz="4" w:space="0" w:color="auto"/>
            </w:tcBorders>
            <w:shd w:val="clear" w:color="auto" w:fill="auto"/>
            <w:noWrap/>
            <w:vAlign w:val="bottom"/>
            <w:hideMark/>
          </w:tcPr>
          <w:p w:rsidR="001A26B0" w:rsidRDefault="00E33A99">
            <w:pPr>
              <w:spacing w:after="120"/>
              <w:jc w:val="center"/>
              <w:rPr>
                <w:b/>
                <w:noProof/>
                <w:szCs w:val="24"/>
              </w:rPr>
            </w:pPr>
            <w:r>
              <w:rPr>
                <w:b/>
                <w:noProof/>
                <w:szCs w:val="24"/>
              </w:rPr>
              <w:t>2030</w:t>
            </w:r>
          </w:p>
        </w:tc>
        <w:tc>
          <w:tcPr>
            <w:tcW w:w="963" w:type="pct"/>
            <w:tcBorders>
              <w:top w:val="single" w:sz="4" w:space="0" w:color="auto"/>
              <w:left w:val="nil"/>
              <w:bottom w:val="single" w:sz="4" w:space="0" w:color="auto"/>
              <w:right w:val="single" w:sz="4" w:space="0" w:color="auto"/>
            </w:tcBorders>
            <w:shd w:val="clear" w:color="auto" w:fill="auto"/>
            <w:noWrap/>
            <w:vAlign w:val="bottom"/>
            <w:hideMark/>
          </w:tcPr>
          <w:p w:rsidR="001A26B0" w:rsidRDefault="00E33A99">
            <w:pPr>
              <w:spacing w:after="120"/>
              <w:jc w:val="center"/>
              <w:rPr>
                <w:b/>
                <w:noProof/>
                <w:szCs w:val="24"/>
              </w:rPr>
            </w:pPr>
            <w:r>
              <w:rPr>
                <w:b/>
                <w:noProof/>
                <w:szCs w:val="24"/>
              </w:rPr>
              <w:t>2035</w:t>
            </w:r>
          </w:p>
        </w:tc>
        <w:tc>
          <w:tcPr>
            <w:tcW w:w="963" w:type="pct"/>
            <w:tcBorders>
              <w:top w:val="single" w:sz="4" w:space="0" w:color="auto"/>
              <w:left w:val="nil"/>
              <w:bottom w:val="single" w:sz="4" w:space="0" w:color="auto"/>
              <w:right w:val="single" w:sz="4" w:space="0" w:color="auto"/>
            </w:tcBorders>
            <w:shd w:val="clear" w:color="auto" w:fill="auto"/>
            <w:noWrap/>
            <w:vAlign w:val="bottom"/>
            <w:hideMark/>
          </w:tcPr>
          <w:p w:rsidR="001A26B0" w:rsidRDefault="00E33A99">
            <w:pPr>
              <w:spacing w:after="120"/>
              <w:jc w:val="center"/>
              <w:rPr>
                <w:b/>
                <w:noProof/>
                <w:szCs w:val="24"/>
              </w:rPr>
            </w:pPr>
            <w:r>
              <w:rPr>
                <w:b/>
                <w:noProof/>
                <w:szCs w:val="24"/>
              </w:rPr>
              <w:t>2040</w:t>
            </w:r>
          </w:p>
        </w:tc>
      </w:tr>
      <w:tr w:rsidR="001A26B0">
        <w:trPr>
          <w:trHeight w:val="300"/>
        </w:trPr>
        <w:tc>
          <w:tcPr>
            <w:tcW w:w="1148"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1A26B0" w:rsidRDefault="00E33A99">
            <w:pPr>
              <w:spacing w:after="120"/>
              <w:rPr>
                <w:noProof/>
                <w:szCs w:val="24"/>
              </w:rPr>
            </w:pPr>
            <w:r>
              <w:rPr>
                <w:noProof/>
                <w:szCs w:val="24"/>
              </w:rPr>
              <w:t>TL0 (Baseline)</w:t>
            </w:r>
          </w:p>
        </w:tc>
        <w:tc>
          <w:tcPr>
            <w:tcW w:w="963" w:type="pct"/>
            <w:tcBorders>
              <w:top w:val="single" w:sz="4" w:space="0" w:color="auto"/>
              <w:left w:val="nil"/>
              <w:bottom w:val="single" w:sz="8" w:space="0" w:color="auto"/>
              <w:right w:val="single" w:sz="4" w:space="0" w:color="auto"/>
            </w:tcBorders>
            <w:shd w:val="clear" w:color="auto" w:fill="auto"/>
            <w:noWrap/>
            <w:vAlign w:val="bottom"/>
            <w:hideMark/>
          </w:tcPr>
          <w:p w:rsidR="001A26B0" w:rsidRDefault="00E33A99">
            <w:pPr>
              <w:spacing w:after="120"/>
              <w:jc w:val="right"/>
              <w:rPr>
                <w:noProof/>
                <w:szCs w:val="24"/>
              </w:rPr>
            </w:pPr>
            <w:r>
              <w:rPr>
                <w:noProof/>
                <w:szCs w:val="24"/>
              </w:rPr>
              <w:t>16,018,660</w:t>
            </w:r>
          </w:p>
        </w:tc>
        <w:tc>
          <w:tcPr>
            <w:tcW w:w="963" w:type="pct"/>
            <w:tcBorders>
              <w:top w:val="single" w:sz="4" w:space="0" w:color="auto"/>
              <w:left w:val="nil"/>
              <w:bottom w:val="single" w:sz="8" w:space="0" w:color="auto"/>
              <w:right w:val="single" w:sz="4" w:space="0" w:color="auto"/>
            </w:tcBorders>
            <w:shd w:val="clear" w:color="auto" w:fill="auto"/>
            <w:noWrap/>
            <w:vAlign w:val="bottom"/>
            <w:hideMark/>
          </w:tcPr>
          <w:p w:rsidR="001A26B0" w:rsidRDefault="00E33A99">
            <w:pPr>
              <w:spacing w:after="120"/>
              <w:jc w:val="right"/>
              <w:rPr>
                <w:noProof/>
                <w:szCs w:val="24"/>
              </w:rPr>
            </w:pPr>
            <w:r>
              <w:rPr>
                <w:noProof/>
                <w:szCs w:val="24"/>
              </w:rPr>
              <w:t>17,087,725</w:t>
            </w:r>
          </w:p>
        </w:tc>
        <w:tc>
          <w:tcPr>
            <w:tcW w:w="963" w:type="pct"/>
            <w:tcBorders>
              <w:top w:val="single" w:sz="4" w:space="0" w:color="auto"/>
              <w:left w:val="nil"/>
              <w:bottom w:val="single" w:sz="8" w:space="0" w:color="auto"/>
              <w:right w:val="single" w:sz="4" w:space="0" w:color="auto"/>
            </w:tcBorders>
            <w:shd w:val="clear" w:color="auto" w:fill="auto"/>
            <w:noWrap/>
            <w:vAlign w:val="bottom"/>
            <w:hideMark/>
          </w:tcPr>
          <w:p w:rsidR="001A26B0" w:rsidRDefault="00E33A99">
            <w:pPr>
              <w:spacing w:after="120"/>
              <w:jc w:val="right"/>
              <w:rPr>
                <w:noProof/>
                <w:szCs w:val="24"/>
              </w:rPr>
            </w:pPr>
            <w:r>
              <w:rPr>
                <w:noProof/>
                <w:szCs w:val="24"/>
              </w:rPr>
              <w:t>18,381,955</w:t>
            </w:r>
          </w:p>
        </w:tc>
        <w:tc>
          <w:tcPr>
            <w:tcW w:w="963" w:type="pct"/>
            <w:tcBorders>
              <w:top w:val="single" w:sz="4" w:space="0" w:color="auto"/>
              <w:left w:val="nil"/>
              <w:bottom w:val="single" w:sz="8" w:space="0" w:color="auto"/>
              <w:right w:val="single" w:sz="8" w:space="0" w:color="auto"/>
            </w:tcBorders>
            <w:shd w:val="clear" w:color="auto" w:fill="auto"/>
            <w:noWrap/>
            <w:vAlign w:val="bottom"/>
            <w:hideMark/>
          </w:tcPr>
          <w:p w:rsidR="001A26B0" w:rsidRDefault="00E33A99">
            <w:pPr>
              <w:spacing w:after="120"/>
              <w:jc w:val="right"/>
              <w:rPr>
                <w:noProof/>
                <w:szCs w:val="24"/>
              </w:rPr>
            </w:pPr>
            <w:r>
              <w:rPr>
                <w:noProof/>
                <w:szCs w:val="24"/>
              </w:rPr>
              <w:t>19,892,587</w:t>
            </w:r>
          </w:p>
        </w:tc>
      </w:tr>
      <w:tr w:rsidR="001A26B0">
        <w:trPr>
          <w:trHeight w:val="300"/>
        </w:trPr>
        <w:tc>
          <w:tcPr>
            <w:tcW w:w="1148" w:type="pct"/>
            <w:tcBorders>
              <w:top w:val="nil"/>
              <w:left w:val="single" w:sz="8" w:space="0" w:color="auto"/>
              <w:bottom w:val="single" w:sz="8" w:space="0" w:color="auto"/>
              <w:right w:val="single" w:sz="4" w:space="0" w:color="auto"/>
            </w:tcBorders>
            <w:shd w:val="clear" w:color="auto" w:fill="auto"/>
            <w:noWrap/>
          </w:tcPr>
          <w:p w:rsidR="001A26B0" w:rsidRDefault="00E33A99">
            <w:pPr>
              <w:spacing w:after="120"/>
              <w:rPr>
                <w:noProof/>
                <w:szCs w:val="24"/>
              </w:rPr>
            </w:pPr>
            <w:r>
              <w:rPr>
                <w:noProof/>
                <w:szCs w:val="24"/>
              </w:rPr>
              <w:t>TL30c/25v</w:t>
            </w:r>
          </w:p>
        </w:tc>
        <w:tc>
          <w:tcPr>
            <w:tcW w:w="963" w:type="pct"/>
            <w:tcBorders>
              <w:top w:val="nil"/>
              <w:left w:val="nil"/>
              <w:bottom w:val="single" w:sz="8" w:space="0" w:color="auto"/>
              <w:right w:val="single" w:sz="4" w:space="0" w:color="auto"/>
            </w:tcBorders>
            <w:shd w:val="clear" w:color="auto" w:fill="auto"/>
            <w:noWrap/>
          </w:tcPr>
          <w:p w:rsidR="001A26B0" w:rsidRDefault="00E33A99">
            <w:pPr>
              <w:spacing w:after="120"/>
              <w:jc w:val="right"/>
              <w:rPr>
                <w:noProof/>
                <w:szCs w:val="24"/>
              </w:rPr>
            </w:pPr>
            <w:r>
              <w:rPr>
                <w:noProof/>
                <w:szCs w:val="24"/>
              </w:rPr>
              <w:t>0.00%</w:t>
            </w:r>
          </w:p>
        </w:tc>
        <w:tc>
          <w:tcPr>
            <w:tcW w:w="963" w:type="pct"/>
            <w:tcBorders>
              <w:top w:val="nil"/>
              <w:left w:val="nil"/>
              <w:bottom w:val="single" w:sz="8" w:space="0" w:color="auto"/>
              <w:right w:val="single" w:sz="4" w:space="0" w:color="auto"/>
            </w:tcBorders>
            <w:shd w:val="clear" w:color="auto" w:fill="auto"/>
            <w:noWrap/>
          </w:tcPr>
          <w:p w:rsidR="001A26B0" w:rsidRDefault="00E33A99">
            <w:pPr>
              <w:spacing w:after="120"/>
              <w:jc w:val="right"/>
              <w:rPr>
                <w:noProof/>
                <w:szCs w:val="24"/>
              </w:rPr>
            </w:pPr>
            <w:r>
              <w:rPr>
                <w:noProof/>
                <w:szCs w:val="24"/>
              </w:rPr>
              <w:t>0.02%</w:t>
            </w:r>
          </w:p>
        </w:tc>
        <w:tc>
          <w:tcPr>
            <w:tcW w:w="963" w:type="pct"/>
            <w:tcBorders>
              <w:top w:val="nil"/>
              <w:left w:val="nil"/>
              <w:bottom w:val="single" w:sz="8" w:space="0" w:color="auto"/>
              <w:right w:val="single" w:sz="4" w:space="0" w:color="auto"/>
            </w:tcBorders>
            <w:shd w:val="clear" w:color="auto" w:fill="auto"/>
            <w:noWrap/>
          </w:tcPr>
          <w:p w:rsidR="001A26B0" w:rsidRDefault="00E33A99">
            <w:pPr>
              <w:spacing w:after="120"/>
              <w:jc w:val="right"/>
              <w:rPr>
                <w:noProof/>
                <w:szCs w:val="24"/>
              </w:rPr>
            </w:pPr>
            <w:r>
              <w:rPr>
                <w:noProof/>
                <w:szCs w:val="24"/>
              </w:rPr>
              <w:t>0.03%</w:t>
            </w:r>
          </w:p>
        </w:tc>
        <w:tc>
          <w:tcPr>
            <w:tcW w:w="963" w:type="pct"/>
            <w:tcBorders>
              <w:top w:val="nil"/>
              <w:left w:val="nil"/>
              <w:bottom w:val="single" w:sz="8" w:space="0" w:color="auto"/>
              <w:right w:val="single" w:sz="8" w:space="0" w:color="auto"/>
            </w:tcBorders>
            <w:shd w:val="clear" w:color="auto" w:fill="auto"/>
            <w:noWrap/>
          </w:tcPr>
          <w:p w:rsidR="001A26B0" w:rsidRDefault="00E33A99">
            <w:pPr>
              <w:spacing w:after="120"/>
              <w:jc w:val="right"/>
              <w:rPr>
                <w:noProof/>
                <w:szCs w:val="24"/>
              </w:rPr>
            </w:pPr>
            <w:r>
              <w:rPr>
                <w:noProof/>
                <w:szCs w:val="24"/>
              </w:rPr>
              <w:t>0.05%</w:t>
            </w:r>
          </w:p>
        </w:tc>
      </w:tr>
      <w:tr w:rsidR="001A26B0">
        <w:trPr>
          <w:trHeight w:val="300"/>
        </w:trPr>
        <w:tc>
          <w:tcPr>
            <w:tcW w:w="1148" w:type="pct"/>
            <w:tcBorders>
              <w:top w:val="nil"/>
              <w:left w:val="single" w:sz="8" w:space="0" w:color="auto"/>
              <w:bottom w:val="single" w:sz="8" w:space="0" w:color="auto"/>
              <w:right w:val="single" w:sz="4" w:space="0" w:color="auto"/>
            </w:tcBorders>
            <w:shd w:val="clear" w:color="auto" w:fill="auto"/>
            <w:noWrap/>
            <w:vAlign w:val="bottom"/>
            <w:hideMark/>
          </w:tcPr>
          <w:p w:rsidR="001A26B0" w:rsidRDefault="00E33A99">
            <w:pPr>
              <w:spacing w:after="120"/>
              <w:rPr>
                <w:noProof/>
                <w:szCs w:val="24"/>
              </w:rPr>
            </w:pPr>
            <w:r>
              <w:rPr>
                <w:noProof/>
                <w:szCs w:val="24"/>
              </w:rPr>
              <w:t>LEV_1</w:t>
            </w:r>
          </w:p>
        </w:tc>
        <w:tc>
          <w:tcPr>
            <w:tcW w:w="963" w:type="pct"/>
            <w:tcBorders>
              <w:top w:val="nil"/>
              <w:left w:val="nil"/>
              <w:bottom w:val="single" w:sz="8" w:space="0" w:color="auto"/>
              <w:right w:val="single" w:sz="4" w:space="0" w:color="auto"/>
            </w:tcBorders>
            <w:shd w:val="clear" w:color="auto" w:fill="auto"/>
            <w:noWrap/>
            <w:vAlign w:val="bottom"/>
            <w:hideMark/>
          </w:tcPr>
          <w:p w:rsidR="001A26B0" w:rsidRDefault="00E33A99">
            <w:pPr>
              <w:spacing w:after="120"/>
              <w:jc w:val="right"/>
              <w:rPr>
                <w:noProof/>
                <w:szCs w:val="24"/>
              </w:rPr>
            </w:pPr>
            <w:r>
              <w:rPr>
                <w:noProof/>
                <w:szCs w:val="24"/>
              </w:rPr>
              <w:t>0.00%</w:t>
            </w:r>
          </w:p>
        </w:tc>
        <w:tc>
          <w:tcPr>
            <w:tcW w:w="963" w:type="pct"/>
            <w:tcBorders>
              <w:top w:val="nil"/>
              <w:left w:val="nil"/>
              <w:bottom w:val="single" w:sz="8" w:space="0" w:color="auto"/>
              <w:right w:val="single" w:sz="4" w:space="0" w:color="auto"/>
            </w:tcBorders>
            <w:shd w:val="clear" w:color="auto" w:fill="auto"/>
            <w:noWrap/>
            <w:vAlign w:val="bottom"/>
            <w:hideMark/>
          </w:tcPr>
          <w:p w:rsidR="001A26B0" w:rsidRDefault="00E33A99">
            <w:pPr>
              <w:spacing w:after="120"/>
              <w:jc w:val="right"/>
              <w:rPr>
                <w:noProof/>
                <w:szCs w:val="24"/>
              </w:rPr>
            </w:pPr>
            <w:r>
              <w:rPr>
                <w:noProof/>
                <w:szCs w:val="24"/>
              </w:rPr>
              <w:t>0.03%</w:t>
            </w:r>
          </w:p>
        </w:tc>
        <w:tc>
          <w:tcPr>
            <w:tcW w:w="963" w:type="pct"/>
            <w:tcBorders>
              <w:top w:val="nil"/>
              <w:left w:val="nil"/>
              <w:bottom w:val="single" w:sz="8" w:space="0" w:color="auto"/>
              <w:right w:val="single" w:sz="4" w:space="0" w:color="auto"/>
            </w:tcBorders>
            <w:shd w:val="clear" w:color="auto" w:fill="auto"/>
            <w:noWrap/>
            <w:vAlign w:val="bottom"/>
            <w:hideMark/>
          </w:tcPr>
          <w:p w:rsidR="001A26B0" w:rsidRDefault="00E33A99">
            <w:pPr>
              <w:spacing w:after="120"/>
              <w:jc w:val="right"/>
              <w:rPr>
                <w:noProof/>
                <w:szCs w:val="24"/>
              </w:rPr>
            </w:pPr>
            <w:r>
              <w:rPr>
                <w:noProof/>
                <w:szCs w:val="24"/>
              </w:rPr>
              <w:t>0.04%</w:t>
            </w:r>
          </w:p>
        </w:tc>
        <w:tc>
          <w:tcPr>
            <w:tcW w:w="963" w:type="pct"/>
            <w:tcBorders>
              <w:top w:val="nil"/>
              <w:left w:val="nil"/>
              <w:bottom w:val="single" w:sz="8" w:space="0" w:color="auto"/>
              <w:right w:val="single" w:sz="8" w:space="0" w:color="auto"/>
            </w:tcBorders>
            <w:shd w:val="clear" w:color="auto" w:fill="auto"/>
            <w:noWrap/>
            <w:vAlign w:val="bottom"/>
            <w:hideMark/>
          </w:tcPr>
          <w:p w:rsidR="001A26B0" w:rsidRDefault="00E33A99">
            <w:pPr>
              <w:spacing w:after="120"/>
              <w:jc w:val="right"/>
              <w:rPr>
                <w:noProof/>
                <w:szCs w:val="24"/>
              </w:rPr>
            </w:pPr>
            <w:r>
              <w:rPr>
                <w:noProof/>
                <w:szCs w:val="24"/>
              </w:rPr>
              <w:t>0.06%</w:t>
            </w:r>
          </w:p>
        </w:tc>
      </w:tr>
      <w:tr w:rsidR="001A26B0">
        <w:trPr>
          <w:trHeight w:val="300"/>
        </w:trPr>
        <w:tc>
          <w:tcPr>
            <w:tcW w:w="1148" w:type="pct"/>
            <w:tcBorders>
              <w:top w:val="nil"/>
              <w:left w:val="single" w:sz="8" w:space="0" w:color="auto"/>
              <w:bottom w:val="single" w:sz="8" w:space="0" w:color="auto"/>
              <w:right w:val="single" w:sz="4" w:space="0" w:color="auto"/>
            </w:tcBorders>
            <w:shd w:val="clear" w:color="auto" w:fill="auto"/>
            <w:noWrap/>
            <w:vAlign w:val="bottom"/>
            <w:hideMark/>
          </w:tcPr>
          <w:p w:rsidR="001A26B0" w:rsidRDefault="00E33A99">
            <w:pPr>
              <w:spacing w:after="120"/>
              <w:rPr>
                <w:noProof/>
                <w:szCs w:val="24"/>
              </w:rPr>
            </w:pPr>
            <w:r>
              <w:rPr>
                <w:noProof/>
                <w:szCs w:val="24"/>
              </w:rPr>
              <w:t>LEV_2 </w:t>
            </w:r>
          </w:p>
        </w:tc>
        <w:tc>
          <w:tcPr>
            <w:tcW w:w="963" w:type="pct"/>
            <w:tcBorders>
              <w:top w:val="nil"/>
              <w:left w:val="nil"/>
              <w:bottom w:val="single" w:sz="8" w:space="0" w:color="auto"/>
              <w:right w:val="single" w:sz="4" w:space="0" w:color="auto"/>
            </w:tcBorders>
            <w:shd w:val="clear" w:color="auto" w:fill="auto"/>
            <w:noWrap/>
            <w:vAlign w:val="bottom"/>
            <w:hideMark/>
          </w:tcPr>
          <w:p w:rsidR="001A26B0" w:rsidRDefault="00E33A99">
            <w:pPr>
              <w:spacing w:after="120"/>
              <w:jc w:val="right"/>
              <w:rPr>
                <w:noProof/>
                <w:szCs w:val="24"/>
              </w:rPr>
            </w:pPr>
            <w:r>
              <w:rPr>
                <w:noProof/>
                <w:szCs w:val="24"/>
              </w:rPr>
              <w:t>-0.01%</w:t>
            </w:r>
          </w:p>
        </w:tc>
        <w:tc>
          <w:tcPr>
            <w:tcW w:w="963" w:type="pct"/>
            <w:tcBorders>
              <w:top w:val="nil"/>
              <w:left w:val="nil"/>
              <w:bottom w:val="single" w:sz="8" w:space="0" w:color="auto"/>
              <w:right w:val="single" w:sz="4" w:space="0" w:color="auto"/>
            </w:tcBorders>
            <w:shd w:val="clear" w:color="auto" w:fill="auto"/>
            <w:noWrap/>
            <w:vAlign w:val="bottom"/>
            <w:hideMark/>
          </w:tcPr>
          <w:p w:rsidR="001A26B0" w:rsidRDefault="00E33A99">
            <w:pPr>
              <w:spacing w:after="120"/>
              <w:jc w:val="right"/>
              <w:rPr>
                <w:noProof/>
                <w:szCs w:val="24"/>
              </w:rPr>
            </w:pPr>
            <w:r>
              <w:rPr>
                <w:noProof/>
                <w:szCs w:val="24"/>
              </w:rPr>
              <w:t>0.02%</w:t>
            </w:r>
          </w:p>
        </w:tc>
        <w:tc>
          <w:tcPr>
            <w:tcW w:w="963" w:type="pct"/>
            <w:tcBorders>
              <w:top w:val="nil"/>
              <w:left w:val="nil"/>
              <w:bottom w:val="single" w:sz="8" w:space="0" w:color="auto"/>
              <w:right w:val="single" w:sz="4" w:space="0" w:color="auto"/>
            </w:tcBorders>
            <w:shd w:val="clear" w:color="auto" w:fill="auto"/>
            <w:noWrap/>
            <w:vAlign w:val="bottom"/>
            <w:hideMark/>
          </w:tcPr>
          <w:p w:rsidR="001A26B0" w:rsidRDefault="00E33A99">
            <w:pPr>
              <w:spacing w:after="120"/>
              <w:jc w:val="right"/>
              <w:rPr>
                <w:noProof/>
                <w:szCs w:val="24"/>
              </w:rPr>
            </w:pPr>
            <w:r>
              <w:rPr>
                <w:noProof/>
                <w:szCs w:val="24"/>
              </w:rPr>
              <w:t>0.04%</w:t>
            </w:r>
          </w:p>
        </w:tc>
        <w:tc>
          <w:tcPr>
            <w:tcW w:w="963" w:type="pct"/>
            <w:tcBorders>
              <w:top w:val="nil"/>
              <w:left w:val="nil"/>
              <w:bottom w:val="single" w:sz="8" w:space="0" w:color="auto"/>
              <w:right w:val="single" w:sz="8" w:space="0" w:color="auto"/>
            </w:tcBorders>
            <w:shd w:val="clear" w:color="auto" w:fill="auto"/>
            <w:noWrap/>
            <w:vAlign w:val="bottom"/>
            <w:hideMark/>
          </w:tcPr>
          <w:p w:rsidR="001A26B0" w:rsidRDefault="00E33A99">
            <w:pPr>
              <w:spacing w:after="120"/>
              <w:jc w:val="right"/>
              <w:rPr>
                <w:noProof/>
                <w:szCs w:val="24"/>
              </w:rPr>
            </w:pPr>
            <w:r>
              <w:rPr>
                <w:noProof/>
                <w:szCs w:val="24"/>
              </w:rPr>
              <w:t>0.06%</w:t>
            </w:r>
          </w:p>
        </w:tc>
      </w:tr>
    </w:tbl>
    <w:p w:rsidR="001A26B0" w:rsidRDefault="00E33A99">
      <w:pPr>
        <w:spacing w:before="240" w:after="120"/>
        <w:rPr>
          <w:noProof/>
          <w:szCs w:val="24"/>
        </w:rPr>
      </w:pPr>
      <w:r>
        <w:rPr>
          <w:noProof/>
          <w:szCs w:val="24"/>
        </w:rPr>
        <w:t xml:space="preserve">As under the LEV policy options increases also the market penetration of electrically rechargeable vehicles compared to the TL30c/25v scenario, it is relevant to consider the impact of battery cells being manufactured either inside or outside the EU. </w:t>
      </w:r>
    </w:p>
    <w:p w:rsidR="001A26B0" w:rsidRDefault="00E33A99">
      <w:pPr>
        <w:spacing w:after="120"/>
        <w:rPr>
          <w:noProof/>
          <w:szCs w:val="24"/>
        </w:rPr>
      </w:pPr>
      <w:r>
        <w:rPr>
          <w:noProof/>
          <w:szCs w:val="24"/>
        </w:rPr>
        <w:fldChar w:fldCharType="begin"/>
      </w:r>
      <w:r>
        <w:rPr>
          <w:noProof/>
          <w:szCs w:val="24"/>
        </w:rPr>
        <w:instrText xml:space="preserve"> REF</w:instrText>
      </w:r>
      <w:r>
        <w:rPr>
          <w:noProof/>
          <w:szCs w:val="24"/>
        </w:rPr>
        <w:instrText xml:space="preserve"> _Ref493259803 \h </w:instrText>
      </w:r>
      <w:r>
        <w:rPr>
          <w:noProof/>
          <w:szCs w:val="24"/>
        </w:rPr>
      </w:r>
      <w:r>
        <w:rPr>
          <w:noProof/>
          <w:szCs w:val="24"/>
        </w:rPr>
        <w:fldChar w:fldCharType="separate"/>
      </w:r>
      <w:r>
        <w:rPr>
          <w:noProof/>
          <w:szCs w:val="24"/>
        </w:rPr>
        <w:t>Table 51</w:t>
      </w:r>
      <w:r>
        <w:rPr>
          <w:noProof/>
          <w:szCs w:val="24"/>
        </w:rPr>
        <w:fldChar w:fldCharType="end"/>
      </w:r>
      <w:r>
        <w:rPr>
          <w:noProof/>
          <w:szCs w:val="24"/>
        </w:rPr>
        <w:t xml:space="preserve"> presents the results under the assumption that </w:t>
      </w:r>
      <w:r>
        <w:rPr>
          <w:noProof/>
          <w:color w:val="000000"/>
          <w:szCs w:val="24"/>
        </w:rPr>
        <w:t>the battery cells used in electric vehicles are manufactured in the EU. It shows that t</w:t>
      </w:r>
      <w:r>
        <w:rPr>
          <w:noProof/>
          <w:szCs w:val="24"/>
        </w:rPr>
        <w:t>he GDP increase is higher i</w:t>
      </w:r>
      <w:r>
        <w:rPr>
          <w:noProof/>
          <w:szCs w:val="24"/>
        </w:rPr>
        <w:t>n the LEV policy options. In this case, the higher LEV mandates/benchmarks (LEV_2) lead to slightly higher positive impacts.</w:t>
      </w:r>
    </w:p>
    <w:p w:rsidR="001A26B0" w:rsidRDefault="00E33A99">
      <w:pPr>
        <w:pStyle w:val="Caption"/>
        <w:spacing w:before="0"/>
        <w:rPr>
          <w:noProof/>
          <w:color w:val="000000"/>
          <w:szCs w:val="24"/>
        </w:rPr>
      </w:pPr>
      <w:bookmarkStart w:id="635" w:name="_Ref493259803"/>
      <w:r>
        <w:rPr>
          <w:noProof/>
          <w:szCs w:val="24"/>
        </w:rPr>
        <w:t xml:space="preserve">Table </w:t>
      </w:r>
      <w:r>
        <w:rPr>
          <w:noProof/>
          <w:szCs w:val="24"/>
        </w:rPr>
        <w:fldChar w:fldCharType="begin"/>
      </w:r>
      <w:r>
        <w:rPr>
          <w:noProof/>
          <w:szCs w:val="24"/>
        </w:rPr>
        <w:instrText xml:space="preserve"> SEQ Table \* ARABIC </w:instrText>
      </w:r>
      <w:r>
        <w:rPr>
          <w:noProof/>
          <w:szCs w:val="24"/>
        </w:rPr>
        <w:fldChar w:fldCharType="separate"/>
      </w:r>
      <w:r>
        <w:rPr>
          <w:noProof/>
          <w:szCs w:val="24"/>
        </w:rPr>
        <w:t>51</w:t>
      </w:r>
      <w:r>
        <w:rPr>
          <w:noProof/>
          <w:szCs w:val="24"/>
        </w:rPr>
        <w:fldChar w:fldCharType="end"/>
      </w:r>
      <w:bookmarkEnd w:id="635"/>
      <w:r>
        <w:rPr>
          <w:noProof/>
          <w:szCs w:val="24"/>
        </w:rPr>
        <w:t xml:space="preserve">: Impact on GDP (EU-28) of different options regarding the LEV incentives - battery cells </w:t>
      </w:r>
      <w:r>
        <w:rPr>
          <w:noProof/>
          <w:szCs w:val="24"/>
        </w:rPr>
        <w:t>manufactured in EU (</w:t>
      </w:r>
      <w:r>
        <w:rPr>
          <w:noProof/>
        </w:rPr>
        <w:t>E3ME model)</w:t>
      </w:r>
    </w:p>
    <w:tbl>
      <w:tblPr>
        <w:tblStyle w:val="TableGrid"/>
        <w:tblW w:w="5000" w:type="pct"/>
        <w:tblLook w:val="04A0" w:firstRow="1" w:lastRow="0" w:firstColumn="1" w:lastColumn="0" w:noHBand="0" w:noVBand="1"/>
      </w:tblPr>
      <w:tblGrid>
        <w:gridCol w:w="1812"/>
        <w:gridCol w:w="1755"/>
        <w:gridCol w:w="1755"/>
        <w:gridCol w:w="1755"/>
        <w:gridCol w:w="1752"/>
      </w:tblGrid>
      <w:tr w:rsidR="001A26B0">
        <w:trPr>
          <w:trHeight w:val="300"/>
        </w:trPr>
        <w:tc>
          <w:tcPr>
            <w:tcW w:w="1026" w:type="pct"/>
            <w:noWrap/>
            <w:hideMark/>
          </w:tcPr>
          <w:p w:rsidR="001A26B0" w:rsidRDefault="001A26B0">
            <w:pPr>
              <w:spacing w:after="120"/>
              <w:rPr>
                <w:noProof/>
                <w:szCs w:val="24"/>
              </w:rPr>
            </w:pPr>
          </w:p>
        </w:tc>
        <w:tc>
          <w:tcPr>
            <w:tcW w:w="994" w:type="pct"/>
            <w:noWrap/>
            <w:hideMark/>
          </w:tcPr>
          <w:p w:rsidR="001A26B0" w:rsidRDefault="00E33A99">
            <w:pPr>
              <w:spacing w:after="120"/>
              <w:rPr>
                <w:noProof/>
                <w:szCs w:val="24"/>
              </w:rPr>
            </w:pPr>
            <w:r>
              <w:rPr>
                <w:noProof/>
                <w:szCs w:val="24"/>
              </w:rPr>
              <w:t>2025</w:t>
            </w:r>
          </w:p>
        </w:tc>
        <w:tc>
          <w:tcPr>
            <w:tcW w:w="994" w:type="pct"/>
            <w:noWrap/>
            <w:hideMark/>
          </w:tcPr>
          <w:p w:rsidR="001A26B0" w:rsidRDefault="00E33A99">
            <w:pPr>
              <w:spacing w:after="120"/>
              <w:rPr>
                <w:noProof/>
                <w:szCs w:val="24"/>
              </w:rPr>
            </w:pPr>
            <w:r>
              <w:rPr>
                <w:noProof/>
                <w:szCs w:val="24"/>
              </w:rPr>
              <w:t>2030</w:t>
            </w:r>
          </w:p>
        </w:tc>
        <w:tc>
          <w:tcPr>
            <w:tcW w:w="994" w:type="pct"/>
            <w:noWrap/>
            <w:hideMark/>
          </w:tcPr>
          <w:p w:rsidR="001A26B0" w:rsidRDefault="00E33A99">
            <w:pPr>
              <w:spacing w:after="120"/>
              <w:rPr>
                <w:noProof/>
                <w:szCs w:val="24"/>
              </w:rPr>
            </w:pPr>
            <w:r>
              <w:rPr>
                <w:noProof/>
                <w:szCs w:val="24"/>
              </w:rPr>
              <w:t>2035</w:t>
            </w:r>
          </w:p>
        </w:tc>
        <w:tc>
          <w:tcPr>
            <w:tcW w:w="994" w:type="pct"/>
            <w:noWrap/>
            <w:hideMark/>
          </w:tcPr>
          <w:p w:rsidR="001A26B0" w:rsidRDefault="00E33A99">
            <w:pPr>
              <w:spacing w:after="120"/>
              <w:rPr>
                <w:noProof/>
                <w:szCs w:val="24"/>
              </w:rPr>
            </w:pPr>
            <w:r>
              <w:rPr>
                <w:noProof/>
                <w:szCs w:val="24"/>
              </w:rPr>
              <w:t>2040</w:t>
            </w:r>
          </w:p>
        </w:tc>
      </w:tr>
      <w:tr w:rsidR="001A26B0">
        <w:trPr>
          <w:trHeight w:val="288"/>
        </w:trPr>
        <w:tc>
          <w:tcPr>
            <w:tcW w:w="1026" w:type="pct"/>
            <w:noWrap/>
            <w:hideMark/>
          </w:tcPr>
          <w:p w:rsidR="001A26B0" w:rsidRDefault="00E33A99">
            <w:pPr>
              <w:spacing w:after="120"/>
              <w:rPr>
                <w:noProof/>
                <w:szCs w:val="24"/>
              </w:rPr>
            </w:pPr>
            <w:r>
              <w:rPr>
                <w:noProof/>
                <w:szCs w:val="24"/>
              </w:rPr>
              <w:t>TL0 (baseline)</w:t>
            </w:r>
          </w:p>
        </w:tc>
        <w:tc>
          <w:tcPr>
            <w:tcW w:w="994" w:type="pct"/>
            <w:noWrap/>
            <w:hideMark/>
          </w:tcPr>
          <w:p w:rsidR="001A26B0" w:rsidRDefault="00E33A99">
            <w:pPr>
              <w:spacing w:after="120"/>
              <w:jc w:val="right"/>
              <w:rPr>
                <w:noProof/>
                <w:szCs w:val="24"/>
              </w:rPr>
            </w:pPr>
            <w:r>
              <w:rPr>
                <w:noProof/>
                <w:szCs w:val="24"/>
              </w:rPr>
              <w:t>16,022,952</w:t>
            </w:r>
          </w:p>
        </w:tc>
        <w:tc>
          <w:tcPr>
            <w:tcW w:w="994" w:type="pct"/>
            <w:noWrap/>
            <w:hideMark/>
          </w:tcPr>
          <w:p w:rsidR="001A26B0" w:rsidRDefault="00E33A99">
            <w:pPr>
              <w:spacing w:after="120"/>
              <w:jc w:val="right"/>
              <w:rPr>
                <w:noProof/>
                <w:szCs w:val="24"/>
              </w:rPr>
            </w:pPr>
            <w:r>
              <w:rPr>
                <w:noProof/>
                <w:szCs w:val="24"/>
              </w:rPr>
              <w:t>17,094,332</w:t>
            </w:r>
          </w:p>
        </w:tc>
        <w:tc>
          <w:tcPr>
            <w:tcW w:w="994" w:type="pct"/>
            <w:noWrap/>
            <w:hideMark/>
          </w:tcPr>
          <w:p w:rsidR="001A26B0" w:rsidRDefault="00E33A99">
            <w:pPr>
              <w:spacing w:after="120"/>
              <w:jc w:val="right"/>
              <w:rPr>
                <w:noProof/>
                <w:szCs w:val="24"/>
              </w:rPr>
            </w:pPr>
            <w:r>
              <w:rPr>
                <w:noProof/>
                <w:szCs w:val="24"/>
              </w:rPr>
              <w:t>18,391,086</w:t>
            </w:r>
          </w:p>
        </w:tc>
        <w:tc>
          <w:tcPr>
            <w:tcW w:w="994" w:type="pct"/>
            <w:noWrap/>
            <w:hideMark/>
          </w:tcPr>
          <w:p w:rsidR="001A26B0" w:rsidRDefault="00E33A99">
            <w:pPr>
              <w:spacing w:after="120"/>
              <w:jc w:val="right"/>
              <w:rPr>
                <w:noProof/>
                <w:szCs w:val="24"/>
              </w:rPr>
            </w:pPr>
            <w:r>
              <w:rPr>
                <w:noProof/>
                <w:szCs w:val="24"/>
              </w:rPr>
              <w:t>19,901,703</w:t>
            </w:r>
          </w:p>
        </w:tc>
      </w:tr>
      <w:tr w:rsidR="001A26B0">
        <w:trPr>
          <w:trHeight w:val="288"/>
        </w:trPr>
        <w:tc>
          <w:tcPr>
            <w:tcW w:w="1026" w:type="pct"/>
            <w:noWrap/>
            <w:hideMark/>
          </w:tcPr>
          <w:p w:rsidR="001A26B0" w:rsidRDefault="00E33A99">
            <w:pPr>
              <w:spacing w:after="120"/>
              <w:rPr>
                <w:noProof/>
                <w:szCs w:val="24"/>
              </w:rPr>
            </w:pPr>
            <w:r>
              <w:rPr>
                <w:noProof/>
                <w:szCs w:val="24"/>
              </w:rPr>
              <w:t xml:space="preserve">LEV_1 </w:t>
            </w:r>
          </w:p>
        </w:tc>
        <w:tc>
          <w:tcPr>
            <w:tcW w:w="994" w:type="pct"/>
            <w:noWrap/>
            <w:hideMark/>
          </w:tcPr>
          <w:p w:rsidR="001A26B0" w:rsidRDefault="00E33A99">
            <w:pPr>
              <w:spacing w:after="120"/>
              <w:jc w:val="right"/>
              <w:rPr>
                <w:noProof/>
                <w:szCs w:val="24"/>
              </w:rPr>
            </w:pPr>
            <w:r>
              <w:rPr>
                <w:noProof/>
                <w:szCs w:val="24"/>
              </w:rPr>
              <w:t>0.00%</w:t>
            </w:r>
          </w:p>
        </w:tc>
        <w:tc>
          <w:tcPr>
            <w:tcW w:w="994" w:type="pct"/>
            <w:noWrap/>
            <w:hideMark/>
          </w:tcPr>
          <w:p w:rsidR="001A26B0" w:rsidRDefault="00E33A99">
            <w:pPr>
              <w:spacing w:after="120"/>
              <w:jc w:val="right"/>
              <w:rPr>
                <w:noProof/>
                <w:szCs w:val="24"/>
              </w:rPr>
            </w:pPr>
            <w:r>
              <w:rPr>
                <w:noProof/>
                <w:szCs w:val="24"/>
              </w:rPr>
              <w:t>0.04%</w:t>
            </w:r>
          </w:p>
        </w:tc>
        <w:tc>
          <w:tcPr>
            <w:tcW w:w="994" w:type="pct"/>
            <w:noWrap/>
            <w:hideMark/>
          </w:tcPr>
          <w:p w:rsidR="001A26B0" w:rsidRDefault="00E33A99">
            <w:pPr>
              <w:spacing w:after="120"/>
              <w:jc w:val="right"/>
              <w:rPr>
                <w:noProof/>
                <w:szCs w:val="24"/>
              </w:rPr>
            </w:pPr>
            <w:r>
              <w:rPr>
                <w:noProof/>
                <w:szCs w:val="24"/>
              </w:rPr>
              <w:t>0.05%</w:t>
            </w:r>
          </w:p>
        </w:tc>
        <w:tc>
          <w:tcPr>
            <w:tcW w:w="994" w:type="pct"/>
            <w:noWrap/>
            <w:hideMark/>
          </w:tcPr>
          <w:p w:rsidR="001A26B0" w:rsidRDefault="00E33A99">
            <w:pPr>
              <w:spacing w:after="120"/>
              <w:jc w:val="right"/>
              <w:rPr>
                <w:noProof/>
                <w:szCs w:val="24"/>
              </w:rPr>
            </w:pPr>
            <w:r>
              <w:rPr>
                <w:noProof/>
                <w:szCs w:val="24"/>
              </w:rPr>
              <w:t>0.05%</w:t>
            </w:r>
          </w:p>
        </w:tc>
      </w:tr>
      <w:tr w:rsidR="001A26B0">
        <w:trPr>
          <w:trHeight w:val="288"/>
        </w:trPr>
        <w:tc>
          <w:tcPr>
            <w:tcW w:w="1026" w:type="pct"/>
            <w:noWrap/>
            <w:hideMark/>
          </w:tcPr>
          <w:p w:rsidR="001A26B0" w:rsidRDefault="00E33A99">
            <w:pPr>
              <w:spacing w:after="120"/>
              <w:rPr>
                <w:noProof/>
                <w:szCs w:val="24"/>
              </w:rPr>
            </w:pPr>
            <w:r>
              <w:rPr>
                <w:noProof/>
                <w:szCs w:val="24"/>
              </w:rPr>
              <w:t>LEV_2</w:t>
            </w:r>
          </w:p>
        </w:tc>
        <w:tc>
          <w:tcPr>
            <w:tcW w:w="994" w:type="pct"/>
            <w:noWrap/>
            <w:hideMark/>
          </w:tcPr>
          <w:p w:rsidR="001A26B0" w:rsidRDefault="00E33A99">
            <w:pPr>
              <w:spacing w:after="120"/>
              <w:jc w:val="right"/>
              <w:rPr>
                <w:noProof/>
                <w:szCs w:val="24"/>
              </w:rPr>
            </w:pPr>
            <w:r>
              <w:rPr>
                <w:noProof/>
                <w:szCs w:val="24"/>
              </w:rPr>
              <w:t>0.00%</w:t>
            </w:r>
          </w:p>
        </w:tc>
        <w:tc>
          <w:tcPr>
            <w:tcW w:w="994" w:type="pct"/>
            <w:noWrap/>
            <w:hideMark/>
          </w:tcPr>
          <w:p w:rsidR="001A26B0" w:rsidRDefault="00E33A99">
            <w:pPr>
              <w:spacing w:after="120"/>
              <w:jc w:val="right"/>
              <w:rPr>
                <w:noProof/>
                <w:szCs w:val="24"/>
              </w:rPr>
            </w:pPr>
            <w:r>
              <w:rPr>
                <w:noProof/>
                <w:szCs w:val="24"/>
              </w:rPr>
              <w:t>0.04%</w:t>
            </w:r>
          </w:p>
        </w:tc>
        <w:tc>
          <w:tcPr>
            <w:tcW w:w="994" w:type="pct"/>
            <w:noWrap/>
            <w:hideMark/>
          </w:tcPr>
          <w:p w:rsidR="001A26B0" w:rsidRDefault="00E33A99">
            <w:pPr>
              <w:spacing w:after="120"/>
              <w:jc w:val="right"/>
              <w:rPr>
                <w:noProof/>
                <w:szCs w:val="24"/>
              </w:rPr>
            </w:pPr>
            <w:r>
              <w:rPr>
                <w:noProof/>
                <w:szCs w:val="24"/>
              </w:rPr>
              <w:t>0.06%</w:t>
            </w:r>
          </w:p>
        </w:tc>
        <w:tc>
          <w:tcPr>
            <w:tcW w:w="994" w:type="pct"/>
            <w:noWrap/>
            <w:hideMark/>
          </w:tcPr>
          <w:p w:rsidR="001A26B0" w:rsidRDefault="00E33A99">
            <w:pPr>
              <w:spacing w:after="120"/>
              <w:jc w:val="right"/>
              <w:rPr>
                <w:noProof/>
                <w:szCs w:val="24"/>
              </w:rPr>
            </w:pPr>
            <w:r>
              <w:rPr>
                <w:noProof/>
                <w:szCs w:val="24"/>
              </w:rPr>
              <w:t>0.06%</w:t>
            </w:r>
          </w:p>
        </w:tc>
      </w:tr>
    </w:tbl>
    <w:p w:rsidR="001A26B0" w:rsidRDefault="00E33A99">
      <w:pPr>
        <w:spacing w:before="240" w:after="120"/>
        <w:rPr>
          <w:noProof/>
          <w:szCs w:val="24"/>
        </w:rPr>
      </w:pPr>
      <w:r>
        <w:rPr>
          <w:noProof/>
          <w:szCs w:val="24"/>
        </w:rPr>
        <w:t xml:space="preserve">Interestingly, the pattern of GDP impacts of the different LEV incentive </w:t>
      </w:r>
      <w:r>
        <w:rPr>
          <w:noProof/>
          <w:szCs w:val="24"/>
        </w:rPr>
        <w:t>options is quite similar to those estimated for the different CO</w:t>
      </w:r>
      <w:r>
        <w:rPr>
          <w:noProof/>
          <w:szCs w:val="24"/>
          <w:vertAlign w:val="subscript"/>
        </w:rPr>
        <w:t>2</w:t>
      </w:r>
      <w:r>
        <w:rPr>
          <w:noProof/>
          <w:szCs w:val="24"/>
        </w:rPr>
        <w:t xml:space="preserve"> targets (see Section 6.3.2.2.3.2). </w:t>
      </w:r>
    </w:p>
    <w:p w:rsidR="001A26B0" w:rsidRDefault="00E33A99">
      <w:pPr>
        <w:spacing w:before="240" w:after="120"/>
        <w:rPr>
          <w:noProof/>
          <w:szCs w:val="24"/>
        </w:rPr>
      </w:pPr>
      <w:r>
        <w:rPr>
          <w:noProof/>
          <w:color w:val="000000"/>
          <w:szCs w:val="24"/>
        </w:rPr>
        <w:t xml:space="preserve">On the positive side, there is an expansion of the automotive supply chain translated into increases in production in </w:t>
      </w:r>
      <w:r>
        <w:rPr>
          <w:noProof/>
          <w:szCs w:val="24"/>
        </w:rPr>
        <w:t>sectors such as rubber and plastics,</w:t>
      </w:r>
      <w:r>
        <w:rPr>
          <w:noProof/>
          <w:szCs w:val="24"/>
        </w:rPr>
        <w:t xml:space="preserve"> metals and electrical and machinery equipment sectors reflecting the impact of increased demand from the automotive sectors for batteries and electric motors, while the automotive sector itself sees a small decrease in value added due to the decreased use</w:t>
      </w:r>
      <w:r>
        <w:rPr>
          <w:noProof/>
          <w:szCs w:val="24"/>
        </w:rPr>
        <w:t xml:space="preserve"> of combustion engines in its cars. Similarly the power and hydrogen supply sectors see production increase, reflecting increased demand for electricity and hydrogen to power EVs, while the petroleum refining sector sees lower production.</w:t>
      </w:r>
    </w:p>
    <w:p w:rsidR="001A26B0" w:rsidRDefault="00E33A99">
      <w:pPr>
        <w:spacing w:after="200" w:line="276" w:lineRule="auto"/>
        <w:jc w:val="left"/>
        <w:rPr>
          <w:b/>
          <w:noProof/>
          <w:szCs w:val="24"/>
        </w:rPr>
      </w:pPr>
      <w:r>
        <w:rPr>
          <w:noProof/>
          <w:szCs w:val="24"/>
        </w:rPr>
        <w:fldChar w:fldCharType="begin"/>
      </w:r>
      <w:r>
        <w:rPr>
          <w:noProof/>
          <w:szCs w:val="24"/>
        </w:rPr>
        <w:instrText xml:space="preserve"> REF _Ref49325981</w:instrText>
      </w:r>
      <w:r>
        <w:rPr>
          <w:noProof/>
          <w:szCs w:val="24"/>
        </w:rPr>
        <w:instrText xml:space="preserve">4 \h </w:instrText>
      </w:r>
      <w:r>
        <w:rPr>
          <w:noProof/>
          <w:szCs w:val="24"/>
        </w:rPr>
      </w:r>
      <w:r>
        <w:rPr>
          <w:noProof/>
          <w:szCs w:val="24"/>
        </w:rPr>
        <w:fldChar w:fldCharType="separate"/>
      </w:r>
      <w:r>
        <w:rPr>
          <w:noProof/>
          <w:szCs w:val="24"/>
        </w:rPr>
        <w:br w:type="page"/>
      </w:r>
    </w:p>
    <w:p w:rsidR="001A26B0" w:rsidRDefault="00E33A99">
      <w:pPr>
        <w:spacing w:after="120"/>
        <w:rPr>
          <w:noProof/>
          <w:szCs w:val="24"/>
        </w:rPr>
      </w:pPr>
      <w:r>
        <w:rPr>
          <w:noProof/>
          <w:szCs w:val="24"/>
        </w:rPr>
        <w:t>Table 52</w:t>
      </w:r>
      <w:r>
        <w:rPr>
          <w:noProof/>
          <w:szCs w:val="24"/>
        </w:rPr>
        <w:fldChar w:fldCharType="end"/>
      </w:r>
      <w:r>
        <w:rPr>
          <w:noProof/>
          <w:szCs w:val="24"/>
        </w:rPr>
        <w:t xml:space="preserve"> shows the main impacts on output by the most affected sectors in 2030 for the scenarios with the conservative assumption that all battery cells are imported from outside the</w:t>
      </w:r>
      <w:r>
        <w:rPr>
          <w:noProof/>
          <w:szCs w:val="24"/>
        </w:rPr>
        <w:t xml:space="preserve"> EU. The other sectors see smaller but positive impacts due to the projected increased overall economic output.</w:t>
      </w:r>
    </w:p>
    <w:p w:rsidR="001A26B0" w:rsidRDefault="00E33A99">
      <w:pPr>
        <w:spacing w:after="200" w:line="276" w:lineRule="auto"/>
        <w:jc w:val="left"/>
        <w:rPr>
          <w:b/>
          <w:noProof/>
          <w:szCs w:val="24"/>
        </w:rPr>
      </w:pPr>
      <w:bookmarkStart w:id="636" w:name="_Ref493259814"/>
      <w:r>
        <w:rPr>
          <w:noProof/>
          <w:szCs w:val="24"/>
        </w:rPr>
        <w:br w:type="page"/>
      </w:r>
    </w:p>
    <w:p w:rsidR="001A26B0" w:rsidRDefault="00E33A99">
      <w:pPr>
        <w:pStyle w:val="Caption"/>
        <w:keepNext/>
        <w:spacing w:before="0"/>
        <w:rPr>
          <w:noProof/>
          <w:color w:val="000000"/>
          <w:szCs w:val="24"/>
        </w:rPr>
      </w:pPr>
      <w:r>
        <w:rPr>
          <w:noProof/>
          <w:szCs w:val="24"/>
        </w:rPr>
        <w:t xml:space="preserve">Table </w:t>
      </w:r>
      <w:r>
        <w:rPr>
          <w:noProof/>
          <w:szCs w:val="24"/>
        </w:rPr>
        <w:fldChar w:fldCharType="begin"/>
      </w:r>
      <w:r>
        <w:rPr>
          <w:noProof/>
          <w:szCs w:val="24"/>
        </w:rPr>
        <w:instrText xml:space="preserve"> SEQ Table \* ARABIC </w:instrText>
      </w:r>
      <w:r>
        <w:rPr>
          <w:noProof/>
          <w:szCs w:val="24"/>
        </w:rPr>
        <w:fldChar w:fldCharType="separate"/>
      </w:r>
      <w:r>
        <w:rPr>
          <w:noProof/>
          <w:szCs w:val="24"/>
        </w:rPr>
        <w:t>52</w:t>
      </w:r>
      <w:r>
        <w:rPr>
          <w:noProof/>
          <w:szCs w:val="24"/>
        </w:rPr>
        <w:fldChar w:fldCharType="end"/>
      </w:r>
      <w:bookmarkEnd w:id="636"/>
      <w:r>
        <w:rPr>
          <w:noProof/>
          <w:szCs w:val="24"/>
        </w:rPr>
        <w:t xml:space="preserve">: Impact on 2030 output (M€ in baseline and % change from baseline for other scenarios) for the most affected </w:t>
      </w:r>
      <w:r>
        <w:rPr>
          <w:noProof/>
          <w:szCs w:val="24"/>
        </w:rPr>
        <w:t>sectors (EU-28) of different options regarding the LEV incentives - battery cells imported (</w:t>
      </w:r>
      <w:r>
        <w:rPr>
          <w:noProof/>
        </w:rPr>
        <w:t>E3ME model)</w:t>
      </w:r>
    </w:p>
    <w:tbl>
      <w:tblPr>
        <w:tblStyle w:val="TableGrid"/>
        <w:tblW w:w="8755" w:type="dxa"/>
        <w:tblLayout w:type="fixed"/>
        <w:tblLook w:val="04A0" w:firstRow="1" w:lastRow="0" w:firstColumn="1" w:lastColumn="0" w:noHBand="0" w:noVBand="1"/>
      </w:tblPr>
      <w:tblGrid>
        <w:gridCol w:w="2388"/>
        <w:gridCol w:w="1680"/>
        <w:gridCol w:w="1680"/>
        <w:gridCol w:w="1489"/>
        <w:gridCol w:w="1518"/>
      </w:tblGrid>
      <w:tr w:rsidR="001A26B0">
        <w:trPr>
          <w:trHeight w:val="288"/>
        </w:trPr>
        <w:tc>
          <w:tcPr>
            <w:tcW w:w="2388" w:type="dxa"/>
            <w:noWrap/>
            <w:hideMark/>
          </w:tcPr>
          <w:p w:rsidR="001A26B0" w:rsidRDefault="001A26B0">
            <w:pPr>
              <w:spacing w:after="120"/>
              <w:rPr>
                <w:b/>
                <w:noProof/>
                <w:szCs w:val="24"/>
              </w:rPr>
            </w:pPr>
          </w:p>
        </w:tc>
        <w:tc>
          <w:tcPr>
            <w:tcW w:w="1680" w:type="dxa"/>
            <w:noWrap/>
            <w:hideMark/>
          </w:tcPr>
          <w:p w:rsidR="001A26B0" w:rsidRDefault="00E33A99">
            <w:pPr>
              <w:spacing w:after="120"/>
              <w:jc w:val="center"/>
              <w:rPr>
                <w:b/>
                <w:noProof/>
                <w:szCs w:val="24"/>
              </w:rPr>
            </w:pPr>
            <w:r>
              <w:rPr>
                <w:b/>
                <w:noProof/>
                <w:szCs w:val="24"/>
              </w:rPr>
              <w:t>TL0 (M€)</w:t>
            </w:r>
          </w:p>
        </w:tc>
        <w:tc>
          <w:tcPr>
            <w:tcW w:w="1680" w:type="dxa"/>
          </w:tcPr>
          <w:p w:rsidR="001A26B0" w:rsidRDefault="00E33A99">
            <w:pPr>
              <w:spacing w:after="120"/>
              <w:jc w:val="center"/>
              <w:rPr>
                <w:b/>
                <w:noProof/>
                <w:szCs w:val="24"/>
              </w:rPr>
            </w:pPr>
            <w:r>
              <w:rPr>
                <w:b/>
                <w:noProof/>
                <w:szCs w:val="24"/>
              </w:rPr>
              <w:t>TL30c/25v</w:t>
            </w:r>
          </w:p>
        </w:tc>
        <w:tc>
          <w:tcPr>
            <w:tcW w:w="1489" w:type="dxa"/>
            <w:noWrap/>
            <w:hideMark/>
          </w:tcPr>
          <w:p w:rsidR="001A26B0" w:rsidRDefault="00E33A99">
            <w:pPr>
              <w:spacing w:after="120"/>
              <w:jc w:val="center"/>
              <w:rPr>
                <w:b/>
                <w:noProof/>
                <w:szCs w:val="24"/>
              </w:rPr>
            </w:pPr>
            <w:r>
              <w:rPr>
                <w:b/>
                <w:noProof/>
                <w:szCs w:val="24"/>
              </w:rPr>
              <w:t>LEV_1</w:t>
            </w:r>
          </w:p>
        </w:tc>
        <w:tc>
          <w:tcPr>
            <w:tcW w:w="1518" w:type="dxa"/>
            <w:noWrap/>
            <w:hideMark/>
          </w:tcPr>
          <w:p w:rsidR="001A26B0" w:rsidRDefault="00E33A99">
            <w:pPr>
              <w:spacing w:after="120"/>
              <w:jc w:val="center"/>
              <w:rPr>
                <w:b/>
                <w:noProof/>
                <w:szCs w:val="24"/>
              </w:rPr>
            </w:pPr>
            <w:r>
              <w:rPr>
                <w:b/>
                <w:noProof/>
                <w:szCs w:val="24"/>
              </w:rPr>
              <w:t>LEV_2</w:t>
            </w:r>
          </w:p>
        </w:tc>
      </w:tr>
      <w:tr w:rsidR="001A26B0">
        <w:trPr>
          <w:trHeight w:val="288"/>
        </w:trPr>
        <w:tc>
          <w:tcPr>
            <w:tcW w:w="2388" w:type="dxa"/>
            <w:noWrap/>
            <w:vAlign w:val="center"/>
            <w:hideMark/>
          </w:tcPr>
          <w:p w:rsidR="001A26B0" w:rsidRDefault="00E33A99">
            <w:pPr>
              <w:spacing w:after="120"/>
              <w:jc w:val="left"/>
              <w:rPr>
                <w:noProof/>
                <w:szCs w:val="24"/>
              </w:rPr>
            </w:pPr>
            <w:r>
              <w:rPr>
                <w:noProof/>
                <w:szCs w:val="24"/>
              </w:rPr>
              <w:t>Petroleum refining</w:t>
            </w:r>
          </w:p>
        </w:tc>
        <w:tc>
          <w:tcPr>
            <w:tcW w:w="1680" w:type="dxa"/>
            <w:noWrap/>
            <w:vAlign w:val="center"/>
            <w:hideMark/>
          </w:tcPr>
          <w:p w:rsidR="001A26B0" w:rsidRDefault="00E33A99">
            <w:pPr>
              <w:spacing w:after="120"/>
              <w:jc w:val="right"/>
              <w:rPr>
                <w:noProof/>
                <w:szCs w:val="24"/>
              </w:rPr>
            </w:pPr>
            <w:r>
              <w:rPr>
                <w:noProof/>
                <w:szCs w:val="24"/>
              </w:rPr>
              <w:t>410,422</w:t>
            </w:r>
          </w:p>
        </w:tc>
        <w:tc>
          <w:tcPr>
            <w:tcW w:w="1680" w:type="dxa"/>
            <w:vAlign w:val="center"/>
          </w:tcPr>
          <w:p w:rsidR="001A26B0" w:rsidRDefault="00E33A99">
            <w:pPr>
              <w:spacing w:after="120"/>
              <w:jc w:val="center"/>
              <w:rPr>
                <w:noProof/>
                <w:szCs w:val="24"/>
              </w:rPr>
            </w:pPr>
            <w:r>
              <w:rPr>
                <w:noProof/>
                <w:color w:val="000000"/>
                <w:szCs w:val="24"/>
              </w:rPr>
              <w:t>-1.1%</w:t>
            </w:r>
          </w:p>
        </w:tc>
        <w:tc>
          <w:tcPr>
            <w:tcW w:w="1489" w:type="dxa"/>
            <w:noWrap/>
            <w:vAlign w:val="center"/>
            <w:hideMark/>
          </w:tcPr>
          <w:p w:rsidR="001A26B0" w:rsidRDefault="00E33A99">
            <w:pPr>
              <w:spacing w:after="120"/>
              <w:jc w:val="center"/>
              <w:rPr>
                <w:noProof/>
                <w:szCs w:val="24"/>
              </w:rPr>
            </w:pPr>
            <w:r>
              <w:rPr>
                <w:noProof/>
                <w:szCs w:val="24"/>
              </w:rPr>
              <w:t>-1.3%</w:t>
            </w:r>
          </w:p>
        </w:tc>
        <w:tc>
          <w:tcPr>
            <w:tcW w:w="1518" w:type="dxa"/>
            <w:noWrap/>
            <w:vAlign w:val="center"/>
            <w:hideMark/>
          </w:tcPr>
          <w:p w:rsidR="001A26B0" w:rsidRDefault="00E33A99">
            <w:pPr>
              <w:spacing w:after="120"/>
              <w:jc w:val="center"/>
              <w:rPr>
                <w:noProof/>
                <w:szCs w:val="24"/>
              </w:rPr>
            </w:pPr>
            <w:r>
              <w:rPr>
                <w:noProof/>
                <w:szCs w:val="24"/>
              </w:rPr>
              <w:t>-1.2%</w:t>
            </w:r>
          </w:p>
        </w:tc>
      </w:tr>
      <w:tr w:rsidR="001A26B0">
        <w:trPr>
          <w:trHeight w:val="288"/>
        </w:trPr>
        <w:tc>
          <w:tcPr>
            <w:tcW w:w="2388" w:type="dxa"/>
            <w:noWrap/>
            <w:vAlign w:val="center"/>
            <w:hideMark/>
          </w:tcPr>
          <w:p w:rsidR="001A26B0" w:rsidRDefault="00E33A99">
            <w:pPr>
              <w:spacing w:after="120"/>
              <w:jc w:val="left"/>
              <w:rPr>
                <w:noProof/>
                <w:szCs w:val="24"/>
              </w:rPr>
            </w:pPr>
            <w:r>
              <w:rPr>
                <w:noProof/>
                <w:szCs w:val="24"/>
              </w:rPr>
              <w:t>Automotive</w:t>
            </w:r>
          </w:p>
        </w:tc>
        <w:tc>
          <w:tcPr>
            <w:tcW w:w="1680" w:type="dxa"/>
            <w:noWrap/>
            <w:vAlign w:val="center"/>
            <w:hideMark/>
          </w:tcPr>
          <w:p w:rsidR="001A26B0" w:rsidRDefault="00E33A99">
            <w:pPr>
              <w:spacing w:after="120"/>
              <w:jc w:val="right"/>
              <w:rPr>
                <w:noProof/>
                <w:szCs w:val="24"/>
              </w:rPr>
            </w:pPr>
            <w:r>
              <w:rPr>
                <w:noProof/>
                <w:szCs w:val="24"/>
              </w:rPr>
              <w:t>1,076,972</w:t>
            </w:r>
          </w:p>
        </w:tc>
        <w:tc>
          <w:tcPr>
            <w:tcW w:w="1680" w:type="dxa"/>
            <w:vAlign w:val="center"/>
          </w:tcPr>
          <w:p w:rsidR="001A26B0" w:rsidRDefault="00E33A99">
            <w:pPr>
              <w:spacing w:after="120"/>
              <w:jc w:val="center"/>
              <w:rPr>
                <w:noProof/>
                <w:szCs w:val="24"/>
              </w:rPr>
            </w:pPr>
            <w:r>
              <w:rPr>
                <w:noProof/>
                <w:color w:val="000000"/>
                <w:szCs w:val="24"/>
              </w:rPr>
              <w:t>-0.1%</w:t>
            </w:r>
          </w:p>
        </w:tc>
        <w:tc>
          <w:tcPr>
            <w:tcW w:w="1489" w:type="dxa"/>
            <w:noWrap/>
            <w:vAlign w:val="center"/>
            <w:hideMark/>
          </w:tcPr>
          <w:p w:rsidR="001A26B0" w:rsidRDefault="00E33A99">
            <w:pPr>
              <w:spacing w:after="120"/>
              <w:jc w:val="center"/>
              <w:rPr>
                <w:noProof/>
                <w:szCs w:val="24"/>
              </w:rPr>
            </w:pPr>
            <w:r>
              <w:rPr>
                <w:noProof/>
                <w:szCs w:val="24"/>
              </w:rPr>
              <w:t>-0.6%</w:t>
            </w:r>
          </w:p>
        </w:tc>
        <w:tc>
          <w:tcPr>
            <w:tcW w:w="1518" w:type="dxa"/>
            <w:noWrap/>
            <w:vAlign w:val="center"/>
            <w:hideMark/>
          </w:tcPr>
          <w:p w:rsidR="001A26B0" w:rsidRDefault="00E33A99">
            <w:pPr>
              <w:spacing w:after="120"/>
              <w:jc w:val="center"/>
              <w:rPr>
                <w:noProof/>
                <w:szCs w:val="24"/>
              </w:rPr>
            </w:pPr>
            <w:r>
              <w:rPr>
                <w:noProof/>
                <w:szCs w:val="24"/>
              </w:rPr>
              <w:t>-0.9%</w:t>
            </w:r>
          </w:p>
        </w:tc>
      </w:tr>
      <w:tr w:rsidR="001A26B0">
        <w:trPr>
          <w:trHeight w:val="288"/>
        </w:trPr>
        <w:tc>
          <w:tcPr>
            <w:tcW w:w="2388" w:type="dxa"/>
            <w:noWrap/>
            <w:vAlign w:val="center"/>
            <w:hideMark/>
          </w:tcPr>
          <w:p w:rsidR="001A26B0" w:rsidRDefault="00E33A99">
            <w:pPr>
              <w:spacing w:after="120"/>
              <w:jc w:val="left"/>
              <w:rPr>
                <w:noProof/>
                <w:szCs w:val="24"/>
              </w:rPr>
            </w:pPr>
            <w:r>
              <w:rPr>
                <w:noProof/>
                <w:szCs w:val="24"/>
              </w:rPr>
              <w:t>Rubber and plastics</w:t>
            </w:r>
          </w:p>
        </w:tc>
        <w:tc>
          <w:tcPr>
            <w:tcW w:w="1680" w:type="dxa"/>
            <w:noWrap/>
            <w:vAlign w:val="center"/>
            <w:hideMark/>
          </w:tcPr>
          <w:p w:rsidR="001A26B0" w:rsidRDefault="00E33A99">
            <w:pPr>
              <w:spacing w:after="120"/>
              <w:jc w:val="right"/>
              <w:rPr>
                <w:noProof/>
                <w:szCs w:val="24"/>
              </w:rPr>
            </w:pPr>
            <w:r>
              <w:rPr>
                <w:noProof/>
                <w:szCs w:val="24"/>
              </w:rPr>
              <w:t>317,932</w:t>
            </w:r>
          </w:p>
        </w:tc>
        <w:tc>
          <w:tcPr>
            <w:tcW w:w="1680" w:type="dxa"/>
            <w:vAlign w:val="center"/>
          </w:tcPr>
          <w:p w:rsidR="001A26B0" w:rsidRDefault="00E33A99">
            <w:pPr>
              <w:spacing w:after="120"/>
              <w:jc w:val="center"/>
              <w:rPr>
                <w:noProof/>
                <w:szCs w:val="24"/>
              </w:rPr>
            </w:pPr>
            <w:r>
              <w:rPr>
                <w:noProof/>
                <w:color w:val="000000"/>
                <w:szCs w:val="24"/>
              </w:rPr>
              <w:t>0.4%</w:t>
            </w:r>
          </w:p>
        </w:tc>
        <w:tc>
          <w:tcPr>
            <w:tcW w:w="1489" w:type="dxa"/>
            <w:noWrap/>
            <w:vAlign w:val="center"/>
            <w:hideMark/>
          </w:tcPr>
          <w:p w:rsidR="001A26B0" w:rsidRDefault="00E33A99">
            <w:pPr>
              <w:spacing w:after="120"/>
              <w:jc w:val="center"/>
              <w:rPr>
                <w:noProof/>
                <w:szCs w:val="24"/>
              </w:rPr>
            </w:pPr>
            <w:r>
              <w:rPr>
                <w:noProof/>
                <w:szCs w:val="24"/>
              </w:rPr>
              <w:t>0.4%</w:t>
            </w:r>
          </w:p>
        </w:tc>
        <w:tc>
          <w:tcPr>
            <w:tcW w:w="1518" w:type="dxa"/>
            <w:noWrap/>
            <w:vAlign w:val="center"/>
            <w:hideMark/>
          </w:tcPr>
          <w:p w:rsidR="001A26B0" w:rsidRDefault="00E33A99">
            <w:pPr>
              <w:spacing w:after="120"/>
              <w:jc w:val="center"/>
              <w:rPr>
                <w:noProof/>
                <w:szCs w:val="24"/>
              </w:rPr>
            </w:pPr>
            <w:r>
              <w:rPr>
                <w:noProof/>
                <w:szCs w:val="24"/>
              </w:rPr>
              <w:t>0.4%</w:t>
            </w:r>
          </w:p>
        </w:tc>
      </w:tr>
      <w:tr w:rsidR="001A26B0">
        <w:trPr>
          <w:trHeight w:val="288"/>
        </w:trPr>
        <w:tc>
          <w:tcPr>
            <w:tcW w:w="2388" w:type="dxa"/>
            <w:noWrap/>
            <w:vAlign w:val="center"/>
            <w:hideMark/>
          </w:tcPr>
          <w:p w:rsidR="001A26B0" w:rsidRDefault="00E33A99">
            <w:pPr>
              <w:spacing w:after="120"/>
              <w:jc w:val="left"/>
              <w:rPr>
                <w:noProof/>
                <w:szCs w:val="24"/>
              </w:rPr>
            </w:pPr>
            <w:r>
              <w:rPr>
                <w:noProof/>
                <w:szCs w:val="24"/>
              </w:rPr>
              <w:t>Metals</w:t>
            </w:r>
          </w:p>
        </w:tc>
        <w:tc>
          <w:tcPr>
            <w:tcW w:w="1680" w:type="dxa"/>
            <w:noWrap/>
            <w:vAlign w:val="center"/>
            <w:hideMark/>
          </w:tcPr>
          <w:p w:rsidR="001A26B0" w:rsidRDefault="00E33A99">
            <w:pPr>
              <w:spacing w:after="120"/>
              <w:jc w:val="right"/>
              <w:rPr>
                <w:noProof/>
                <w:szCs w:val="24"/>
              </w:rPr>
            </w:pPr>
            <w:r>
              <w:rPr>
                <w:noProof/>
                <w:szCs w:val="24"/>
              </w:rPr>
              <w:t>1,044,999</w:t>
            </w:r>
          </w:p>
        </w:tc>
        <w:tc>
          <w:tcPr>
            <w:tcW w:w="1680" w:type="dxa"/>
            <w:vAlign w:val="center"/>
          </w:tcPr>
          <w:p w:rsidR="001A26B0" w:rsidRDefault="00E33A99">
            <w:pPr>
              <w:spacing w:after="120"/>
              <w:jc w:val="center"/>
              <w:rPr>
                <w:noProof/>
                <w:szCs w:val="24"/>
              </w:rPr>
            </w:pPr>
            <w:r>
              <w:rPr>
                <w:noProof/>
                <w:color w:val="000000"/>
                <w:szCs w:val="24"/>
              </w:rPr>
              <w:t>0.3%</w:t>
            </w:r>
          </w:p>
        </w:tc>
        <w:tc>
          <w:tcPr>
            <w:tcW w:w="1489" w:type="dxa"/>
            <w:noWrap/>
            <w:vAlign w:val="center"/>
            <w:hideMark/>
          </w:tcPr>
          <w:p w:rsidR="001A26B0" w:rsidRDefault="00E33A99">
            <w:pPr>
              <w:spacing w:after="120"/>
              <w:jc w:val="center"/>
              <w:rPr>
                <w:noProof/>
                <w:szCs w:val="24"/>
              </w:rPr>
            </w:pPr>
            <w:r>
              <w:rPr>
                <w:noProof/>
                <w:szCs w:val="24"/>
              </w:rPr>
              <w:t>0.3%</w:t>
            </w:r>
          </w:p>
        </w:tc>
        <w:tc>
          <w:tcPr>
            <w:tcW w:w="1518" w:type="dxa"/>
            <w:noWrap/>
            <w:vAlign w:val="center"/>
            <w:hideMark/>
          </w:tcPr>
          <w:p w:rsidR="001A26B0" w:rsidRDefault="00E33A99">
            <w:pPr>
              <w:spacing w:after="120"/>
              <w:jc w:val="center"/>
              <w:rPr>
                <w:noProof/>
                <w:szCs w:val="24"/>
              </w:rPr>
            </w:pPr>
            <w:r>
              <w:rPr>
                <w:noProof/>
                <w:szCs w:val="24"/>
              </w:rPr>
              <w:t>0.2%</w:t>
            </w:r>
          </w:p>
        </w:tc>
      </w:tr>
      <w:tr w:rsidR="001A26B0">
        <w:trPr>
          <w:trHeight w:val="288"/>
        </w:trPr>
        <w:tc>
          <w:tcPr>
            <w:tcW w:w="2388" w:type="dxa"/>
            <w:noWrap/>
            <w:vAlign w:val="center"/>
            <w:hideMark/>
          </w:tcPr>
          <w:p w:rsidR="001A26B0" w:rsidRDefault="00E33A99">
            <w:pPr>
              <w:spacing w:after="120"/>
              <w:jc w:val="left"/>
              <w:rPr>
                <w:noProof/>
                <w:szCs w:val="24"/>
              </w:rPr>
            </w:pPr>
            <w:r>
              <w:rPr>
                <w:noProof/>
                <w:szCs w:val="24"/>
              </w:rPr>
              <w:t>Electrical equipment</w:t>
            </w:r>
          </w:p>
        </w:tc>
        <w:tc>
          <w:tcPr>
            <w:tcW w:w="1680" w:type="dxa"/>
            <w:noWrap/>
            <w:vAlign w:val="center"/>
            <w:hideMark/>
          </w:tcPr>
          <w:p w:rsidR="001A26B0" w:rsidRDefault="00E33A99">
            <w:pPr>
              <w:spacing w:after="120"/>
              <w:jc w:val="right"/>
              <w:rPr>
                <w:noProof/>
                <w:szCs w:val="24"/>
              </w:rPr>
            </w:pPr>
            <w:r>
              <w:rPr>
                <w:noProof/>
                <w:szCs w:val="24"/>
              </w:rPr>
              <w:t>1,091,185</w:t>
            </w:r>
          </w:p>
        </w:tc>
        <w:tc>
          <w:tcPr>
            <w:tcW w:w="1680" w:type="dxa"/>
            <w:vAlign w:val="center"/>
          </w:tcPr>
          <w:p w:rsidR="001A26B0" w:rsidRDefault="00E33A99">
            <w:pPr>
              <w:spacing w:after="120"/>
              <w:jc w:val="center"/>
              <w:rPr>
                <w:noProof/>
                <w:szCs w:val="24"/>
              </w:rPr>
            </w:pPr>
            <w:r>
              <w:rPr>
                <w:noProof/>
                <w:color w:val="000000"/>
                <w:szCs w:val="24"/>
              </w:rPr>
              <w:t>0.9%</w:t>
            </w:r>
          </w:p>
        </w:tc>
        <w:tc>
          <w:tcPr>
            <w:tcW w:w="1489" w:type="dxa"/>
            <w:noWrap/>
            <w:vAlign w:val="center"/>
            <w:hideMark/>
          </w:tcPr>
          <w:p w:rsidR="001A26B0" w:rsidRDefault="00E33A99">
            <w:pPr>
              <w:spacing w:after="120"/>
              <w:jc w:val="center"/>
              <w:rPr>
                <w:noProof/>
                <w:szCs w:val="24"/>
              </w:rPr>
            </w:pPr>
            <w:r>
              <w:rPr>
                <w:noProof/>
                <w:szCs w:val="24"/>
              </w:rPr>
              <w:t>0.5%</w:t>
            </w:r>
          </w:p>
        </w:tc>
        <w:tc>
          <w:tcPr>
            <w:tcW w:w="1518" w:type="dxa"/>
            <w:noWrap/>
            <w:vAlign w:val="center"/>
            <w:hideMark/>
          </w:tcPr>
          <w:p w:rsidR="001A26B0" w:rsidRDefault="00E33A99">
            <w:pPr>
              <w:spacing w:after="120"/>
              <w:jc w:val="center"/>
              <w:rPr>
                <w:noProof/>
                <w:szCs w:val="24"/>
              </w:rPr>
            </w:pPr>
            <w:r>
              <w:rPr>
                <w:noProof/>
                <w:szCs w:val="24"/>
              </w:rPr>
              <w:t>0.7%</w:t>
            </w:r>
          </w:p>
        </w:tc>
      </w:tr>
      <w:tr w:rsidR="001A26B0">
        <w:trPr>
          <w:trHeight w:val="288"/>
        </w:trPr>
        <w:tc>
          <w:tcPr>
            <w:tcW w:w="2388" w:type="dxa"/>
            <w:noWrap/>
            <w:vAlign w:val="center"/>
            <w:hideMark/>
          </w:tcPr>
          <w:p w:rsidR="001A26B0" w:rsidRDefault="00E33A99">
            <w:pPr>
              <w:spacing w:after="120"/>
              <w:jc w:val="left"/>
              <w:rPr>
                <w:noProof/>
                <w:szCs w:val="24"/>
              </w:rPr>
            </w:pPr>
            <w:r>
              <w:rPr>
                <w:noProof/>
                <w:szCs w:val="24"/>
              </w:rPr>
              <w:t>Machinery equipment</w:t>
            </w:r>
          </w:p>
        </w:tc>
        <w:tc>
          <w:tcPr>
            <w:tcW w:w="1680" w:type="dxa"/>
            <w:noWrap/>
            <w:vAlign w:val="center"/>
            <w:hideMark/>
          </w:tcPr>
          <w:p w:rsidR="001A26B0" w:rsidRDefault="00E33A99">
            <w:pPr>
              <w:spacing w:after="120"/>
              <w:jc w:val="right"/>
              <w:rPr>
                <w:noProof/>
                <w:szCs w:val="24"/>
              </w:rPr>
            </w:pPr>
            <w:r>
              <w:rPr>
                <w:noProof/>
                <w:szCs w:val="24"/>
              </w:rPr>
              <w:t>581,955</w:t>
            </w:r>
          </w:p>
        </w:tc>
        <w:tc>
          <w:tcPr>
            <w:tcW w:w="1680" w:type="dxa"/>
            <w:vAlign w:val="center"/>
          </w:tcPr>
          <w:p w:rsidR="001A26B0" w:rsidRDefault="00E33A99">
            <w:pPr>
              <w:spacing w:after="120"/>
              <w:jc w:val="center"/>
              <w:rPr>
                <w:noProof/>
                <w:szCs w:val="24"/>
              </w:rPr>
            </w:pPr>
            <w:r>
              <w:rPr>
                <w:noProof/>
                <w:color w:val="000000"/>
                <w:szCs w:val="24"/>
              </w:rPr>
              <w:t>0.2%</w:t>
            </w:r>
          </w:p>
        </w:tc>
        <w:tc>
          <w:tcPr>
            <w:tcW w:w="1489" w:type="dxa"/>
            <w:noWrap/>
            <w:vAlign w:val="center"/>
            <w:hideMark/>
          </w:tcPr>
          <w:p w:rsidR="001A26B0" w:rsidRDefault="00E33A99">
            <w:pPr>
              <w:spacing w:after="120"/>
              <w:jc w:val="center"/>
              <w:rPr>
                <w:noProof/>
                <w:szCs w:val="24"/>
              </w:rPr>
            </w:pPr>
            <w:r>
              <w:rPr>
                <w:noProof/>
                <w:szCs w:val="24"/>
              </w:rPr>
              <w:t>0.3%</w:t>
            </w:r>
          </w:p>
        </w:tc>
        <w:tc>
          <w:tcPr>
            <w:tcW w:w="1518" w:type="dxa"/>
            <w:noWrap/>
            <w:vAlign w:val="center"/>
            <w:hideMark/>
          </w:tcPr>
          <w:p w:rsidR="001A26B0" w:rsidRDefault="00E33A99">
            <w:pPr>
              <w:spacing w:after="120"/>
              <w:jc w:val="center"/>
              <w:rPr>
                <w:noProof/>
                <w:szCs w:val="24"/>
              </w:rPr>
            </w:pPr>
            <w:r>
              <w:rPr>
                <w:noProof/>
                <w:szCs w:val="24"/>
              </w:rPr>
              <w:t>0.3%</w:t>
            </w:r>
          </w:p>
        </w:tc>
      </w:tr>
      <w:tr w:rsidR="001A26B0">
        <w:trPr>
          <w:trHeight w:val="288"/>
        </w:trPr>
        <w:tc>
          <w:tcPr>
            <w:tcW w:w="2388" w:type="dxa"/>
            <w:noWrap/>
            <w:vAlign w:val="center"/>
            <w:hideMark/>
          </w:tcPr>
          <w:p w:rsidR="001A26B0" w:rsidRDefault="00E33A99">
            <w:pPr>
              <w:spacing w:after="120"/>
              <w:jc w:val="left"/>
              <w:rPr>
                <w:noProof/>
                <w:szCs w:val="24"/>
              </w:rPr>
            </w:pPr>
            <w:r>
              <w:rPr>
                <w:noProof/>
                <w:szCs w:val="24"/>
              </w:rPr>
              <w:t>Electricity, gas, water, etc.</w:t>
            </w:r>
          </w:p>
        </w:tc>
        <w:tc>
          <w:tcPr>
            <w:tcW w:w="1680" w:type="dxa"/>
            <w:noWrap/>
            <w:vAlign w:val="center"/>
            <w:hideMark/>
          </w:tcPr>
          <w:p w:rsidR="001A26B0" w:rsidRDefault="00E33A99">
            <w:pPr>
              <w:spacing w:after="120"/>
              <w:jc w:val="right"/>
              <w:rPr>
                <w:noProof/>
                <w:szCs w:val="24"/>
              </w:rPr>
            </w:pPr>
            <w:r>
              <w:rPr>
                <w:noProof/>
                <w:szCs w:val="24"/>
              </w:rPr>
              <w:t>1,124,221</w:t>
            </w:r>
          </w:p>
        </w:tc>
        <w:tc>
          <w:tcPr>
            <w:tcW w:w="1680" w:type="dxa"/>
            <w:vAlign w:val="center"/>
          </w:tcPr>
          <w:p w:rsidR="001A26B0" w:rsidRDefault="00E33A99">
            <w:pPr>
              <w:spacing w:after="120"/>
              <w:jc w:val="center"/>
              <w:rPr>
                <w:noProof/>
                <w:szCs w:val="24"/>
              </w:rPr>
            </w:pPr>
            <w:r>
              <w:rPr>
                <w:noProof/>
                <w:color w:val="000000"/>
                <w:szCs w:val="24"/>
              </w:rPr>
              <w:t>0.3%</w:t>
            </w:r>
          </w:p>
        </w:tc>
        <w:tc>
          <w:tcPr>
            <w:tcW w:w="1489" w:type="dxa"/>
            <w:noWrap/>
            <w:vAlign w:val="center"/>
            <w:hideMark/>
          </w:tcPr>
          <w:p w:rsidR="001A26B0" w:rsidRDefault="00E33A99">
            <w:pPr>
              <w:spacing w:after="120"/>
              <w:jc w:val="center"/>
              <w:rPr>
                <w:noProof/>
                <w:szCs w:val="24"/>
              </w:rPr>
            </w:pPr>
            <w:r>
              <w:rPr>
                <w:noProof/>
                <w:szCs w:val="24"/>
              </w:rPr>
              <w:t>0.6%</w:t>
            </w:r>
          </w:p>
        </w:tc>
        <w:tc>
          <w:tcPr>
            <w:tcW w:w="1518" w:type="dxa"/>
            <w:noWrap/>
            <w:vAlign w:val="center"/>
            <w:hideMark/>
          </w:tcPr>
          <w:p w:rsidR="001A26B0" w:rsidRDefault="00E33A99">
            <w:pPr>
              <w:spacing w:after="120"/>
              <w:jc w:val="center"/>
              <w:rPr>
                <w:noProof/>
                <w:szCs w:val="24"/>
              </w:rPr>
            </w:pPr>
            <w:r>
              <w:rPr>
                <w:noProof/>
                <w:szCs w:val="24"/>
              </w:rPr>
              <w:t>0.7%</w:t>
            </w:r>
          </w:p>
        </w:tc>
      </w:tr>
    </w:tbl>
    <w:p w:rsidR="001A26B0" w:rsidRDefault="00E33A99">
      <w:pPr>
        <w:spacing w:before="240" w:after="120"/>
        <w:rPr>
          <w:noProof/>
          <w:szCs w:val="24"/>
        </w:rPr>
      </w:pPr>
      <w:r>
        <w:rPr>
          <w:noProof/>
          <w:szCs w:val="24"/>
        </w:rPr>
        <w:t xml:space="preserve">In case that the battery cells are manufactured in the EU, the </w:t>
      </w:r>
      <w:r>
        <w:rPr>
          <w:noProof/>
          <w:szCs w:val="24"/>
        </w:rPr>
        <w:t>electrical equipment sector output would show an increase of 0.6% and 0.9% with respect to the baseline in LEV_1 and LEV_2, respectively.</w:t>
      </w:r>
    </w:p>
    <w:p w:rsidR="001A26B0" w:rsidRDefault="00E33A99">
      <w:pPr>
        <w:pStyle w:val="Heading5"/>
        <w:rPr>
          <w:noProof/>
        </w:rPr>
      </w:pPr>
      <w:r>
        <w:rPr>
          <w:noProof/>
        </w:rPr>
        <w:t>Employment</w:t>
      </w:r>
    </w:p>
    <w:p w:rsidR="001A26B0" w:rsidRDefault="00E33A99">
      <w:pPr>
        <w:rPr>
          <w:noProof/>
          <w:szCs w:val="24"/>
        </w:rPr>
      </w:pPr>
      <w:r>
        <w:rPr>
          <w:noProof/>
          <w:szCs w:val="24"/>
        </w:rPr>
        <w:t xml:space="preserve">As shown in </w:t>
      </w:r>
      <w:r>
        <w:rPr>
          <w:noProof/>
          <w:szCs w:val="24"/>
        </w:rPr>
        <w:fldChar w:fldCharType="begin"/>
      </w:r>
      <w:r>
        <w:rPr>
          <w:noProof/>
          <w:szCs w:val="24"/>
        </w:rPr>
        <w:instrText xml:space="preserve"> REF _Ref493613311 \h  \* MERGEFORMAT </w:instrText>
      </w:r>
      <w:r>
        <w:rPr>
          <w:noProof/>
          <w:szCs w:val="24"/>
        </w:rPr>
      </w:r>
      <w:r>
        <w:rPr>
          <w:noProof/>
          <w:szCs w:val="24"/>
        </w:rPr>
        <w:fldChar w:fldCharType="separate"/>
      </w:r>
      <w:r>
        <w:rPr>
          <w:noProof/>
          <w:szCs w:val="24"/>
        </w:rPr>
        <w:t>Table 53</w:t>
      </w:r>
      <w:r>
        <w:rPr>
          <w:noProof/>
          <w:szCs w:val="24"/>
        </w:rPr>
        <w:fldChar w:fldCharType="end"/>
      </w:r>
      <w:r>
        <w:rPr>
          <w:noProof/>
          <w:szCs w:val="24"/>
        </w:rPr>
        <w:t xml:space="preserve">, the scenarios assessed show small positive changes in the number of jobs across the EU-28 compared to the baseline. </w:t>
      </w:r>
    </w:p>
    <w:p w:rsidR="001A26B0" w:rsidRDefault="00E33A99">
      <w:pPr>
        <w:rPr>
          <w:b/>
          <w:noProof/>
        </w:rPr>
      </w:pPr>
      <w:bookmarkStart w:id="637" w:name="_Ref493613311"/>
      <w:r>
        <w:rPr>
          <w:b/>
          <w:noProof/>
          <w:szCs w:val="24"/>
        </w:rPr>
        <w:t xml:space="preserve">Table </w:t>
      </w:r>
      <w:r>
        <w:rPr>
          <w:b/>
          <w:noProof/>
          <w:szCs w:val="24"/>
        </w:rPr>
        <w:fldChar w:fldCharType="begin"/>
      </w:r>
      <w:r>
        <w:rPr>
          <w:b/>
          <w:noProof/>
          <w:szCs w:val="24"/>
        </w:rPr>
        <w:instrText xml:space="preserve"> SEQ Table \* ARABIC </w:instrText>
      </w:r>
      <w:r>
        <w:rPr>
          <w:b/>
          <w:noProof/>
          <w:szCs w:val="24"/>
        </w:rPr>
        <w:fldChar w:fldCharType="separate"/>
      </w:r>
      <w:r>
        <w:rPr>
          <w:b/>
          <w:noProof/>
          <w:szCs w:val="24"/>
        </w:rPr>
        <w:t>53</w:t>
      </w:r>
      <w:r>
        <w:rPr>
          <w:b/>
          <w:noProof/>
          <w:szCs w:val="24"/>
        </w:rPr>
        <w:fldChar w:fldCharType="end"/>
      </w:r>
      <w:bookmarkEnd w:id="637"/>
      <w:r>
        <w:rPr>
          <w:b/>
          <w:noProof/>
          <w:szCs w:val="24"/>
        </w:rPr>
        <w:t>: Impact in terms of total employment (in thousands of jobs, EU-28, and % change to the</w:t>
      </w:r>
      <w:r>
        <w:rPr>
          <w:b/>
          <w:noProof/>
          <w:szCs w:val="24"/>
        </w:rPr>
        <w:t xml:space="preserve"> baseline) of different LEV incentive options - battery cells imported (</w:t>
      </w:r>
      <w:r>
        <w:rPr>
          <w:b/>
          <w:noProof/>
        </w:rPr>
        <w:t>E3ME model)</w:t>
      </w:r>
      <w:r>
        <w:rPr>
          <w:b/>
          <w:noProof/>
          <w:szCs w:val="24"/>
        </w:rPr>
        <w:t> </w:t>
      </w:r>
    </w:p>
    <w:tbl>
      <w:tblPr>
        <w:tblStyle w:val="TableGrid"/>
        <w:tblW w:w="5000" w:type="pct"/>
        <w:tblLook w:val="04A0" w:firstRow="1" w:lastRow="0" w:firstColumn="1" w:lastColumn="0" w:noHBand="0" w:noVBand="1"/>
      </w:tblPr>
      <w:tblGrid>
        <w:gridCol w:w="2208"/>
        <w:gridCol w:w="2207"/>
        <w:gridCol w:w="2207"/>
        <w:gridCol w:w="2207"/>
      </w:tblGrid>
      <w:tr w:rsidR="001A26B0">
        <w:tc>
          <w:tcPr>
            <w:tcW w:w="1250" w:type="pct"/>
            <w:vAlign w:val="bottom"/>
          </w:tcPr>
          <w:p w:rsidR="001A26B0" w:rsidRDefault="00E33A99">
            <w:pPr>
              <w:spacing w:after="120"/>
              <w:rPr>
                <w:b/>
                <w:noProof/>
              </w:rPr>
            </w:pPr>
            <w:r>
              <w:rPr>
                <w:b/>
                <w:noProof/>
                <w:szCs w:val="24"/>
              </w:rPr>
              <w:t>N of jobs (000s)</w:t>
            </w:r>
          </w:p>
        </w:tc>
        <w:tc>
          <w:tcPr>
            <w:tcW w:w="1250" w:type="pct"/>
            <w:vAlign w:val="bottom"/>
          </w:tcPr>
          <w:p w:rsidR="001A26B0" w:rsidRDefault="00E33A99">
            <w:pPr>
              <w:spacing w:after="120"/>
              <w:jc w:val="center"/>
              <w:rPr>
                <w:b/>
                <w:noProof/>
              </w:rPr>
            </w:pPr>
            <w:r>
              <w:rPr>
                <w:b/>
                <w:noProof/>
                <w:szCs w:val="24"/>
              </w:rPr>
              <w:t>2030</w:t>
            </w:r>
          </w:p>
        </w:tc>
        <w:tc>
          <w:tcPr>
            <w:tcW w:w="1250" w:type="pct"/>
            <w:vAlign w:val="bottom"/>
          </w:tcPr>
          <w:p w:rsidR="001A26B0" w:rsidRDefault="00E33A99">
            <w:pPr>
              <w:spacing w:after="120"/>
              <w:jc w:val="center"/>
              <w:rPr>
                <w:b/>
                <w:noProof/>
              </w:rPr>
            </w:pPr>
            <w:r>
              <w:rPr>
                <w:b/>
                <w:noProof/>
                <w:szCs w:val="24"/>
              </w:rPr>
              <w:t>2035</w:t>
            </w:r>
          </w:p>
        </w:tc>
        <w:tc>
          <w:tcPr>
            <w:tcW w:w="1250" w:type="pct"/>
            <w:vAlign w:val="bottom"/>
          </w:tcPr>
          <w:p w:rsidR="001A26B0" w:rsidRDefault="00E33A99">
            <w:pPr>
              <w:spacing w:after="120"/>
              <w:jc w:val="center"/>
              <w:rPr>
                <w:b/>
                <w:noProof/>
              </w:rPr>
            </w:pPr>
            <w:r>
              <w:rPr>
                <w:b/>
                <w:noProof/>
                <w:szCs w:val="24"/>
              </w:rPr>
              <w:t>2040</w:t>
            </w:r>
          </w:p>
        </w:tc>
      </w:tr>
      <w:tr w:rsidR="001A26B0">
        <w:tc>
          <w:tcPr>
            <w:tcW w:w="1250" w:type="pct"/>
            <w:vAlign w:val="bottom"/>
          </w:tcPr>
          <w:p w:rsidR="001A26B0" w:rsidRDefault="00E33A99">
            <w:pPr>
              <w:spacing w:after="120"/>
              <w:rPr>
                <w:noProof/>
              </w:rPr>
            </w:pPr>
            <w:r>
              <w:rPr>
                <w:noProof/>
                <w:szCs w:val="24"/>
              </w:rPr>
              <w:t> Baseline</w:t>
            </w:r>
          </w:p>
        </w:tc>
        <w:tc>
          <w:tcPr>
            <w:tcW w:w="1250" w:type="pct"/>
            <w:vAlign w:val="bottom"/>
          </w:tcPr>
          <w:p w:rsidR="001A26B0" w:rsidRDefault="00E33A99">
            <w:pPr>
              <w:spacing w:after="120"/>
              <w:ind w:right="239"/>
              <w:jc w:val="right"/>
              <w:rPr>
                <w:noProof/>
              </w:rPr>
            </w:pPr>
            <w:r>
              <w:rPr>
                <w:noProof/>
                <w:color w:val="000000"/>
                <w:szCs w:val="24"/>
              </w:rPr>
              <w:t xml:space="preserve">230,207 </w:t>
            </w:r>
          </w:p>
        </w:tc>
        <w:tc>
          <w:tcPr>
            <w:tcW w:w="1250" w:type="pct"/>
            <w:vAlign w:val="bottom"/>
          </w:tcPr>
          <w:p w:rsidR="001A26B0" w:rsidRDefault="00E33A99">
            <w:pPr>
              <w:spacing w:after="120"/>
              <w:ind w:right="239"/>
              <w:jc w:val="right"/>
              <w:rPr>
                <w:noProof/>
              </w:rPr>
            </w:pPr>
            <w:r>
              <w:rPr>
                <w:noProof/>
                <w:color w:val="000000"/>
                <w:szCs w:val="24"/>
              </w:rPr>
              <w:t xml:space="preserve">225,871 </w:t>
            </w:r>
          </w:p>
        </w:tc>
        <w:tc>
          <w:tcPr>
            <w:tcW w:w="1250" w:type="pct"/>
            <w:vAlign w:val="bottom"/>
          </w:tcPr>
          <w:p w:rsidR="001A26B0" w:rsidRDefault="00E33A99">
            <w:pPr>
              <w:spacing w:after="120"/>
              <w:ind w:right="239"/>
              <w:jc w:val="right"/>
              <w:rPr>
                <w:noProof/>
              </w:rPr>
            </w:pPr>
            <w:r>
              <w:rPr>
                <w:noProof/>
                <w:color w:val="000000"/>
                <w:szCs w:val="24"/>
              </w:rPr>
              <w:t xml:space="preserve">223,148 </w:t>
            </w:r>
          </w:p>
        </w:tc>
      </w:tr>
      <w:tr w:rsidR="001A26B0">
        <w:tc>
          <w:tcPr>
            <w:tcW w:w="1250" w:type="pct"/>
            <w:vAlign w:val="bottom"/>
          </w:tcPr>
          <w:p w:rsidR="001A26B0" w:rsidRDefault="00E33A99">
            <w:pPr>
              <w:spacing w:after="120"/>
              <w:rPr>
                <w:noProof/>
                <w:szCs w:val="24"/>
              </w:rPr>
            </w:pPr>
            <w:r>
              <w:rPr>
                <w:noProof/>
                <w:szCs w:val="24"/>
              </w:rPr>
              <w:t>TL30c/25v</w:t>
            </w:r>
          </w:p>
        </w:tc>
        <w:tc>
          <w:tcPr>
            <w:tcW w:w="1250" w:type="pct"/>
            <w:vAlign w:val="bottom"/>
          </w:tcPr>
          <w:p w:rsidR="001A26B0" w:rsidRDefault="00E33A99">
            <w:pPr>
              <w:spacing w:after="120"/>
              <w:ind w:right="239"/>
              <w:jc w:val="right"/>
              <w:rPr>
                <w:noProof/>
                <w:color w:val="000000"/>
                <w:szCs w:val="24"/>
              </w:rPr>
            </w:pPr>
            <w:r>
              <w:rPr>
                <w:noProof/>
                <w:color w:val="000000"/>
                <w:szCs w:val="24"/>
              </w:rPr>
              <w:t>0.01%</w:t>
            </w:r>
          </w:p>
        </w:tc>
        <w:tc>
          <w:tcPr>
            <w:tcW w:w="1250" w:type="pct"/>
            <w:vAlign w:val="bottom"/>
          </w:tcPr>
          <w:p w:rsidR="001A26B0" w:rsidRDefault="00E33A99">
            <w:pPr>
              <w:spacing w:after="120"/>
              <w:ind w:right="239"/>
              <w:jc w:val="right"/>
              <w:rPr>
                <w:noProof/>
                <w:color w:val="000000"/>
                <w:szCs w:val="24"/>
              </w:rPr>
            </w:pPr>
            <w:r>
              <w:rPr>
                <w:noProof/>
                <w:color w:val="000000"/>
                <w:szCs w:val="24"/>
              </w:rPr>
              <w:t>0.05%</w:t>
            </w:r>
          </w:p>
        </w:tc>
        <w:tc>
          <w:tcPr>
            <w:tcW w:w="1250" w:type="pct"/>
            <w:vAlign w:val="bottom"/>
          </w:tcPr>
          <w:p w:rsidR="001A26B0" w:rsidRDefault="00E33A99">
            <w:pPr>
              <w:spacing w:after="120"/>
              <w:ind w:right="239"/>
              <w:jc w:val="right"/>
              <w:rPr>
                <w:noProof/>
                <w:color w:val="000000"/>
                <w:szCs w:val="24"/>
              </w:rPr>
            </w:pPr>
            <w:r>
              <w:rPr>
                <w:noProof/>
                <w:color w:val="000000"/>
                <w:szCs w:val="24"/>
              </w:rPr>
              <w:t>0.07%</w:t>
            </w:r>
          </w:p>
        </w:tc>
      </w:tr>
      <w:tr w:rsidR="001A26B0">
        <w:tc>
          <w:tcPr>
            <w:tcW w:w="1250" w:type="pct"/>
            <w:vAlign w:val="bottom"/>
          </w:tcPr>
          <w:p w:rsidR="001A26B0" w:rsidRDefault="00E33A99">
            <w:pPr>
              <w:spacing w:after="120"/>
              <w:rPr>
                <w:noProof/>
              </w:rPr>
            </w:pPr>
            <w:r>
              <w:rPr>
                <w:noProof/>
                <w:szCs w:val="24"/>
              </w:rPr>
              <w:t> LEV_1</w:t>
            </w:r>
          </w:p>
        </w:tc>
        <w:tc>
          <w:tcPr>
            <w:tcW w:w="1250" w:type="pct"/>
            <w:vAlign w:val="bottom"/>
          </w:tcPr>
          <w:p w:rsidR="001A26B0" w:rsidRDefault="00E33A99">
            <w:pPr>
              <w:spacing w:after="120"/>
              <w:ind w:right="239"/>
              <w:jc w:val="right"/>
              <w:rPr>
                <w:noProof/>
                <w:color w:val="000000"/>
                <w:szCs w:val="24"/>
              </w:rPr>
            </w:pPr>
            <w:r>
              <w:rPr>
                <w:noProof/>
                <w:color w:val="000000"/>
                <w:szCs w:val="24"/>
              </w:rPr>
              <w:t>0.01%</w:t>
            </w:r>
          </w:p>
        </w:tc>
        <w:tc>
          <w:tcPr>
            <w:tcW w:w="1250" w:type="pct"/>
            <w:vAlign w:val="bottom"/>
          </w:tcPr>
          <w:p w:rsidR="001A26B0" w:rsidRDefault="00E33A99">
            <w:pPr>
              <w:spacing w:after="120"/>
              <w:ind w:right="239"/>
              <w:jc w:val="right"/>
              <w:rPr>
                <w:noProof/>
                <w:color w:val="000000"/>
                <w:szCs w:val="24"/>
              </w:rPr>
            </w:pPr>
            <w:r>
              <w:rPr>
                <w:noProof/>
                <w:color w:val="000000"/>
                <w:szCs w:val="24"/>
              </w:rPr>
              <w:t>0.03%</w:t>
            </w:r>
          </w:p>
        </w:tc>
        <w:tc>
          <w:tcPr>
            <w:tcW w:w="1250" w:type="pct"/>
            <w:vAlign w:val="bottom"/>
          </w:tcPr>
          <w:p w:rsidR="001A26B0" w:rsidRDefault="00E33A99">
            <w:pPr>
              <w:spacing w:after="120"/>
              <w:ind w:right="239"/>
              <w:jc w:val="right"/>
              <w:rPr>
                <w:noProof/>
                <w:color w:val="000000"/>
                <w:szCs w:val="24"/>
              </w:rPr>
            </w:pPr>
            <w:r>
              <w:rPr>
                <w:noProof/>
                <w:color w:val="000000"/>
                <w:szCs w:val="24"/>
              </w:rPr>
              <w:t>0.05%</w:t>
            </w:r>
          </w:p>
        </w:tc>
      </w:tr>
      <w:tr w:rsidR="001A26B0">
        <w:tc>
          <w:tcPr>
            <w:tcW w:w="1250" w:type="pct"/>
            <w:vAlign w:val="bottom"/>
          </w:tcPr>
          <w:p w:rsidR="001A26B0" w:rsidRDefault="00E33A99">
            <w:pPr>
              <w:spacing w:after="120"/>
              <w:rPr>
                <w:noProof/>
              </w:rPr>
            </w:pPr>
            <w:r>
              <w:rPr>
                <w:noProof/>
                <w:szCs w:val="24"/>
              </w:rPr>
              <w:t> LEV_2</w:t>
            </w:r>
          </w:p>
        </w:tc>
        <w:tc>
          <w:tcPr>
            <w:tcW w:w="1250" w:type="pct"/>
            <w:vAlign w:val="bottom"/>
          </w:tcPr>
          <w:p w:rsidR="001A26B0" w:rsidRDefault="00E33A99">
            <w:pPr>
              <w:spacing w:after="120"/>
              <w:ind w:right="239"/>
              <w:jc w:val="right"/>
              <w:rPr>
                <w:noProof/>
                <w:color w:val="000000"/>
                <w:szCs w:val="24"/>
              </w:rPr>
            </w:pPr>
            <w:r>
              <w:rPr>
                <w:noProof/>
                <w:color w:val="000000"/>
                <w:szCs w:val="24"/>
              </w:rPr>
              <w:t>&lt; 0.01%</w:t>
            </w:r>
          </w:p>
        </w:tc>
        <w:tc>
          <w:tcPr>
            <w:tcW w:w="1250" w:type="pct"/>
            <w:vAlign w:val="bottom"/>
          </w:tcPr>
          <w:p w:rsidR="001A26B0" w:rsidRDefault="00E33A99">
            <w:pPr>
              <w:spacing w:after="120"/>
              <w:ind w:right="239"/>
              <w:jc w:val="right"/>
              <w:rPr>
                <w:noProof/>
                <w:color w:val="000000"/>
                <w:szCs w:val="24"/>
              </w:rPr>
            </w:pPr>
            <w:r>
              <w:rPr>
                <w:noProof/>
                <w:color w:val="000000"/>
                <w:szCs w:val="24"/>
              </w:rPr>
              <w:t>0.02%</w:t>
            </w:r>
          </w:p>
        </w:tc>
        <w:tc>
          <w:tcPr>
            <w:tcW w:w="1250" w:type="pct"/>
            <w:vAlign w:val="bottom"/>
          </w:tcPr>
          <w:p w:rsidR="001A26B0" w:rsidRDefault="00E33A99">
            <w:pPr>
              <w:spacing w:after="120"/>
              <w:ind w:right="239"/>
              <w:jc w:val="right"/>
              <w:rPr>
                <w:noProof/>
                <w:color w:val="000000"/>
                <w:szCs w:val="24"/>
              </w:rPr>
            </w:pPr>
            <w:r>
              <w:rPr>
                <w:noProof/>
                <w:color w:val="000000"/>
                <w:szCs w:val="24"/>
              </w:rPr>
              <w:t>0.02%</w:t>
            </w:r>
          </w:p>
        </w:tc>
      </w:tr>
    </w:tbl>
    <w:p w:rsidR="001A26B0" w:rsidRDefault="00E33A99">
      <w:pPr>
        <w:spacing w:before="240" w:after="120"/>
        <w:rPr>
          <w:noProof/>
          <w:szCs w:val="24"/>
        </w:rPr>
      </w:pPr>
      <w:r>
        <w:rPr>
          <w:noProof/>
          <w:color w:val="000000"/>
          <w:szCs w:val="24"/>
        </w:rPr>
        <w:t>The results shown</w:t>
      </w:r>
      <w:r>
        <w:rPr>
          <w:noProof/>
          <w:color w:val="000000"/>
          <w:szCs w:val="24"/>
        </w:rPr>
        <w:t xml:space="preserve"> are based on the assumption that battery cells used in electric vehicles are imported in the EU from third countries and thus results would be more positive if the EU were to develop its own battery sector.</w:t>
      </w:r>
    </w:p>
    <w:p w:rsidR="001A26B0" w:rsidRDefault="00E33A99">
      <w:pPr>
        <w:spacing w:after="120"/>
        <w:rPr>
          <w:noProof/>
          <w:szCs w:val="24"/>
        </w:rPr>
      </w:pPr>
      <w:r>
        <w:rPr>
          <w:noProof/>
          <w:szCs w:val="24"/>
        </w:rPr>
        <w:t>At sectoral level, similar conclusions as for th</w:t>
      </w:r>
      <w:r>
        <w:rPr>
          <w:noProof/>
          <w:szCs w:val="24"/>
        </w:rPr>
        <w:t xml:space="preserve">e impacts on the output can be drawn. The small positive employment impacts mainly occur in sectors supplying the automotive sector as well as the power sector, while the petroleum refining and automotive sectors itself see a small negative effect. It can </w:t>
      </w:r>
      <w:r>
        <w:rPr>
          <w:noProof/>
          <w:szCs w:val="24"/>
        </w:rPr>
        <w:t>be noted that all the effects are slightly higher for LEV_2 with respect to LEV_1.</w:t>
      </w:r>
    </w:p>
    <w:p w:rsidR="001A26B0" w:rsidRDefault="00E33A99">
      <w:pPr>
        <w:pStyle w:val="Caption"/>
        <w:rPr>
          <w:b w:val="0"/>
          <w:noProof/>
          <w:szCs w:val="24"/>
        </w:rPr>
      </w:pPr>
      <w:r>
        <w:rPr>
          <w:b w:val="0"/>
          <w:noProof/>
        </w:rPr>
        <w:fldChar w:fldCharType="begin"/>
      </w:r>
      <w:r>
        <w:rPr>
          <w:b w:val="0"/>
          <w:noProof/>
        </w:rPr>
        <w:instrText xml:space="preserve"> REF _Ref493623359 \h  \* MERGEFORMAT </w:instrText>
      </w:r>
      <w:r>
        <w:rPr>
          <w:b w:val="0"/>
          <w:noProof/>
        </w:rPr>
      </w:r>
      <w:r>
        <w:rPr>
          <w:b w:val="0"/>
          <w:noProof/>
        </w:rPr>
        <w:fldChar w:fldCharType="separate"/>
      </w:r>
      <w:r>
        <w:rPr>
          <w:b w:val="0"/>
          <w:noProof/>
          <w:szCs w:val="24"/>
        </w:rPr>
        <w:t>Table 54</w:t>
      </w:r>
      <w:r>
        <w:rPr>
          <w:b w:val="0"/>
          <w:noProof/>
        </w:rPr>
        <w:fldChar w:fldCharType="end"/>
      </w:r>
      <w:r>
        <w:rPr>
          <w:b w:val="0"/>
          <w:noProof/>
        </w:rPr>
        <w:t xml:space="preserve"> </w:t>
      </w:r>
      <w:r>
        <w:rPr>
          <w:b w:val="0"/>
          <w:noProof/>
          <w:szCs w:val="24"/>
        </w:rPr>
        <w:t>shows the employment impact breakdown by sector, in the yea</w:t>
      </w:r>
      <w:r>
        <w:rPr>
          <w:b w:val="0"/>
          <w:noProof/>
          <w:szCs w:val="24"/>
        </w:rPr>
        <w:t>r 2030, under the conservative assumption that all battery cells are produced outside of the EU.</w:t>
      </w:r>
    </w:p>
    <w:p w:rsidR="001A26B0" w:rsidRDefault="00E33A99">
      <w:pPr>
        <w:pStyle w:val="Caption"/>
        <w:keepNext/>
        <w:spacing w:before="0"/>
        <w:rPr>
          <w:noProof/>
          <w:color w:val="000000"/>
          <w:szCs w:val="24"/>
        </w:rPr>
      </w:pPr>
      <w:bookmarkStart w:id="638" w:name="_Ref493623359"/>
      <w:r>
        <w:rPr>
          <w:noProof/>
          <w:szCs w:val="24"/>
        </w:rPr>
        <w:t xml:space="preserve">Table </w:t>
      </w:r>
      <w:r>
        <w:rPr>
          <w:noProof/>
          <w:szCs w:val="24"/>
        </w:rPr>
        <w:fldChar w:fldCharType="begin"/>
      </w:r>
      <w:r>
        <w:rPr>
          <w:noProof/>
          <w:szCs w:val="24"/>
        </w:rPr>
        <w:instrText xml:space="preserve"> SEQ Table \* ARABIC </w:instrText>
      </w:r>
      <w:r>
        <w:rPr>
          <w:noProof/>
          <w:szCs w:val="24"/>
        </w:rPr>
        <w:fldChar w:fldCharType="separate"/>
      </w:r>
      <w:r>
        <w:rPr>
          <w:noProof/>
          <w:szCs w:val="24"/>
        </w:rPr>
        <w:t>54</w:t>
      </w:r>
      <w:r>
        <w:rPr>
          <w:noProof/>
          <w:szCs w:val="24"/>
        </w:rPr>
        <w:fldChar w:fldCharType="end"/>
      </w:r>
      <w:bookmarkEnd w:id="638"/>
      <w:r>
        <w:rPr>
          <w:noProof/>
          <w:szCs w:val="24"/>
        </w:rPr>
        <w:t>: Impact in terms of employment in the most affected sectors (in thousands of jobs, EU-28) of different LEV incentive options -</w:t>
      </w:r>
      <w:r>
        <w:rPr>
          <w:noProof/>
          <w:szCs w:val="24"/>
        </w:rPr>
        <w:t xml:space="preserve"> battery cells imported (</w:t>
      </w:r>
      <w:r>
        <w:rPr>
          <w:noProof/>
        </w:rPr>
        <w:t>E3ME model)</w:t>
      </w:r>
    </w:p>
    <w:tbl>
      <w:tblPr>
        <w:tblStyle w:val="TableGrid"/>
        <w:tblW w:w="0" w:type="auto"/>
        <w:tblLayout w:type="fixed"/>
        <w:tblLook w:val="04A0" w:firstRow="1" w:lastRow="0" w:firstColumn="1" w:lastColumn="0" w:noHBand="0" w:noVBand="1"/>
      </w:tblPr>
      <w:tblGrid>
        <w:gridCol w:w="2388"/>
        <w:gridCol w:w="1680"/>
        <w:gridCol w:w="1080"/>
        <w:gridCol w:w="1320"/>
        <w:gridCol w:w="1080"/>
        <w:gridCol w:w="1190"/>
      </w:tblGrid>
      <w:tr w:rsidR="001A26B0">
        <w:trPr>
          <w:trHeight w:val="288"/>
        </w:trPr>
        <w:tc>
          <w:tcPr>
            <w:tcW w:w="2388" w:type="dxa"/>
            <w:noWrap/>
          </w:tcPr>
          <w:p w:rsidR="001A26B0" w:rsidRDefault="00E33A99">
            <w:pPr>
              <w:spacing w:after="120"/>
              <w:rPr>
                <w:noProof/>
                <w:szCs w:val="24"/>
              </w:rPr>
            </w:pPr>
            <w:r>
              <w:rPr>
                <w:noProof/>
                <w:szCs w:val="24"/>
              </w:rPr>
              <w:t>2030</w:t>
            </w:r>
          </w:p>
        </w:tc>
        <w:tc>
          <w:tcPr>
            <w:tcW w:w="1680" w:type="dxa"/>
            <w:noWrap/>
          </w:tcPr>
          <w:p w:rsidR="001A26B0" w:rsidRDefault="00E33A99">
            <w:pPr>
              <w:spacing w:after="120"/>
              <w:jc w:val="center"/>
              <w:rPr>
                <w:noProof/>
                <w:szCs w:val="24"/>
              </w:rPr>
            </w:pPr>
            <w:r>
              <w:rPr>
                <w:b/>
                <w:noProof/>
                <w:szCs w:val="24"/>
              </w:rPr>
              <w:t>Baseline</w:t>
            </w:r>
            <w:r>
              <w:rPr>
                <w:noProof/>
                <w:szCs w:val="24"/>
              </w:rPr>
              <w:t xml:space="preserve"> (number of jobs, 000s)</w:t>
            </w:r>
          </w:p>
        </w:tc>
        <w:tc>
          <w:tcPr>
            <w:tcW w:w="2400" w:type="dxa"/>
            <w:gridSpan w:val="2"/>
            <w:noWrap/>
          </w:tcPr>
          <w:p w:rsidR="001A26B0" w:rsidRDefault="00E33A99">
            <w:pPr>
              <w:spacing w:after="120"/>
              <w:jc w:val="center"/>
              <w:rPr>
                <w:noProof/>
                <w:szCs w:val="24"/>
              </w:rPr>
            </w:pPr>
            <w:r>
              <w:rPr>
                <w:noProof/>
                <w:szCs w:val="24"/>
              </w:rPr>
              <w:t>Change from baseline (%)</w:t>
            </w:r>
          </w:p>
        </w:tc>
        <w:tc>
          <w:tcPr>
            <w:tcW w:w="2270" w:type="dxa"/>
            <w:gridSpan w:val="2"/>
            <w:noWrap/>
          </w:tcPr>
          <w:p w:rsidR="001A26B0" w:rsidRDefault="00E33A99">
            <w:pPr>
              <w:spacing w:after="120"/>
              <w:jc w:val="center"/>
              <w:rPr>
                <w:noProof/>
                <w:szCs w:val="24"/>
              </w:rPr>
            </w:pPr>
            <w:r>
              <w:rPr>
                <w:noProof/>
                <w:szCs w:val="24"/>
              </w:rPr>
              <w:t>Change from baseline (number of jobs, 000s)</w:t>
            </w:r>
          </w:p>
        </w:tc>
      </w:tr>
      <w:tr w:rsidR="001A26B0">
        <w:trPr>
          <w:trHeight w:val="288"/>
        </w:trPr>
        <w:tc>
          <w:tcPr>
            <w:tcW w:w="2388" w:type="dxa"/>
            <w:noWrap/>
            <w:hideMark/>
          </w:tcPr>
          <w:p w:rsidR="001A26B0" w:rsidRDefault="001A26B0">
            <w:pPr>
              <w:spacing w:after="120"/>
              <w:rPr>
                <w:b/>
                <w:noProof/>
                <w:szCs w:val="24"/>
              </w:rPr>
            </w:pPr>
          </w:p>
        </w:tc>
        <w:tc>
          <w:tcPr>
            <w:tcW w:w="1680" w:type="dxa"/>
            <w:noWrap/>
            <w:hideMark/>
          </w:tcPr>
          <w:p w:rsidR="001A26B0" w:rsidRDefault="001A26B0">
            <w:pPr>
              <w:spacing w:after="120"/>
              <w:jc w:val="right"/>
              <w:rPr>
                <w:b/>
                <w:noProof/>
                <w:szCs w:val="24"/>
              </w:rPr>
            </w:pPr>
          </w:p>
        </w:tc>
        <w:tc>
          <w:tcPr>
            <w:tcW w:w="1080" w:type="dxa"/>
            <w:noWrap/>
            <w:hideMark/>
          </w:tcPr>
          <w:p w:rsidR="001A26B0" w:rsidRDefault="00E33A99">
            <w:pPr>
              <w:spacing w:after="120"/>
              <w:jc w:val="center"/>
              <w:rPr>
                <w:b/>
                <w:noProof/>
                <w:szCs w:val="24"/>
              </w:rPr>
            </w:pPr>
            <w:r>
              <w:rPr>
                <w:b/>
                <w:noProof/>
                <w:szCs w:val="24"/>
              </w:rPr>
              <w:t>LEV_1</w:t>
            </w:r>
          </w:p>
        </w:tc>
        <w:tc>
          <w:tcPr>
            <w:tcW w:w="1320" w:type="dxa"/>
            <w:noWrap/>
            <w:hideMark/>
          </w:tcPr>
          <w:p w:rsidR="001A26B0" w:rsidRDefault="00E33A99">
            <w:pPr>
              <w:spacing w:after="120"/>
              <w:jc w:val="center"/>
              <w:rPr>
                <w:b/>
                <w:noProof/>
                <w:szCs w:val="24"/>
              </w:rPr>
            </w:pPr>
            <w:r>
              <w:rPr>
                <w:b/>
                <w:noProof/>
                <w:szCs w:val="24"/>
              </w:rPr>
              <w:t>LEV_2</w:t>
            </w:r>
          </w:p>
        </w:tc>
        <w:tc>
          <w:tcPr>
            <w:tcW w:w="1080" w:type="dxa"/>
            <w:noWrap/>
            <w:hideMark/>
          </w:tcPr>
          <w:p w:rsidR="001A26B0" w:rsidRDefault="00E33A99">
            <w:pPr>
              <w:spacing w:after="120"/>
              <w:jc w:val="center"/>
              <w:rPr>
                <w:b/>
                <w:noProof/>
                <w:szCs w:val="24"/>
              </w:rPr>
            </w:pPr>
            <w:r>
              <w:rPr>
                <w:b/>
                <w:noProof/>
                <w:szCs w:val="24"/>
              </w:rPr>
              <w:t>LEV_1</w:t>
            </w:r>
          </w:p>
        </w:tc>
        <w:tc>
          <w:tcPr>
            <w:tcW w:w="1190" w:type="dxa"/>
            <w:noWrap/>
            <w:hideMark/>
          </w:tcPr>
          <w:p w:rsidR="001A26B0" w:rsidRDefault="00E33A99">
            <w:pPr>
              <w:spacing w:after="120"/>
              <w:jc w:val="center"/>
              <w:rPr>
                <w:b/>
                <w:noProof/>
                <w:szCs w:val="24"/>
              </w:rPr>
            </w:pPr>
            <w:r>
              <w:rPr>
                <w:b/>
                <w:noProof/>
                <w:szCs w:val="24"/>
              </w:rPr>
              <w:t>LEV_2</w:t>
            </w:r>
          </w:p>
        </w:tc>
      </w:tr>
      <w:tr w:rsidR="001A26B0">
        <w:trPr>
          <w:trHeight w:val="288"/>
        </w:trPr>
        <w:tc>
          <w:tcPr>
            <w:tcW w:w="2388" w:type="dxa"/>
            <w:noWrap/>
            <w:hideMark/>
          </w:tcPr>
          <w:p w:rsidR="001A26B0" w:rsidRDefault="00E33A99">
            <w:pPr>
              <w:spacing w:after="120"/>
              <w:jc w:val="left"/>
              <w:rPr>
                <w:noProof/>
                <w:szCs w:val="24"/>
              </w:rPr>
            </w:pPr>
            <w:r>
              <w:rPr>
                <w:noProof/>
                <w:szCs w:val="24"/>
              </w:rPr>
              <w:t>Petroleum refining</w:t>
            </w:r>
          </w:p>
        </w:tc>
        <w:tc>
          <w:tcPr>
            <w:tcW w:w="1680" w:type="dxa"/>
            <w:noWrap/>
            <w:vAlign w:val="center"/>
            <w:hideMark/>
          </w:tcPr>
          <w:p w:rsidR="001A26B0" w:rsidRDefault="00E33A99">
            <w:pPr>
              <w:spacing w:after="120"/>
              <w:jc w:val="center"/>
              <w:rPr>
                <w:noProof/>
                <w:szCs w:val="24"/>
              </w:rPr>
            </w:pPr>
            <w:r>
              <w:rPr>
                <w:noProof/>
                <w:szCs w:val="24"/>
              </w:rPr>
              <w:t>151</w:t>
            </w:r>
          </w:p>
        </w:tc>
        <w:tc>
          <w:tcPr>
            <w:tcW w:w="1080" w:type="dxa"/>
            <w:noWrap/>
            <w:vAlign w:val="center"/>
            <w:hideMark/>
          </w:tcPr>
          <w:p w:rsidR="001A26B0" w:rsidRDefault="00E33A99">
            <w:pPr>
              <w:spacing w:after="120"/>
              <w:jc w:val="center"/>
              <w:rPr>
                <w:noProof/>
                <w:szCs w:val="24"/>
              </w:rPr>
            </w:pPr>
            <w:r>
              <w:rPr>
                <w:noProof/>
                <w:szCs w:val="24"/>
              </w:rPr>
              <w:t>-0.4%</w:t>
            </w:r>
          </w:p>
        </w:tc>
        <w:tc>
          <w:tcPr>
            <w:tcW w:w="1320" w:type="dxa"/>
            <w:noWrap/>
            <w:vAlign w:val="center"/>
            <w:hideMark/>
          </w:tcPr>
          <w:p w:rsidR="001A26B0" w:rsidRDefault="00E33A99">
            <w:pPr>
              <w:spacing w:after="120"/>
              <w:jc w:val="center"/>
              <w:rPr>
                <w:noProof/>
                <w:szCs w:val="24"/>
              </w:rPr>
            </w:pPr>
            <w:r>
              <w:rPr>
                <w:noProof/>
                <w:szCs w:val="24"/>
              </w:rPr>
              <w:t>-0.3%</w:t>
            </w:r>
          </w:p>
        </w:tc>
        <w:tc>
          <w:tcPr>
            <w:tcW w:w="1080" w:type="dxa"/>
            <w:noWrap/>
            <w:vAlign w:val="center"/>
            <w:hideMark/>
          </w:tcPr>
          <w:p w:rsidR="001A26B0" w:rsidRDefault="00E33A99">
            <w:pPr>
              <w:spacing w:after="120"/>
              <w:jc w:val="center"/>
              <w:rPr>
                <w:noProof/>
                <w:szCs w:val="24"/>
              </w:rPr>
            </w:pPr>
            <w:r>
              <w:rPr>
                <w:noProof/>
                <w:szCs w:val="24"/>
              </w:rPr>
              <w:t>- 0.6</w:t>
            </w:r>
          </w:p>
        </w:tc>
        <w:tc>
          <w:tcPr>
            <w:tcW w:w="1190" w:type="dxa"/>
            <w:noWrap/>
            <w:vAlign w:val="center"/>
            <w:hideMark/>
          </w:tcPr>
          <w:p w:rsidR="001A26B0" w:rsidRDefault="00E33A99">
            <w:pPr>
              <w:spacing w:after="120"/>
              <w:jc w:val="center"/>
              <w:rPr>
                <w:noProof/>
                <w:szCs w:val="24"/>
              </w:rPr>
            </w:pPr>
            <w:r>
              <w:rPr>
                <w:noProof/>
                <w:szCs w:val="24"/>
              </w:rPr>
              <w:t>- 0.5</w:t>
            </w:r>
          </w:p>
        </w:tc>
      </w:tr>
      <w:tr w:rsidR="001A26B0">
        <w:trPr>
          <w:trHeight w:val="288"/>
        </w:trPr>
        <w:tc>
          <w:tcPr>
            <w:tcW w:w="2388" w:type="dxa"/>
            <w:noWrap/>
            <w:hideMark/>
          </w:tcPr>
          <w:p w:rsidR="001A26B0" w:rsidRDefault="00E33A99">
            <w:pPr>
              <w:spacing w:after="120"/>
              <w:jc w:val="left"/>
              <w:rPr>
                <w:noProof/>
                <w:szCs w:val="24"/>
              </w:rPr>
            </w:pPr>
            <w:r>
              <w:rPr>
                <w:noProof/>
                <w:szCs w:val="24"/>
              </w:rPr>
              <w:t>Automotive</w:t>
            </w:r>
          </w:p>
        </w:tc>
        <w:tc>
          <w:tcPr>
            <w:tcW w:w="1680" w:type="dxa"/>
            <w:noWrap/>
            <w:vAlign w:val="center"/>
            <w:hideMark/>
          </w:tcPr>
          <w:p w:rsidR="001A26B0" w:rsidRDefault="00E33A99">
            <w:pPr>
              <w:spacing w:after="120"/>
              <w:jc w:val="center"/>
              <w:rPr>
                <w:noProof/>
                <w:szCs w:val="24"/>
              </w:rPr>
            </w:pPr>
            <w:r>
              <w:rPr>
                <w:noProof/>
                <w:szCs w:val="24"/>
              </w:rPr>
              <w:t>2,454</w:t>
            </w:r>
          </w:p>
        </w:tc>
        <w:tc>
          <w:tcPr>
            <w:tcW w:w="1080" w:type="dxa"/>
            <w:noWrap/>
            <w:vAlign w:val="center"/>
            <w:hideMark/>
          </w:tcPr>
          <w:p w:rsidR="001A26B0" w:rsidRDefault="00E33A99">
            <w:pPr>
              <w:spacing w:after="120"/>
              <w:jc w:val="center"/>
              <w:rPr>
                <w:noProof/>
                <w:szCs w:val="24"/>
              </w:rPr>
            </w:pPr>
            <w:r>
              <w:rPr>
                <w:noProof/>
                <w:szCs w:val="24"/>
              </w:rPr>
              <w:t>-0.5%</w:t>
            </w:r>
          </w:p>
        </w:tc>
        <w:tc>
          <w:tcPr>
            <w:tcW w:w="1320" w:type="dxa"/>
            <w:noWrap/>
            <w:vAlign w:val="center"/>
            <w:hideMark/>
          </w:tcPr>
          <w:p w:rsidR="001A26B0" w:rsidRDefault="00E33A99">
            <w:pPr>
              <w:spacing w:after="120"/>
              <w:jc w:val="center"/>
              <w:rPr>
                <w:noProof/>
                <w:szCs w:val="24"/>
              </w:rPr>
            </w:pPr>
            <w:r>
              <w:rPr>
                <w:noProof/>
                <w:szCs w:val="24"/>
              </w:rPr>
              <w:t>-0.8%</w:t>
            </w:r>
          </w:p>
        </w:tc>
        <w:tc>
          <w:tcPr>
            <w:tcW w:w="1080" w:type="dxa"/>
            <w:noWrap/>
            <w:vAlign w:val="center"/>
            <w:hideMark/>
          </w:tcPr>
          <w:p w:rsidR="001A26B0" w:rsidRDefault="00E33A99">
            <w:pPr>
              <w:spacing w:after="120"/>
              <w:jc w:val="center"/>
              <w:rPr>
                <w:noProof/>
                <w:szCs w:val="24"/>
              </w:rPr>
            </w:pPr>
            <w:r>
              <w:rPr>
                <w:noProof/>
                <w:szCs w:val="24"/>
              </w:rPr>
              <w:t>- 12.3</w:t>
            </w:r>
          </w:p>
        </w:tc>
        <w:tc>
          <w:tcPr>
            <w:tcW w:w="1190" w:type="dxa"/>
            <w:noWrap/>
            <w:vAlign w:val="center"/>
            <w:hideMark/>
          </w:tcPr>
          <w:p w:rsidR="001A26B0" w:rsidRDefault="00E33A99">
            <w:pPr>
              <w:spacing w:after="120"/>
              <w:jc w:val="center"/>
              <w:rPr>
                <w:noProof/>
                <w:szCs w:val="24"/>
              </w:rPr>
            </w:pPr>
            <w:r>
              <w:rPr>
                <w:noProof/>
                <w:szCs w:val="24"/>
              </w:rPr>
              <w:t>-</w:t>
            </w:r>
            <w:r>
              <w:rPr>
                <w:noProof/>
                <w:szCs w:val="24"/>
              </w:rPr>
              <w:t xml:space="preserve"> 19.6</w:t>
            </w:r>
          </w:p>
        </w:tc>
      </w:tr>
      <w:tr w:rsidR="001A26B0">
        <w:trPr>
          <w:trHeight w:val="288"/>
        </w:trPr>
        <w:tc>
          <w:tcPr>
            <w:tcW w:w="2388" w:type="dxa"/>
            <w:noWrap/>
            <w:hideMark/>
          </w:tcPr>
          <w:p w:rsidR="001A26B0" w:rsidRDefault="00E33A99">
            <w:pPr>
              <w:spacing w:after="120"/>
              <w:jc w:val="left"/>
              <w:rPr>
                <w:noProof/>
                <w:szCs w:val="24"/>
              </w:rPr>
            </w:pPr>
            <w:r>
              <w:rPr>
                <w:noProof/>
                <w:szCs w:val="24"/>
              </w:rPr>
              <w:t>Rubber and plastics</w:t>
            </w:r>
          </w:p>
        </w:tc>
        <w:tc>
          <w:tcPr>
            <w:tcW w:w="1680" w:type="dxa"/>
            <w:noWrap/>
            <w:vAlign w:val="center"/>
            <w:hideMark/>
          </w:tcPr>
          <w:p w:rsidR="001A26B0" w:rsidRDefault="00E33A99">
            <w:pPr>
              <w:spacing w:after="120"/>
              <w:jc w:val="center"/>
              <w:rPr>
                <w:noProof/>
                <w:szCs w:val="24"/>
              </w:rPr>
            </w:pPr>
            <w:r>
              <w:rPr>
                <w:noProof/>
                <w:szCs w:val="24"/>
              </w:rPr>
              <w:t>1,776</w:t>
            </w:r>
          </w:p>
        </w:tc>
        <w:tc>
          <w:tcPr>
            <w:tcW w:w="1080" w:type="dxa"/>
            <w:noWrap/>
            <w:vAlign w:val="center"/>
            <w:hideMark/>
          </w:tcPr>
          <w:p w:rsidR="001A26B0" w:rsidRDefault="00E33A99">
            <w:pPr>
              <w:spacing w:after="120"/>
              <w:jc w:val="center"/>
              <w:rPr>
                <w:noProof/>
                <w:szCs w:val="24"/>
              </w:rPr>
            </w:pPr>
            <w:r>
              <w:rPr>
                <w:noProof/>
                <w:szCs w:val="24"/>
              </w:rPr>
              <w:t>0.4%</w:t>
            </w:r>
          </w:p>
        </w:tc>
        <w:tc>
          <w:tcPr>
            <w:tcW w:w="1320" w:type="dxa"/>
            <w:noWrap/>
            <w:vAlign w:val="center"/>
            <w:hideMark/>
          </w:tcPr>
          <w:p w:rsidR="001A26B0" w:rsidRDefault="00E33A99">
            <w:pPr>
              <w:spacing w:after="120"/>
              <w:jc w:val="center"/>
              <w:rPr>
                <w:noProof/>
                <w:szCs w:val="24"/>
              </w:rPr>
            </w:pPr>
            <w:r>
              <w:rPr>
                <w:noProof/>
                <w:szCs w:val="24"/>
              </w:rPr>
              <w:t>0.4%</w:t>
            </w:r>
          </w:p>
        </w:tc>
        <w:tc>
          <w:tcPr>
            <w:tcW w:w="1080" w:type="dxa"/>
            <w:noWrap/>
            <w:vAlign w:val="center"/>
            <w:hideMark/>
          </w:tcPr>
          <w:p w:rsidR="001A26B0" w:rsidRDefault="00E33A99">
            <w:pPr>
              <w:spacing w:after="120"/>
              <w:jc w:val="center"/>
              <w:rPr>
                <w:noProof/>
                <w:szCs w:val="24"/>
              </w:rPr>
            </w:pPr>
            <w:r>
              <w:rPr>
                <w:noProof/>
                <w:szCs w:val="24"/>
              </w:rPr>
              <w:t>7.1</w:t>
            </w:r>
          </w:p>
        </w:tc>
        <w:tc>
          <w:tcPr>
            <w:tcW w:w="1190" w:type="dxa"/>
            <w:noWrap/>
            <w:vAlign w:val="center"/>
            <w:hideMark/>
          </w:tcPr>
          <w:p w:rsidR="001A26B0" w:rsidRDefault="00E33A99">
            <w:pPr>
              <w:spacing w:after="120"/>
              <w:jc w:val="center"/>
              <w:rPr>
                <w:noProof/>
                <w:szCs w:val="24"/>
              </w:rPr>
            </w:pPr>
            <w:r>
              <w:rPr>
                <w:noProof/>
                <w:szCs w:val="24"/>
              </w:rPr>
              <w:t>7.1</w:t>
            </w:r>
          </w:p>
        </w:tc>
      </w:tr>
      <w:tr w:rsidR="001A26B0">
        <w:trPr>
          <w:trHeight w:val="288"/>
        </w:trPr>
        <w:tc>
          <w:tcPr>
            <w:tcW w:w="2388" w:type="dxa"/>
            <w:noWrap/>
            <w:hideMark/>
          </w:tcPr>
          <w:p w:rsidR="001A26B0" w:rsidRDefault="00E33A99">
            <w:pPr>
              <w:spacing w:after="120"/>
              <w:jc w:val="left"/>
              <w:rPr>
                <w:noProof/>
                <w:szCs w:val="24"/>
              </w:rPr>
            </w:pPr>
            <w:r>
              <w:rPr>
                <w:noProof/>
                <w:szCs w:val="24"/>
              </w:rPr>
              <w:t>Metals</w:t>
            </w:r>
          </w:p>
        </w:tc>
        <w:tc>
          <w:tcPr>
            <w:tcW w:w="1680" w:type="dxa"/>
            <w:noWrap/>
            <w:vAlign w:val="center"/>
            <w:hideMark/>
          </w:tcPr>
          <w:p w:rsidR="001A26B0" w:rsidRDefault="00E33A99">
            <w:pPr>
              <w:spacing w:after="120"/>
              <w:jc w:val="center"/>
              <w:rPr>
                <w:noProof/>
                <w:szCs w:val="24"/>
              </w:rPr>
            </w:pPr>
            <w:r>
              <w:rPr>
                <w:noProof/>
                <w:szCs w:val="24"/>
              </w:rPr>
              <w:t>4,288</w:t>
            </w:r>
          </w:p>
        </w:tc>
        <w:tc>
          <w:tcPr>
            <w:tcW w:w="1080" w:type="dxa"/>
            <w:noWrap/>
            <w:vAlign w:val="center"/>
            <w:hideMark/>
          </w:tcPr>
          <w:p w:rsidR="001A26B0" w:rsidRDefault="00E33A99">
            <w:pPr>
              <w:spacing w:after="120"/>
              <w:jc w:val="center"/>
              <w:rPr>
                <w:noProof/>
                <w:szCs w:val="24"/>
              </w:rPr>
            </w:pPr>
            <w:r>
              <w:rPr>
                <w:noProof/>
                <w:szCs w:val="24"/>
              </w:rPr>
              <w:t>0.1%</w:t>
            </w:r>
          </w:p>
        </w:tc>
        <w:tc>
          <w:tcPr>
            <w:tcW w:w="1320" w:type="dxa"/>
            <w:noWrap/>
            <w:vAlign w:val="center"/>
            <w:hideMark/>
          </w:tcPr>
          <w:p w:rsidR="001A26B0" w:rsidRDefault="00E33A99">
            <w:pPr>
              <w:spacing w:after="120"/>
              <w:jc w:val="center"/>
              <w:rPr>
                <w:noProof/>
                <w:szCs w:val="24"/>
              </w:rPr>
            </w:pPr>
            <w:r>
              <w:rPr>
                <w:noProof/>
                <w:szCs w:val="24"/>
              </w:rPr>
              <w:t>0.1%</w:t>
            </w:r>
          </w:p>
        </w:tc>
        <w:tc>
          <w:tcPr>
            <w:tcW w:w="1080" w:type="dxa"/>
            <w:noWrap/>
            <w:vAlign w:val="center"/>
            <w:hideMark/>
          </w:tcPr>
          <w:p w:rsidR="001A26B0" w:rsidRDefault="00E33A99">
            <w:pPr>
              <w:spacing w:after="120"/>
              <w:jc w:val="center"/>
              <w:rPr>
                <w:noProof/>
                <w:szCs w:val="24"/>
              </w:rPr>
            </w:pPr>
            <w:r>
              <w:rPr>
                <w:noProof/>
                <w:szCs w:val="24"/>
              </w:rPr>
              <w:t>4.3</w:t>
            </w:r>
          </w:p>
        </w:tc>
        <w:tc>
          <w:tcPr>
            <w:tcW w:w="1190" w:type="dxa"/>
            <w:noWrap/>
            <w:vAlign w:val="center"/>
            <w:hideMark/>
          </w:tcPr>
          <w:p w:rsidR="001A26B0" w:rsidRDefault="00E33A99">
            <w:pPr>
              <w:spacing w:after="120"/>
              <w:jc w:val="center"/>
              <w:rPr>
                <w:noProof/>
                <w:szCs w:val="24"/>
              </w:rPr>
            </w:pPr>
            <w:r>
              <w:rPr>
                <w:noProof/>
                <w:szCs w:val="24"/>
              </w:rPr>
              <w:t>4.3</w:t>
            </w:r>
          </w:p>
        </w:tc>
      </w:tr>
      <w:tr w:rsidR="001A26B0">
        <w:trPr>
          <w:trHeight w:val="288"/>
        </w:trPr>
        <w:tc>
          <w:tcPr>
            <w:tcW w:w="2388" w:type="dxa"/>
            <w:noWrap/>
            <w:hideMark/>
          </w:tcPr>
          <w:p w:rsidR="001A26B0" w:rsidRDefault="00E33A99">
            <w:pPr>
              <w:spacing w:after="120"/>
              <w:jc w:val="left"/>
              <w:rPr>
                <w:noProof/>
                <w:szCs w:val="24"/>
              </w:rPr>
            </w:pPr>
            <w:r>
              <w:rPr>
                <w:noProof/>
                <w:szCs w:val="24"/>
              </w:rPr>
              <w:t>Electrical equipment</w:t>
            </w:r>
          </w:p>
        </w:tc>
        <w:tc>
          <w:tcPr>
            <w:tcW w:w="1680" w:type="dxa"/>
            <w:noWrap/>
            <w:vAlign w:val="center"/>
            <w:hideMark/>
          </w:tcPr>
          <w:p w:rsidR="001A26B0" w:rsidRDefault="00E33A99">
            <w:pPr>
              <w:spacing w:after="120"/>
              <w:jc w:val="center"/>
              <w:rPr>
                <w:noProof/>
                <w:szCs w:val="24"/>
              </w:rPr>
            </w:pPr>
            <w:r>
              <w:rPr>
                <w:noProof/>
                <w:szCs w:val="24"/>
              </w:rPr>
              <w:t>2,451</w:t>
            </w:r>
          </w:p>
        </w:tc>
        <w:tc>
          <w:tcPr>
            <w:tcW w:w="1080" w:type="dxa"/>
            <w:noWrap/>
            <w:vAlign w:val="center"/>
            <w:hideMark/>
          </w:tcPr>
          <w:p w:rsidR="001A26B0" w:rsidRDefault="00E33A99">
            <w:pPr>
              <w:spacing w:after="120"/>
              <w:jc w:val="center"/>
              <w:rPr>
                <w:noProof/>
                <w:szCs w:val="24"/>
              </w:rPr>
            </w:pPr>
            <w:r>
              <w:rPr>
                <w:noProof/>
                <w:szCs w:val="24"/>
              </w:rPr>
              <w:t>0.2%</w:t>
            </w:r>
          </w:p>
        </w:tc>
        <w:tc>
          <w:tcPr>
            <w:tcW w:w="1320" w:type="dxa"/>
            <w:noWrap/>
            <w:vAlign w:val="center"/>
            <w:hideMark/>
          </w:tcPr>
          <w:p w:rsidR="001A26B0" w:rsidRDefault="00E33A99">
            <w:pPr>
              <w:spacing w:after="120"/>
              <w:jc w:val="center"/>
              <w:rPr>
                <w:noProof/>
                <w:szCs w:val="24"/>
              </w:rPr>
            </w:pPr>
            <w:r>
              <w:rPr>
                <w:noProof/>
                <w:szCs w:val="24"/>
              </w:rPr>
              <w:t>0.3%</w:t>
            </w:r>
          </w:p>
        </w:tc>
        <w:tc>
          <w:tcPr>
            <w:tcW w:w="1080" w:type="dxa"/>
            <w:noWrap/>
            <w:vAlign w:val="center"/>
            <w:hideMark/>
          </w:tcPr>
          <w:p w:rsidR="001A26B0" w:rsidRDefault="00E33A99">
            <w:pPr>
              <w:spacing w:after="120"/>
              <w:jc w:val="center"/>
              <w:rPr>
                <w:noProof/>
                <w:szCs w:val="24"/>
              </w:rPr>
            </w:pPr>
            <w:r>
              <w:rPr>
                <w:noProof/>
                <w:szCs w:val="24"/>
              </w:rPr>
              <w:t>4.9</w:t>
            </w:r>
          </w:p>
        </w:tc>
        <w:tc>
          <w:tcPr>
            <w:tcW w:w="1190" w:type="dxa"/>
            <w:noWrap/>
            <w:vAlign w:val="center"/>
            <w:hideMark/>
          </w:tcPr>
          <w:p w:rsidR="001A26B0" w:rsidRDefault="00E33A99">
            <w:pPr>
              <w:spacing w:after="120"/>
              <w:jc w:val="center"/>
              <w:rPr>
                <w:noProof/>
                <w:szCs w:val="24"/>
              </w:rPr>
            </w:pPr>
            <w:r>
              <w:rPr>
                <w:noProof/>
                <w:szCs w:val="24"/>
              </w:rPr>
              <w:t>7.4</w:t>
            </w:r>
          </w:p>
        </w:tc>
      </w:tr>
      <w:tr w:rsidR="001A26B0">
        <w:trPr>
          <w:trHeight w:val="288"/>
        </w:trPr>
        <w:tc>
          <w:tcPr>
            <w:tcW w:w="2388" w:type="dxa"/>
            <w:noWrap/>
            <w:hideMark/>
          </w:tcPr>
          <w:p w:rsidR="001A26B0" w:rsidRDefault="00E33A99">
            <w:pPr>
              <w:spacing w:after="120"/>
              <w:jc w:val="left"/>
              <w:rPr>
                <w:noProof/>
                <w:szCs w:val="24"/>
              </w:rPr>
            </w:pPr>
            <w:r>
              <w:rPr>
                <w:noProof/>
                <w:szCs w:val="24"/>
              </w:rPr>
              <w:t>Machinery equipment</w:t>
            </w:r>
          </w:p>
        </w:tc>
        <w:tc>
          <w:tcPr>
            <w:tcW w:w="1680" w:type="dxa"/>
            <w:noWrap/>
            <w:vAlign w:val="center"/>
            <w:hideMark/>
          </w:tcPr>
          <w:p w:rsidR="001A26B0" w:rsidRDefault="00E33A99">
            <w:pPr>
              <w:spacing w:after="120"/>
              <w:jc w:val="center"/>
              <w:rPr>
                <w:noProof/>
                <w:szCs w:val="24"/>
              </w:rPr>
            </w:pPr>
            <w:r>
              <w:rPr>
                <w:noProof/>
                <w:szCs w:val="24"/>
              </w:rPr>
              <w:t>2,506</w:t>
            </w:r>
          </w:p>
        </w:tc>
        <w:tc>
          <w:tcPr>
            <w:tcW w:w="1080" w:type="dxa"/>
            <w:noWrap/>
            <w:vAlign w:val="center"/>
            <w:hideMark/>
          </w:tcPr>
          <w:p w:rsidR="001A26B0" w:rsidRDefault="00E33A99">
            <w:pPr>
              <w:spacing w:after="120"/>
              <w:jc w:val="center"/>
              <w:rPr>
                <w:noProof/>
                <w:szCs w:val="24"/>
              </w:rPr>
            </w:pPr>
            <w:r>
              <w:rPr>
                <w:noProof/>
                <w:szCs w:val="24"/>
              </w:rPr>
              <w:t>0.1%</w:t>
            </w:r>
          </w:p>
        </w:tc>
        <w:tc>
          <w:tcPr>
            <w:tcW w:w="1320" w:type="dxa"/>
            <w:noWrap/>
            <w:vAlign w:val="center"/>
            <w:hideMark/>
          </w:tcPr>
          <w:p w:rsidR="001A26B0" w:rsidRDefault="00E33A99">
            <w:pPr>
              <w:spacing w:after="120"/>
              <w:jc w:val="center"/>
              <w:rPr>
                <w:noProof/>
                <w:szCs w:val="24"/>
              </w:rPr>
            </w:pPr>
            <w:r>
              <w:rPr>
                <w:noProof/>
                <w:szCs w:val="24"/>
              </w:rPr>
              <w:t>0.1%</w:t>
            </w:r>
          </w:p>
        </w:tc>
        <w:tc>
          <w:tcPr>
            <w:tcW w:w="1080" w:type="dxa"/>
            <w:noWrap/>
            <w:vAlign w:val="center"/>
            <w:hideMark/>
          </w:tcPr>
          <w:p w:rsidR="001A26B0" w:rsidRDefault="00E33A99">
            <w:pPr>
              <w:spacing w:after="120"/>
              <w:jc w:val="center"/>
              <w:rPr>
                <w:noProof/>
                <w:szCs w:val="24"/>
              </w:rPr>
            </w:pPr>
            <w:r>
              <w:rPr>
                <w:noProof/>
                <w:szCs w:val="24"/>
              </w:rPr>
              <w:t>2.5</w:t>
            </w:r>
          </w:p>
        </w:tc>
        <w:tc>
          <w:tcPr>
            <w:tcW w:w="1190" w:type="dxa"/>
            <w:noWrap/>
            <w:vAlign w:val="center"/>
            <w:hideMark/>
          </w:tcPr>
          <w:p w:rsidR="001A26B0" w:rsidRDefault="00E33A99">
            <w:pPr>
              <w:spacing w:after="120"/>
              <w:jc w:val="center"/>
              <w:rPr>
                <w:noProof/>
                <w:szCs w:val="24"/>
              </w:rPr>
            </w:pPr>
            <w:r>
              <w:rPr>
                <w:noProof/>
                <w:szCs w:val="24"/>
              </w:rPr>
              <w:t>2.5</w:t>
            </w:r>
          </w:p>
        </w:tc>
      </w:tr>
      <w:tr w:rsidR="001A26B0">
        <w:trPr>
          <w:trHeight w:val="288"/>
        </w:trPr>
        <w:tc>
          <w:tcPr>
            <w:tcW w:w="2388" w:type="dxa"/>
            <w:noWrap/>
            <w:hideMark/>
          </w:tcPr>
          <w:p w:rsidR="001A26B0" w:rsidRDefault="00E33A99">
            <w:pPr>
              <w:spacing w:after="120"/>
              <w:jc w:val="left"/>
              <w:rPr>
                <w:noProof/>
                <w:szCs w:val="24"/>
              </w:rPr>
            </w:pPr>
            <w:r>
              <w:rPr>
                <w:noProof/>
                <w:szCs w:val="24"/>
              </w:rPr>
              <w:t>Electricity, gas, water, etc.</w:t>
            </w:r>
          </w:p>
        </w:tc>
        <w:tc>
          <w:tcPr>
            <w:tcW w:w="1680" w:type="dxa"/>
            <w:noWrap/>
            <w:vAlign w:val="center"/>
            <w:hideMark/>
          </w:tcPr>
          <w:p w:rsidR="001A26B0" w:rsidRDefault="00E33A99">
            <w:pPr>
              <w:spacing w:after="120"/>
              <w:jc w:val="center"/>
              <w:rPr>
                <w:noProof/>
                <w:szCs w:val="24"/>
              </w:rPr>
            </w:pPr>
            <w:r>
              <w:rPr>
                <w:noProof/>
                <w:szCs w:val="24"/>
              </w:rPr>
              <w:t>2,852</w:t>
            </w:r>
          </w:p>
        </w:tc>
        <w:tc>
          <w:tcPr>
            <w:tcW w:w="1080" w:type="dxa"/>
            <w:noWrap/>
            <w:vAlign w:val="center"/>
            <w:hideMark/>
          </w:tcPr>
          <w:p w:rsidR="001A26B0" w:rsidRDefault="00E33A99">
            <w:pPr>
              <w:spacing w:after="120"/>
              <w:jc w:val="center"/>
              <w:rPr>
                <w:noProof/>
                <w:szCs w:val="24"/>
              </w:rPr>
            </w:pPr>
            <w:r>
              <w:rPr>
                <w:noProof/>
                <w:szCs w:val="24"/>
              </w:rPr>
              <w:t>0.3%</w:t>
            </w:r>
          </w:p>
        </w:tc>
        <w:tc>
          <w:tcPr>
            <w:tcW w:w="1320" w:type="dxa"/>
            <w:noWrap/>
            <w:vAlign w:val="center"/>
            <w:hideMark/>
          </w:tcPr>
          <w:p w:rsidR="001A26B0" w:rsidRDefault="00E33A99">
            <w:pPr>
              <w:spacing w:after="120"/>
              <w:jc w:val="center"/>
              <w:rPr>
                <w:noProof/>
                <w:szCs w:val="24"/>
              </w:rPr>
            </w:pPr>
            <w:r>
              <w:rPr>
                <w:noProof/>
                <w:szCs w:val="24"/>
              </w:rPr>
              <w:t>0.4%</w:t>
            </w:r>
          </w:p>
        </w:tc>
        <w:tc>
          <w:tcPr>
            <w:tcW w:w="1080" w:type="dxa"/>
            <w:noWrap/>
            <w:vAlign w:val="center"/>
            <w:hideMark/>
          </w:tcPr>
          <w:p w:rsidR="001A26B0" w:rsidRDefault="00E33A99">
            <w:pPr>
              <w:spacing w:after="120"/>
              <w:jc w:val="center"/>
              <w:rPr>
                <w:noProof/>
                <w:szCs w:val="24"/>
              </w:rPr>
            </w:pPr>
            <w:r>
              <w:rPr>
                <w:noProof/>
                <w:szCs w:val="24"/>
              </w:rPr>
              <w:t>8.6</w:t>
            </w:r>
          </w:p>
        </w:tc>
        <w:tc>
          <w:tcPr>
            <w:tcW w:w="1190" w:type="dxa"/>
            <w:noWrap/>
            <w:vAlign w:val="center"/>
            <w:hideMark/>
          </w:tcPr>
          <w:p w:rsidR="001A26B0" w:rsidRDefault="00E33A99">
            <w:pPr>
              <w:spacing w:after="120"/>
              <w:jc w:val="center"/>
              <w:rPr>
                <w:noProof/>
                <w:szCs w:val="24"/>
              </w:rPr>
            </w:pPr>
            <w:r>
              <w:rPr>
                <w:noProof/>
                <w:szCs w:val="24"/>
              </w:rPr>
              <w:t>11.4</w:t>
            </w:r>
          </w:p>
        </w:tc>
      </w:tr>
      <w:tr w:rsidR="001A26B0">
        <w:trPr>
          <w:trHeight w:val="288"/>
        </w:trPr>
        <w:tc>
          <w:tcPr>
            <w:tcW w:w="2388" w:type="dxa"/>
            <w:noWrap/>
          </w:tcPr>
          <w:p w:rsidR="001A26B0" w:rsidRDefault="00E33A99">
            <w:pPr>
              <w:spacing w:after="120"/>
              <w:jc w:val="left"/>
              <w:rPr>
                <w:noProof/>
                <w:szCs w:val="24"/>
              </w:rPr>
            </w:pPr>
            <w:r>
              <w:rPr>
                <w:noProof/>
                <w:szCs w:val="24"/>
              </w:rPr>
              <w:t>Other sectors</w:t>
            </w:r>
          </w:p>
        </w:tc>
        <w:tc>
          <w:tcPr>
            <w:tcW w:w="1680" w:type="dxa"/>
            <w:noWrap/>
            <w:vAlign w:val="center"/>
          </w:tcPr>
          <w:p w:rsidR="001A26B0" w:rsidRDefault="00E33A99">
            <w:pPr>
              <w:spacing w:after="120"/>
              <w:jc w:val="center"/>
              <w:rPr>
                <w:noProof/>
                <w:szCs w:val="24"/>
              </w:rPr>
            </w:pPr>
            <w:r>
              <w:rPr>
                <w:noProof/>
                <w:szCs w:val="24"/>
              </w:rPr>
              <w:t>213,731</w:t>
            </w:r>
          </w:p>
        </w:tc>
        <w:tc>
          <w:tcPr>
            <w:tcW w:w="1080" w:type="dxa"/>
            <w:noWrap/>
            <w:vAlign w:val="center"/>
          </w:tcPr>
          <w:p w:rsidR="001A26B0" w:rsidRDefault="00E33A99">
            <w:pPr>
              <w:spacing w:after="120"/>
              <w:jc w:val="center"/>
              <w:rPr>
                <w:noProof/>
                <w:szCs w:val="24"/>
              </w:rPr>
            </w:pPr>
            <w:r>
              <w:rPr>
                <w:noProof/>
                <w:szCs w:val="24"/>
              </w:rPr>
              <w:t>0.0%</w:t>
            </w:r>
          </w:p>
        </w:tc>
        <w:tc>
          <w:tcPr>
            <w:tcW w:w="1320" w:type="dxa"/>
            <w:noWrap/>
            <w:vAlign w:val="center"/>
          </w:tcPr>
          <w:p w:rsidR="001A26B0" w:rsidRDefault="00E33A99">
            <w:pPr>
              <w:spacing w:after="120"/>
              <w:jc w:val="center"/>
              <w:rPr>
                <w:noProof/>
                <w:szCs w:val="24"/>
              </w:rPr>
            </w:pPr>
            <w:r>
              <w:rPr>
                <w:noProof/>
                <w:szCs w:val="24"/>
              </w:rPr>
              <w:t>0.0%</w:t>
            </w:r>
          </w:p>
        </w:tc>
        <w:tc>
          <w:tcPr>
            <w:tcW w:w="1080" w:type="dxa"/>
            <w:noWrap/>
            <w:vAlign w:val="center"/>
          </w:tcPr>
          <w:p w:rsidR="001A26B0" w:rsidRDefault="00E33A99">
            <w:pPr>
              <w:spacing w:after="120"/>
              <w:jc w:val="center"/>
              <w:rPr>
                <w:noProof/>
                <w:szCs w:val="24"/>
              </w:rPr>
            </w:pPr>
            <w:r>
              <w:rPr>
                <w:noProof/>
                <w:szCs w:val="24"/>
              </w:rPr>
              <w:t>15</w:t>
            </w:r>
          </w:p>
        </w:tc>
        <w:tc>
          <w:tcPr>
            <w:tcW w:w="1190" w:type="dxa"/>
            <w:noWrap/>
            <w:vAlign w:val="center"/>
          </w:tcPr>
          <w:p w:rsidR="001A26B0" w:rsidRDefault="00E33A99">
            <w:pPr>
              <w:spacing w:after="120"/>
              <w:jc w:val="center"/>
              <w:rPr>
                <w:noProof/>
                <w:szCs w:val="24"/>
              </w:rPr>
            </w:pPr>
            <w:r>
              <w:rPr>
                <w:noProof/>
                <w:szCs w:val="24"/>
              </w:rPr>
              <w:t>20</w:t>
            </w:r>
          </w:p>
        </w:tc>
      </w:tr>
    </w:tbl>
    <w:p w:rsidR="001A26B0" w:rsidRDefault="00E33A99">
      <w:pPr>
        <w:pStyle w:val="Indented"/>
        <w:spacing w:before="240"/>
        <w:ind w:left="0"/>
        <w:jc w:val="both"/>
        <w:rPr>
          <w:rFonts w:ascii="Times New Roman" w:hAnsi="Times New Roman" w:cs="Times New Roman"/>
          <w:noProof/>
          <w:sz w:val="24"/>
          <w:szCs w:val="24"/>
        </w:rPr>
      </w:pPr>
      <w:r>
        <w:rPr>
          <w:rFonts w:ascii="Times New Roman" w:hAnsi="Times New Roman" w:cs="Times New Roman"/>
          <w:noProof/>
          <w:sz w:val="24"/>
          <w:szCs w:val="24"/>
        </w:rPr>
        <w:t xml:space="preserve">As mentioned in Section 6.3.2.2.3.3, external studies assessing the possible impacts of an accelerated uptake of low- and zero-emission vehicles also estimate an increase in overall employment. </w:t>
      </w:r>
    </w:p>
    <w:p w:rsidR="001A26B0" w:rsidRDefault="00E33A99">
      <w:pPr>
        <w:pStyle w:val="Indented"/>
        <w:ind w:left="0"/>
        <w:jc w:val="both"/>
        <w:rPr>
          <w:rFonts w:ascii="Times New Roman" w:hAnsi="Times New Roman" w:cs="Times New Roman"/>
          <w:noProof/>
          <w:sz w:val="24"/>
          <w:szCs w:val="24"/>
        </w:rPr>
      </w:pPr>
      <w:r>
        <w:rPr>
          <w:rFonts w:ascii="Times New Roman" w:hAnsi="Times New Roman" w:cs="Times New Roman"/>
          <w:noProof/>
          <w:sz w:val="24"/>
          <w:szCs w:val="24"/>
        </w:rPr>
        <w:t>By contrast, a study assessing the impact of</w:t>
      </w:r>
      <w:r>
        <w:rPr>
          <w:rFonts w:ascii="Times New Roman" w:hAnsi="Times New Roman" w:cs="Times New Roman"/>
          <w:noProof/>
          <w:sz w:val="24"/>
          <w:szCs w:val="24"/>
        </w:rPr>
        <w:t xml:space="preserve"> a much more drastic and abrupt policy change compared to all the options analysed in this IA, i.e. a complete ban of conventional powertrains by 2030 in Germany</w:t>
      </w:r>
      <w:r>
        <w:rPr>
          <w:rStyle w:val="FootnoteReference"/>
          <w:rFonts w:ascii="Times New Roman" w:hAnsi="Times New Roman" w:cs="Times New Roman"/>
          <w:noProof/>
          <w:sz w:val="24"/>
          <w:szCs w:val="24"/>
        </w:rPr>
        <w:footnoteReference w:id="198"/>
      </w:r>
      <w:r>
        <w:rPr>
          <w:rFonts w:ascii="Times New Roman" w:hAnsi="Times New Roman" w:cs="Times New Roman"/>
          <w:noProof/>
          <w:sz w:val="24"/>
          <w:szCs w:val="24"/>
        </w:rPr>
        <w:t xml:space="preserve"> unsurprisingly concludes that jobs in SMEs are particularly at risk due to difficulties in de</w:t>
      </w:r>
      <w:r>
        <w:rPr>
          <w:rFonts w:ascii="Times New Roman" w:hAnsi="Times New Roman" w:cs="Times New Roman"/>
          <w:noProof/>
          <w:sz w:val="24"/>
          <w:szCs w:val="24"/>
        </w:rPr>
        <w:t>veloping alternative technologies within such a short time period. Clearly, the capacity of companies to develop new technologies and to invest in new factories strongly depends on the length of the transition time. It is therefore important to underline t</w:t>
      </w:r>
      <w:r>
        <w:rPr>
          <w:rFonts w:ascii="Times New Roman" w:hAnsi="Times New Roman" w:cs="Times New Roman"/>
          <w:noProof/>
          <w:sz w:val="24"/>
          <w:szCs w:val="24"/>
        </w:rPr>
        <w:t>hat the policy options considered in this impact assessment are based on an incremental technology transition instead of a rapid and very disruptive change within a short period of time. This recognises the challenges linked to the transition to new techno</w:t>
      </w:r>
      <w:r>
        <w:rPr>
          <w:rFonts w:ascii="Times New Roman" w:hAnsi="Times New Roman" w:cs="Times New Roman"/>
          <w:noProof/>
          <w:sz w:val="24"/>
          <w:szCs w:val="24"/>
        </w:rPr>
        <w:t xml:space="preserve">logies for companies and the workforce. </w:t>
      </w:r>
    </w:p>
    <w:p w:rsidR="001A26B0" w:rsidRDefault="00E33A99">
      <w:pPr>
        <w:pStyle w:val="Indented"/>
        <w:ind w:left="0"/>
        <w:jc w:val="both"/>
        <w:rPr>
          <w:rFonts w:ascii="Times New Roman" w:hAnsi="Times New Roman" w:cs="Times New Roman"/>
          <w:noProof/>
          <w:sz w:val="24"/>
          <w:szCs w:val="24"/>
        </w:rPr>
      </w:pPr>
      <w:r>
        <w:rPr>
          <w:rFonts w:ascii="Times New Roman" w:hAnsi="Times New Roman" w:cs="Times New Roman"/>
          <w:noProof/>
          <w:sz w:val="24"/>
          <w:szCs w:val="24"/>
        </w:rPr>
        <w:t xml:space="preserve">A more detailed summary of the external studies regarding employment and qualifications is presented in Annex 7. </w:t>
      </w:r>
    </w:p>
    <w:p w:rsidR="001A26B0" w:rsidRDefault="00E33A99">
      <w:pPr>
        <w:spacing w:after="200" w:line="276" w:lineRule="auto"/>
        <w:jc w:val="left"/>
        <w:rPr>
          <w:b/>
          <w:noProof/>
          <w:color w:val="000000" w:themeColor="text1"/>
        </w:rPr>
      </w:pPr>
      <w:r>
        <w:rPr>
          <w:noProof/>
          <w:color w:val="000000" w:themeColor="text1"/>
        </w:rPr>
        <w:br w:type="page"/>
      </w:r>
    </w:p>
    <w:p w:rsidR="001A26B0" w:rsidRDefault="00E33A99">
      <w:pPr>
        <w:pStyle w:val="Heading2"/>
        <w:keepNext w:val="0"/>
        <w:widowControl w:val="0"/>
        <w:spacing w:after="240"/>
        <w:rPr>
          <w:noProof/>
          <w:color w:val="000000" w:themeColor="text1"/>
        </w:rPr>
      </w:pPr>
      <w:bookmarkStart w:id="639" w:name="_Toc496635635"/>
      <w:r>
        <w:rPr>
          <w:noProof/>
          <w:color w:val="000000" w:themeColor="text1"/>
        </w:rPr>
        <w:t>Elements supporting cost-effective implementation</w:t>
      </w:r>
      <w:bookmarkEnd w:id="622"/>
      <w:bookmarkEnd w:id="623"/>
      <w:bookmarkEnd w:id="639"/>
      <w:r>
        <w:rPr>
          <w:noProof/>
          <w:color w:val="000000" w:themeColor="text1"/>
        </w:rPr>
        <w:t xml:space="preserve"> </w:t>
      </w:r>
    </w:p>
    <w:p w:rsidR="001A26B0" w:rsidRDefault="00E33A99">
      <w:pPr>
        <w:pStyle w:val="Heading3"/>
        <w:rPr>
          <w:noProof/>
        </w:rPr>
      </w:pPr>
      <w:bookmarkStart w:id="640" w:name="_Toc492405270"/>
      <w:bookmarkStart w:id="641" w:name="_Toc492405272"/>
      <w:bookmarkStart w:id="642" w:name="_Toc492405273"/>
      <w:bookmarkStart w:id="643" w:name="_Toc485119159"/>
      <w:bookmarkStart w:id="644" w:name="_Toc487211794"/>
      <w:bookmarkStart w:id="645" w:name="_Toc492548080"/>
      <w:bookmarkStart w:id="646" w:name="_Ref494028990"/>
      <w:bookmarkStart w:id="647" w:name="_Toc496635636"/>
      <w:bookmarkEnd w:id="640"/>
      <w:bookmarkEnd w:id="641"/>
      <w:bookmarkEnd w:id="642"/>
      <w:r>
        <w:rPr>
          <w:noProof/>
        </w:rPr>
        <w:t>Eco-innovations (ECO)</w:t>
      </w:r>
      <w:bookmarkEnd w:id="643"/>
      <w:bookmarkEnd w:id="644"/>
      <w:bookmarkEnd w:id="645"/>
      <w:bookmarkEnd w:id="646"/>
      <w:bookmarkEnd w:id="647"/>
    </w:p>
    <w:p w:rsidR="001A26B0" w:rsidRDefault="00E33A99">
      <w:pPr>
        <w:pStyle w:val="Heading4"/>
        <w:rPr>
          <w:noProof/>
        </w:rPr>
      </w:pPr>
      <w:bookmarkStart w:id="648" w:name="_Toc496635637"/>
      <w:r>
        <w:rPr>
          <w:noProof/>
        </w:rPr>
        <w:t>Future review and possible</w:t>
      </w:r>
      <w:r>
        <w:rPr>
          <w:noProof/>
        </w:rPr>
        <w:t xml:space="preserve"> adjustment of the cap on the eco-innovation savings (Option ECO 1)</w:t>
      </w:r>
      <w:bookmarkEnd w:id="648"/>
    </w:p>
    <w:p w:rsidR="001A26B0" w:rsidRDefault="00E33A99">
      <w:pPr>
        <w:spacing w:after="120"/>
        <w:rPr>
          <w:i/>
          <w:noProof/>
          <w:color w:val="000000" w:themeColor="text1"/>
        </w:rPr>
      </w:pPr>
      <w:r>
        <w:rPr>
          <w:i/>
          <w:noProof/>
          <w:color w:val="000000" w:themeColor="text1"/>
        </w:rPr>
        <w:t>Environmental impacts</w:t>
      </w:r>
    </w:p>
    <w:p w:rsidR="001A26B0" w:rsidRDefault="00E33A99">
      <w:pPr>
        <w:spacing w:after="120"/>
        <w:rPr>
          <w:noProof/>
          <w:color w:val="000000" w:themeColor="text1"/>
        </w:rPr>
      </w:pPr>
      <w:r>
        <w:rPr>
          <w:noProof/>
          <w:color w:val="000000" w:themeColor="text1"/>
        </w:rPr>
        <w:t>The cap set is intended to limit to a certain extent the eco-innovation savings that manufacturers may use to achieve their CO</w:t>
      </w:r>
      <w:r>
        <w:rPr>
          <w:noProof/>
          <w:color w:val="000000" w:themeColor="text1"/>
          <w:vertAlign w:val="subscript"/>
        </w:rPr>
        <w:t>2</w:t>
      </w:r>
      <w:r>
        <w:rPr>
          <w:noProof/>
          <w:color w:val="000000" w:themeColor="text1"/>
        </w:rPr>
        <w:t xml:space="preserve"> targets as those CO</w:t>
      </w:r>
      <w:r>
        <w:rPr>
          <w:noProof/>
          <w:color w:val="000000" w:themeColor="text1"/>
          <w:vertAlign w:val="subscript"/>
        </w:rPr>
        <w:t>2</w:t>
      </w:r>
      <w:r>
        <w:rPr>
          <w:noProof/>
          <w:color w:val="000000" w:themeColor="text1"/>
        </w:rPr>
        <w:t xml:space="preserve"> targets are prima</w:t>
      </w:r>
      <w:r>
        <w:rPr>
          <w:noProof/>
          <w:color w:val="000000" w:themeColor="text1"/>
        </w:rPr>
        <w:t>rily intended to stimulate the uptake of more efficient 'on-cycle' technologies, whose effect can be demonstrated in the type approval test. Without such a cap, there is a risk that the uptake of those 'on-cycle' technologies would be reduced. While off-cy</w:t>
      </w:r>
      <w:r>
        <w:rPr>
          <w:noProof/>
          <w:color w:val="000000" w:themeColor="text1"/>
        </w:rPr>
        <w:t>cle technologies contribute to improving vehicle efficiency, the highest potential for such improvements still lies in the technologies whose effect is visible in the type approval test. The cap should therefore be set so that an appropriate balance can be</w:t>
      </w:r>
      <w:r>
        <w:rPr>
          <w:noProof/>
          <w:color w:val="000000" w:themeColor="text1"/>
        </w:rPr>
        <w:t xml:space="preserve"> struck between the incentives given to on- and off-cycle technologies respectively.</w:t>
      </w:r>
    </w:p>
    <w:p w:rsidR="001A26B0" w:rsidRDefault="00E33A99">
      <w:pPr>
        <w:spacing w:after="120"/>
        <w:rPr>
          <w:noProof/>
          <w:color w:val="000000" w:themeColor="text1"/>
        </w:rPr>
      </w:pPr>
      <w:r>
        <w:rPr>
          <w:noProof/>
          <w:color w:val="000000" w:themeColor="text1"/>
        </w:rPr>
        <w:t xml:space="preserve">For setting the cap at the appropriate level, account needs to be taken of the implementation of the WLTP and the uncertainties linked to the determination of the savings </w:t>
      </w:r>
      <w:r>
        <w:rPr>
          <w:noProof/>
          <w:color w:val="000000" w:themeColor="text1"/>
        </w:rPr>
        <w:t xml:space="preserve">of the eligible technologies. To address this uncertainty, more data will need to become available.  This includes inter alia data on the savings potential of new off-cycle technologies such as mobile air-conditioning equipment.  </w:t>
      </w:r>
    </w:p>
    <w:p w:rsidR="001A26B0" w:rsidRDefault="00E33A99">
      <w:pPr>
        <w:spacing w:after="120"/>
        <w:rPr>
          <w:i/>
          <w:noProof/>
          <w:color w:val="000000" w:themeColor="text1"/>
        </w:rPr>
      </w:pPr>
      <w:r>
        <w:rPr>
          <w:i/>
          <w:noProof/>
          <w:color w:val="000000" w:themeColor="text1"/>
        </w:rPr>
        <w:t>Economic impacts</w:t>
      </w:r>
    </w:p>
    <w:p w:rsidR="001A26B0" w:rsidRDefault="00E33A99">
      <w:pPr>
        <w:spacing w:after="120"/>
        <w:rPr>
          <w:noProof/>
          <w:color w:val="000000" w:themeColor="text1"/>
        </w:rPr>
      </w:pPr>
      <w:r>
        <w:rPr>
          <w:noProof/>
          <w:color w:val="000000" w:themeColor="text1"/>
        </w:rPr>
        <w:t xml:space="preserve">The 7 g </w:t>
      </w:r>
      <w:r>
        <w:rPr>
          <w:noProof/>
          <w:color w:val="000000" w:themeColor="text1"/>
        </w:rPr>
        <w:t>CO</w:t>
      </w:r>
      <w:r>
        <w:rPr>
          <w:noProof/>
          <w:color w:val="000000" w:themeColor="text1"/>
          <w:vertAlign w:val="subscript"/>
        </w:rPr>
        <w:t>2</w:t>
      </w:r>
      <w:r>
        <w:rPr>
          <w:noProof/>
          <w:color w:val="000000" w:themeColor="text1"/>
        </w:rPr>
        <w:t>/km cap would allow the continuation of the current regime under WLTP test conditions. A number of studies</w:t>
      </w:r>
      <w:r>
        <w:rPr>
          <w:noProof/>
          <w:color w:val="000000" w:themeColor="text1"/>
          <w:vertAlign w:val="superscript"/>
        </w:rPr>
        <w:footnoteReference w:id="199"/>
      </w:r>
      <w:r>
        <w:rPr>
          <w:noProof/>
          <w:color w:val="000000" w:themeColor="text1"/>
        </w:rPr>
        <w:t xml:space="preserve"> as well as the previous impact assessments undertaken in preparation of the existing Regulations</w:t>
      </w:r>
      <w:r>
        <w:rPr>
          <w:noProof/>
          <w:color w:val="000000" w:themeColor="text1"/>
          <w:vertAlign w:val="superscript"/>
        </w:rPr>
        <w:footnoteReference w:id="200"/>
      </w:r>
      <w:r>
        <w:rPr>
          <w:noProof/>
          <w:color w:val="000000" w:themeColor="text1"/>
        </w:rPr>
        <w:t xml:space="preserve"> concluded that the eco-innovation regime would promote the development and market deployment of eco-innovative technologies that are less costly than some improvements of which the effect can be demonstrated in the test procedure. </w:t>
      </w:r>
    </w:p>
    <w:p w:rsidR="001A26B0" w:rsidRDefault="00E33A99">
      <w:pPr>
        <w:spacing w:after="120"/>
        <w:rPr>
          <w:noProof/>
          <w:color w:val="000000" w:themeColor="text1"/>
        </w:rPr>
      </w:pPr>
      <w:r>
        <w:rPr>
          <w:noProof/>
          <w:color w:val="000000" w:themeColor="text1"/>
        </w:rPr>
        <w:t>The level of the cap ma</w:t>
      </w:r>
      <w:r>
        <w:rPr>
          <w:noProof/>
          <w:color w:val="000000" w:themeColor="text1"/>
        </w:rPr>
        <w:t>y have an impact on the choice of measures taken to reduce emissions by the manufacturer. However, under the current eco-innovation regime the 7 g CO</w:t>
      </w:r>
      <w:r>
        <w:rPr>
          <w:noProof/>
          <w:color w:val="000000" w:themeColor="text1"/>
          <w:vertAlign w:val="subscript"/>
        </w:rPr>
        <w:t>2</w:t>
      </w:r>
      <w:r>
        <w:rPr>
          <w:noProof/>
          <w:color w:val="000000" w:themeColor="text1"/>
        </w:rPr>
        <w:t>/km cap is far from reached, so it does not appear that maintaining this cap would constrain the uptake of</w:t>
      </w:r>
      <w:r>
        <w:rPr>
          <w:noProof/>
          <w:color w:val="000000" w:themeColor="text1"/>
        </w:rPr>
        <w:t xml:space="preserve"> more cost-effective efficiency improvements. It is however appropriate to have the possibility to further assess and, where necessary, adjust the cap allowing for the uptake of a cost-efficient mix of off-cycle and on-cycle technologies over time. </w:t>
      </w:r>
    </w:p>
    <w:p w:rsidR="001A26B0" w:rsidRDefault="00E33A99">
      <w:pPr>
        <w:spacing w:after="120"/>
        <w:rPr>
          <w:i/>
          <w:noProof/>
        </w:rPr>
      </w:pPr>
      <w:r>
        <w:rPr>
          <w:i/>
          <w:noProof/>
        </w:rPr>
        <w:t>Admini</w:t>
      </w:r>
      <w:r>
        <w:rPr>
          <w:i/>
          <w:noProof/>
        </w:rPr>
        <w:t>strative burden</w:t>
      </w:r>
    </w:p>
    <w:p w:rsidR="001A26B0" w:rsidRDefault="00E33A99">
      <w:pPr>
        <w:spacing w:after="120"/>
        <w:rPr>
          <w:noProof/>
          <w:color w:val="000000" w:themeColor="text1"/>
        </w:rPr>
      </w:pPr>
      <w:r>
        <w:rPr>
          <w:noProof/>
          <w:color w:val="000000" w:themeColor="text1"/>
        </w:rPr>
        <w:t>There would not be any additional administrative burden resulting from this option.</w:t>
      </w:r>
    </w:p>
    <w:p w:rsidR="001A26B0" w:rsidRDefault="00E33A99">
      <w:pPr>
        <w:spacing w:after="120"/>
        <w:rPr>
          <w:i/>
          <w:noProof/>
          <w:color w:val="000000" w:themeColor="text1"/>
        </w:rPr>
      </w:pPr>
      <w:r>
        <w:rPr>
          <w:i/>
          <w:noProof/>
          <w:color w:val="000000" w:themeColor="text1"/>
        </w:rPr>
        <w:t>Social impacts</w:t>
      </w:r>
    </w:p>
    <w:p w:rsidR="001A26B0" w:rsidRDefault="00E33A99">
      <w:pPr>
        <w:spacing w:after="120"/>
        <w:rPr>
          <w:noProof/>
          <w:color w:val="000000" w:themeColor="text1"/>
        </w:rPr>
      </w:pPr>
      <w:r>
        <w:rPr>
          <w:noProof/>
          <w:color w:val="000000" w:themeColor="text1"/>
        </w:rPr>
        <w:t>There are no direct or otherwise relevant social impacts of this option.</w:t>
      </w:r>
    </w:p>
    <w:p w:rsidR="001A26B0" w:rsidRDefault="00E33A99">
      <w:pPr>
        <w:pStyle w:val="Heading4"/>
        <w:rPr>
          <w:noProof/>
        </w:rPr>
      </w:pPr>
      <w:bookmarkStart w:id="649" w:name="_Toc496635638"/>
      <w:r>
        <w:rPr>
          <w:noProof/>
        </w:rPr>
        <w:t xml:space="preserve">Extend the scope of the eco-innovation regime to include mobile </w:t>
      </w:r>
      <w:r>
        <w:rPr>
          <w:noProof/>
        </w:rPr>
        <w:t>air-conditioning (MAC) systems including a future review and possible adjustment of the cap on the eco-innovation savings (Option ECO 2)</w:t>
      </w:r>
      <w:bookmarkEnd w:id="649"/>
    </w:p>
    <w:p w:rsidR="001A26B0" w:rsidRDefault="00E33A99">
      <w:pPr>
        <w:spacing w:after="120"/>
        <w:rPr>
          <w:i/>
          <w:noProof/>
          <w:color w:val="000000" w:themeColor="text1"/>
        </w:rPr>
      </w:pPr>
      <w:r>
        <w:rPr>
          <w:i/>
          <w:noProof/>
          <w:color w:val="000000" w:themeColor="text1"/>
        </w:rPr>
        <w:t>Environmental impacts</w:t>
      </w:r>
    </w:p>
    <w:p w:rsidR="001A26B0" w:rsidRDefault="00E33A99">
      <w:pPr>
        <w:spacing w:after="120"/>
        <w:rPr>
          <w:noProof/>
          <w:color w:val="000000" w:themeColor="text1"/>
        </w:rPr>
      </w:pPr>
      <w:r>
        <w:rPr>
          <w:noProof/>
          <w:color w:val="000000" w:themeColor="text1"/>
        </w:rPr>
        <w:t xml:space="preserve">In recent years, MAC systems have become standard equipment in practically all vehicle segments. </w:t>
      </w:r>
      <w:r>
        <w:rPr>
          <w:noProof/>
          <w:color w:val="000000" w:themeColor="text1"/>
        </w:rPr>
        <w:t>Those systems are among the most important energy consumers on board of light-duty vehicles</w:t>
      </w:r>
      <w:r>
        <w:rPr>
          <w:noProof/>
          <w:color w:val="000000" w:themeColor="text1"/>
          <w:vertAlign w:val="superscript"/>
        </w:rPr>
        <w:footnoteReference w:id="201"/>
      </w:r>
      <w:r>
        <w:rPr>
          <w:noProof/>
          <w:color w:val="000000" w:themeColor="text1"/>
        </w:rPr>
        <w:t xml:space="preserve">. Making MAC systems eligible as eco-innovations would create an incentive to improve their efficiency. </w:t>
      </w:r>
    </w:p>
    <w:p w:rsidR="001A26B0" w:rsidRDefault="00E33A99">
      <w:pPr>
        <w:spacing w:after="120"/>
        <w:rPr>
          <w:noProof/>
          <w:color w:val="000000" w:themeColor="text1"/>
        </w:rPr>
      </w:pPr>
      <w:r>
        <w:rPr>
          <w:noProof/>
          <w:color w:val="000000" w:themeColor="text1"/>
        </w:rPr>
        <w:t>While more CO</w:t>
      </w:r>
      <w:r>
        <w:rPr>
          <w:noProof/>
          <w:color w:val="000000" w:themeColor="text1"/>
          <w:vertAlign w:val="subscript"/>
        </w:rPr>
        <w:t>2</w:t>
      </w:r>
      <w:r>
        <w:rPr>
          <w:noProof/>
          <w:color w:val="000000" w:themeColor="text1"/>
        </w:rPr>
        <w:t xml:space="preserve"> savings from eco-innovations would become av</w:t>
      </w:r>
      <w:r>
        <w:rPr>
          <w:noProof/>
          <w:color w:val="000000" w:themeColor="text1"/>
        </w:rPr>
        <w:t>ailable to manufacturers to achieve their targets, it is expected that the environmental impact would be neutral in case it can be ensured that real world CO</w:t>
      </w:r>
      <w:r>
        <w:rPr>
          <w:noProof/>
          <w:color w:val="000000" w:themeColor="text1"/>
          <w:vertAlign w:val="subscript"/>
        </w:rPr>
        <w:t>2</w:t>
      </w:r>
      <w:r>
        <w:rPr>
          <w:noProof/>
          <w:color w:val="000000" w:themeColor="text1"/>
        </w:rPr>
        <w:t xml:space="preserve"> reductions are achieved by more efficient MAC devices.</w:t>
      </w:r>
    </w:p>
    <w:p w:rsidR="001A26B0" w:rsidRDefault="00E33A99">
      <w:pPr>
        <w:spacing w:after="120"/>
        <w:rPr>
          <w:i/>
          <w:noProof/>
          <w:color w:val="000000" w:themeColor="text1"/>
        </w:rPr>
      </w:pPr>
      <w:r>
        <w:rPr>
          <w:i/>
          <w:noProof/>
          <w:color w:val="000000" w:themeColor="text1"/>
        </w:rPr>
        <w:t>Economic impacts</w:t>
      </w:r>
    </w:p>
    <w:p w:rsidR="001A26B0" w:rsidRDefault="00E33A99">
      <w:pPr>
        <w:spacing w:after="120"/>
        <w:rPr>
          <w:noProof/>
          <w:color w:val="000000" w:themeColor="text1"/>
        </w:rPr>
      </w:pPr>
      <w:r>
        <w:rPr>
          <w:noProof/>
          <w:color w:val="000000" w:themeColor="text1"/>
        </w:rPr>
        <w:t>Efficiency improvements o</w:t>
      </w:r>
      <w:r>
        <w:rPr>
          <w:noProof/>
          <w:color w:val="000000" w:themeColor="text1"/>
        </w:rPr>
        <w:t xml:space="preserve">f MAC systems are expected to be a cost-effective option for manufacturers to reduce emissions and this would benefit consumers through improved fuel consumption of the vehicles. </w:t>
      </w:r>
    </w:p>
    <w:p w:rsidR="001A26B0" w:rsidRDefault="00E33A99">
      <w:pPr>
        <w:spacing w:after="120"/>
        <w:rPr>
          <w:i/>
          <w:noProof/>
        </w:rPr>
      </w:pPr>
      <w:r>
        <w:rPr>
          <w:i/>
          <w:noProof/>
        </w:rPr>
        <w:t>Administrative burden</w:t>
      </w:r>
    </w:p>
    <w:p w:rsidR="001A26B0" w:rsidRDefault="00E33A99">
      <w:pPr>
        <w:spacing w:after="120"/>
        <w:rPr>
          <w:noProof/>
          <w:color w:val="000000" w:themeColor="text1"/>
        </w:rPr>
      </w:pPr>
      <w:r>
        <w:rPr>
          <w:noProof/>
          <w:color w:val="000000" w:themeColor="text1"/>
        </w:rPr>
        <w:t>Inclusion of MAC systems into the eco-innovation regim</w:t>
      </w:r>
      <w:r>
        <w:rPr>
          <w:noProof/>
          <w:color w:val="000000" w:themeColor="text1"/>
        </w:rPr>
        <w:t>e would extend the scope of that regime to technologies that were not previously eligible as eco-innovations. This does not in itself increase the administrative burden of the eco-innovation regime in itself, i.e. the administrative burden of preparing the</w:t>
      </w:r>
      <w:r>
        <w:rPr>
          <w:noProof/>
          <w:color w:val="000000" w:themeColor="text1"/>
        </w:rPr>
        <w:t xml:space="preserve"> applications for the applicants and the assessment by the European Commission for preparing the Decision remains the same. It should however be noted that the procedure for application and the certification of the CO</w:t>
      </w:r>
      <w:r>
        <w:rPr>
          <w:noProof/>
          <w:color w:val="000000" w:themeColor="text1"/>
          <w:vertAlign w:val="subscript"/>
        </w:rPr>
        <w:t>2</w:t>
      </w:r>
      <w:r>
        <w:rPr>
          <w:noProof/>
          <w:color w:val="000000" w:themeColor="text1"/>
        </w:rPr>
        <w:t xml:space="preserve"> savings from eco-innovations is being</w:t>
      </w:r>
      <w:r>
        <w:rPr>
          <w:noProof/>
          <w:color w:val="000000" w:themeColor="text1"/>
        </w:rPr>
        <w:t xml:space="preserve"> simplified as part of the current implementation work with the intention of reducing the administrative burden for the applicants and for national type approval authorities.</w:t>
      </w:r>
    </w:p>
    <w:p w:rsidR="001A26B0" w:rsidRDefault="00E33A99">
      <w:pPr>
        <w:spacing w:after="120"/>
        <w:rPr>
          <w:i/>
          <w:noProof/>
          <w:color w:val="000000" w:themeColor="text1"/>
        </w:rPr>
      </w:pPr>
      <w:r>
        <w:rPr>
          <w:i/>
          <w:noProof/>
          <w:color w:val="000000" w:themeColor="text1"/>
        </w:rPr>
        <w:t xml:space="preserve">Stimulus to innovation </w:t>
      </w:r>
    </w:p>
    <w:p w:rsidR="001A26B0" w:rsidRDefault="00E33A99">
      <w:pPr>
        <w:spacing w:after="120"/>
        <w:rPr>
          <w:i/>
          <w:noProof/>
          <w:color w:val="000000" w:themeColor="text1"/>
        </w:rPr>
      </w:pPr>
      <w:r>
        <w:rPr>
          <w:noProof/>
          <w:color w:val="000000" w:themeColor="text1"/>
        </w:rPr>
        <w:t>By making MAC systems eligible as eco-innovations, incent</w:t>
      </w:r>
      <w:r>
        <w:rPr>
          <w:noProof/>
          <w:color w:val="000000" w:themeColor="text1"/>
        </w:rPr>
        <w:t xml:space="preserve">ives will be given to both component suppliers and vehicle manufacturers to invest in further research and development, thus enhancing innovation in this technology field. </w:t>
      </w:r>
    </w:p>
    <w:p w:rsidR="001A26B0" w:rsidRDefault="00E33A99">
      <w:pPr>
        <w:spacing w:after="120"/>
        <w:rPr>
          <w:i/>
          <w:noProof/>
          <w:color w:val="000000" w:themeColor="text1"/>
        </w:rPr>
      </w:pPr>
      <w:r>
        <w:rPr>
          <w:i/>
          <w:noProof/>
          <w:color w:val="000000" w:themeColor="text1"/>
        </w:rPr>
        <w:t>Social impacts</w:t>
      </w:r>
    </w:p>
    <w:p w:rsidR="001A26B0" w:rsidRDefault="00E33A99">
      <w:pPr>
        <w:spacing w:after="120"/>
        <w:rPr>
          <w:noProof/>
          <w:color w:val="000000" w:themeColor="text1"/>
        </w:rPr>
      </w:pPr>
      <w:r>
        <w:rPr>
          <w:noProof/>
          <w:color w:val="000000" w:themeColor="text1"/>
        </w:rPr>
        <w:t>A better understanding of the influence of MAC systems on the overal</w:t>
      </w:r>
      <w:r>
        <w:rPr>
          <w:noProof/>
          <w:color w:val="000000" w:themeColor="text1"/>
        </w:rPr>
        <w:t>l CO</w:t>
      </w:r>
      <w:r>
        <w:rPr>
          <w:noProof/>
          <w:color w:val="000000" w:themeColor="text1"/>
          <w:vertAlign w:val="subscript"/>
        </w:rPr>
        <w:t>2</w:t>
      </w:r>
      <w:r>
        <w:rPr>
          <w:noProof/>
          <w:color w:val="000000" w:themeColor="text1"/>
        </w:rPr>
        <w:t xml:space="preserve"> performance of the vehicles would also be achieved thus providing more representative environmental and fuel consumption data to the benefit of consumers.</w:t>
      </w:r>
    </w:p>
    <w:p w:rsidR="001A26B0" w:rsidRDefault="00E33A99">
      <w:pPr>
        <w:pStyle w:val="Heading3"/>
        <w:rPr>
          <w:noProof/>
        </w:rPr>
      </w:pPr>
      <w:bookmarkStart w:id="650" w:name="_Ref494028960"/>
      <w:bookmarkStart w:id="651" w:name="_Toc496635639"/>
      <w:bookmarkStart w:id="652" w:name="_Toc485119160"/>
      <w:bookmarkStart w:id="653" w:name="_Toc487211795"/>
      <w:bookmarkStart w:id="654" w:name="_Toc492548081"/>
      <w:r>
        <w:rPr>
          <w:noProof/>
        </w:rPr>
        <w:t>Pooling (POOL)</w:t>
      </w:r>
      <w:bookmarkEnd w:id="650"/>
      <w:bookmarkEnd w:id="651"/>
    </w:p>
    <w:p w:rsidR="001A26B0" w:rsidRDefault="00E33A99">
      <w:pPr>
        <w:pStyle w:val="Heading4"/>
        <w:rPr>
          <w:noProof/>
        </w:rPr>
      </w:pPr>
      <w:bookmarkStart w:id="655" w:name="_Ref493082549"/>
      <w:bookmarkStart w:id="656" w:name="_Ref493082582"/>
      <w:bookmarkStart w:id="657" w:name="_Toc496635640"/>
      <w:r>
        <w:rPr>
          <w:noProof/>
        </w:rPr>
        <w:t>Change nothing (Option POOL 0)</w:t>
      </w:r>
      <w:bookmarkEnd w:id="655"/>
      <w:bookmarkEnd w:id="656"/>
      <w:bookmarkEnd w:id="657"/>
    </w:p>
    <w:p w:rsidR="001A26B0" w:rsidRDefault="00E33A99">
      <w:pPr>
        <w:spacing w:after="120"/>
        <w:rPr>
          <w:i/>
          <w:noProof/>
          <w:szCs w:val="24"/>
        </w:rPr>
      </w:pPr>
      <w:r>
        <w:rPr>
          <w:i/>
          <w:noProof/>
          <w:szCs w:val="24"/>
        </w:rPr>
        <w:t>Environmental impacts</w:t>
      </w:r>
    </w:p>
    <w:p w:rsidR="001A26B0" w:rsidRDefault="00E33A99">
      <w:pPr>
        <w:autoSpaceDE w:val="0"/>
        <w:autoSpaceDN w:val="0"/>
        <w:adjustRightInd w:val="0"/>
        <w:spacing w:after="120"/>
        <w:rPr>
          <w:noProof/>
          <w:color w:val="000000"/>
          <w:szCs w:val="24"/>
        </w:rPr>
      </w:pPr>
      <w:r>
        <w:rPr>
          <w:noProof/>
          <w:color w:val="000000"/>
          <w:szCs w:val="24"/>
        </w:rPr>
        <w:t xml:space="preserve">The evaluation study </w:t>
      </w:r>
      <w:r>
        <w:rPr>
          <w:noProof/>
          <w:color w:val="000000"/>
          <w:szCs w:val="24"/>
        </w:rPr>
        <w:t>concluded that the pooling provisions have contributed beneficially to most of the current Regulations' objectives.</w:t>
      </w:r>
    </w:p>
    <w:p w:rsidR="001A26B0" w:rsidRDefault="00E33A99">
      <w:pPr>
        <w:spacing w:after="120"/>
        <w:rPr>
          <w:i/>
          <w:noProof/>
          <w:szCs w:val="24"/>
        </w:rPr>
      </w:pPr>
      <w:r>
        <w:rPr>
          <w:i/>
          <w:noProof/>
          <w:szCs w:val="24"/>
        </w:rPr>
        <w:t>Economic impacts</w:t>
      </w:r>
    </w:p>
    <w:p w:rsidR="001A26B0" w:rsidRDefault="00E33A99">
      <w:pPr>
        <w:spacing w:after="120"/>
        <w:rPr>
          <w:noProof/>
          <w:szCs w:val="24"/>
        </w:rPr>
      </w:pPr>
      <w:r>
        <w:rPr>
          <w:noProof/>
          <w:szCs w:val="24"/>
        </w:rPr>
        <w:t>The evaluation study showed that pooling contributed beneficially in terms of cost-effectiveness, and competitive neutralit</w:t>
      </w:r>
      <w:r>
        <w:rPr>
          <w:noProof/>
          <w:szCs w:val="24"/>
        </w:rPr>
        <w:t>y. Pooling facilitates compliance for those manufacturers that produce a rather limited range of vehicles, thus helping to preserve the diversity of the fleet.</w:t>
      </w:r>
      <w:r>
        <w:rPr>
          <w:noProof/>
        </w:rPr>
        <w:t xml:space="preserve"> </w:t>
      </w:r>
    </w:p>
    <w:p w:rsidR="001A26B0" w:rsidRDefault="00E33A99">
      <w:pPr>
        <w:spacing w:after="120"/>
        <w:rPr>
          <w:i/>
          <w:noProof/>
        </w:rPr>
      </w:pPr>
      <w:r>
        <w:rPr>
          <w:i/>
          <w:noProof/>
        </w:rPr>
        <w:t>Administrative burden</w:t>
      </w:r>
    </w:p>
    <w:p w:rsidR="001A26B0" w:rsidRDefault="00E33A99">
      <w:pPr>
        <w:spacing w:after="120"/>
        <w:rPr>
          <w:noProof/>
          <w:szCs w:val="24"/>
        </w:rPr>
      </w:pPr>
      <w:r>
        <w:rPr>
          <w:noProof/>
          <w:color w:val="000000" w:themeColor="text1"/>
        </w:rPr>
        <w:t>There would not be any additional administrative burden resulting from th</w:t>
      </w:r>
      <w:r>
        <w:rPr>
          <w:noProof/>
          <w:color w:val="000000" w:themeColor="text1"/>
        </w:rPr>
        <w:t>is option</w:t>
      </w:r>
      <w:r>
        <w:rPr>
          <w:noProof/>
          <w:szCs w:val="24"/>
        </w:rPr>
        <w:t xml:space="preserve"> as the existing procedures are well established and fairly straightforward for manufacturers to apply.</w:t>
      </w:r>
    </w:p>
    <w:p w:rsidR="001A26B0" w:rsidRDefault="00E33A99">
      <w:pPr>
        <w:spacing w:after="120"/>
        <w:rPr>
          <w:i/>
          <w:noProof/>
          <w:szCs w:val="24"/>
        </w:rPr>
      </w:pPr>
      <w:r>
        <w:rPr>
          <w:i/>
          <w:noProof/>
          <w:szCs w:val="24"/>
        </w:rPr>
        <w:t>Social impacts</w:t>
      </w:r>
    </w:p>
    <w:p w:rsidR="001A26B0" w:rsidRDefault="00E33A99">
      <w:pPr>
        <w:spacing w:after="120"/>
        <w:rPr>
          <w:noProof/>
          <w:szCs w:val="24"/>
        </w:rPr>
      </w:pPr>
      <w:r>
        <w:rPr>
          <w:noProof/>
          <w:szCs w:val="24"/>
        </w:rPr>
        <w:t>The option does not present any significant social impacts.</w:t>
      </w:r>
    </w:p>
    <w:p w:rsidR="001A26B0" w:rsidRDefault="00E33A99">
      <w:pPr>
        <w:pStyle w:val="Heading4"/>
        <w:rPr>
          <w:noProof/>
        </w:rPr>
      </w:pPr>
      <w:bookmarkStart w:id="658" w:name="_Toc496635641"/>
      <w:r>
        <w:rPr>
          <w:noProof/>
        </w:rPr>
        <w:t>An empowerment for the Commission to specify the conditions for open</w:t>
      </w:r>
      <w:r>
        <w:rPr>
          <w:noProof/>
        </w:rPr>
        <w:t xml:space="preserve"> pool arrangements (Option POOL 1)</w:t>
      </w:r>
      <w:bookmarkEnd w:id="658"/>
    </w:p>
    <w:p w:rsidR="001A26B0" w:rsidRDefault="00E33A99">
      <w:pPr>
        <w:spacing w:after="120"/>
        <w:rPr>
          <w:i/>
          <w:noProof/>
          <w:szCs w:val="24"/>
        </w:rPr>
      </w:pPr>
      <w:r>
        <w:rPr>
          <w:i/>
          <w:noProof/>
          <w:szCs w:val="24"/>
        </w:rPr>
        <w:t>Environmental impacts</w:t>
      </w:r>
    </w:p>
    <w:p w:rsidR="001A26B0" w:rsidRDefault="00E33A99">
      <w:pPr>
        <w:spacing w:after="120"/>
        <w:rPr>
          <w:noProof/>
          <w:szCs w:val="24"/>
        </w:rPr>
      </w:pPr>
      <w:r>
        <w:rPr>
          <w:noProof/>
          <w:szCs w:val="24"/>
        </w:rPr>
        <w:t>In view of the limited number of independent manufacturers that would be eligible to form an open pool, it is considered that any negative environmental impact would remain very small under this opti</w:t>
      </w:r>
      <w:r>
        <w:rPr>
          <w:noProof/>
          <w:szCs w:val="24"/>
        </w:rPr>
        <w:t>on.</w:t>
      </w:r>
    </w:p>
    <w:p w:rsidR="001A26B0" w:rsidRDefault="00E33A99">
      <w:pPr>
        <w:spacing w:after="120"/>
        <w:rPr>
          <w:i/>
          <w:noProof/>
          <w:szCs w:val="24"/>
        </w:rPr>
      </w:pPr>
      <w:r>
        <w:rPr>
          <w:i/>
          <w:noProof/>
          <w:szCs w:val="24"/>
        </w:rPr>
        <w:t>Economic impact</w:t>
      </w:r>
    </w:p>
    <w:p w:rsidR="001A26B0" w:rsidRDefault="00E33A99">
      <w:pPr>
        <w:spacing w:after="120"/>
        <w:rPr>
          <w:noProof/>
          <w:szCs w:val="24"/>
        </w:rPr>
      </w:pPr>
      <w:r>
        <w:rPr>
          <w:noProof/>
          <w:szCs w:val="24"/>
        </w:rPr>
        <w:t xml:space="preserve">Enhancing the possibility for independent manufacturers to pool by increasing legal certainty and improving compliance planning would contribute further to the cost-effectiveness implementation of the legislation. Furthermore, this </w:t>
      </w:r>
      <w:r>
        <w:rPr>
          <w:noProof/>
          <w:szCs w:val="24"/>
        </w:rPr>
        <w:t>option would improve the competitive neutrality of pooling by placing independent manufacturers in a position equivalent to those of connected undertakings.</w:t>
      </w:r>
    </w:p>
    <w:p w:rsidR="001A26B0" w:rsidRDefault="00E33A99">
      <w:pPr>
        <w:spacing w:after="120"/>
        <w:rPr>
          <w:i/>
          <w:noProof/>
        </w:rPr>
      </w:pPr>
      <w:r>
        <w:rPr>
          <w:i/>
          <w:noProof/>
        </w:rPr>
        <w:t>Administrative burden</w:t>
      </w:r>
    </w:p>
    <w:p w:rsidR="001A26B0" w:rsidRDefault="00E33A99">
      <w:pPr>
        <w:spacing w:after="120"/>
        <w:rPr>
          <w:noProof/>
          <w:szCs w:val="24"/>
        </w:rPr>
      </w:pPr>
      <w:r>
        <w:rPr>
          <w:noProof/>
          <w:szCs w:val="24"/>
        </w:rPr>
        <w:t>The administrative burden would decrease for manufacturers as the specified c</w:t>
      </w:r>
      <w:r>
        <w:rPr>
          <w:noProof/>
          <w:szCs w:val="24"/>
        </w:rPr>
        <w:t>onditions would clarify the applicable rules and simplify the process of arranging open pools.</w:t>
      </w:r>
    </w:p>
    <w:p w:rsidR="001A26B0" w:rsidRDefault="00E33A99">
      <w:pPr>
        <w:spacing w:after="120"/>
        <w:rPr>
          <w:i/>
          <w:noProof/>
          <w:szCs w:val="24"/>
        </w:rPr>
      </w:pPr>
      <w:r>
        <w:rPr>
          <w:i/>
          <w:noProof/>
          <w:szCs w:val="24"/>
        </w:rPr>
        <w:t>Social impacts</w:t>
      </w:r>
    </w:p>
    <w:p w:rsidR="001A26B0" w:rsidRDefault="00E33A99">
      <w:pPr>
        <w:spacing w:after="120"/>
        <w:rPr>
          <w:noProof/>
          <w:szCs w:val="24"/>
        </w:rPr>
      </w:pPr>
      <w:r>
        <w:rPr>
          <w:noProof/>
          <w:szCs w:val="24"/>
        </w:rPr>
        <w:t>The option does not present any significant social impacts.</w:t>
      </w:r>
    </w:p>
    <w:p w:rsidR="001A26B0" w:rsidRDefault="00E33A99">
      <w:pPr>
        <w:pStyle w:val="Heading3"/>
        <w:rPr>
          <w:noProof/>
        </w:rPr>
      </w:pPr>
      <w:bookmarkStart w:id="659" w:name="_Toc496635642"/>
      <w:r>
        <w:rPr>
          <w:noProof/>
        </w:rPr>
        <w:t>Trading (TRADE)</w:t>
      </w:r>
      <w:bookmarkEnd w:id="652"/>
      <w:bookmarkEnd w:id="653"/>
      <w:bookmarkEnd w:id="654"/>
      <w:bookmarkEnd w:id="659"/>
    </w:p>
    <w:p w:rsidR="001A26B0" w:rsidRDefault="00E33A99">
      <w:pPr>
        <w:pStyle w:val="Heading4"/>
        <w:rPr>
          <w:noProof/>
          <w:szCs w:val="24"/>
        </w:rPr>
      </w:pPr>
      <w:bookmarkStart w:id="660" w:name="_Toc496635643"/>
      <w:r>
        <w:rPr>
          <w:noProof/>
          <w:szCs w:val="24"/>
        </w:rPr>
        <w:t>Change nothing (Option TRADE 0)</w:t>
      </w:r>
      <w:bookmarkEnd w:id="660"/>
    </w:p>
    <w:p w:rsidR="001A26B0" w:rsidRDefault="00E33A99">
      <w:pPr>
        <w:spacing w:after="120"/>
        <w:rPr>
          <w:i/>
          <w:noProof/>
          <w:color w:val="000000" w:themeColor="text1"/>
        </w:rPr>
      </w:pPr>
      <w:r>
        <w:rPr>
          <w:noProof/>
          <w:color w:val="000000" w:themeColor="text1"/>
        </w:rPr>
        <w:t xml:space="preserve">As this option implies a continuation </w:t>
      </w:r>
      <w:r>
        <w:rPr>
          <w:noProof/>
          <w:color w:val="000000" w:themeColor="text1"/>
        </w:rPr>
        <w:t>of the current pooling regime, the impacts would be similar as described in Section 6.6.2.1</w:t>
      </w:r>
    </w:p>
    <w:p w:rsidR="001A26B0" w:rsidRDefault="00E33A99">
      <w:pPr>
        <w:pStyle w:val="Heading4"/>
        <w:rPr>
          <w:noProof/>
        </w:rPr>
      </w:pPr>
      <w:bookmarkStart w:id="661" w:name="_Toc496635644"/>
      <w:r>
        <w:rPr>
          <w:noProof/>
        </w:rPr>
        <w:t>Introduce trading as an additional modality for reaching the CO</w:t>
      </w:r>
      <w:r>
        <w:rPr>
          <w:noProof/>
          <w:vertAlign w:val="subscript"/>
        </w:rPr>
        <w:t>2</w:t>
      </w:r>
      <w:r>
        <w:rPr>
          <w:noProof/>
        </w:rPr>
        <w:t xml:space="preserve"> targets and/or LEV mandates (Option TRADE 1)</w:t>
      </w:r>
      <w:bookmarkEnd w:id="661"/>
    </w:p>
    <w:p w:rsidR="001A26B0" w:rsidRDefault="00E33A99">
      <w:pPr>
        <w:spacing w:after="120"/>
        <w:rPr>
          <w:i/>
          <w:noProof/>
          <w:color w:val="000000" w:themeColor="text1"/>
          <w:szCs w:val="24"/>
        </w:rPr>
      </w:pPr>
      <w:r>
        <w:rPr>
          <w:i/>
          <w:noProof/>
          <w:color w:val="000000" w:themeColor="text1"/>
          <w:szCs w:val="24"/>
        </w:rPr>
        <w:t>Environmental impacts</w:t>
      </w:r>
    </w:p>
    <w:p w:rsidR="001A26B0" w:rsidRDefault="00E33A99">
      <w:pPr>
        <w:spacing w:after="120"/>
        <w:rPr>
          <w:noProof/>
          <w:color w:val="000000" w:themeColor="text1"/>
          <w:szCs w:val="24"/>
        </w:rPr>
      </w:pPr>
      <w:r>
        <w:rPr>
          <w:noProof/>
          <w:color w:val="000000" w:themeColor="text1"/>
          <w:szCs w:val="24"/>
        </w:rPr>
        <w:t xml:space="preserve">Trading as a complementary </w:t>
      </w:r>
      <w:r>
        <w:rPr>
          <w:noProof/>
          <w:color w:val="000000" w:themeColor="text1"/>
          <w:szCs w:val="24"/>
        </w:rPr>
        <w:t>modality to pooling should not negatively affect the achievement of the EU-wide fleet CO</w:t>
      </w:r>
      <w:r>
        <w:rPr>
          <w:noProof/>
          <w:color w:val="000000" w:themeColor="text1"/>
          <w:szCs w:val="24"/>
          <w:vertAlign w:val="subscript"/>
        </w:rPr>
        <w:t>2</w:t>
      </w:r>
      <w:r>
        <w:rPr>
          <w:noProof/>
          <w:color w:val="000000" w:themeColor="text1"/>
          <w:szCs w:val="24"/>
        </w:rPr>
        <w:t xml:space="preserve"> targets. </w:t>
      </w:r>
      <w:r>
        <w:rPr>
          <w:noProof/>
        </w:rPr>
        <w:t xml:space="preserve">Some risks associated with the trading of credits </w:t>
      </w:r>
      <w:r>
        <w:rPr>
          <w:noProof/>
          <w:color w:val="000000" w:themeColor="text1"/>
          <w:szCs w:val="24"/>
        </w:rPr>
        <w:t>are rather linked to banking and borrowing (see section 6.6.3).</w:t>
      </w:r>
    </w:p>
    <w:p w:rsidR="001A26B0" w:rsidRDefault="00E33A99">
      <w:pPr>
        <w:spacing w:after="120"/>
        <w:rPr>
          <w:noProof/>
          <w:color w:val="000000" w:themeColor="text1"/>
          <w:szCs w:val="24"/>
        </w:rPr>
      </w:pPr>
      <w:r>
        <w:rPr>
          <w:noProof/>
          <w:color w:val="000000" w:themeColor="text1"/>
          <w:szCs w:val="24"/>
        </w:rPr>
        <w:t>A trading mechanism may affect the level of</w:t>
      </w:r>
      <w:r>
        <w:rPr>
          <w:noProof/>
          <w:color w:val="000000" w:themeColor="text1"/>
          <w:szCs w:val="24"/>
        </w:rPr>
        <w:t xml:space="preserve"> investment in new technologies by each specific manufacturer (or pool). Without a trading mechanism each manufacturer or pool would have to have a certain number of energy-efficient vehicles and/or LEVs/ZEVs in its fleet in order to comply with the set ta</w:t>
      </w:r>
      <w:r>
        <w:rPr>
          <w:noProof/>
          <w:color w:val="000000" w:themeColor="text1"/>
          <w:szCs w:val="24"/>
        </w:rPr>
        <w:t xml:space="preserve">rgets. By contrast, under a trading mechanism without a limit on the amount of credits to be traded per manufacturer or pool, a manufacturer or pool could decide to invest less in new technologies and instead buy credits from other manufacturers to fulfil </w:t>
      </w:r>
      <w:r>
        <w:rPr>
          <w:noProof/>
          <w:color w:val="000000" w:themeColor="text1"/>
          <w:szCs w:val="24"/>
        </w:rPr>
        <w:t>the CO</w:t>
      </w:r>
      <w:r>
        <w:rPr>
          <w:noProof/>
          <w:color w:val="000000" w:themeColor="text1"/>
          <w:szCs w:val="24"/>
          <w:vertAlign w:val="subscript"/>
        </w:rPr>
        <w:t>2</w:t>
      </w:r>
      <w:r>
        <w:rPr>
          <w:noProof/>
          <w:color w:val="000000" w:themeColor="text1"/>
          <w:szCs w:val="24"/>
        </w:rPr>
        <w:t xml:space="preserve"> target. Investments in energy-efficient vehicles and/or LEV/ZEV may be limited to only some specialised manufacturers or pools and hence possibly limit the number of manufacturers taking up innovative technologies.</w:t>
      </w:r>
    </w:p>
    <w:p w:rsidR="001A26B0" w:rsidRDefault="00E33A99">
      <w:pPr>
        <w:spacing w:after="120"/>
        <w:rPr>
          <w:i/>
          <w:noProof/>
          <w:color w:val="000000" w:themeColor="text1"/>
          <w:szCs w:val="24"/>
        </w:rPr>
      </w:pPr>
      <w:r>
        <w:rPr>
          <w:i/>
          <w:noProof/>
          <w:color w:val="000000" w:themeColor="text1"/>
          <w:szCs w:val="24"/>
        </w:rPr>
        <w:t>Economic impacts</w:t>
      </w:r>
    </w:p>
    <w:p w:rsidR="001A26B0" w:rsidRDefault="00E33A99">
      <w:pPr>
        <w:spacing w:after="120"/>
        <w:rPr>
          <w:noProof/>
          <w:color w:val="000000" w:themeColor="text1"/>
          <w:szCs w:val="24"/>
        </w:rPr>
      </w:pPr>
      <w:r>
        <w:rPr>
          <w:noProof/>
          <w:color w:val="000000" w:themeColor="text1"/>
          <w:szCs w:val="24"/>
        </w:rPr>
        <w:t>Trading can redu</w:t>
      </w:r>
      <w:r>
        <w:rPr>
          <w:noProof/>
          <w:color w:val="000000" w:themeColor="text1"/>
          <w:szCs w:val="24"/>
        </w:rPr>
        <w:t xml:space="preserve">ce overall compliance costs for manufacturers by providing for additional flexibility in meeting the targets. This in turn creates a potential additional revenue stream. </w:t>
      </w:r>
    </w:p>
    <w:p w:rsidR="001A26B0" w:rsidRDefault="00E33A99">
      <w:pPr>
        <w:spacing w:after="120"/>
        <w:rPr>
          <w:noProof/>
          <w:color w:val="000000" w:themeColor="text1"/>
          <w:szCs w:val="24"/>
        </w:rPr>
      </w:pPr>
      <w:r>
        <w:rPr>
          <w:noProof/>
          <w:color w:val="000000" w:themeColor="text1"/>
          <w:szCs w:val="24"/>
        </w:rPr>
        <w:t>Compared to pooling, additional flexibility is achieved as trading does not require a</w:t>
      </w:r>
      <w:r>
        <w:rPr>
          <w:noProof/>
          <w:color w:val="000000" w:themeColor="text1"/>
          <w:szCs w:val="24"/>
        </w:rPr>
        <w:t>n upfront decision. In the case of pooling, before the end of every year manufacturers have to notify pools for the purpose of target compliance. Trading could take place after manufacturers are informed about the provisional calculations of their target c</w:t>
      </w:r>
      <w:r>
        <w:rPr>
          <w:noProof/>
          <w:color w:val="000000" w:themeColor="text1"/>
          <w:szCs w:val="24"/>
        </w:rPr>
        <w:t>ompliance. This would allow manufacturers to trade the exact amount of credits needed to meet their target before the confirmation of the final compliance data.</w:t>
      </w:r>
    </w:p>
    <w:p w:rsidR="001A26B0" w:rsidRDefault="00E33A99">
      <w:pPr>
        <w:spacing w:after="120"/>
        <w:rPr>
          <w:noProof/>
          <w:color w:val="000000" w:themeColor="text1"/>
          <w:szCs w:val="24"/>
        </w:rPr>
      </w:pPr>
      <w:r>
        <w:rPr>
          <w:noProof/>
          <w:color w:val="000000" w:themeColor="text1"/>
          <w:szCs w:val="24"/>
        </w:rPr>
        <w:t>A manufacturer or pool that over-complies with its target and has therefore invested in more ef</w:t>
      </w:r>
      <w:r>
        <w:rPr>
          <w:noProof/>
          <w:color w:val="000000" w:themeColor="text1"/>
          <w:szCs w:val="24"/>
        </w:rPr>
        <w:t>ficient vehicles can sell credits and generate additional revenue to recover its additional investment costs, at least partially. At the same time, for another manufacturer or pool it may be cheaper to buy credits than putting additional investments in new</w:t>
      </w:r>
      <w:r>
        <w:rPr>
          <w:noProof/>
          <w:color w:val="000000" w:themeColor="text1"/>
          <w:szCs w:val="24"/>
        </w:rPr>
        <w:t xml:space="preserve"> technologies or paying penalties. </w:t>
      </w:r>
    </w:p>
    <w:p w:rsidR="001A26B0" w:rsidRDefault="00E33A99">
      <w:pPr>
        <w:spacing w:after="120"/>
        <w:rPr>
          <w:noProof/>
          <w:color w:val="000000" w:themeColor="text1"/>
          <w:szCs w:val="24"/>
        </w:rPr>
      </w:pPr>
      <w:r>
        <w:rPr>
          <w:noProof/>
          <w:color w:val="000000" w:themeColor="text1"/>
          <w:szCs w:val="24"/>
        </w:rPr>
        <w:t>However, these benefits depend on the liquidity in the market and the willingness of manufacturers and pools to trade. Given the relatively small number of manufacturers, in particular when a pool would act as one tradin</w:t>
      </w:r>
      <w:r>
        <w:rPr>
          <w:noProof/>
          <w:color w:val="000000" w:themeColor="text1"/>
          <w:szCs w:val="24"/>
        </w:rPr>
        <w:t>g entity, a few manufacturers may dominate the market. This may limit the potential economic benefits of trading.</w:t>
      </w:r>
    </w:p>
    <w:p w:rsidR="001A26B0" w:rsidRDefault="00E33A99">
      <w:pPr>
        <w:spacing w:after="120"/>
        <w:rPr>
          <w:i/>
          <w:noProof/>
        </w:rPr>
      </w:pPr>
      <w:r>
        <w:rPr>
          <w:i/>
          <w:noProof/>
        </w:rPr>
        <w:t>Administrative burden</w:t>
      </w:r>
    </w:p>
    <w:p w:rsidR="001A26B0" w:rsidRDefault="00E33A99">
      <w:pPr>
        <w:spacing w:after="120"/>
        <w:rPr>
          <w:noProof/>
          <w:color w:val="000000" w:themeColor="text1"/>
          <w:szCs w:val="24"/>
        </w:rPr>
      </w:pPr>
      <w:r>
        <w:rPr>
          <w:noProof/>
          <w:color w:val="000000" w:themeColor="text1"/>
          <w:szCs w:val="24"/>
        </w:rPr>
        <w:t>The introduction of trading would increase the administrative burden compared to the existing flexibilities. Trading wou</w:t>
      </w:r>
      <w:r>
        <w:rPr>
          <w:noProof/>
          <w:color w:val="000000" w:themeColor="text1"/>
          <w:szCs w:val="24"/>
        </w:rPr>
        <w:t>ld require both manufacturers and the Commission to monitor all transactions, e.g. in the form of a register. While the number of market participants would be limited, it could increase the time needed for compliance checking as well as finalisation of ann</w:t>
      </w:r>
      <w:r>
        <w:rPr>
          <w:noProof/>
          <w:color w:val="000000" w:themeColor="text1"/>
          <w:szCs w:val="24"/>
        </w:rPr>
        <w:t xml:space="preserve">ual performance data. </w:t>
      </w:r>
    </w:p>
    <w:p w:rsidR="001A26B0" w:rsidRDefault="00E33A99">
      <w:pPr>
        <w:spacing w:after="120"/>
        <w:rPr>
          <w:noProof/>
          <w:color w:val="000000" w:themeColor="text1"/>
          <w:szCs w:val="24"/>
        </w:rPr>
      </w:pPr>
      <w:r>
        <w:rPr>
          <w:noProof/>
          <w:color w:val="000000" w:themeColor="text1"/>
          <w:szCs w:val="24"/>
        </w:rPr>
        <w:t xml:space="preserve">In the case of pools engaging in trading, changes to the pool composition over time would have to be considered when determining the available credits. </w:t>
      </w:r>
    </w:p>
    <w:p w:rsidR="001A26B0" w:rsidRDefault="00E33A99">
      <w:pPr>
        <w:spacing w:after="120"/>
        <w:rPr>
          <w:i/>
          <w:noProof/>
          <w:color w:val="000000" w:themeColor="text1"/>
          <w:szCs w:val="24"/>
        </w:rPr>
      </w:pPr>
      <w:r>
        <w:rPr>
          <w:i/>
          <w:noProof/>
          <w:color w:val="000000" w:themeColor="text1"/>
          <w:szCs w:val="24"/>
        </w:rPr>
        <w:t>Social impacts</w:t>
      </w:r>
    </w:p>
    <w:p w:rsidR="001A26B0" w:rsidRDefault="00E33A99">
      <w:pPr>
        <w:spacing w:after="120"/>
        <w:rPr>
          <w:noProof/>
          <w:color w:val="000000" w:themeColor="text1"/>
          <w:szCs w:val="24"/>
        </w:rPr>
      </w:pPr>
      <w:r>
        <w:rPr>
          <w:noProof/>
          <w:color w:val="000000" w:themeColor="text1"/>
          <w:szCs w:val="24"/>
        </w:rPr>
        <w:t>If trading leads to lower overall compliance costs, this may incr</w:t>
      </w:r>
      <w:r>
        <w:rPr>
          <w:noProof/>
          <w:color w:val="000000" w:themeColor="text1"/>
          <w:szCs w:val="24"/>
        </w:rPr>
        <w:t>ease the net economic savings and benefits for consumers.</w:t>
      </w:r>
    </w:p>
    <w:p w:rsidR="001A26B0" w:rsidRDefault="00E33A99">
      <w:pPr>
        <w:pStyle w:val="Heading3"/>
        <w:rPr>
          <w:noProof/>
        </w:rPr>
      </w:pPr>
      <w:bookmarkStart w:id="662" w:name="_Toc488397493"/>
      <w:bookmarkStart w:id="663" w:name="_Toc488397495"/>
      <w:bookmarkStart w:id="664" w:name="_Toc487211796"/>
      <w:bookmarkStart w:id="665" w:name="_Toc492548082"/>
      <w:bookmarkStart w:id="666" w:name="_Toc496635645"/>
      <w:bookmarkEnd w:id="662"/>
      <w:bookmarkEnd w:id="663"/>
      <w:r>
        <w:rPr>
          <w:noProof/>
        </w:rPr>
        <w:t>Banking and borrowing (BB)</w:t>
      </w:r>
      <w:bookmarkEnd w:id="664"/>
      <w:bookmarkEnd w:id="665"/>
      <w:bookmarkEnd w:id="666"/>
    </w:p>
    <w:p w:rsidR="001A26B0" w:rsidRDefault="00E33A99">
      <w:pPr>
        <w:pStyle w:val="Heading4"/>
        <w:rPr>
          <w:noProof/>
          <w:szCs w:val="24"/>
        </w:rPr>
      </w:pPr>
      <w:bookmarkStart w:id="667" w:name="_Toc492548083"/>
      <w:bookmarkStart w:id="668" w:name="_Toc496635646"/>
      <w:r>
        <w:rPr>
          <w:noProof/>
          <w:szCs w:val="24"/>
        </w:rPr>
        <w:t>Change nothing (Option BB 0)</w:t>
      </w:r>
      <w:bookmarkEnd w:id="667"/>
      <w:bookmarkEnd w:id="668"/>
    </w:p>
    <w:p w:rsidR="001A26B0" w:rsidRDefault="00E33A99">
      <w:pPr>
        <w:spacing w:after="120"/>
        <w:rPr>
          <w:i/>
          <w:noProof/>
          <w:color w:val="000000" w:themeColor="text1"/>
        </w:rPr>
      </w:pPr>
      <w:r>
        <w:rPr>
          <w:i/>
          <w:noProof/>
          <w:color w:val="000000" w:themeColor="text1"/>
        </w:rPr>
        <w:t>Environmental impacts</w:t>
      </w:r>
    </w:p>
    <w:p w:rsidR="001A26B0" w:rsidRDefault="00E33A99">
      <w:pPr>
        <w:spacing w:after="120"/>
        <w:rPr>
          <w:noProof/>
          <w:color w:val="000000" w:themeColor="text1"/>
        </w:rPr>
      </w:pPr>
      <w:r>
        <w:rPr>
          <w:noProof/>
          <w:color w:val="000000" w:themeColor="text1"/>
        </w:rPr>
        <w:t>The absence of banking and borrowing does not affect the effectiveness of the regulations in reducing emissions in any s</w:t>
      </w:r>
      <w:r>
        <w:rPr>
          <w:noProof/>
          <w:color w:val="000000" w:themeColor="text1"/>
        </w:rPr>
        <w:t xml:space="preserve">ignificant way. </w:t>
      </w:r>
    </w:p>
    <w:p w:rsidR="001A26B0" w:rsidRDefault="00E33A99">
      <w:pPr>
        <w:spacing w:after="120"/>
        <w:rPr>
          <w:i/>
          <w:noProof/>
          <w:color w:val="000000" w:themeColor="text1"/>
        </w:rPr>
      </w:pPr>
      <w:r>
        <w:rPr>
          <w:i/>
          <w:noProof/>
          <w:color w:val="000000" w:themeColor="text1"/>
        </w:rPr>
        <w:t>Economic impacts</w:t>
      </w:r>
    </w:p>
    <w:p w:rsidR="001A26B0" w:rsidRDefault="00E33A99">
      <w:pPr>
        <w:spacing w:after="120"/>
        <w:rPr>
          <w:noProof/>
          <w:color w:val="000000" w:themeColor="text1"/>
        </w:rPr>
      </w:pPr>
      <w:r>
        <w:rPr>
          <w:noProof/>
          <w:color w:val="000000" w:themeColor="text1"/>
        </w:rPr>
        <w:t>Requiring compliance within the defined target year(s) - without relying on past or future emission surpluses – creates certainty and predictability when to achieve the CO</w:t>
      </w:r>
      <w:r>
        <w:rPr>
          <w:noProof/>
          <w:color w:val="000000" w:themeColor="text1"/>
          <w:vertAlign w:val="subscript"/>
        </w:rPr>
        <w:t>2</w:t>
      </w:r>
      <w:r>
        <w:rPr>
          <w:noProof/>
          <w:color w:val="000000" w:themeColor="text1"/>
        </w:rPr>
        <w:t xml:space="preserve"> target levels set. However, it limits flexibility for manufacturers or pools to comply with the targets and may therefore increase compliance costs.</w:t>
      </w:r>
    </w:p>
    <w:p w:rsidR="001A26B0" w:rsidRDefault="00E33A99">
      <w:pPr>
        <w:spacing w:after="120"/>
        <w:rPr>
          <w:i/>
          <w:noProof/>
          <w:color w:val="000000" w:themeColor="text1"/>
        </w:rPr>
      </w:pPr>
      <w:r>
        <w:rPr>
          <w:i/>
          <w:noProof/>
          <w:color w:val="000000" w:themeColor="text1"/>
        </w:rPr>
        <w:t>Social impacts</w:t>
      </w:r>
    </w:p>
    <w:p w:rsidR="001A26B0" w:rsidRDefault="00E33A99">
      <w:pPr>
        <w:spacing w:after="120"/>
        <w:rPr>
          <w:noProof/>
          <w:color w:val="000000" w:themeColor="text1"/>
        </w:rPr>
      </w:pPr>
      <w:r>
        <w:rPr>
          <w:noProof/>
          <w:color w:val="000000" w:themeColor="text1"/>
        </w:rPr>
        <w:t>There are no direct or otherwise relevant social impacts of this option.</w:t>
      </w:r>
    </w:p>
    <w:p w:rsidR="001A26B0" w:rsidRDefault="00E33A99">
      <w:pPr>
        <w:pStyle w:val="Heading4"/>
        <w:rPr>
          <w:noProof/>
          <w:szCs w:val="24"/>
        </w:rPr>
      </w:pPr>
      <w:bookmarkStart w:id="669" w:name="_Toc492548084"/>
      <w:bookmarkStart w:id="670" w:name="_Toc496635647"/>
      <w:r>
        <w:rPr>
          <w:noProof/>
          <w:szCs w:val="24"/>
        </w:rPr>
        <w:t>Banking only (Opti</w:t>
      </w:r>
      <w:r>
        <w:rPr>
          <w:noProof/>
          <w:szCs w:val="24"/>
        </w:rPr>
        <w:t>on BB1)</w:t>
      </w:r>
      <w:bookmarkEnd w:id="669"/>
      <w:bookmarkEnd w:id="670"/>
    </w:p>
    <w:p w:rsidR="001A26B0" w:rsidRDefault="00E33A99">
      <w:pPr>
        <w:spacing w:after="120"/>
        <w:rPr>
          <w:i/>
          <w:noProof/>
          <w:color w:val="000000" w:themeColor="text1"/>
        </w:rPr>
      </w:pPr>
      <w:r>
        <w:rPr>
          <w:i/>
          <w:noProof/>
          <w:color w:val="000000" w:themeColor="text1"/>
        </w:rPr>
        <w:t>Environmental impacts</w:t>
      </w:r>
    </w:p>
    <w:p w:rsidR="001A26B0" w:rsidRDefault="00E33A99">
      <w:pPr>
        <w:spacing w:after="120"/>
        <w:rPr>
          <w:noProof/>
          <w:color w:val="000000" w:themeColor="text1"/>
        </w:rPr>
      </w:pPr>
      <w:r>
        <w:rPr>
          <w:noProof/>
          <w:color w:val="000000" w:themeColor="text1"/>
        </w:rPr>
        <w:t>The accumulation and carry-over of credits can undermine the effectiveness of the targets. This was experienced for example under the ZEV programme in California (see Box 2 in Section 5.3.1). A recent study</w:t>
      </w:r>
      <w:r>
        <w:rPr>
          <w:rStyle w:val="FootnoteReference"/>
          <w:noProof/>
          <w:color w:val="000000" w:themeColor="text1"/>
        </w:rPr>
        <w:footnoteReference w:id="202"/>
      </w:r>
      <w:r>
        <w:rPr>
          <w:noProof/>
          <w:color w:val="000000" w:themeColor="text1"/>
        </w:rPr>
        <w:t xml:space="preserve"> concluded that ban</w:t>
      </w:r>
      <w:r>
        <w:rPr>
          <w:noProof/>
          <w:color w:val="000000" w:themeColor="text1"/>
        </w:rPr>
        <w:t xml:space="preserve">ked credits accumulated by manufacturers over time put at risk that the number of ZEVs to be put on the market would actually be met. In case of a too low LEV target and higher than expected supply of LEV/ZEVs, banking can even result in </w:t>
      </w:r>
      <w:r>
        <w:rPr>
          <w:noProof/>
          <w:color w:val="000000" w:themeColor="text1"/>
          <w:szCs w:val="24"/>
        </w:rPr>
        <w:t>a shift back towar</w:t>
      </w:r>
      <w:r>
        <w:rPr>
          <w:noProof/>
          <w:color w:val="000000" w:themeColor="text1"/>
          <w:szCs w:val="24"/>
        </w:rPr>
        <w:t>ds conventional ICEV</w:t>
      </w:r>
      <w:r>
        <w:rPr>
          <w:rStyle w:val="FootnoteReference"/>
          <w:noProof/>
          <w:color w:val="000000" w:themeColor="text1"/>
          <w:szCs w:val="24"/>
          <w:lang w:eastAsia="en-GB"/>
        </w:rPr>
        <w:footnoteReference w:id="203"/>
      </w:r>
      <w:r>
        <w:rPr>
          <w:noProof/>
          <w:color w:val="000000" w:themeColor="text1"/>
          <w:szCs w:val="24"/>
        </w:rPr>
        <w:t xml:space="preserve">. </w:t>
      </w:r>
    </w:p>
    <w:p w:rsidR="001A26B0" w:rsidRDefault="00E33A99">
      <w:pPr>
        <w:spacing w:after="120"/>
        <w:rPr>
          <w:noProof/>
          <w:color w:val="000000" w:themeColor="text1"/>
        </w:rPr>
      </w:pPr>
      <w:r>
        <w:rPr>
          <w:noProof/>
          <w:color w:val="000000" w:themeColor="text1"/>
        </w:rPr>
        <w:t>To avoid such negative impacts that would weaken the CO</w:t>
      </w:r>
      <w:r>
        <w:rPr>
          <w:noProof/>
          <w:color w:val="000000" w:themeColor="text1"/>
          <w:vertAlign w:val="subscript"/>
        </w:rPr>
        <w:t>2</w:t>
      </w:r>
      <w:r>
        <w:rPr>
          <w:noProof/>
          <w:color w:val="000000" w:themeColor="text1"/>
        </w:rPr>
        <w:t xml:space="preserve"> targets, the level of credits banked could be capped and </w:t>
      </w:r>
      <w:r>
        <w:rPr>
          <w:noProof/>
          <w:color w:val="000000" w:themeColor="text1"/>
          <w:szCs w:val="24"/>
          <w:lang w:eastAsia="en-GB"/>
        </w:rPr>
        <w:t xml:space="preserve">credits could be set to expire after a fixed time limit. In addition, there could be </w:t>
      </w:r>
      <w:r>
        <w:rPr>
          <w:noProof/>
          <w:color w:val="000000" w:themeColor="text1"/>
        </w:rPr>
        <w:t>rules on the maximum carry over f</w:t>
      </w:r>
      <w:r>
        <w:rPr>
          <w:noProof/>
          <w:color w:val="000000" w:themeColor="text1"/>
        </w:rPr>
        <w:t xml:space="preserve">rom one compliance period to another. </w:t>
      </w:r>
    </w:p>
    <w:p w:rsidR="001A26B0" w:rsidRDefault="00E33A99">
      <w:pPr>
        <w:autoSpaceDE w:val="0"/>
        <w:autoSpaceDN w:val="0"/>
        <w:adjustRightInd w:val="0"/>
        <w:spacing w:after="120"/>
        <w:rPr>
          <w:i/>
          <w:noProof/>
          <w:color w:val="000000" w:themeColor="text1"/>
        </w:rPr>
      </w:pPr>
      <w:r>
        <w:rPr>
          <w:i/>
          <w:noProof/>
          <w:color w:val="000000" w:themeColor="text1"/>
        </w:rPr>
        <w:t>Economic impacts</w:t>
      </w:r>
    </w:p>
    <w:p w:rsidR="001A26B0" w:rsidRDefault="00E33A99">
      <w:pPr>
        <w:spacing w:after="120"/>
        <w:rPr>
          <w:noProof/>
          <w:color w:val="000000" w:themeColor="text1"/>
        </w:rPr>
      </w:pPr>
      <w:r>
        <w:rPr>
          <w:noProof/>
          <w:color w:val="000000" w:themeColor="text1"/>
        </w:rPr>
        <w:t xml:space="preserve">Allowing the banking of credits offers manufacturers greater flexibility and can therefore reduce their compliance costs, thus increasing the overall cost-effectiveness of the policy. Banking rewards </w:t>
      </w:r>
      <w:r>
        <w:rPr>
          <w:noProof/>
          <w:color w:val="000000" w:themeColor="text1"/>
        </w:rPr>
        <w:t>early movers and helps to alleviate efforts at a later stage, which may be generally more expensive or require a more advanced shift in the powertrain composition of their fleet. It would also allow for dealing with unexpected annual fluctuations in a manu</w:t>
      </w:r>
      <w:r>
        <w:rPr>
          <w:noProof/>
          <w:color w:val="000000" w:themeColor="text1"/>
        </w:rPr>
        <w:t>facturer's fleet.</w:t>
      </w:r>
    </w:p>
    <w:p w:rsidR="001A26B0" w:rsidRDefault="00E33A99">
      <w:pPr>
        <w:spacing w:after="120"/>
        <w:rPr>
          <w:noProof/>
          <w:color w:val="000000" w:themeColor="text1"/>
        </w:rPr>
      </w:pPr>
      <w:r>
        <w:rPr>
          <w:i/>
          <w:noProof/>
        </w:rPr>
        <w:t>Administrative burden</w:t>
      </w:r>
    </w:p>
    <w:p w:rsidR="001A26B0" w:rsidRDefault="00E33A99">
      <w:pPr>
        <w:spacing w:after="120"/>
        <w:rPr>
          <w:noProof/>
          <w:color w:val="000000" w:themeColor="text1"/>
        </w:rPr>
      </w:pPr>
      <w:r>
        <w:rPr>
          <w:noProof/>
          <w:color w:val="000000" w:themeColor="text1"/>
        </w:rPr>
        <w:t>Administrative costs would increase as the emissions monitoring system would need to be extended to keep track of the available and used credits. In order to ensure full transparency each manufacturer's or pool's cre</w:t>
      </w:r>
      <w:r>
        <w:rPr>
          <w:noProof/>
          <w:color w:val="000000" w:themeColor="text1"/>
        </w:rPr>
        <w:t xml:space="preserve">dit balance would have to be published every year. In case the composition of a pool changes during a banking period, it would be necessary to establish the correct reallocation of the credits banked as a pool to each manufacturer in the pool. </w:t>
      </w:r>
    </w:p>
    <w:p w:rsidR="001A26B0" w:rsidRDefault="00E33A99">
      <w:pPr>
        <w:spacing w:after="120"/>
        <w:rPr>
          <w:noProof/>
          <w:color w:val="000000" w:themeColor="text1"/>
        </w:rPr>
      </w:pPr>
      <w:r>
        <w:rPr>
          <w:noProof/>
          <w:color w:val="000000" w:themeColor="text1"/>
        </w:rPr>
        <w:t>The 2012 im</w:t>
      </w:r>
      <w:r>
        <w:rPr>
          <w:noProof/>
          <w:color w:val="000000" w:themeColor="text1"/>
        </w:rPr>
        <w:t>pact assessment</w:t>
      </w:r>
      <w:r>
        <w:rPr>
          <w:rStyle w:val="FootnoteReference"/>
          <w:noProof/>
          <w:color w:val="000000" w:themeColor="text1"/>
        </w:rPr>
        <w:footnoteReference w:id="204"/>
      </w:r>
      <w:r>
        <w:rPr>
          <w:noProof/>
          <w:color w:val="000000" w:themeColor="text1"/>
        </w:rPr>
        <w:t xml:space="preserve"> supporting the Commission's proposals for amending the Cars and Vans Regulations also highlighted this additional administrative complication.</w:t>
      </w:r>
    </w:p>
    <w:p w:rsidR="001A26B0" w:rsidRDefault="00E33A99">
      <w:pPr>
        <w:spacing w:after="120"/>
        <w:rPr>
          <w:i/>
          <w:noProof/>
          <w:color w:val="000000" w:themeColor="text1"/>
          <w:szCs w:val="24"/>
          <w:lang w:eastAsia="en-GB"/>
        </w:rPr>
      </w:pPr>
      <w:r>
        <w:rPr>
          <w:i/>
          <w:noProof/>
          <w:color w:val="000000" w:themeColor="text1"/>
          <w:szCs w:val="24"/>
          <w:lang w:eastAsia="en-GB"/>
        </w:rPr>
        <w:t>Social impacts</w:t>
      </w:r>
    </w:p>
    <w:p w:rsidR="001A26B0" w:rsidRDefault="00E33A99">
      <w:pPr>
        <w:spacing w:after="120"/>
        <w:rPr>
          <w:noProof/>
          <w:color w:val="000000" w:themeColor="text1"/>
          <w:szCs w:val="24"/>
          <w:lang w:eastAsia="en-GB"/>
        </w:rPr>
      </w:pPr>
      <w:r>
        <w:rPr>
          <w:noProof/>
          <w:color w:val="000000" w:themeColor="text1"/>
          <w:szCs w:val="24"/>
          <w:lang w:eastAsia="en-GB"/>
        </w:rPr>
        <w:t>There are no direct or otherwise relevant social impacts of this option.</w:t>
      </w:r>
    </w:p>
    <w:p w:rsidR="001A26B0" w:rsidRDefault="00E33A99">
      <w:pPr>
        <w:pStyle w:val="Heading4"/>
        <w:rPr>
          <w:noProof/>
          <w:szCs w:val="24"/>
        </w:rPr>
      </w:pPr>
      <w:bookmarkStart w:id="671" w:name="_Toc492548085"/>
      <w:bookmarkStart w:id="672" w:name="_Toc496635648"/>
      <w:r>
        <w:rPr>
          <w:noProof/>
          <w:szCs w:val="24"/>
        </w:rPr>
        <w:t xml:space="preserve">Banking </w:t>
      </w:r>
      <w:r>
        <w:rPr>
          <w:noProof/>
          <w:szCs w:val="24"/>
        </w:rPr>
        <w:t>and borrowing</w:t>
      </w:r>
      <w:bookmarkEnd w:id="671"/>
      <w:r>
        <w:rPr>
          <w:noProof/>
          <w:szCs w:val="24"/>
        </w:rPr>
        <w:t xml:space="preserve"> (Option BB 2)</w:t>
      </w:r>
      <w:bookmarkEnd w:id="672"/>
    </w:p>
    <w:p w:rsidR="001A26B0" w:rsidRDefault="00E33A99">
      <w:pPr>
        <w:spacing w:after="120"/>
        <w:rPr>
          <w:i/>
          <w:noProof/>
          <w:color w:val="000000" w:themeColor="text1"/>
        </w:rPr>
      </w:pPr>
      <w:bookmarkStart w:id="673" w:name="_Toc487211799"/>
      <w:bookmarkStart w:id="674" w:name="_Ref491269392"/>
      <w:r>
        <w:rPr>
          <w:i/>
          <w:noProof/>
          <w:color w:val="000000" w:themeColor="text1"/>
        </w:rPr>
        <w:t>Environmental impacts</w:t>
      </w:r>
    </w:p>
    <w:p w:rsidR="001A26B0" w:rsidRDefault="00E33A99">
      <w:pPr>
        <w:pStyle w:val="Text3"/>
        <w:spacing w:after="120"/>
        <w:ind w:left="0"/>
        <w:rPr>
          <w:noProof/>
          <w:color w:val="000000" w:themeColor="text1"/>
        </w:rPr>
      </w:pPr>
      <w:r>
        <w:rPr>
          <w:noProof/>
          <w:color w:val="000000" w:themeColor="text1"/>
        </w:rPr>
        <w:t xml:space="preserve">Overall, similar considerations apply as for option BB1, but there are some additional environmental impacts and risks when allowing borrowing. These relate in particular to </w:t>
      </w:r>
      <w:bookmarkStart w:id="675" w:name="_Toc485119162"/>
      <w:r>
        <w:rPr>
          <w:noProof/>
          <w:color w:val="000000" w:themeColor="text1"/>
        </w:rPr>
        <w:t xml:space="preserve">manufacturers not being able to </w:t>
      </w:r>
      <w:r>
        <w:rPr>
          <w:noProof/>
          <w:color w:val="000000" w:themeColor="text1"/>
        </w:rPr>
        <w:t>balance out a negative amount of credits at the end of the scheme's duration.</w:t>
      </w:r>
      <w:r>
        <w:rPr>
          <w:noProof/>
          <w:vertAlign w:val="superscript"/>
        </w:rPr>
        <w:t xml:space="preserve"> </w:t>
      </w:r>
      <w:r>
        <w:rPr>
          <w:noProof/>
          <w:vertAlign w:val="superscript"/>
        </w:rPr>
        <w:footnoteReference w:id="205"/>
      </w:r>
      <w:r>
        <w:rPr>
          <w:noProof/>
          <w:color w:val="000000" w:themeColor="text1"/>
        </w:rPr>
        <w:t xml:space="preserve"> As for banking, negative impacts could be limited by defining a maximum amount of credits that can be borrowed. In addition, borrowing could be limited to one compliance period</w:t>
      </w:r>
      <w:r>
        <w:rPr>
          <w:noProof/>
          <w:color w:val="000000" w:themeColor="text1"/>
        </w:rPr>
        <w:t xml:space="preserve"> in order to avoid that targets are not complied with.</w:t>
      </w:r>
    </w:p>
    <w:p w:rsidR="001A26B0" w:rsidRDefault="00E33A99">
      <w:pPr>
        <w:pStyle w:val="Text3"/>
        <w:spacing w:after="120"/>
        <w:ind w:left="0"/>
        <w:rPr>
          <w:i/>
          <w:noProof/>
          <w:color w:val="000000" w:themeColor="text1"/>
        </w:rPr>
      </w:pPr>
      <w:r>
        <w:rPr>
          <w:i/>
          <w:noProof/>
          <w:color w:val="000000" w:themeColor="text1"/>
        </w:rPr>
        <w:t>Economic impacts</w:t>
      </w:r>
    </w:p>
    <w:p w:rsidR="001A26B0" w:rsidRDefault="00E33A99">
      <w:pPr>
        <w:pStyle w:val="Text3"/>
        <w:spacing w:after="120"/>
        <w:ind w:left="0"/>
        <w:rPr>
          <w:noProof/>
          <w:color w:val="000000" w:themeColor="text1"/>
        </w:rPr>
      </w:pPr>
      <w:r>
        <w:rPr>
          <w:noProof/>
          <w:color w:val="000000" w:themeColor="text1"/>
        </w:rPr>
        <w:t>Banking and borrowing would give additional flexibility to manufacturers as compared to Option BB 1 in that it anticipates future credits. However, the same caveats as discussed for Op</w:t>
      </w:r>
      <w:r>
        <w:rPr>
          <w:noProof/>
          <w:color w:val="000000" w:themeColor="text1"/>
        </w:rPr>
        <w:t>tion BB 1 apply, including as regards the additional administrative burden.</w:t>
      </w:r>
    </w:p>
    <w:p w:rsidR="001A26B0" w:rsidRDefault="00E33A99">
      <w:pPr>
        <w:pStyle w:val="Text3"/>
        <w:spacing w:after="120"/>
        <w:ind w:left="0"/>
        <w:rPr>
          <w:noProof/>
          <w:color w:val="000000" w:themeColor="text1"/>
        </w:rPr>
      </w:pPr>
      <w:r>
        <w:rPr>
          <w:noProof/>
          <w:color w:val="000000" w:themeColor="text1"/>
        </w:rPr>
        <w:t xml:space="preserve">Banking and borrowing could be of particular interest for manufacturers with a less diversified fleet which are more likely to be negatively affected by annual variations in their </w:t>
      </w:r>
      <w:r>
        <w:rPr>
          <w:noProof/>
          <w:color w:val="000000" w:themeColor="text1"/>
        </w:rPr>
        <w:t>fleet CO</w:t>
      </w:r>
      <w:r>
        <w:rPr>
          <w:noProof/>
          <w:color w:val="000000" w:themeColor="text1"/>
          <w:vertAlign w:val="subscript"/>
        </w:rPr>
        <w:t>2</w:t>
      </w:r>
      <w:r>
        <w:rPr>
          <w:noProof/>
          <w:color w:val="000000" w:themeColor="text1"/>
        </w:rPr>
        <w:t xml:space="preserve"> performance. These are however predominantly small volume manufacturers which may in any case benefit from derogations. Large volume manufacturers have generally a more diverse fleet without strong annual fluctuations. </w:t>
      </w:r>
    </w:p>
    <w:p w:rsidR="001A26B0" w:rsidRDefault="00E33A99">
      <w:pPr>
        <w:pStyle w:val="Text3"/>
        <w:spacing w:after="120"/>
        <w:ind w:left="0"/>
        <w:rPr>
          <w:noProof/>
          <w:color w:val="000000" w:themeColor="text1"/>
        </w:rPr>
      </w:pPr>
      <w:r>
        <w:rPr>
          <w:noProof/>
          <w:color w:val="000000" w:themeColor="text1"/>
        </w:rPr>
        <w:t>A particular issue as rega</w:t>
      </w:r>
      <w:r>
        <w:rPr>
          <w:noProof/>
          <w:color w:val="000000" w:themeColor="text1"/>
        </w:rPr>
        <w:t>rds borrowing could arise in case a manufacturer that has been borrowing credits to be used in future compliance periods would go out of business. This would create serious problems of liability for compensating the credit deficit for that period.</w:t>
      </w:r>
    </w:p>
    <w:p w:rsidR="001A26B0" w:rsidRDefault="00E33A99">
      <w:pPr>
        <w:pStyle w:val="Text3"/>
        <w:spacing w:after="120"/>
        <w:ind w:left="0"/>
        <w:rPr>
          <w:i/>
          <w:noProof/>
          <w:color w:val="000000" w:themeColor="text1"/>
        </w:rPr>
      </w:pPr>
      <w:r>
        <w:rPr>
          <w:i/>
          <w:noProof/>
          <w:color w:val="000000" w:themeColor="text1"/>
        </w:rPr>
        <w:t>Social i</w:t>
      </w:r>
      <w:r>
        <w:rPr>
          <w:i/>
          <w:noProof/>
          <w:color w:val="000000" w:themeColor="text1"/>
        </w:rPr>
        <w:t>mpacts</w:t>
      </w:r>
    </w:p>
    <w:p w:rsidR="001A26B0" w:rsidRDefault="00E33A99">
      <w:pPr>
        <w:pStyle w:val="Text3"/>
        <w:spacing w:after="120"/>
        <w:ind w:left="0"/>
        <w:rPr>
          <w:noProof/>
          <w:color w:val="000000" w:themeColor="text1"/>
        </w:rPr>
      </w:pPr>
      <w:r>
        <w:rPr>
          <w:noProof/>
          <w:color w:val="000000" w:themeColor="text1"/>
        </w:rPr>
        <w:t>There are no direct or otherwise relevant social impacts of this option.</w:t>
      </w:r>
    </w:p>
    <w:p w:rsidR="001A26B0" w:rsidRDefault="00E33A99">
      <w:pPr>
        <w:pStyle w:val="Heading3"/>
        <w:rPr>
          <w:noProof/>
        </w:rPr>
      </w:pPr>
      <w:bookmarkStart w:id="676" w:name="_Toc492548086"/>
      <w:bookmarkStart w:id="677" w:name="_Toc496635649"/>
      <w:bookmarkEnd w:id="675"/>
      <w:r>
        <w:rPr>
          <w:noProof/>
        </w:rPr>
        <w:t>Niche derogations for car manufacturers (NIC)</w:t>
      </w:r>
      <w:bookmarkEnd w:id="673"/>
      <w:bookmarkEnd w:id="674"/>
      <w:bookmarkEnd w:id="676"/>
      <w:bookmarkEnd w:id="677"/>
    </w:p>
    <w:p w:rsidR="001A26B0" w:rsidRDefault="00E33A99">
      <w:pPr>
        <w:pStyle w:val="Heading4"/>
        <w:rPr>
          <w:noProof/>
          <w:szCs w:val="24"/>
        </w:rPr>
      </w:pPr>
      <w:bookmarkStart w:id="678" w:name="_Toc492548087"/>
      <w:bookmarkStart w:id="679" w:name="_Toc496635650"/>
      <w:bookmarkStart w:id="680" w:name="_Toc485119163"/>
      <w:r>
        <w:rPr>
          <w:noProof/>
          <w:szCs w:val="24"/>
        </w:rPr>
        <w:t>Change nothing (Option NIC 0)</w:t>
      </w:r>
      <w:bookmarkEnd w:id="678"/>
      <w:bookmarkEnd w:id="679"/>
    </w:p>
    <w:p w:rsidR="001A26B0" w:rsidRDefault="00E33A99">
      <w:pPr>
        <w:tabs>
          <w:tab w:val="left" w:pos="2302"/>
        </w:tabs>
        <w:spacing w:after="120"/>
        <w:rPr>
          <w:i/>
          <w:noProof/>
        </w:rPr>
      </w:pPr>
      <w:r>
        <w:rPr>
          <w:i/>
          <w:noProof/>
        </w:rPr>
        <w:t>Environmental impacts</w:t>
      </w:r>
    </w:p>
    <w:p w:rsidR="001A26B0" w:rsidRDefault="00E33A99">
      <w:pPr>
        <w:spacing w:after="120"/>
        <w:rPr>
          <w:noProof/>
          <w:color w:val="000000" w:themeColor="text1"/>
        </w:rPr>
      </w:pPr>
      <w:r>
        <w:rPr>
          <w:noProof/>
          <w:color w:val="000000" w:themeColor="text1"/>
        </w:rPr>
        <w:t xml:space="preserve">The main concerns identified around the current system of niche derogations </w:t>
      </w:r>
      <w:r>
        <w:rPr>
          <w:noProof/>
          <w:color w:val="000000" w:themeColor="text1"/>
        </w:rPr>
        <w:t>are the risks of reduced effectiveness of the targets. Currently only one-third of the eligible manufacturers makes use of niche derogations, covering only one fifth of the sales of all manufacturers eligible for these derogations.</w:t>
      </w:r>
      <w:bookmarkStart w:id="681" w:name="_Ref487039439"/>
      <w:r>
        <w:rPr>
          <w:noProof/>
          <w:color w:val="000000" w:themeColor="text1"/>
          <w:vertAlign w:val="superscript"/>
        </w:rPr>
        <w:footnoteReference w:id="206"/>
      </w:r>
      <w:bookmarkEnd w:id="681"/>
      <w:r>
        <w:rPr>
          <w:noProof/>
          <w:color w:val="000000" w:themeColor="text1"/>
        </w:rPr>
        <w:t xml:space="preserve"> The environmental impac</w:t>
      </w:r>
      <w:r>
        <w:rPr>
          <w:noProof/>
          <w:color w:val="000000" w:themeColor="text1"/>
        </w:rPr>
        <w:t xml:space="preserve">t of the derogation has therefore been limited so far. </w:t>
      </w:r>
    </w:p>
    <w:p w:rsidR="001A26B0" w:rsidRDefault="00E33A99">
      <w:pPr>
        <w:spacing w:after="120"/>
        <w:rPr>
          <w:noProof/>
          <w:color w:val="000000" w:themeColor="text1"/>
        </w:rPr>
      </w:pPr>
      <w:r>
        <w:rPr>
          <w:noProof/>
          <w:color w:val="000000" w:themeColor="text1"/>
        </w:rPr>
        <w:t>However, if all eligible manufacturers would use niche derogations, the negative impact on the CO</w:t>
      </w:r>
      <w:r>
        <w:rPr>
          <w:noProof/>
          <w:color w:val="000000" w:themeColor="text1"/>
          <w:vertAlign w:val="subscript"/>
        </w:rPr>
        <w:t>2</w:t>
      </w:r>
      <w:r>
        <w:rPr>
          <w:noProof/>
          <w:color w:val="000000" w:themeColor="text1"/>
        </w:rPr>
        <w:t xml:space="preserve"> reductions achieved under the Regulation would increase significantly and would reduce the effectiven</w:t>
      </w:r>
      <w:r>
        <w:rPr>
          <w:noProof/>
          <w:color w:val="000000" w:themeColor="text1"/>
        </w:rPr>
        <w:t xml:space="preserve">ess of the Regulation. </w:t>
      </w:r>
    </w:p>
    <w:p w:rsidR="001A26B0" w:rsidRDefault="00E33A99">
      <w:pPr>
        <w:spacing w:after="120"/>
        <w:rPr>
          <w:noProof/>
          <w:color w:val="000000" w:themeColor="text1"/>
        </w:rPr>
      </w:pPr>
      <w:r>
        <w:rPr>
          <w:noProof/>
          <w:color w:val="000000" w:themeColor="text1"/>
        </w:rPr>
        <w:t>Furthermore, under this option, no further efficiency improvement would be required for those eligible manufacturers for the period post-2021.</w:t>
      </w:r>
    </w:p>
    <w:p w:rsidR="001A26B0" w:rsidRDefault="00E33A99">
      <w:pPr>
        <w:spacing w:after="120"/>
        <w:rPr>
          <w:i/>
          <w:noProof/>
          <w:color w:val="000000" w:themeColor="text1"/>
        </w:rPr>
      </w:pPr>
      <w:r>
        <w:rPr>
          <w:i/>
          <w:noProof/>
          <w:color w:val="000000" w:themeColor="text1"/>
        </w:rPr>
        <w:t>Economic Impacts</w:t>
      </w:r>
    </w:p>
    <w:p w:rsidR="001A26B0" w:rsidRDefault="00E33A99">
      <w:pPr>
        <w:spacing w:after="120"/>
        <w:rPr>
          <w:noProof/>
          <w:color w:val="000000" w:themeColor="text1"/>
        </w:rPr>
      </w:pPr>
      <w:r>
        <w:rPr>
          <w:noProof/>
          <w:color w:val="000000" w:themeColor="text1"/>
        </w:rPr>
        <w:t>The niche derogation regime has some drawbacks in terms of competitive n</w:t>
      </w:r>
      <w:r>
        <w:rPr>
          <w:noProof/>
          <w:color w:val="000000" w:themeColor="text1"/>
        </w:rPr>
        <w:t xml:space="preserve">eutrality. </w:t>
      </w:r>
    </w:p>
    <w:p w:rsidR="001A26B0" w:rsidRDefault="00E33A99">
      <w:pPr>
        <w:spacing w:after="120"/>
        <w:rPr>
          <w:noProof/>
          <w:color w:val="000000" w:themeColor="text1"/>
        </w:rPr>
      </w:pPr>
      <w:r>
        <w:rPr>
          <w:noProof/>
          <w:color w:val="000000" w:themeColor="text1"/>
        </w:rPr>
        <w:t xml:space="preserve">Niche manufacturers are competing with those that are not eligible for the derogation in the same market segments. However, most of the niche manufacturers currently present on the EU market are major global manufacturers but with relatively </w:t>
      </w:r>
      <w:r>
        <w:rPr>
          <w:noProof/>
          <w:color w:val="000000" w:themeColor="text1"/>
        </w:rPr>
        <w:t>small sales in the EU. This may result in a distortion of the market and may provide new entrants in the EU market with a competitive advantage</w:t>
      </w:r>
      <w:r>
        <w:rPr>
          <w:noProof/>
          <w:color w:val="000000" w:themeColor="text1"/>
          <w:vertAlign w:val="superscript"/>
        </w:rPr>
        <w:footnoteReference w:id="207"/>
      </w:r>
      <w:r>
        <w:rPr>
          <w:noProof/>
          <w:color w:val="000000" w:themeColor="text1"/>
        </w:rPr>
        <w:t xml:space="preserve">. </w:t>
      </w:r>
    </w:p>
    <w:p w:rsidR="001A26B0" w:rsidRDefault="00E33A99">
      <w:pPr>
        <w:spacing w:after="120"/>
        <w:rPr>
          <w:noProof/>
          <w:color w:val="000000" w:themeColor="text1"/>
        </w:rPr>
      </w:pPr>
      <w:r>
        <w:rPr>
          <w:noProof/>
          <w:color w:val="000000" w:themeColor="text1"/>
        </w:rPr>
        <w:t>Furthermore, very few of the potentially eligible manufacturers have so far made use of the derogations and m</w:t>
      </w:r>
      <w:r>
        <w:rPr>
          <w:noProof/>
          <w:color w:val="000000" w:themeColor="text1"/>
        </w:rPr>
        <w:t xml:space="preserve">ost of them have emission levels similar to their 'fleet-wide target under the non-derogated regime. For those, there are limited economic benefits from seeking a niche derogation. </w:t>
      </w:r>
    </w:p>
    <w:p w:rsidR="001A26B0" w:rsidRDefault="00E33A99">
      <w:pPr>
        <w:spacing w:after="120"/>
        <w:rPr>
          <w:noProof/>
          <w:color w:val="000000" w:themeColor="text1"/>
        </w:rPr>
      </w:pPr>
      <w:r>
        <w:rPr>
          <w:noProof/>
          <w:color w:val="000000" w:themeColor="text1"/>
        </w:rPr>
        <w:t>In addition, the use of the year 2007 to set manufacturer specific emissio</w:t>
      </w:r>
      <w:r>
        <w:rPr>
          <w:noProof/>
          <w:color w:val="000000" w:themeColor="text1"/>
        </w:rPr>
        <w:t>ns baseline has distorting effects and penalizes early action. The higher its 2007 emissions, the larger the benefit for a manufacturer of making used of the niche derogation. Hence, most of the manufacturers which have applied for a niche derogation had e</w:t>
      </w:r>
      <w:r>
        <w:rPr>
          <w:noProof/>
          <w:color w:val="000000" w:themeColor="text1"/>
        </w:rPr>
        <w:t>missions in 2007 above the fleet-wide average.</w:t>
      </w:r>
    </w:p>
    <w:p w:rsidR="001A26B0" w:rsidRDefault="00E33A99">
      <w:pPr>
        <w:spacing w:after="120"/>
        <w:rPr>
          <w:i/>
          <w:noProof/>
          <w:color w:val="000000" w:themeColor="text1"/>
        </w:rPr>
      </w:pPr>
      <w:r>
        <w:rPr>
          <w:i/>
          <w:noProof/>
          <w:color w:val="000000" w:themeColor="text1"/>
        </w:rPr>
        <w:t>Social impacts</w:t>
      </w:r>
    </w:p>
    <w:p w:rsidR="001A26B0" w:rsidRDefault="00E33A99">
      <w:pPr>
        <w:spacing w:after="120"/>
        <w:rPr>
          <w:noProof/>
          <w:color w:val="000000" w:themeColor="text1"/>
        </w:rPr>
      </w:pPr>
      <w:r>
        <w:rPr>
          <w:noProof/>
          <w:color w:val="000000" w:themeColor="text1"/>
        </w:rPr>
        <w:t>There are no direct or otherwise relevant social impacts of maintaining the niche derogations.</w:t>
      </w:r>
    </w:p>
    <w:p w:rsidR="001A26B0" w:rsidRDefault="00E33A99">
      <w:pPr>
        <w:pStyle w:val="Heading4"/>
        <w:rPr>
          <w:noProof/>
          <w:szCs w:val="24"/>
        </w:rPr>
      </w:pPr>
      <w:r>
        <w:rPr>
          <w:noProof/>
          <w:szCs w:val="24"/>
        </w:rPr>
        <w:t xml:space="preserve"> </w:t>
      </w:r>
      <w:bookmarkStart w:id="682" w:name="_Toc492548088"/>
      <w:bookmarkStart w:id="683" w:name="_Toc496635651"/>
      <w:r>
        <w:rPr>
          <w:noProof/>
          <w:szCs w:val="24"/>
        </w:rPr>
        <w:t>Set new derogation targets for niche manufacturers (Option NIC 1)</w:t>
      </w:r>
      <w:bookmarkEnd w:id="682"/>
      <w:bookmarkEnd w:id="683"/>
    </w:p>
    <w:p w:rsidR="001A26B0" w:rsidRDefault="00E33A99">
      <w:pPr>
        <w:tabs>
          <w:tab w:val="left" w:pos="2302"/>
        </w:tabs>
        <w:spacing w:after="120"/>
        <w:rPr>
          <w:i/>
          <w:noProof/>
        </w:rPr>
      </w:pPr>
      <w:r>
        <w:rPr>
          <w:i/>
          <w:noProof/>
        </w:rPr>
        <w:t xml:space="preserve">Environmental impacts </w:t>
      </w:r>
    </w:p>
    <w:p w:rsidR="001A26B0" w:rsidRDefault="00E33A99">
      <w:pPr>
        <w:spacing w:after="120"/>
        <w:rPr>
          <w:noProof/>
          <w:color w:val="000000" w:themeColor="text1"/>
        </w:rPr>
      </w:pPr>
      <w:r>
        <w:rPr>
          <w:noProof/>
          <w:color w:val="000000" w:themeColor="text1"/>
        </w:rPr>
        <w:t>By settin</w:t>
      </w:r>
      <w:r>
        <w:rPr>
          <w:noProof/>
          <w:color w:val="000000" w:themeColor="text1"/>
        </w:rPr>
        <w:t>g new targets for niche manufacturers during the period 2022-2030, based on the same reduction percentage as for the overall EU-wide fleet target (taking the 2021 targets defined for each niche manufacturer individually as the starting point), emissions fr</w:t>
      </w:r>
      <w:r>
        <w:rPr>
          <w:noProof/>
          <w:color w:val="000000" w:themeColor="text1"/>
        </w:rPr>
        <w:t xml:space="preserve">om those manufacturers will be further reduced in line with those of the fleet. </w:t>
      </w:r>
    </w:p>
    <w:p w:rsidR="001A26B0" w:rsidRDefault="00E33A99">
      <w:pPr>
        <w:spacing w:after="120"/>
        <w:rPr>
          <w:noProof/>
          <w:color w:val="000000" w:themeColor="text1"/>
        </w:rPr>
      </w:pPr>
      <w:r>
        <w:rPr>
          <w:noProof/>
          <w:color w:val="000000" w:themeColor="text1"/>
        </w:rPr>
        <w:t>As the target levels get stricter, the absolute difference (in g CO</w:t>
      </w:r>
      <w:r>
        <w:rPr>
          <w:noProof/>
          <w:color w:val="000000" w:themeColor="text1"/>
          <w:vertAlign w:val="subscript"/>
        </w:rPr>
        <w:t>2</w:t>
      </w:r>
      <w:r>
        <w:rPr>
          <w:noProof/>
          <w:color w:val="000000" w:themeColor="text1"/>
        </w:rPr>
        <w:t>/km) between the niche targets and the 'default' specific emission targets (without derogation) will get sm</w:t>
      </w:r>
      <w:r>
        <w:rPr>
          <w:noProof/>
          <w:color w:val="000000" w:themeColor="text1"/>
        </w:rPr>
        <w:t xml:space="preserve">aller. As a result, the impact of the derogation on the overall emission reduction will become more limited. </w:t>
      </w:r>
    </w:p>
    <w:p w:rsidR="001A26B0" w:rsidRDefault="00E33A99">
      <w:pPr>
        <w:spacing w:after="120"/>
        <w:rPr>
          <w:noProof/>
          <w:color w:val="000000" w:themeColor="text1"/>
        </w:rPr>
      </w:pPr>
      <w:r>
        <w:rPr>
          <w:noProof/>
          <w:color w:val="000000" w:themeColor="text1"/>
        </w:rPr>
        <w:t xml:space="preserve">On the other hand, a tightening of the specific emission targets may cause more niche manufacturers to apply for this derogation. This would risk </w:t>
      </w:r>
      <w:r>
        <w:rPr>
          <w:noProof/>
          <w:color w:val="000000" w:themeColor="text1"/>
        </w:rPr>
        <w:t>reducing the effectiveness of the legislation, as indicated in the analysis of option NIC 0.</w:t>
      </w:r>
    </w:p>
    <w:p w:rsidR="001A26B0" w:rsidRDefault="00E33A99">
      <w:pPr>
        <w:spacing w:after="120"/>
        <w:rPr>
          <w:i/>
          <w:noProof/>
          <w:color w:val="000000" w:themeColor="text1"/>
        </w:rPr>
      </w:pPr>
      <w:r>
        <w:rPr>
          <w:i/>
          <w:noProof/>
          <w:color w:val="000000" w:themeColor="text1"/>
        </w:rPr>
        <w:t>Economic impacts</w:t>
      </w:r>
    </w:p>
    <w:p w:rsidR="001A26B0" w:rsidRDefault="00E33A99">
      <w:pPr>
        <w:spacing w:after="120"/>
        <w:rPr>
          <w:noProof/>
          <w:color w:val="000000" w:themeColor="text1"/>
        </w:rPr>
      </w:pPr>
      <w:r>
        <w:rPr>
          <w:noProof/>
          <w:color w:val="000000" w:themeColor="text1"/>
        </w:rPr>
        <w:t>The same risks with regard to market distortion between niche and other manufacturers apply as indicated for option NIC 0.</w:t>
      </w:r>
    </w:p>
    <w:p w:rsidR="001A26B0" w:rsidRDefault="00E33A99">
      <w:pPr>
        <w:spacing w:after="120"/>
        <w:rPr>
          <w:i/>
          <w:noProof/>
          <w:color w:val="000000" w:themeColor="text1"/>
        </w:rPr>
      </w:pPr>
      <w:r>
        <w:rPr>
          <w:i/>
          <w:noProof/>
          <w:color w:val="000000" w:themeColor="text1"/>
        </w:rPr>
        <w:t>Social impacts</w:t>
      </w:r>
    </w:p>
    <w:p w:rsidR="001A26B0" w:rsidRDefault="00E33A99">
      <w:pPr>
        <w:spacing w:after="120"/>
        <w:rPr>
          <w:noProof/>
          <w:color w:val="000000" w:themeColor="text1"/>
        </w:rPr>
      </w:pPr>
      <w:r>
        <w:rPr>
          <w:noProof/>
          <w:color w:val="000000" w:themeColor="text1"/>
        </w:rPr>
        <w:t>There ar</w:t>
      </w:r>
      <w:r>
        <w:rPr>
          <w:noProof/>
          <w:color w:val="000000" w:themeColor="text1"/>
        </w:rPr>
        <w:t>e no direct or otherwise relevant social impacts of this option.</w:t>
      </w:r>
    </w:p>
    <w:p w:rsidR="001A26B0" w:rsidRDefault="00E33A99">
      <w:pPr>
        <w:pStyle w:val="Heading4"/>
        <w:rPr>
          <w:noProof/>
          <w:szCs w:val="24"/>
        </w:rPr>
      </w:pPr>
      <w:bookmarkStart w:id="684" w:name="_Toc492548089"/>
      <w:bookmarkStart w:id="685" w:name="_Toc496635652"/>
      <w:r>
        <w:rPr>
          <w:noProof/>
          <w:szCs w:val="24"/>
        </w:rPr>
        <w:t>Remove the niche derogation (Option NIC 2)</w:t>
      </w:r>
      <w:bookmarkEnd w:id="684"/>
      <w:bookmarkEnd w:id="685"/>
    </w:p>
    <w:p w:rsidR="001A26B0" w:rsidRDefault="00E33A99">
      <w:pPr>
        <w:spacing w:after="120"/>
        <w:rPr>
          <w:i/>
          <w:noProof/>
          <w:color w:val="000000" w:themeColor="text1"/>
        </w:rPr>
      </w:pPr>
      <w:bookmarkStart w:id="686" w:name="_Toc487211800"/>
      <w:r>
        <w:rPr>
          <w:i/>
          <w:noProof/>
          <w:color w:val="000000" w:themeColor="text1"/>
        </w:rPr>
        <w:t>Environmental impacts</w:t>
      </w:r>
    </w:p>
    <w:p w:rsidR="001A26B0" w:rsidRDefault="00E33A99">
      <w:pPr>
        <w:spacing w:after="120"/>
        <w:rPr>
          <w:noProof/>
          <w:color w:val="000000" w:themeColor="text1"/>
        </w:rPr>
      </w:pPr>
      <w:r>
        <w:rPr>
          <w:noProof/>
          <w:color w:val="000000" w:themeColor="text1"/>
        </w:rPr>
        <w:t>Removing the niche derogation would make all car manufacturers responsible for more than 10,000 registrations per year subject</w:t>
      </w:r>
      <w:r>
        <w:rPr>
          <w:noProof/>
          <w:color w:val="000000" w:themeColor="text1"/>
        </w:rPr>
        <w:t xml:space="preserve"> to the EU-wide fleet target, taking into account the approach applied regarding the distribution of effort, see Section 5.2. </w:t>
      </w:r>
    </w:p>
    <w:p w:rsidR="001A26B0" w:rsidRDefault="00E33A99">
      <w:pPr>
        <w:spacing w:after="120"/>
        <w:rPr>
          <w:noProof/>
          <w:color w:val="000000" w:themeColor="text1"/>
        </w:rPr>
      </w:pPr>
      <w:r>
        <w:rPr>
          <w:noProof/>
          <w:color w:val="000000" w:themeColor="text1"/>
        </w:rPr>
        <w:t>This option would remove the risk of a weakening of future targets by a more extensive use of this type of derogation. It would a</w:t>
      </w:r>
      <w:r>
        <w:rPr>
          <w:noProof/>
          <w:color w:val="000000" w:themeColor="text1"/>
        </w:rPr>
        <w:t>lso lead to additional emission reduction from the potentially eligible manufacturers compared to option NIC 1</w:t>
      </w:r>
      <w:r>
        <w:rPr>
          <w:noProof/>
          <w:color w:val="000000" w:themeColor="text1"/>
          <w:vertAlign w:val="superscript"/>
        </w:rPr>
        <w:footnoteReference w:id="208"/>
      </w:r>
      <w:r>
        <w:rPr>
          <w:noProof/>
          <w:color w:val="000000" w:themeColor="text1"/>
        </w:rPr>
        <w:t xml:space="preserve">. </w:t>
      </w:r>
    </w:p>
    <w:p w:rsidR="001A26B0" w:rsidRDefault="00E33A99">
      <w:pPr>
        <w:spacing w:after="120"/>
        <w:rPr>
          <w:i/>
          <w:noProof/>
        </w:rPr>
      </w:pPr>
      <w:r>
        <w:rPr>
          <w:i/>
          <w:noProof/>
        </w:rPr>
        <w:t>Economic impacts</w:t>
      </w:r>
    </w:p>
    <w:p w:rsidR="001A26B0" w:rsidRDefault="00E33A99">
      <w:pPr>
        <w:spacing w:after="120"/>
        <w:rPr>
          <w:noProof/>
          <w:color w:val="000000" w:themeColor="text1"/>
        </w:rPr>
      </w:pPr>
      <w:r>
        <w:rPr>
          <w:noProof/>
          <w:color w:val="000000" w:themeColor="text1"/>
        </w:rPr>
        <w:t xml:space="preserve">This option would contribute to remove the market distorting effects of the niche derogation and ensure a more level playing </w:t>
      </w:r>
      <w:r>
        <w:rPr>
          <w:noProof/>
          <w:color w:val="000000" w:themeColor="text1"/>
        </w:rPr>
        <w:t xml:space="preserve">field among manufacturers. </w:t>
      </w:r>
    </w:p>
    <w:p w:rsidR="001A26B0" w:rsidRDefault="00E33A99">
      <w:pPr>
        <w:spacing w:after="120"/>
        <w:rPr>
          <w:noProof/>
          <w:color w:val="000000" w:themeColor="text1"/>
        </w:rPr>
      </w:pPr>
      <w:r>
        <w:rPr>
          <w:noProof/>
          <w:color w:val="000000" w:themeColor="text1"/>
        </w:rPr>
        <w:t>Furthermore, half of the currently eligible eight niche manufacturers do not currently need the derogation and could comply with the "default" regime. For the remaining half, removing the possibility of a niche derogations may i</w:t>
      </w:r>
      <w:r>
        <w:rPr>
          <w:noProof/>
          <w:color w:val="000000" w:themeColor="text1"/>
        </w:rPr>
        <w:t>ncrease the cost of compliance. This could to some extent be compensated through the use of other current flexibilities such as pooling or eco-innovations. Half of the eligible manufacturers are members of pools as they belong to a group of connected manuf</w:t>
      </w:r>
      <w:r>
        <w:rPr>
          <w:noProof/>
          <w:color w:val="000000" w:themeColor="text1"/>
        </w:rPr>
        <w:t xml:space="preserve">acturers and all of them are connected to major manufacturer groups on the global market. </w:t>
      </w:r>
    </w:p>
    <w:p w:rsidR="001A26B0" w:rsidRDefault="00E33A99">
      <w:pPr>
        <w:spacing w:after="120"/>
        <w:rPr>
          <w:noProof/>
          <w:color w:val="000000" w:themeColor="text1"/>
        </w:rPr>
      </w:pPr>
      <w:r>
        <w:rPr>
          <w:i/>
          <w:noProof/>
        </w:rPr>
        <w:t>Administrative burden</w:t>
      </w:r>
    </w:p>
    <w:p w:rsidR="001A26B0" w:rsidRDefault="00E33A99">
      <w:pPr>
        <w:spacing w:after="120"/>
        <w:rPr>
          <w:noProof/>
          <w:color w:val="000000" w:themeColor="text1"/>
        </w:rPr>
      </w:pPr>
      <w:r>
        <w:rPr>
          <w:noProof/>
          <w:color w:val="000000" w:themeColor="text1"/>
        </w:rPr>
        <w:t>Removing the niche derogation for car manufacturers would simplify the architecture of the Regulations and streamline the approach taken for ca</w:t>
      </w:r>
      <w:r>
        <w:rPr>
          <w:noProof/>
          <w:color w:val="000000" w:themeColor="text1"/>
        </w:rPr>
        <w:t>rs and vans. It would reduce the number of derogation applications to be dealt with, which would slightly lower the overall administrative costs of the Regulation.</w:t>
      </w:r>
    </w:p>
    <w:p w:rsidR="001A26B0" w:rsidRDefault="00E33A99">
      <w:pPr>
        <w:spacing w:after="120"/>
        <w:rPr>
          <w:i/>
          <w:noProof/>
        </w:rPr>
      </w:pPr>
      <w:r>
        <w:rPr>
          <w:i/>
          <w:noProof/>
        </w:rPr>
        <w:t>Social impacts</w:t>
      </w:r>
    </w:p>
    <w:p w:rsidR="001A26B0" w:rsidRDefault="00E33A99">
      <w:pPr>
        <w:spacing w:after="120"/>
        <w:rPr>
          <w:noProof/>
          <w:color w:val="000000" w:themeColor="text1"/>
        </w:rPr>
      </w:pPr>
      <w:r>
        <w:rPr>
          <w:noProof/>
          <w:color w:val="000000" w:themeColor="text1"/>
        </w:rPr>
        <w:t xml:space="preserve">There are no direct or otherwise relevant social impacts of niche </w:t>
      </w:r>
      <w:r>
        <w:rPr>
          <w:noProof/>
          <w:color w:val="000000" w:themeColor="text1"/>
        </w:rPr>
        <w:t>derogations.</w:t>
      </w:r>
    </w:p>
    <w:p w:rsidR="001A26B0" w:rsidRDefault="00E33A99">
      <w:pPr>
        <w:spacing w:after="200" w:line="276" w:lineRule="auto"/>
        <w:jc w:val="left"/>
        <w:rPr>
          <w:b/>
          <w:noProof/>
          <w:color w:val="000000" w:themeColor="text1"/>
        </w:rPr>
      </w:pPr>
      <w:bookmarkStart w:id="687" w:name="_Toc492548090"/>
      <w:bookmarkEnd w:id="680"/>
      <w:bookmarkEnd w:id="686"/>
      <w:r>
        <w:rPr>
          <w:noProof/>
          <w:color w:val="000000" w:themeColor="text1"/>
        </w:rPr>
        <w:br w:type="page"/>
      </w:r>
    </w:p>
    <w:p w:rsidR="001A26B0" w:rsidRDefault="00E33A99">
      <w:pPr>
        <w:pStyle w:val="Heading2"/>
        <w:keepNext w:val="0"/>
        <w:widowControl w:val="0"/>
        <w:spacing w:after="240"/>
        <w:rPr>
          <w:noProof/>
          <w:color w:val="000000" w:themeColor="text1"/>
        </w:rPr>
      </w:pPr>
      <w:bookmarkStart w:id="688" w:name="_Toc496635653"/>
      <w:r>
        <w:rPr>
          <w:noProof/>
          <w:color w:val="000000" w:themeColor="text1"/>
        </w:rPr>
        <w:t>Governance</w:t>
      </w:r>
      <w:bookmarkEnd w:id="687"/>
      <w:bookmarkEnd w:id="688"/>
      <w:r>
        <w:rPr>
          <w:noProof/>
          <w:color w:val="000000" w:themeColor="text1"/>
        </w:rPr>
        <w:t xml:space="preserve"> </w:t>
      </w:r>
    </w:p>
    <w:p w:rsidR="001A26B0" w:rsidRDefault="00E33A99">
      <w:pPr>
        <w:pStyle w:val="Heading3"/>
        <w:rPr>
          <w:noProof/>
        </w:rPr>
      </w:pPr>
      <w:bookmarkStart w:id="689" w:name="_Toc487211801"/>
      <w:bookmarkStart w:id="690" w:name="_Toc492548091"/>
      <w:bookmarkStart w:id="691" w:name="_Toc496635654"/>
      <w:r>
        <w:rPr>
          <w:noProof/>
        </w:rPr>
        <w:t>Real-world emissions (RWG)</w:t>
      </w:r>
      <w:bookmarkEnd w:id="689"/>
      <w:bookmarkEnd w:id="690"/>
      <w:bookmarkEnd w:id="691"/>
    </w:p>
    <w:p w:rsidR="001A26B0" w:rsidRDefault="00E33A99">
      <w:pPr>
        <w:pStyle w:val="Heading4"/>
        <w:rPr>
          <w:noProof/>
          <w:szCs w:val="24"/>
        </w:rPr>
      </w:pPr>
      <w:bookmarkStart w:id="692" w:name="_Toc492548092"/>
      <w:bookmarkStart w:id="693" w:name="_Toc496635655"/>
      <w:r>
        <w:rPr>
          <w:noProof/>
          <w:szCs w:val="24"/>
        </w:rPr>
        <w:t>Change nothing</w:t>
      </w:r>
      <w:bookmarkEnd w:id="692"/>
      <w:r>
        <w:rPr>
          <w:noProof/>
          <w:szCs w:val="24"/>
        </w:rPr>
        <w:t xml:space="preserve"> (Option RWG 0)</w:t>
      </w:r>
      <w:bookmarkEnd w:id="693"/>
    </w:p>
    <w:p w:rsidR="001A26B0" w:rsidRDefault="00E33A99">
      <w:pPr>
        <w:spacing w:after="120"/>
        <w:rPr>
          <w:noProof/>
          <w:color w:val="000000" w:themeColor="text1"/>
        </w:rPr>
      </w:pPr>
      <w:r>
        <w:rPr>
          <w:noProof/>
          <w:color w:val="000000" w:themeColor="text1"/>
        </w:rPr>
        <w:t>A number of sources from the US</w:t>
      </w:r>
      <w:r>
        <w:rPr>
          <w:noProof/>
          <w:color w:val="000000" w:themeColor="text1"/>
          <w:vertAlign w:val="superscript"/>
        </w:rPr>
        <w:footnoteReference w:id="209"/>
      </w:r>
      <w:r>
        <w:rPr>
          <w:noProof/>
          <w:color w:val="000000" w:themeColor="text1"/>
          <w:vertAlign w:val="superscript"/>
        </w:rPr>
        <w:t>,</w:t>
      </w:r>
      <w:r>
        <w:rPr>
          <w:noProof/>
          <w:color w:val="000000" w:themeColor="text1"/>
          <w:vertAlign w:val="superscript"/>
        </w:rPr>
        <w:footnoteReference w:id="210"/>
      </w:r>
      <w:r>
        <w:rPr>
          <w:noProof/>
          <w:color w:val="000000" w:themeColor="text1"/>
        </w:rPr>
        <w:t xml:space="preserve"> indicate that the combination of a laboratory based test procedure and market surveillance instruments can be to a certain extent sufficient to ensure a limited, constant and stable gap, i.e. of around 20% in that specific jurisdiction. It can be then acc</w:t>
      </w:r>
      <w:r>
        <w:rPr>
          <w:noProof/>
          <w:color w:val="000000" w:themeColor="text1"/>
        </w:rPr>
        <w:t xml:space="preserve">ounted for when assessing the impact of specific target levels. </w:t>
      </w:r>
    </w:p>
    <w:p w:rsidR="001A26B0" w:rsidRDefault="00E33A99">
      <w:pPr>
        <w:spacing w:after="120"/>
        <w:rPr>
          <w:noProof/>
          <w:color w:val="000000" w:themeColor="text1"/>
        </w:rPr>
      </w:pPr>
      <w:r>
        <w:rPr>
          <w:noProof/>
          <w:color w:val="000000" w:themeColor="text1"/>
        </w:rPr>
        <w:t>The introduction of the new WLTP test procedure as of September 2017 and of a revised type approval framework is expected to reduce significantly the gap currently observed in the EU. Althoug</w:t>
      </w:r>
      <w:r>
        <w:rPr>
          <w:noProof/>
          <w:color w:val="000000" w:themeColor="text1"/>
        </w:rPr>
        <w:t>h the new system has been carefully designed to this end, it is anticipated that a certain gap will remain as underlined in the opinion of the Scientific Advisory Mechanism</w:t>
      </w:r>
      <w:r>
        <w:rPr>
          <w:noProof/>
          <w:color w:val="000000" w:themeColor="text1"/>
          <w:vertAlign w:val="superscript"/>
        </w:rPr>
        <w:footnoteReference w:id="211"/>
      </w:r>
      <w:r>
        <w:rPr>
          <w:noProof/>
          <w:color w:val="000000" w:themeColor="text1"/>
        </w:rPr>
        <w:t>.</w:t>
      </w:r>
    </w:p>
    <w:p w:rsidR="001A26B0" w:rsidRDefault="00E33A99">
      <w:pPr>
        <w:spacing w:after="120"/>
        <w:rPr>
          <w:noProof/>
          <w:color w:val="000000" w:themeColor="text1"/>
        </w:rPr>
      </w:pPr>
      <w:r>
        <w:rPr>
          <w:noProof/>
          <w:color w:val="000000" w:themeColor="text1"/>
        </w:rPr>
        <w:t>The lead time required to address any remaining gap solely by extensive changes o</w:t>
      </w:r>
      <w:r>
        <w:rPr>
          <w:noProof/>
          <w:color w:val="000000" w:themeColor="text1"/>
        </w:rPr>
        <w:t xml:space="preserve">f the reference test procedure developed in the context of UNECE is expected to be long with respect of the timeframe of the proposed legislation. </w:t>
      </w:r>
    </w:p>
    <w:p w:rsidR="001A26B0" w:rsidRDefault="00E33A99">
      <w:pPr>
        <w:pStyle w:val="Heading4"/>
        <w:rPr>
          <w:noProof/>
          <w:szCs w:val="24"/>
        </w:rPr>
      </w:pPr>
      <w:bookmarkStart w:id="694" w:name="_Toc492548093"/>
      <w:bookmarkStart w:id="695" w:name="_Toc496635656"/>
      <w:r>
        <w:rPr>
          <w:noProof/>
          <w:szCs w:val="24"/>
        </w:rPr>
        <w:t xml:space="preserve">Option RWG 1: </w:t>
      </w:r>
      <w:r>
        <w:rPr>
          <w:noProof/>
          <w:szCs w:val="24"/>
        </w:rPr>
        <w:tab/>
        <w:t>Collection, publication, and monitoring of real world fuel consumption data</w:t>
      </w:r>
      <w:bookmarkEnd w:id="694"/>
      <w:bookmarkEnd w:id="695"/>
      <w:r>
        <w:rPr>
          <w:noProof/>
          <w:szCs w:val="24"/>
        </w:rPr>
        <w:t xml:space="preserve"> </w:t>
      </w:r>
    </w:p>
    <w:p w:rsidR="001A26B0" w:rsidRDefault="00E33A99">
      <w:pPr>
        <w:autoSpaceDE w:val="0"/>
        <w:autoSpaceDN w:val="0"/>
        <w:adjustRightInd w:val="0"/>
        <w:spacing w:after="120"/>
        <w:rPr>
          <w:i/>
          <w:noProof/>
          <w:color w:val="000000" w:themeColor="text1"/>
          <w:szCs w:val="24"/>
        </w:rPr>
      </w:pPr>
      <w:r>
        <w:rPr>
          <w:i/>
          <w:noProof/>
          <w:color w:val="000000" w:themeColor="text1"/>
          <w:szCs w:val="24"/>
        </w:rPr>
        <w:t>Environmental im</w:t>
      </w:r>
      <w:r>
        <w:rPr>
          <w:i/>
          <w:noProof/>
          <w:color w:val="000000" w:themeColor="text1"/>
          <w:szCs w:val="24"/>
        </w:rPr>
        <w:t>pact</w:t>
      </w:r>
    </w:p>
    <w:p w:rsidR="001A26B0" w:rsidRDefault="00E33A99">
      <w:pPr>
        <w:autoSpaceDE w:val="0"/>
        <w:autoSpaceDN w:val="0"/>
        <w:adjustRightInd w:val="0"/>
        <w:spacing w:after="120"/>
        <w:rPr>
          <w:noProof/>
          <w:color w:val="000000" w:themeColor="text1"/>
          <w:szCs w:val="24"/>
        </w:rPr>
      </w:pPr>
      <w:r>
        <w:rPr>
          <w:noProof/>
          <w:color w:val="000000" w:themeColor="text1"/>
          <w:szCs w:val="24"/>
        </w:rPr>
        <w:t>A robust and regular monitoring and publication framework for real-world fuel consumption data will allow the verification of the assumptions made regarding the divergence between the test procedure values and the average real world emissions (see Sec</w:t>
      </w:r>
      <w:r>
        <w:rPr>
          <w:noProof/>
          <w:color w:val="000000" w:themeColor="text1"/>
          <w:szCs w:val="24"/>
        </w:rPr>
        <w:t>tion 6.1). Significant divergences can in turn trigger a review of the testing framework and where appropriate the CO</w:t>
      </w:r>
      <w:r>
        <w:rPr>
          <w:noProof/>
          <w:color w:val="000000" w:themeColor="text1"/>
          <w:szCs w:val="24"/>
          <w:vertAlign w:val="subscript"/>
        </w:rPr>
        <w:t>2</w:t>
      </w:r>
      <w:r>
        <w:rPr>
          <w:noProof/>
          <w:color w:val="000000" w:themeColor="text1"/>
          <w:szCs w:val="24"/>
        </w:rPr>
        <w:t xml:space="preserve"> emission standards themselves. This policy option is therefore expected to have an important positive environmental impact. </w:t>
      </w:r>
    </w:p>
    <w:p w:rsidR="001A26B0" w:rsidRDefault="00E33A99">
      <w:pPr>
        <w:autoSpaceDE w:val="0"/>
        <w:autoSpaceDN w:val="0"/>
        <w:adjustRightInd w:val="0"/>
        <w:spacing w:after="120"/>
        <w:rPr>
          <w:noProof/>
          <w:color w:val="000000" w:themeColor="text1"/>
          <w:szCs w:val="24"/>
        </w:rPr>
      </w:pPr>
      <w:r>
        <w:rPr>
          <w:noProof/>
          <w:color w:val="000000" w:themeColor="text1"/>
          <w:szCs w:val="24"/>
        </w:rPr>
        <w:t>The publicat</w:t>
      </w:r>
      <w:r>
        <w:rPr>
          <w:noProof/>
          <w:color w:val="000000" w:themeColor="text1"/>
          <w:szCs w:val="24"/>
        </w:rPr>
        <w:t>ion of real world fuel consumption data would contribute to raising public awareness of fuel economy measures and promote the market up-take of CO</w:t>
      </w:r>
      <w:r>
        <w:rPr>
          <w:noProof/>
          <w:color w:val="000000" w:themeColor="text1"/>
          <w:szCs w:val="24"/>
          <w:vertAlign w:val="subscript"/>
        </w:rPr>
        <w:t>2</w:t>
      </w:r>
      <w:r>
        <w:rPr>
          <w:noProof/>
          <w:color w:val="000000" w:themeColor="text1"/>
          <w:szCs w:val="24"/>
        </w:rPr>
        <w:t xml:space="preserve"> reducing technologies. A co-benefit would therefore be secured through the resulting market effect and compe</w:t>
      </w:r>
      <w:r>
        <w:rPr>
          <w:noProof/>
          <w:color w:val="000000" w:themeColor="text1"/>
          <w:szCs w:val="24"/>
        </w:rPr>
        <w:t xml:space="preserve">tition among manufacturers for vehicles and technologies delivering significant fuel savings on the road.  </w:t>
      </w:r>
    </w:p>
    <w:p w:rsidR="001A26B0" w:rsidRDefault="00E33A99">
      <w:pPr>
        <w:autoSpaceDE w:val="0"/>
        <w:autoSpaceDN w:val="0"/>
        <w:adjustRightInd w:val="0"/>
        <w:spacing w:after="120"/>
        <w:rPr>
          <w:noProof/>
          <w:color w:val="000000" w:themeColor="text1"/>
          <w:szCs w:val="24"/>
        </w:rPr>
      </w:pPr>
      <w:r>
        <w:rPr>
          <w:noProof/>
          <w:color w:val="000000" w:themeColor="text1"/>
          <w:szCs w:val="24"/>
        </w:rPr>
        <w:t xml:space="preserve">The environmental effectiveness of this policy option would be linked to the quality of the available data. </w:t>
      </w:r>
    </w:p>
    <w:p w:rsidR="001A26B0" w:rsidRDefault="00E33A99">
      <w:pPr>
        <w:autoSpaceDE w:val="0"/>
        <w:autoSpaceDN w:val="0"/>
        <w:adjustRightInd w:val="0"/>
        <w:spacing w:after="120"/>
        <w:rPr>
          <w:i/>
          <w:noProof/>
          <w:color w:val="000000" w:themeColor="text1"/>
          <w:szCs w:val="24"/>
        </w:rPr>
      </w:pPr>
      <w:r>
        <w:rPr>
          <w:i/>
          <w:noProof/>
          <w:color w:val="000000" w:themeColor="text1"/>
          <w:szCs w:val="24"/>
        </w:rPr>
        <w:t>Economic impact</w:t>
      </w:r>
    </w:p>
    <w:p w:rsidR="001A26B0" w:rsidRDefault="00E33A99">
      <w:pPr>
        <w:autoSpaceDE w:val="0"/>
        <w:autoSpaceDN w:val="0"/>
        <w:adjustRightInd w:val="0"/>
        <w:spacing w:after="120"/>
        <w:rPr>
          <w:noProof/>
          <w:color w:val="000000" w:themeColor="text1"/>
          <w:szCs w:val="24"/>
        </w:rPr>
      </w:pPr>
      <w:r>
        <w:rPr>
          <w:noProof/>
          <w:color w:val="000000" w:themeColor="text1"/>
          <w:szCs w:val="24"/>
        </w:rPr>
        <w:t xml:space="preserve">The economic impact of </w:t>
      </w:r>
      <w:r>
        <w:rPr>
          <w:noProof/>
          <w:color w:val="000000" w:themeColor="text1"/>
          <w:szCs w:val="24"/>
        </w:rPr>
        <w:t>this option is mainly associated to the administrative burden to establish and operate a monitoring mechanism which will strongly depend on its actual design. The real-world fuel consumption data can be sourced or estimated by different means.</w:t>
      </w:r>
    </w:p>
    <w:p w:rsidR="001A26B0" w:rsidRDefault="00E33A99">
      <w:pPr>
        <w:autoSpaceDE w:val="0"/>
        <w:autoSpaceDN w:val="0"/>
        <w:adjustRightInd w:val="0"/>
        <w:spacing w:after="120"/>
        <w:rPr>
          <w:noProof/>
          <w:color w:val="000000" w:themeColor="text1"/>
          <w:szCs w:val="24"/>
        </w:rPr>
      </w:pPr>
      <w:r>
        <w:rPr>
          <w:noProof/>
          <w:color w:val="000000" w:themeColor="text1"/>
          <w:szCs w:val="24"/>
        </w:rPr>
        <w:t>If the stand</w:t>
      </w:r>
      <w:r>
        <w:rPr>
          <w:noProof/>
          <w:color w:val="000000" w:themeColor="text1"/>
          <w:szCs w:val="24"/>
        </w:rPr>
        <w:t>ardised 'fuel consumption measurement device' becomes mandatory in new cars through type approval, the Commission could propose to retrieve such data for example by means of reporting or publication obligations for manufacturers, periodic or ad-hoc inspect</w:t>
      </w:r>
      <w:r>
        <w:rPr>
          <w:noProof/>
          <w:color w:val="000000" w:themeColor="text1"/>
          <w:szCs w:val="24"/>
        </w:rPr>
        <w:t xml:space="preserve">ions, remote sensing or a combination thereof. This would be subject to a dedicated analysis and assessment to underpin new regulatory provisions on this issue. </w:t>
      </w:r>
    </w:p>
    <w:p w:rsidR="001A26B0" w:rsidRDefault="00E33A99">
      <w:pPr>
        <w:autoSpaceDE w:val="0"/>
        <w:autoSpaceDN w:val="0"/>
        <w:adjustRightInd w:val="0"/>
        <w:spacing w:after="120"/>
        <w:rPr>
          <w:noProof/>
          <w:color w:val="000000" w:themeColor="text1"/>
          <w:szCs w:val="24"/>
        </w:rPr>
      </w:pPr>
      <w:r>
        <w:rPr>
          <w:noProof/>
          <w:color w:val="000000" w:themeColor="text1"/>
          <w:szCs w:val="24"/>
        </w:rPr>
        <w:t xml:space="preserve">Alternatively, </w:t>
      </w:r>
      <w:r>
        <w:rPr>
          <w:i/>
          <w:noProof/>
          <w:color w:val="000000" w:themeColor="text1"/>
          <w:szCs w:val="24"/>
        </w:rPr>
        <w:t>ad hoc</w:t>
      </w:r>
      <w:r>
        <w:rPr>
          <w:noProof/>
          <w:color w:val="000000" w:themeColor="text1"/>
          <w:szCs w:val="24"/>
        </w:rPr>
        <w:t xml:space="preserve"> periodic test campaigns covering representative fleet samples could be c</w:t>
      </w:r>
      <w:r>
        <w:rPr>
          <w:noProof/>
          <w:color w:val="000000" w:themeColor="text1"/>
          <w:szCs w:val="24"/>
        </w:rPr>
        <w:t xml:space="preserve">arried out. In this case, the Commission would carry out internal and external specific studies. </w:t>
      </w:r>
    </w:p>
    <w:p w:rsidR="001A26B0" w:rsidRDefault="00E33A99">
      <w:pPr>
        <w:spacing w:after="120"/>
        <w:rPr>
          <w:noProof/>
          <w:color w:val="000000" w:themeColor="text1"/>
        </w:rPr>
      </w:pPr>
      <w:r>
        <w:rPr>
          <w:i/>
          <w:noProof/>
        </w:rPr>
        <w:t>Administrative burden</w:t>
      </w:r>
    </w:p>
    <w:p w:rsidR="001A26B0" w:rsidRDefault="00E33A99">
      <w:pPr>
        <w:autoSpaceDE w:val="0"/>
        <w:autoSpaceDN w:val="0"/>
        <w:adjustRightInd w:val="0"/>
        <w:spacing w:after="120"/>
        <w:rPr>
          <w:noProof/>
          <w:color w:val="000000" w:themeColor="text1"/>
          <w:szCs w:val="24"/>
        </w:rPr>
      </w:pPr>
      <w:r>
        <w:rPr>
          <w:noProof/>
          <w:color w:val="000000" w:themeColor="text1"/>
          <w:szCs w:val="24"/>
        </w:rPr>
        <w:t>The administrative costs would depend on the set-up of the data retrieval and processing system. For example in case of Commission studi</w:t>
      </w:r>
      <w:r>
        <w:rPr>
          <w:noProof/>
          <w:color w:val="000000" w:themeColor="text1"/>
          <w:szCs w:val="24"/>
        </w:rPr>
        <w:t xml:space="preserve">es based on </w:t>
      </w:r>
      <w:r>
        <w:rPr>
          <w:i/>
          <w:noProof/>
          <w:color w:val="000000" w:themeColor="text1"/>
          <w:szCs w:val="24"/>
        </w:rPr>
        <w:t>ad hoc</w:t>
      </w:r>
      <w:r>
        <w:rPr>
          <w:noProof/>
          <w:color w:val="000000" w:themeColor="text1"/>
          <w:szCs w:val="24"/>
        </w:rPr>
        <w:t xml:space="preserve"> periodic test campaigns, the administrative costs would be limited to the costs for carrying out the studies and to process, analyse and report the data.  </w:t>
      </w:r>
    </w:p>
    <w:p w:rsidR="001A26B0" w:rsidRDefault="00E33A99">
      <w:pPr>
        <w:autoSpaceDE w:val="0"/>
        <w:autoSpaceDN w:val="0"/>
        <w:adjustRightInd w:val="0"/>
        <w:spacing w:after="120"/>
        <w:rPr>
          <w:i/>
          <w:noProof/>
          <w:color w:val="000000" w:themeColor="text1"/>
          <w:szCs w:val="24"/>
        </w:rPr>
      </w:pPr>
      <w:r>
        <w:rPr>
          <w:i/>
          <w:noProof/>
          <w:color w:val="000000" w:themeColor="text1"/>
          <w:szCs w:val="24"/>
        </w:rPr>
        <w:t>Social impact</w:t>
      </w:r>
    </w:p>
    <w:p w:rsidR="001A26B0" w:rsidRDefault="00E33A99">
      <w:pPr>
        <w:autoSpaceDE w:val="0"/>
        <w:autoSpaceDN w:val="0"/>
        <w:adjustRightInd w:val="0"/>
        <w:spacing w:after="120"/>
        <w:rPr>
          <w:noProof/>
          <w:color w:val="000000" w:themeColor="text1"/>
          <w:szCs w:val="24"/>
        </w:rPr>
      </w:pPr>
      <w:r>
        <w:rPr>
          <w:noProof/>
          <w:color w:val="000000" w:themeColor="text1"/>
          <w:szCs w:val="24"/>
        </w:rPr>
        <w:t xml:space="preserve">The impact is expected to be positive for consumers as this option </w:t>
      </w:r>
      <w:r>
        <w:rPr>
          <w:noProof/>
          <w:color w:val="000000" w:themeColor="text1"/>
          <w:szCs w:val="24"/>
        </w:rPr>
        <w:t>will provide consumers with information on real world emissions and fuel consumption and allow them to assess how those values compare to the fuel consumption of their own vehicles.</w:t>
      </w:r>
    </w:p>
    <w:p w:rsidR="001A26B0" w:rsidRDefault="00E33A99">
      <w:pPr>
        <w:pStyle w:val="Heading3"/>
        <w:rPr>
          <w:noProof/>
        </w:rPr>
      </w:pPr>
      <w:bookmarkStart w:id="696" w:name="_Toc485119165"/>
      <w:bookmarkStart w:id="697" w:name="_Toc487211802"/>
      <w:bookmarkStart w:id="698" w:name="_Toc492548094"/>
      <w:bookmarkStart w:id="699" w:name="_Toc496635657"/>
      <w:r>
        <w:rPr>
          <w:noProof/>
        </w:rPr>
        <w:t>Market surveillance (conformity of production, in service conformity) (MSU</w:t>
      </w:r>
      <w:r>
        <w:rPr>
          <w:noProof/>
        </w:rPr>
        <w:t>)</w:t>
      </w:r>
      <w:bookmarkEnd w:id="696"/>
      <w:bookmarkEnd w:id="697"/>
      <w:bookmarkEnd w:id="698"/>
      <w:bookmarkEnd w:id="699"/>
    </w:p>
    <w:p w:rsidR="001A26B0" w:rsidRDefault="00E33A99">
      <w:pPr>
        <w:pStyle w:val="Heading4"/>
        <w:rPr>
          <w:noProof/>
          <w:szCs w:val="24"/>
        </w:rPr>
      </w:pPr>
      <w:bookmarkStart w:id="700" w:name="_Toc492548095"/>
      <w:bookmarkStart w:id="701" w:name="_Toc496635658"/>
      <w:r>
        <w:rPr>
          <w:noProof/>
          <w:szCs w:val="24"/>
        </w:rPr>
        <w:t>Option MSU 0 – no change</w:t>
      </w:r>
      <w:bookmarkEnd w:id="700"/>
      <w:bookmarkEnd w:id="701"/>
    </w:p>
    <w:p w:rsidR="001A26B0" w:rsidRDefault="00E33A99">
      <w:pPr>
        <w:spacing w:after="120"/>
        <w:rPr>
          <w:i/>
          <w:noProof/>
          <w:color w:val="000000" w:themeColor="text1"/>
          <w:szCs w:val="24"/>
        </w:rPr>
      </w:pPr>
      <w:r>
        <w:rPr>
          <w:i/>
          <w:noProof/>
          <w:color w:val="000000" w:themeColor="text1"/>
          <w:szCs w:val="24"/>
        </w:rPr>
        <w:t>Environmental impact</w:t>
      </w:r>
    </w:p>
    <w:p w:rsidR="001A26B0" w:rsidRDefault="00E33A99">
      <w:pPr>
        <w:spacing w:after="120"/>
        <w:rPr>
          <w:noProof/>
          <w:color w:val="000000" w:themeColor="text1"/>
          <w:szCs w:val="24"/>
        </w:rPr>
      </w:pPr>
      <w:r>
        <w:rPr>
          <w:noProof/>
          <w:color w:val="000000" w:themeColor="text1"/>
          <w:szCs w:val="24"/>
        </w:rPr>
        <w:t xml:space="preserve">The verification by manufacturers of the correctness of the monitoring data provided by Member States is an essential step in ensuring legal certainty for the manufacturers in the process of determining </w:t>
      </w:r>
      <w:r>
        <w:rPr>
          <w:noProof/>
          <w:color w:val="000000" w:themeColor="text1"/>
          <w:szCs w:val="24"/>
        </w:rPr>
        <w:t>compliance with their specific CO</w:t>
      </w:r>
      <w:r>
        <w:rPr>
          <w:noProof/>
          <w:color w:val="000000" w:themeColor="text1"/>
          <w:szCs w:val="24"/>
          <w:vertAlign w:val="subscript"/>
        </w:rPr>
        <w:t>2</w:t>
      </w:r>
      <w:r>
        <w:rPr>
          <w:noProof/>
          <w:color w:val="000000" w:themeColor="text1"/>
          <w:szCs w:val="24"/>
        </w:rPr>
        <w:t xml:space="preserve"> emission targets. </w:t>
      </w:r>
    </w:p>
    <w:p w:rsidR="001A26B0" w:rsidRDefault="00E33A99">
      <w:pPr>
        <w:spacing w:after="120"/>
        <w:rPr>
          <w:noProof/>
          <w:color w:val="000000" w:themeColor="text1"/>
          <w:szCs w:val="24"/>
        </w:rPr>
      </w:pPr>
      <w:r>
        <w:rPr>
          <w:noProof/>
          <w:color w:val="000000" w:themeColor="text1"/>
          <w:szCs w:val="24"/>
        </w:rPr>
        <w:t>However, while the current approach may lead to the identification (and subsequent remediation) of unjustified deviations from the type approved CO</w:t>
      </w:r>
      <w:r>
        <w:rPr>
          <w:noProof/>
          <w:color w:val="000000" w:themeColor="text1"/>
          <w:szCs w:val="24"/>
          <w:vertAlign w:val="subscript"/>
        </w:rPr>
        <w:t>2</w:t>
      </w:r>
      <w:r>
        <w:rPr>
          <w:noProof/>
          <w:color w:val="000000" w:themeColor="text1"/>
          <w:szCs w:val="24"/>
        </w:rPr>
        <w:t xml:space="preserve"> emissions of vehicles placed on the road, it is never</w:t>
      </w:r>
      <w:r>
        <w:rPr>
          <w:noProof/>
          <w:color w:val="000000" w:themeColor="text1"/>
          <w:szCs w:val="24"/>
        </w:rPr>
        <w:t xml:space="preserve">theless mainly dependent on information provided by the manufacturers. </w:t>
      </w:r>
    </w:p>
    <w:p w:rsidR="001A26B0" w:rsidRDefault="00E33A99">
      <w:pPr>
        <w:spacing w:after="120"/>
        <w:rPr>
          <w:noProof/>
          <w:color w:val="000000" w:themeColor="text1"/>
          <w:szCs w:val="24"/>
        </w:rPr>
      </w:pPr>
      <w:r>
        <w:rPr>
          <w:noProof/>
          <w:color w:val="000000" w:themeColor="text1"/>
          <w:szCs w:val="24"/>
        </w:rPr>
        <w:t>This creates a risk that divergences in the CO</w:t>
      </w:r>
      <w:r>
        <w:rPr>
          <w:noProof/>
          <w:color w:val="000000" w:themeColor="text1"/>
          <w:szCs w:val="24"/>
          <w:vertAlign w:val="subscript"/>
        </w:rPr>
        <w:t>2</w:t>
      </w:r>
      <w:r>
        <w:rPr>
          <w:noProof/>
          <w:color w:val="000000" w:themeColor="text1"/>
          <w:szCs w:val="24"/>
        </w:rPr>
        <w:t xml:space="preserve"> data used for assessing compliance may go undetected. Where this happens it may reduce the effectiveness of the Regulations in ensuring </w:t>
      </w:r>
      <w:r>
        <w:rPr>
          <w:noProof/>
          <w:color w:val="000000" w:themeColor="text1"/>
          <w:szCs w:val="24"/>
        </w:rPr>
        <w:t>that the reductions foreseen are actually achieved.</w:t>
      </w:r>
    </w:p>
    <w:p w:rsidR="001A26B0" w:rsidRDefault="00E33A99">
      <w:pPr>
        <w:spacing w:after="120"/>
        <w:contextualSpacing/>
        <w:rPr>
          <w:i/>
          <w:noProof/>
          <w:color w:val="000000" w:themeColor="text1"/>
          <w:szCs w:val="24"/>
        </w:rPr>
      </w:pPr>
      <w:r>
        <w:rPr>
          <w:i/>
          <w:noProof/>
          <w:color w:val="000000" w:themeColor="text1"/>
          <w:szCs w:val="24"/>
        </w:rPr>
        <w:t>Economic impact</w:t>
      </w:r>
    </w:p>
    <w:p w:rsidR="001A26B0" w:rsidRDefault="00E33A99">
      <w:pPr>
        <w:spacing w:after="120"/>
        <w:rPr>
          <w:noProof/>
          <w:color w:val="000000" w:themeColor="text1"/>
          <w:szCs w:val="24"/>
        </w:rPr>
      </w:pPr>
      <w:r>
        <w:rPr>
          <w:noProof/>
          <w:color w:val="000000" w:themeColor="text1"/>
          <w:szCs w:val="24"/>
        </w:rPr>
        <w:t>The verification by manufacturers of the CO</w:t>
      </w:r>
      <w:r>
        <w:rPr>
          <w:noProof/>
          <w:color w:val="000000" w:themeColor="text1"/>
          <w:szCs w:val="24"/>
          <w:vertAlign w:val="subscript"/>
        </w:rPr>
        <w:t>2</w:t>
      </w:r>
      <w:r>
        <w:rPr>
          <w:noProof/>
          <w:color w:val="000000" w:themeColor="text1"/>
          <w:szCs w:val="24"/>
        </w:rPr>
        <w:t xml:space="preserve"> data is currently optional. In case of no verification by the manufacturer, the data is considered correct. Should the Commission be informed o</w:t>
      </w:r>
      <w:r>
        <w:rPr>
          <w:noProof/>
          <w:color w:val="000000" w:themeColor="text1"/>
          <w:szCs w:val="24"/>
        </w:rPr>
        <w:t>f errors, it may however proceed with further checks in conjunction with measures taken by Member States and may also to abstain from confirming a manufacturer's performance in meeting its targets as long as the data is not confirmed to be correct (this is</w:t>
      </w:r>
      <w:r>
        <w:rPr>
          <w:noProof/>
          <w:color w:val="000000" w:themeColor="text1"/>
          <w:szCs w:val="24"/>
        </w:rPr>
        <w:t xml:space="preserve"> the case with the Volkswagen pool data for 2014 and 2015). </w:t>
      </w:r>
    </w:p>
    <w:p w:rsidR="001A26B0" w:rsidRDefault="00E33A99">
      <w:pPr>
        <w:spacing w:after="120"/>
        <w:rPr>
          <w:noProof/>
          <w:color w:val="000000" w:themeColor="text1"/>
        </w:rPr>
      </w:pPr>
      <w:r>
        <w:rPr>
          <w:i/>
          <w:noProof/>
        </w:rPr>
        <w:t>Administrative burden</w:t>
      </w:r>
    </w:p>
    <w:p w:rsidR="001A26B0" w:rsidRDefault="00E33A99">
      <w:pPr>
        <w:spacing w:after="120"/>
        <w:rPr>
          <w:noProof/>
          <w:color w:val="000000" w:themeColor="text1"/>
          <w:szCs w:val="24"/>
        </w:rPr>
      </w:pPr>
      <w:r>
        <w:rPr>
          <w:noProof/>
          <w:color w:val="000000" w:themeColor="text1"/>
          <w:szCs w:val="24"/>
        </w:rPr>
        <w:t xml:space="preserve">The administrative costs would depend on the set-up of the data retrieval and processing system. For example in case of Commission studies based on </w:t>
      </w:r>
      <w:r>
        <w:rPr>
          <w:i/>
          <w:noProof/>
          <w:color w:val="000000" w:themeColor="text1"/>
          <w:szCs w:val="24"/>
        </w:rPr>
        <w:t>ad hoc</w:t>
      </w:r>
      <w:r>
        <w:rPr>
          <w:noProof/>
          <w:color w:val="000000" w:themeColor="text1"/>
          <w:szCs w:val="24"/>
        </w:rPr>
        <w:t xml:space="preserve"> periodic test camp</w:t>
      </w:r>
      <w:r>
        <w:rPr>
          <w:noProof/>
          <w:color w:val="000000" w:themeColor="text1"/>
          <w:szCs w:val="24"/>
        </w:rPr>
        <w:t xml:space="preserve">aigns, the administrative costs would be limited to the costs for carrying out the studies and to process, analyse and report the data. </w:t>
      </w:r>
    </w:p>
    <w:p w:rsidR="001A26B0" w:rsidRDefault="00E33A99">
      <w:pPr>
        <w:spacing w:after="120"/>
        <w:contextualSpacing/>
        <w:rPr>
          <w:i/>
          <w:noProof/>
          <w:color w:val="000000" w:themeColor="text1"/>
          <w:szCs w:val="24"/>
        </w:rPr>
      </w:pPr>
      <w:r>
        <w:rPr>
          <w:i/>
          <w:noProof/>
          <w:color w:val="000000" w:themeColor="text1"/>
          <w:szCs w:val="24"/>
        </w:rPr>
        <w:t>Social impacts</w:t>
      </w:r>
    </w:p>
    <w:p w:rsidR="001A26B0" w:rsidRDefault="00E33A99">
      <w:pPr>
        <w:spacing w:after="120"/>
        <w:rPr>
          <w:noProof/>
          <w:color w:val="000000" w:themeColor="text1"/>
          <w:szCs w:val="24"/>
        </w:rPr>
      </w:pPr>
      <w:r>
        <w:rPr>
          <w:noProof/>
          <w:color w:val="000000" w:themeColor="text1"/>
          <w:szCs w:val="24"/>
        </w:rPr>
        <w:t>The lack of an effective independent verification of the CO</w:t>
      </w:r>
      <w:r>
        <w:rPr>
          <w:noProof/>
          <w:color w:val="000000" w:themeColor="text1"/>
          <w:szCs w:val="24"/>
          <w:vertAlign w:val="subscript"/>
        </w:rPr>
        <w:t>2</w:t>
      </w:r>
      <w:r>
        <w:rPr>
          <w:noProof/>
          <w:color w:val="000000" w:themeColor="text1"/>
          <w:szCs w:val="24"/>
        </w:rPr>
        <w:t xml:space="preserve"> data may result in deviations going undetec</w:t>
      </w:r>
      <w:r>
        <w:rPr>
          <w:noProof/>
          <w:color w:val="000000" w:themeColor="text1"/>
          <w:szCs w:val="24"/>
        </w:rPr>
        <w:t>ted. This may in turn lead to less representative data on CO</w:t>
      </w:r>
      <w:r>
        <w:rPr>
          <w:noProof/>
          <w:color w:val="000000" w:themeColor="text1"/>
          <w:szCs w:val="24"/>
          <w:vertAlign w:val="subscript"/>
        </w:rPr>
        <w:t>2</w:t>
      </w:r>
      <w:r>
        <w:rPr>
          <w:noProof/>
          <w:color w:val="000000" w:themeColor="text1"/>
          <w:szCs w:val="24"/>
        </w:rPr>
        <w:t xml:space="preserve"> emissions and fuel consumption being available to consumers.</w:t>
      </w:r>
    </w:p>
    <w:p w:rsidR="001A26B0" w:rsidRDefault="00E33A99">
      <w:pPr>
        <w:pStyle w:val="Heading4"/>
        <w:rPr>
          <w:noProof/>
          <w:szCs w:val="24"/>
        </w:rPr>
      </w:pPr>
      <w:bookmarkStart w:id="702" w:name="_Toc492548096"/>
      <w:bookmarkStart w:id="703" w:name="_Toc496635659"/>
      <w:r>
        <w:rPr>
          <w:noProof/>
          <w:szCs w:val="24"/>
        </w:rPr>
        <w:t>Option MSU 1: Obligation to report deviations and the introduction of a correction mechanism</w:t>
      </w:r>
      <w:bookmarkEnd w:id="702"/>
      <w:bookmarkEnd w:id="703"/>
    </w:p>
    <w:p w:rsidR="001A26B0" w:rsidRDefault="00E33A99">
      <w:pPr>
        <w:spacing w:after="120"/>
        <w:rPr>
          <w:noProof/>
          <w:color w:val="000000" w:themeColor="text1"/>
          <w:szCs w:val="24"/>
        </w:rPr>
      </w:pPr>
      <w:r>
        <w:rPr>
          <w:noProof/>
          <w:color w:val="000000" w:themeColor="text1"/>
          <w:szCs w:val="24"/>
        </w:rPr>
        <w:t>This option assumes a mechanism is in pl</w:t>
      </w:r>
      <w:r>
        <w:rPr>
          <w:noProof/>
          <w:color w:val="000000" w:themeColor="text1"/>
          <w:szCs w:val="24"/>
        </w:rPr>
        <w:t>ace to systematically and formally detect deviations from the type approval values as part of the conformity of production tests (type approval legislation on emissions testing) or during verification tests of vehicles in-service (to be established, e.g. a</w:t>
      </w:r>
      <w:r>
        <w:rPr>
          <w:noProof/>
          <w:color w:val="000000" w:themeColor="text1"/>
          <w:szCs w:val="24"/>
        </w:rPr>
        <w:t xml:space="preserve">s part of the type approval framework). </w:t>
      </w:r>
    </w:p>
    <w:p w:rsidR="001A26B0" w:rsidRDefault="00E33A99">
      <w:pPr>
        <w:spacing w:after="120"/>
        <w:contextualSpacing/>
        <w:rPr>
          <w:i/>
          <w:noProof/>
          <w:color w:val="000000" w:themeColor="text1"/>
          <w:szCs w:val="24"/>
        </w:rPr>
      </w:pPr>
      <w:r>
        <w:rPr>
          <w:i/>
          <w:noProof/>
          <w:color w:val="000000" w:themeColor="text1"/>
          <w:szCs w:val="24"/>
        </w:rPr>
        <w:t>Environmental impacts</w:t>
      </w:r>
    </w:p>
    <w:p w:rsidR="001A26B0" w:rsidRDefault="00E33A99">
      <w:pPr>
        <w:spacing w:after="120"/>
        <w:rPr>
          <w:noProof/>
          <w:color w:val="000000" w:themeColor="text1"/>
          <w:szCs w:val="24"/>
        </w:rPr>
      </w:pPr>
      <w:r>
        <w:rPr>
          <w:noProof/>
          <w:color w:val="000000" w:themeColor="text1"/>
          <w:szCs w:val="24"/>
        </w:rPr>
        <w:t>Obligations placed on national authorities to systematically report deviations to the Commission, and on the Commission to correct the CO</w:t>
      </w:r>
      <w:r>
        <w:rPr>
          <w:noProof/>
          <w:color w:val="000000" w:themeColor="text1"/>
          <w:szCs w:val="24"/>
          <w:vertAlign w:val="subscript"/>
        </w:rPr>
        <w:t>2</w:t>
      </w:r>
      <w:r>
        <w:rPr>
          <w:noProof/>
          <w:color w:val="000000" w:themeColor="text1"/>
          <w:szCs w:val="24"/>
        </w:rPr>
        <w:t xml:space="preserve"> data should contribute to ensuring reliable and repres</w:t>
      </w:r>
      <w:r>
        <w:rPr>
          <w:noProof/>
          <w:color w:val="000000" w:themeColor="text1"/>
          <w:szCs w:val="24"/>
        </w:rPr>
        <w:t>entative CO</w:t>
      </w:r>
      <w:r>
        <w:rPr>
          <w:noProof/>
          <w:color w:val="000000" w:themeColor="text1"/>
          <w:szCs w:val="24"/>
          <w:vertAlign w:val="subscript"/>
        </w:rPr>
        <w:t>2</w:t>
      </w:r>
      <w:r>
        <w:rPr>
          <w:noProof/>
          <w:color w:val="000000" w:themeColor="text1"/>
          <w:szCs w:val="24"/>
        </w:rPr>
        <w:t xml:space="preserve"> data. This would contribute to improving the effectiveness of the Regulation by ensuring that the CO</w:t>
      </w:r>
      <w:r>
        <w:rPr>
          <w:noProof/>
          <w:color w:val="000000" w:themeColor="text1"/>
          <w:szCs w:val="24"/>
          <w:vertAlign w:val="subscript"/>
        </w:rPr>
        <w:t>2</w:t>
      </w:r>
      <w:r>
        <w:rPr>
          <w:noProof/>
          <w:color w:val="000000" w:themeColor="text1"/>
          <w:szCs w:val="24"/>
        </w:rPr>
        <w:t xml:space="preserve"> reductions foreseen are actually achieved.</w:t>
      </w:r>
    </w:p>
    <w:p w:rsidR="001A26B0" w:rsidRDefault="00E33A99">
      <w:pPr>
        <w:spacing w:after="120"/>
        <w:rPr>
          <w:i/>
          <w:noProof/>
          <w:color w:val="000000" w:themeColor="text1"/>
          <w:szCs w:val="24"/>
        </w:rPr>
      </w:pPr>
      <w:r>
        <w:rPr>
          <w:i/>
          <w:noProof/>
          <w:color w:val="000000" w:themeColor="text1"/>
          <w:szCs w:val="24"/>
        </w:rPr>
        <w:t>Economic impacts</w:t>
      </w:r>
    </w:p>
    <w:p w:rsidR="001A26B0" w:rsidRDefault="00E33A99">
      <w:pPr>
        <w:spacing w:after="120"/>
        <w:rPr>
          <w:noProof/>
          <w:color w:val="000000" w:themeColor="text1"/>
          <w:szCs w:val="24"/>
        </w:rPr>
      </w:pPr>
      <w:r>
        <w:rPr>
          <w:noProof/>
          <w:color w:val="000000" w:themeColor="text1"/>
          <w:szCs w:val="24"/>
        </w:rPr>
        <w:t>The new requirement national authorities to report to the Commission any deviatio</w:t>
      </w:r>
      <w:r>
        <w:rPr>
          <w:noProof/>
          <w:color w:val="000000" w:themeColor="text1"/>
          <w:szCs w:val="24"/>
        </w:rPr>
        <w:t xml:space="preserve">ns found, regardless of whether they are detected as part of a formal type approval procedure or on the basis of independent verifications would allow the Commission to take further steps in ensuring that such deviations are penalised and remediated. This </w:t>
      </w:r>
      <w:r>
        <w:rPr>
          <w:noProof/>
          <w:color w:val="000000" w:themeColor="text1"/>
          <w:szCs w:val="24"/>
        </w:rPr>
        <w:t>would avoid that such deviations undermine the CO</w:t>
      </w:r>
      <w:r>
        <w:rPr>
          <w:noProof/>
          <w:color w:val="000000" w:themeColor="text1"/>
          <w:szCs w:val="24"/>
          <w:vertAlign w:val="subscript"/>
        </w:rPr>
        <w:t>2</w:t>
      </w:r>
      <w:r>
        <w:rPr>
          <w:noProof/>
          <w:color w:val="000000" w:themeColor="text1"/>
          <w:szCs w:val="24"/>
        </w:rPr>
        <w:t xml:space="preserve"> reduction objectives and hence the effectiveness of the regulations. It would also prevent the distorting effect such deviations may have on the competition among different manufacturers. </w:t>
      </w:r>
    </w:p>
    <w:p w:rsidR="001A26B0" w:rsidRDefault="00E33A99">
      <w:pPr>
        <w:spacing w:after="120"/>
        <w:rPr>
          <w:noProof/>
          <w:color w:val="000000" w:themeColor="text1"/>
          <w:szCs w:val="24"/>
        </w:rPr>
      </w:pPr>
      <w:r>
        <w:rPr>
          <w:noProof/>
          <w:color w:val="000000" w:themeColor="text1"/>
          <w:szCs w:val="24"/>
        </w:rPr>
        <w:t xml:space="preserve">The reporting </w:t>
      </w:r>
      <w:r>
        <w:rPr>
          <w:noProof/>
          <w:color w:val="000000" w:themeColor="text1"/>
          <w:szCs w:val="24"/>
        </w:rPr>
        <w:t>requirement combined with the possibility for the Commission to correct the average specific CO</w:t>
      </w:r>
      <w:r>
        <w:rPr>
          <w:noProof/>
          <w:color w:val="000000" w:themeColor="text1"/>
          <w:szCs w:val="24"/>
          <w:vertAlign w:val="subscript"/>
        </w:rPr>
        <w:t>2</w:t>
      </w:r>
      <w:r>
        <w:rPr>
          <w:noProof/>
          <w:color w:val="000000" w:themeColor="text1"/>
          <w:szCs w:val="24"/>
        </w:rPr>
        <w:t xml:space="preserve"> emissions of a manufacturer in the case of serious and unjustified deviations from the type approval values would serve as a strong deterrent from placing vehi</w:t>
      </w:r>
      <w:r>
        <w:rPr>
          <w:noProof/>
          <w:color w:val="000000" w:themeColor="text1"/>
          <w:szCs w:val="24"/>
        </w:rPr>
        <w:t>cles on the market with deviating CO</w:t>
      </w:r>
      <w:r>
        <w:rPr>
          <w:noProof/>
          <w:color w:val="000000" w:themeColor="text1"/>
          <w:szCs w:val="24"/>
          <w:vertAlign w:val="subscript"/>
        </w:rPr>
        <w:t>2</w:t>
      </w:r>
      <w:r>
        <w:rPr>
          <w:noProof/>
          <w:color w:val="000000" w:themeColor="text1"/>
          <w:szCs w:val="24"/>
        </w:rPr>
        <w:t xml:space="preserve"> and fuel consumption values. It could be expected that the mere possibility of being subject to such corrections would in itself reduce the risk for such deviations occurring systematically. </w:t>
      </w:r>
    </w:p>
    <w:p w:rsidR="001A26B0" w:rsidRDefault="00E33A99">
      <w:pPr>
        <w:spacing w:after="120"/>
        <w:rPr>
          <w:noProof/>
          <w:color w:val="000000" w:themeColor="text1"/>
        </w:rPr>
      </w:pPr>
      <w:r>
        <w:rPr>
          <w:i/>
          <w:noProof/>
        </w:rPr>
        <w:t>Administrative burden</w:t>
      </w:r>
    </w:p>
    <w:p w:rsidR="001A26B0" w:rsidRDefault="00E33A99">
      <w:pPr>
        <w:spacing w:after="120"/>
        <w:rPr>
          <w:noProof/>
          <w:color w:val="000000" w:themeColor="text1"/>
          <w:szCs w:val="24"/>
        </w:rPr>
      </w:pPr>
      <w:r>
        <w:rPr>
          <w:noProof/>
          <w:color w:val="000000" w:themeColor="text1"/>
          <w:szCs w:val="24"/>
        </w:rPr>
        <w:t xml:space="preserve">The </w:t>
      </w:r>
      <w:r>
        <w:rPr>
          <w:noProof/>
          <w:color w:val="000000" w:themeColor="text1"/>
          <w:szCs w:val="24"/>
        </w:rPr>
        <w:t xml:space="preserve">new reporting obligation would incur an administrative burden primarily on type approval authorities. They would have to make available to the Commission in a systematic manner any deviations found together with a report on the remedial measures imposed. </w:t>
      </w:r>
    </w:p>
    <w:p w:rsidR="001A26B0" w:rsidRDefault="00E33A99">
      <w:pPr>
        <w:spacing w:after="120"/>
        <w:rPr>
          <w:noProof/>
          <w:color w:val="000000" w:themeColor="text1"/>
          <w:szCs w:val="24"/>
        </w:rPr>
      </w:pPr>
      <w:r>
        <w:rPr>
          <w:noProof/>
          <w:color w:val="000000" w:themeColor="text1"/>
          <w:szCs w:val="24"/>
        </w:rPr>
        <w:t>However, it can be assumed that this data has already to be documented and reported for the purpose of the type approval legislation. For manufacturers the administrative burden could slightly increase as there would be a stronger incentive to actively ver</w:t>
      </w:r>
      <w:r>
        <w:rPr>
          <w:noProof/>
          <w:color w:val="000000" w:themeColor="text1"/>
          <w:szCs w:val="24"/>
        </w:rPr>
        <w:t>ify the monitoring data than is currently the case. It would require further assessment of the data by the Commission as well as follow-up of in terms of correction of the CO</w:t>
      </w:r>
      <w:r>
        <w:rPr>
          <w:noProof/>
          <w:color w:val="000000" w:themeColor="text1"/>
          <w:szCs w:val="24"/>
          <w:vertAlign w:val="subscript"/>
        </w:rPr>
        <w:t>2</w:t>
      </w:r>
      <w:r>
        <w:rPr>
          <w:noProof/>
          <w:color w:val="000000" w:themeColor="text1"/>
          <w:szCs w:val="24"/>
        </w:rPr>
        <w:t xml:space="preserve"> data set.</w:t>
      </w:r>
    </w:p>
    <w:p w:rsidR="001A26B0" w:rsidRDefault="00E33A99">
      <w:pPr>
        <w:spacing w:after="120"/>
        <w:rPr>
          <w:i/>
          <w:noProof/>
          <w:color w:val="000000" w:themeColor="text1"/>
          <w:szCs w:val="24"/>
        </w:rPr>
      </w:pPr>
      <w:r>
        <w:rPr>
          <w:i/>
          <w:noProof/>
          <w:color w:val="000000" w:themeColor="text1"/>
          <w:szCs w:val="24"/>
        </w:rPr>
        <w:t xml:space="preserve">Social impacts </w:t>
      </w:r>
    </w:p>
    <w:p w:rsidR="001A26B0" w:rsidRDefault="00E33A99">
      <w:pPr>
        <w:spacing w:after="120"/>
        <w:rPr>
          <w:noProof/>
          <w:color w:val="000000" w:themeColor="text1"/>
          <w:szCs w:val="24"/>
        </w:rPr>
      </w:pPr>
      <w:r>
        <w:rPr>
          <w:noProof/>
          <w:color w:val="000000" w:themeColor="text1"/>
          <w:szCs w:val="24"/>
        </w:rPr>
        <w:t>An effective independent verification and correction r</w:t>
      </w:r>
      <w:r>
        <w:rPr>
          <w:noProof/>
          <w:color w:val="000000" w:themeColor="text1"/>
          <w:szCs w:val="24"/>
        </w:rPr>
        <w:t>egime should contribute to ensuring that consumers have access to reliable CO</w:t>
      </w:r>
      <w:r>
        <w:rPr>
          <w:noProof/>
          <w:color w:val="000000" w:themeColor="text1"/>
          <w:szCs w:val="24"/>
          <w:vertAlign w:val="subscript"/>
        </w:rPr>
        <w:t>2</w:t>
      </w:r>
      <w:r>
        <w:rPr>
          <w:noProof/>
          <w:color w:val="000000" w:themeColor="text1"/>
          <w:szCs w:val="24"/>
        </w:rPr>
        <w:t xml:space="preserve"> and fuel consumption data.</w:t>
      </w:r>
    </w:p>
    <w:p w:rsidR="001A26B0" w:rsidRDefault="001A26B0">
      <w:pPr>
        <w:spacing w:after="200" w:line="276" w:lineRule="auto"/>
        <w:jc w:val="left"/>
        <w:rPr>
          <w:noProof/>
        </w:rPr>
      </w:pPr>
    </w:p>
    <w:p w:rsidR="001A26B0" w:rsidRDefault="00E33A99">
      <w:pPr>
        <w:spacing w:after="200" w:line="276" w:lineRule="auto"/>
        <w:jc w:val="left"/>
        <w:rPr>
          <w:rFonts w:asciiTheme="minorHAnsi" w:hAnsiTheme="minorHAnsi"/>
          <w:noProof/>
          <w:sz w:val="22"/>
          <w:szCs w:val="22"/>
        </w:rPr>
      </w:pPr>
      <w:r>
        <w:rPr>
          <w:rFonts w:asciiTheme="minorHAnsi" w:hAnsiTheme="minorHAnsi"/>
          <w:noProof/>
          <w:sz w:val="22"/>
          <w:szCs w:val="22"/>
        </w:rPr>
        <w:br w:type="page"/>
      </w:r>
    </w:p>
    <w:p w:rsidR="001A26B0" w:rsidRDefault="00E33A99">
      <w:pPr>
        <w:pStyle w:val="Heading1"/>
        <w:rPr>
          <w:noProof/>
        </w:rPr>
      </w:pPr>
      <w:bookmarkStart w:id="704" w:name="_Toc496635660"/>
      <w:r>
        <w:rPr>
          <w:noProof/>
        </w:rPr>
        <w:t>Comparison of options</w:t>
      </w:r>
      <w:bookmarkEnd w:id="704"/>
    </w:p>
    <w:p w:rsidR="001A26B0" w:rsidRDefault="00E33A99">
      <w:pPr>
        <w:tabs>
          <w:tab w:val="left" w:pos="4560"/>
        </w:tabs>
        <w:autoSpaceDE w:val="0"/>
        <w:autoSpaceDN w:val="0"/>
        <w:adjustRightInd w:val="0"/>
        <w:spacing w:after="120"/>
        <w:rPr>
          <w:rFonts w:eastAsiaTheme="minorHAnsi"/>
          <w:noProof/>
          <w:szCs w:val="24"/>
        </w:rPr>
      </w:pPr>
      <w:r>
        <w:rPr>
          <w:rFonts w:eastAsiaTheme="minorHAnsi"/>
          <w:noProof/>
          <w:szCs w:val="24"/>
        </w:rPr>
        <w:t>The options considered are compared against the following criteria:</w:t>
      </w:r>
    </w:p>
    <w:p w:rsidR="001A26B0" w:rsidRDefault="00E33A99">
      <w:pPr>
        <w:pStyle w:val="ListParagraph"/>
        <w:numPr>
          <w:ilvl w:val="0"/>
          <w:numId w:val="97"/>
        </w:numPr>
        <w:tabs>
          <w:tab w:val="left" w:pos="4560"/>
        </w:tabs>
        <w:autoSpaceDE w:val="0"/>
        <w:autoSpaceDN w:val="0"/>
        <w:adjustRightInd w:val="0"/>
        <w:spacing w:after="120"/>
        <w:contextualSpacing w:val="0"/>
        <w:rPr>
          <w:rFonts w:eastAsiaTheme="minorHAnsi"/>
          <w:noProof/>
          <w:szCs w:val="24"/>
        </w:rPr>
      </w:pPr>
      <w:r>
        <w:rPr>
          <w:rFonts w:eastAsiaTheme="minorHAnsi"/>
          <w:b/>
          <w:noProof/>
          <w:szCs w:val="24"/>
        </w:rPr>
        <w:t>Effectiveness:</w:t>
      </w:r>
      <w:r>
        <w:rPr>
          <w:rFonts w:eastAsiaTheme="minorHAnsi"/>
          <w:noProof/>
          <w:szCs w:val="24"/>
        </w:rPr>
        <w:t xml:space="preserve"> the extent to which different options would achieve the objectives;</w:t>
      </w:r>
    </w:p>
    <w:p w:rsidR="001A26B0" w:rsidRDefault="00E33A99">
      <w:pPr>
        <w:pStyle w:val="ListParagraph"/>
        <w:numPr>
          <w:ilvl w:val="0"/>
          <w:numId w:val="97"/>
        </w:numPr>
        <w:tabs>
          <w:tab w:val="left" w:pos="4560"/>
        </w:tabs>
        <w:autoSpaceDE w:val="0"/>
        <w:autoSpaceDN w:val="0"/>
        <w:adjustRightInd w:val="0"/>
        <w:spacing w:after="120"/>
        <w:contextualSpacing w:val="0"/>
        <w:rPr>
          <w:rFonts w:eastAsiaTheme="minorHAnsi"/>
          <w:noProof/>
          <w:szCs w:val="24"/>
        </w:rPr>
      </w:pPr>
      <w:r>
        <w:rPr>
          <w:rFonts w:eastAsiaTheme="minorHAnsi"/>
          <w:b/>
          <w:noProof/>
          <w:szCs w:val="24"/>
        </w:rPr>
        <w:t>Efficiency:</w:t>
      </w:r>
      <w:r>
        <w:rPr>
          <w:rFonts w:eastAsiaTheme="minorHAnsi"/>
          <w:noProof/>
          <w:szCs w:val="24"/>
        </w:rPr>
        <w:t xml:space="preserve"> the benefits versus the costs;</w:t>
      </w:r>
      <w:r>
        <w:rPr>
          <w:noProof/>
        </w:rPr>
        <w:t xml:space="preserve"> </w:t>
      </w:r>
      <w:r>
        <w:rPr>
          <w:rFonts w:eastAsiaTheme="minorHAnsi"/>
          <w:noProof/>
          <w:szCs w:val="24"/>
        </w:rPr>
        <w:t>efficiency concerns "the extent to which objectives can be achieved for a given level of resource/at least cost".</w:t>
      </w:r>
    </w:p>
    <w:p w:rsidR="001A26B0" w:rsidRDefault="00E33A99">
      <w:pPr>
        <w:pStyle w:val="ListParagraph"/>
        <w:numPr>
          <w:ilvl w:val="0"/>
          <w:numId w:val="97"/>
        </w:numPr>
        <w:tabs>
          <w:tab w:val="left" w:pos="4560"/>
        </w:tabs>
        <w:autoSpaceDE w:val="0"/>
        <w:autoSpaceDN w:val="0"/>
        <w:adjustRightInd w:val="0"/>
        <w:spacing w:after="120"/>
        <w:contextualSpacing w:val="0"/>
        <w:rPr>
          <w:rFonts w:eastAsiaTheme="minorHAnsi"/>
          <w:noProof/>
          <w:szCs w:val="24"/>
        </w:rPr>
      </w:pPr>
      <w:r>
        <w:rPr>
          <w:rFonts w:eastAsiaTheme="minorHAnsi"/>
          <w:noProof/>
          <w:szCs w:val="24"/>
        </w:rPr>
        <w:t xml:space="preserve">The </w:t>
      </w:r>
      <w:r>
        <w:rPr>
          <w:rFonts w:eastAsiaTheme="minorHAnsi"/>
          <w:b/>
          <w:noProof/>
          <w:szCs w:val="24"/>
        </w:rPr>
        <w:t>coherence</w:t>
      </w:r>
      <w:r>
        <w:rPr>
          <w:rFonts w:eastAsiaTheme="minorHAnsi"/>
          <w:noProof/>
          <w:szCs w:val="24"/>
        </w:rPr>
        <w:t xml:space="preserve"> of each option w</w:t>
      </w:r>
      <w:r>
        <w:rPr>
          <w:rFonts w:eastAsiaTheme="minorHAnsi"/>
          <w:noProof/>
          <w:szCs w:val="24"/>
        </w:rPr>
        <w:t>ith the overarching objectives of EU policies: ;</w:t>
      </w:r>
    </w:p>
    <w:p w:rsidR="001A26B0" w:rsidRDefault="00E33A99">
      <w:pPr>
        <w:pStyle w:val="ListParagraph"/>
        <w:numPr>
          <w:ilvl w:val="0"/>
          <w:numId w:val="98"/>
        </w:numPr>
        <w:tabs>
          <w:tab w:val="left" w:pos="4560"/>
        </w:tabs>
        <w:autoSpaceDE w:val="0"/>
        <w:autoSpaceDN w:val="0"/>
        <w:adjustRightInd w:val="0"/>
        <w:spacing w:after="120"/>
        <w:contextualSpacing w:val="0"/>
        <w:rPr>
          <w:rFonts w:eastAsiaTheme="minorHAnsi"/>
          <w:noProof/>
          <w:szCs w:val="24"/>
        </w:rPr>
      </w:pPr>
      <w:r>
        <w:rPr>
          <w:rFonts w:eastAsiaTheme="minorHAnsi"/>
          <w:noProof/>
          <w:szCs w:val="24"/>
        </w:rPr>
        <w:t xml:space="preserve">The compliance of the options with the </w:t>
      </w:r>
      <w:r>
        <w:rPr>
          <w:rFonts w:eastAsiaTheme="minorHAnsi"/>
          <w:b/>
          <w:noProof/>
          <w:szCs w:val="24"/>
        </w:rPr>
        <w:t>proportionality principle</w:t>
      </w:r>
    </w:p>
    <w:p w:rsidR="001A26B0" w:rsidRDefault="00E33A99">
      <w:pPr>
        <w:spacing w:after="120"/>
        <w:rPr>
          <w:noProof/>
        </w:rPr>
      </w:pPr>
      <w:r>
        <w:rPr>
          <w:noProof/>
        </w:rPr>
        <w:fldChar w:fldCharType="begin"/>
      </w:r>
      <w:r>
        <w:rPr>
          <w:noProof/>
        </w:rPr>
        <w:instrText xml:space="preserve"> REF _Ref494098334 \h  \* MERGEFORMAT </w:instrText>
      </w:r>
      <w:r>
        <w:rPr>
          <w:noProof/>
        </w:rPr>
      </w:r>
      <w:r>
        <w:rPr>
          <w:noProof/>
        </w:rPr>
        <w:fldChar w:fldCharType="separate"/>
      </w:r>
      <w:r>
        <w:rPr>
          <w:noProof/>
        </w:rPr>
        <w:t>Table 55</w:t>
      </w:r>
      <w:r>
        <w:rPr>
          <w:noProof/>
        </w:rPr>
        <w:fldChar w:fldCharType="end"/>
      </w:r>
      <w:r>
        <w:rPr>
          <w:noProof/>
        </w:rPr>
        <w:t xml:space="preserve"> summarizes the assessment of each option against these criteria, following the 5 categories of issues considered in the Impact Assessment. </w:t>
      </w:r>
    </w:p>
    <w:p w:rsidR="001A26B0" w:rsidRDefault="00E33A99">
      <w:pPr>
        <w:spacing w:after="120"/>
        <w:rPr>
          <w:noProof/>
        </w:rPr>
      </w:pPr>
      <w:r>
        <w:rPr>
          <w:noProof/>
        </w:rPr>
        <w:t>The effectiveness of the policy options considers t</w:t>
      </w:r>
      <w:r>
        <w:rPr>
          <w:noProof/>
        </w:rPr>
        <w:t xml:space="preserve">he extent to which the set objectives are achieved. As presented in Section 4, the objectives considered are the following. </w:t>
      </w:r>
    </w:p>
    <w:p w:rsidR="001A26B0" w:rsidRDefault="00E33A99">
      <w:pPr>
        <w:spacing w:after="120"/>
        <w:rPr>
          <w:i/>
          <w:noProof/>
          <w:u w:val="single"/>
        </w:rPr>
      </w:pPr>
      <w:r>
        <w:rPr>
          <w:i/>
          <w:noProof/>
          <w:u w:val="single"/>
        </w:rPr>
        <w:t>General policy objective</w:t>
      </w:r>
    </w:p>
    <w:p w:rsidR="001A26B0" w:rsidRDefault="00E33A99">
      <w:pPr>
        <w:spacing w:after="200"/>
        <w:rPr>
          <w:rFonts w:eastAsiaTheme="minorHAnsi"/>
          <w:noProof/>
          <w:szCs w:val="24"/>
        </w:rPr>
      </w:pPr>
      <w:r>
        <w:rPr>
          <w:rFonts w:eastAsiaTheme="minorHAnsi"/>
          <w:noProof/>
          <w:szCs w:val="24"/>
        </w:rPr>
        <w:t>The general policy objective is to contribute to the achievement of the EU's commitments under the Paris A</w:t>
      </w:r>
      <w:r>
        <w:rPr>
          <w:rFonts w:eastAsiaTheme="minorHAnsi"/>
          <w:noProof/>
          <w:szCs w:val="24"/>
        </w:rPr>
        <w:t>greement (based on Article 192 TFEU) and to strengthen the competitiveness of EU automotive industry.</w:t>
      </w:r>
    </w:p>
    <w:p w:rsidR="001A26B0" w:rsidRDefault="00E33A99">
      <w:pPr>
        <w:spacing w:after="120"/>
        <w:rPr>
          <w:i/>
          <w:noProof/>
          <w:u w:val="single"/>
        </w:rPr>
      </w:pPr>
      <w:r>
        <w:rPr>
          <w:i/>
          <w:noProof/>
          <w:u w:val="single"/>
        </w:rPr>
        <w:t>Specific objectives</w:t>
      </w:r>
    </w:p>
    <w:p w:rsidR="001A26B0" w:rsidRDefault="00E33A99">
      <w:pPr>
        <w:pStyle w:val="ListParagraph"/>
        <w:numPr>
          <w:ilvl w:val="0"/>
          <w:numId w:val="107"/>
        </w:numPr>
        <w:spacing w:after="120"/>
        <w:contextualSpacing w:val="0"/>
        <w:rPr>
          <w:noProof/>
          <w:szCs w:val="24"/>
        </w:rPr>
      </w:pPr>
      <w:r>
        <w:rPr>
          <w:rFonts w:eastAsiaTheme="minorHAnsi"/>
          <w:noProof/>
          <w:szCs w:val="24"/>
        </w:rPr>
        <w:t xml:space="preserve">Contribute to the achievement of the EU's commitments under the </w:t>
      </w:r>
      <w:r>
        <w:rPr>
          <w:rFonts w:eastAsiaTheme="minorHAnsi"/>
          <w:b/>
          <w:noProof/>
          <w:szCs w:val="24"/>
        </w:rPr>
        <w:t>Paris Agreement</w:t>
      </w:r>
      <w:r>
        <w:rPr>
          <w:b/>
          <w:noProof/>
          <w:szCs w:val="24"/>
        </w:rPr>
        <w:t xml:space="preserve"> </w:t>
      </w:r>
      <w:r>
        <w:rPr>
          <w:noProof/>
          <w:szCs w:val="24"/>
        </w:rPr>
        <w:t>by reducing CO</w:t>
      </w:r>
      <w:r>
        <w:rPr>
          <w:noProof/>
          <w:szCs w:val="24"/>
          <w:vertAlign w:val="subscript"/>
        </w:rPr>
        <w:t>2</w:t>
      </w:r>
      <w:r>
        <w:rPr>
          <w:noProof/>
          <w:szCs w:val="24"/>
        </w:rPr>
        <w:t xml:space="preserve"> emissions from cars and vans cost-effe</w:t>
      </w:r>
      <w:r>
        <w:rPr>
          <w:noProof/>
          <w:szCs w:val="24"/>
        </w:rPr>
        <w:t>ctively;</w:t>
      </w:r>
    </w:p>
    <w:p w:rsidR="001A26B0" w:rsidRDefault="00E33A99">
      <w:pPr>
        <w:pStyle w:val="ListParagraph"/>
        <w:numPr>
          <w:ilvl w:val="0"/>
          <w:numId w:val="107"/>
        </w:numPr>
        <w:spacing w:after="120"/>
        <w:contextualSpacing w:val="0"/>
        <w:rPr>
          <w:noProof/>
          <w:szCs w:val="24"/>
        </w:rPr>
      </w:pPr>
      <w:r>
        <w:rPr>
          <w:noProof/>
          <w:szCs w:val="24"/>
        </w:rPr>
        <w:t xml:space="preserve">Reduce fuel consumption costs for </w:t>
      </w:r>
      <w:r>
        <w:rPr>
          <w:b/>
          <w:noProof/>
          <w:szCs w:val="24"/>
        </w:rPr>
        <w:t>consumers</w:t>
      </w:r>
      <w:r>
        <w:rPr>
          <w:noProof/>
          <w:szCs w:val="24"/>
        </w:rPr>
        <w:t>;</w:t>
      </w:r>
    </w:p>
    <w:p w:rsidR="001A26B0" w:rsidRDefault="00E33A99">
      <w:pPr>
        <w:pStyle w:val="ListParagraph"/>
        <w:numPr>
          <w:ilvl w:val="0"/>
          <w:numId w:val="107"/>
        </w:numPr>
        <w:spacing w:after="120"/>
        <w:contextualSpacing w:val="0"/>
        <w:rPr>
          <w:noProof/>
        </w:rPr>
      </w:pPr>
      <w:r>
        <w:rPr>
          <w:noProof/>
        </w:rPr>
        <w:t xml:space="preserve">Strengthen the </w:t>
      </w:r>
      <w:r>
        <w:rPr>
          <w:b/>
          <w:noProof/>
        </w:rPr>
        <w:t>competitiveness</w:t>
      </w:r>
      <w:r>
        <w:rPr>
          <w:noProof/>
        </w:rPr>
        <w:t xml:space="preserve"> </w:t>
      </w:r>
      <w:r>
        <w:rPr>
          <w:rFonts w:eastAsiaTheme="minorHAnsi"/>
          <w:noProof/>
          <w:szCs w:val="24"/>
        </w:rPr>
        <w:t>of EU automotive industry and stimulate employment.</w:t>
      </w:r>
    </w:p>
    <w:p w:rsidR="001A26B0" w:rsidRDefault="00E33A99">
      <w:pPr>
        <w:rPr>
          <w:b/>
          <w:noProof/>
        </w:rPr>
      </w:pPr>
      <w:r>
        <w:rPr>
          <w:b/>
          <w:noProof/>
        </w:rPr>
        <w:t>While CO</w:t>
      </w:r>
      <w:r>
        <w:rPr>
          <w:b/>
          <w:noProof/>
          <w:vertAlign w:val="subscript"/>
        </w:rPr>
        <w:t>2</w:t>
      </w:r>
      <w:r>
        <w:rPr>
          <w:b/>
          <w:noProof/>
        </w:rPr>
        <w:t xml:space="preserve"> emission standards for cars and vans for the period post 2020 are a key element to achieve the above objectiv</w:t>
      </w:r>
      <w:r>
        <w:rPr>
          <w:b/>
          <w:noProof/>
        </w:rPr>
        <w:t>es, they cannot deliver on them on their own. A number of other complementary policy measures – both on the supply and demand side – have already been or need to be put in place at EU, national, and regional/city level. These include investment in the nece</w:t>
      </w:r>
      <w:r>
        <w:rPr>
          <w:b/>
          <w:noProof/>
        </w:rPr>
        <w:t>ssary refuelling/recharging infrastructure, investment in research, development and innovation for battery technologies (both current and next generation), policies supporting deployment through public procurement (Clean Vehicles Directive), policies suppo</w:t>
      </w:r>
      <w:r>
        <w:rPr>
          <w:b/>
          <w:noProof/>
        </w:rPr>
        <w:t>rting the internalisation of external costs linked to emissions (Eurovignette Directive), national incentive schemes and local level actions (see Section 1.1 for more details).</w:t>
      </w:r>
    </w:p>
    <w:p w:rsidR="001A26B0" w:rsidRDefault="00E33A99">
      <w:pPr>
        <w:rPr>
          <w:noProof/>
        </w:rPr>
      </w:pPr>
      <w:r>
        <w:rPr>
          <w:noProof/>
        </w:rPr>
        <w:t>While for most of the issues a preferred option has been identified, as mention</w:t>
      </w:r>
      <w:r>
        <w:rPr>
          <w:noProof/>
        </w:rPr>
        <w:t>ed below, in the cases of the target levels and the LEV/ZEV incentives, trade-offs between the various options are described.</w:t>
      </w:r>
    </w:p>
    <w:p w:rsidR="001A26B0" w:rsidRDefault="001A26B0">
      <w:pPr>
        <w:rPr>
          <w:noProof/>
        </w:rPr>
      </w:pPr>
    </w:p>
    <w:p w:rsidR="001A26B0" w:rsidRDefault="00E33A99">
      <w:pPr>
        <w:spacing w:after="200" w:line="276" w:lineRule="auto"/>
        <w:jc w:val="left"/>
        <w:rPr>
          <w:noProof/>
        </w:rPr>
      </w:pPr>
      <w:r>
        <w:rPr>
          <w:noProof/>
        </w:rPr>
        <w:br w:type="page"/>
      </w:r>
    </w:p>
    <w:p w:rsidR="001A26B0" w:rsidRDefault="00E33A99">
      <w:pPr>
        <w:pStyle w:val="Caption"/>
        <w:rPr>
          <w:noProof/>
        </w:rPr>
      </w:pPr>
      <w:bookmarkStart w:id="705" w:name="_Ref494098334"/>
      <w:r>
        <w:rPr>
          <w:noProof/>
        </w:rPr>
        <w:t xml:space="preserve">Table </w:t>
      </w:r>
      <w:r>
        <w:rPr>
          <w:noProof/>
        </w:rPr>
        <w:fldChar w:fldCharType="begin"/>
      </w:r>
      <w:r>
        <w:rPr>
          <w:noProof/>
        </w:rPr>
        <w:instrText xml:space="preserve"> SEQ Table \* ARABIC </w:instrText>
      </w:r>
      <w:r>
        <w:rPr>
          <w:noProof/>
        </w:rPr>
        <w:fldChar w:fldCharType="separate"/>
      </w:r>
      <w:r>
        <w:rPr>
          <w:noProof/>
        </w:rPr>
        <w:t>55</w:t>
      </w:r>
      <w:r>
        <w:rPr>
          <w:noProof/>
        </w:rPr>
        <w:fldChar w:fldCharType="end"/>
      </w:r>
      <w:bookmarkEnd w:id="705"/>
      <w:r>
        <w:rPr>
          <w:noProof/>
        </w:rPr>
        <w:t>: Summary of key impacts expected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3"/>
        <w:gridCol w:w="1888"/>
        <w:gridCol w:w="1791"/>
        <w:gridCol w:w="1584"/>
        <w:gridCol w:w="1713"/>
      </w:tblGrid>
      <w:tr w:rsidR="001A26B0">
        <w:trPr>
          <w:tblHeader/>
        </w:trPr>
        <w:tc>
          <w:tcPr>
            <w:tcW w:w="5000" w:type="pct"/>
            <w:gridSpan w:val="5"/>
            <w:tcBorders>
              <w:top w:val="single" w:sz="4" w:space="0" w:color="auto"/>
              <w:left w:val="single" w:sz="4" w:space="0" w:color="auto"/>
              <w:bottom w:val="single" w:sz="4" w:space="0" w:color="auto"/>
              <w:right w:val="single" w:sz="4" w:space="0" w:color="auto"/>
            </w:tcBorders>
          </w:tcPr>
          <w:p w:rsidR="001A26B0" w:rsidRDefault="00E33A99">
            <w:pPr>
              <w:spacing w:after="0" w:line="254" w:lineRule="auto"/>
              <w:jc w:val="left"/>
              <w:rPr>
                <w:b/>
                <w:noProof/>
                <w:sz w:val="20"/>
              </w:rPr>
            </w:pPr>
            <w:r>
              <w:rPr>
                <w:b/>
                <w:noProof/>
                <w:sz w:val="20"/>
              </w:rPr>
              <w:t>Key impacts expected</w:t>
            </w:r>
          </w:p>
        </w:tc>
      </w:tr>
      <w:tr w:rsidR="001A26B0">
        <w:trPr>
          <w:tblHeader/>
        </w:trPr>
        <w:tc>
          <w:tcPr>
            <w:tcW w:w="1050" w:type="pct"/>
            <w:tcBorders>
              <w:top w:val="single" w:sz="4" w:space="0" w:color="auto"/>
              <w:left w:val="single" w:sz="4" w:space="0" w:color="auto"/>
              <w:bottom w:val="single" w:sz="4" w:space="0" w:color="auto"/>
              <w:right w:val="single" w:sz="4" w:space="0" w:color="auto"/>
            </w:tcBorders>
            <w:shd w:val="clear" w:color="auto" w:fill="FF0000"/>
          </w:tcPr>
          <w:p w:rsidR="001A26B0" w:rsidRDefault="00E33A99">
            <w:pPr>
              <w:spacing w:after="0" w:line="254" w:lineRule="auto"/>
              <w:jc w:val="center"/>
              <w:rPr>
                <w:b/>
                <w:i/>
                <w:noProof/>
                <w:sz w:val="20"/>
              </w:rPr>
            </w:pPr>
            <w:r>
              <w:rPr>
                <w:b/>
                <w:i/>
                <w:noProof/>
                <w:sz w:val="20"/>
              </w:rPr>
              <w:sym w:font="Wingdings" w:char="F0FB"/>
            </w:r>
            <w:r>
              <w:rPr>
                <w:b/>
                <w:i/>
                <w:noProof/>
                <w:sz w:val="20"/>
              </w:rPr>
              <w:sym w:font="Wingdings" w:char="F0FB"/>
            </w:r>
          </w:p>
        </w:tc>
        <w:tc>
          <w:tcPr>
            <w:tcW w:w="1069" w:type="pct"/>
            <w:tcBorders>
              <w:top w:val="single" w:sz="4" w:space="0" w:color="auto"/>
              <w:left w:val="single" w:sz="4" w:space="0" w:color="auto"/>
              <w:bottom w:val="single" w:sz="4" w:space="0" w:color="auto"/>
              <w:right w:val="single" w:sz="4" w:space="0" w:color="auto"/>
            </w:tcBorders>
            <w:shd w:val="clear" w:color="auto" w:fill="FFC000"/>
          </w:tcPr>
          <w:p w:rsidR="001A26B0" w:rsidRDefault="00E33A99">
            <w:pPr>
              <w:spacing w:after="0" w:line="254" w:lineRule="auto"/>
              <w:jc w:val="center"/>
              <w:rPr>
                <w:b/>
                <w:i/>
                <w:noProof/>
                <w:sz w:val="20"/>
              </w:rPr>
            </w:pPr>
            <w:r>
              <w:rPr>
                <w:b/>
                <w:i/>
                <w:noProof/>
                <w:sz w:val="20"/>
              </w:rPr>
              <w:sym w:font="Wingdings" w:char="F0FB"/>
            </w:r>
          </w:p>
        </w:tc>
        <w:tc>
          <w:tcPr>
            <w:tcW w:w="101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A26B0" w:rsidRDefault="00E33A99">
            <w:pPr>
              <w:spacing w:after="0" w:line="254" w:lineRule="auto"/>
              <w:jc w:val="center"/>
              <w:rPr>
                <w:b/>
                <w:i/>
                <w:noProof/>
                <w:sz w:val="20"/>
              </w:rPr>
            </w:pPr>
            <w:r>
              <w:rPr>
                <w:b/>
                <w:i/>
                <w:noProof/>
                <w:sz w:val="20"/>
              </w:rPr>
              <w:t>O</w:t>
            </w:r>
          </w:p>
        </w:tc>
        <w:tc>
          <w:tcPr>
            <w:tcW w:w="897" w:type="pct"/>
            <w:tcBorders>
              <w:top w:val="single" w:sz="4" w:space="0" w:color="auto"/>
              <w:left w:val="single" w:sz="4" w:space="0" w:color="auto"/>
              <w:bottom w:val="single" w:sz="4" w:space="0" w:color="auto"/>
              <w:right w:val="single" w:sz="4" w:space="0" w:color="auto"/>
            </w:tcBorders>
            <w:shd w:val="clear" w:color="auto" w:fill="92D050"/>
          </w:tcPr>
          <w:p w:rsidR="001A26B0" w:rsidRDefault="00E33A99">
            <w:pPr>
              <w:spacing w:after="0" w:line="254" w:lineRule="auto"/>
              <w:jc w:val="center"/>
              <w:rPr>
                <w:b/>
                <w:i/>
                <w:noProof/>
                <w:sz w:val="20"/>
              </w:rPr>
            </w:pPr>
            <w:r>
              <w:rPr>
                <w:b/>
                <w:i/>
                <w:noProof/>
                <w:sz w:val="20"/>
              </w:rPr>
              <w:sym w:font="Wingdings" w:char="F0FC"/>
            </w:r>
          </w:p>
        </w:tc>
        <w:tc>
          <w:tcPr>
            <w:tcW w:w="970" w:type="pct"/>
            <w:tcBorders>
              <w:top w:val="single" w:sz="4" w:space="0" w:color="auto"/>
              <w:left w:val="single" w:sz="4" w:space="0" w:color="auto"/>
              <w:bottom w:val="single" w:sz="4" w:space="0" w:color="auto"/>
              <w:right w:val="single" w:sz="4" w:space="0" w:color="auto"/>
            </w:tcBorders>
            <w:shd w:val="clear" w:color="auto" w:fill="00B050"/>
          </w:tcPr>
          <w:p w:rsidR="001A26B0" w:rsidRDefault="00E33A99">
            <w:pPr>
              <w:spacing w:after="0" w:line="254" w:lineRule="auto"/>
              <w:jc w:val="center"/>
              <w:rPr>
                <w:b/>
                <w:i/>
                <w:noProof/>
                <w:sz w:val="20"/>
              </w:rPr>
            </w:pPr>
            <w:r>
              <w:rPr>
                <w:b/>
                <w:i/>
                <w:noProof/>
                <w:sz w:val="20"/>
              </w:rPr>
              <w:sym w:font="Wingdings" w:char="F0FC"/>
            </w:r>
            <w:r>
              <w:rPr>
                <w:b/>
                <w:i/>
                <w:noProof/>
                <w:sz w:val="20"/>
              </w:rPr>
              <w:sym w:font="Wingdings" w:char="F0FC"/>
            </w:r>
          </w:p>
        </w:tc>
      </w:tr>
      <w:tr w:rsidR="001A26B0">
        <w:trPr>
          <w:tblHeader/>
        </w:trPr>
        <w:tc>
          <w:tcPr>
            <w:tcW w:w="1050" w:type="pct"/>
            <w:tcBorders>
              <w:top w:val="single" w:sz="4" w:space="0" w:color="auto"/>
              <w:left w:val="single" w:sz="4" w:space="0" w:color="auto"/>
              <w:bottom w:val="single" w:sz="4" w:space="0" w:color="auto"/>
              <w:right w:val="single" w:sz="4" w:space="0" w:color="auto"/>
            </w:tcBorders>
          </w:tcPr>
          <w:p w:rsidR="001A26B0" w:rsidRDefault="00E33A99">
            <w:pPr>
              <w:spacing w:after="0" w:line="254" w:lineRule="auto"/>
              <w:jc w:val="center"/>
              <w:rPr>
                <w:noProof/>
                <w:sz w:val="20"/>
              </w:rPr>
            </w:pPr>
            <w:r>
              <w:rPr>
                <w:noProof/>
                <w:sz w:val="20"/>
              </w:rPr>
              <w:t>Strongly negative</w:t>
            </w:r>
          </w:p>
        </w:tc>
        <w:tc>
          <w:tcPr>
            <w:tcW w:w="1069" w:type="pct"/>
            <w:tcBorders>
              <w:top w:val="single" w:sz="4" w:space="0" w:color="auto"/>
              <w:left w:val="single" w:sz="4" w:space="0" w:color="auto"/>
              <w:bottom w:val="single" w:sz="4" w:space="0" w:color="auto"/>
              <w:right w:val="single" w:sz="4" w:space="0" w:color="auto"/>
            </w:tcBorders>
          </w:tcPr>
          <w:p w:rsidR="001A26B0" w:rsidRDefault="00E33A99">
            <w:pPr>
              <w:spacing w:after="0" w:line="254" w:lineRule="auto"/>
              <w:jc w:val="center"/>
              <w:rPr>
                <w:noProof/>
                <w:sz w:val="20"/>
              </w:rPr>
            </w:pPr>
            <w:r>
              <w:rPr>
                <w:noProof/>
                <w:sz w:val="20"/>
              </w:rPr>
              <w:t xml:space="preserve">Weakly </w:t>
            </w:r>
            <w:r>
              <w:rPr>
                <w:noProof/>
                <w:sz w:val="20"/>
              </w:rPr>
              <w:t>negative</w:t>
            </w:r>
          </w:p>
        </w:tc>
        <w:tc>
          <w:tcPr>
            <w:tcW w:w="1014" w:type="pct"/>
            <w:tcBorders>
              <w:top w:val="single" w:sz="4" w:space="0" w:color="auto"/>
              <w:left w:val="single" w:sz="4" w:space="0" w:color="auto"/>
              <w:bottom w:val="single" w:sz="4" w:space="0" w:color="auto"/>
              <w:right w:val="single" w:sz="4" w:space="0" w:color="auto"/>
            </w:tcBorders>
          </w:tcPr>
          <w:p w:rsidR="001A26B0" w:rsidRDefault="00E33A99">
            <w:pPr>
              <w:spacing w:after="0" w:line="254" w:lineRule="auto"/>
              <w:jc w:val="center"/>
              <w:rPr>
                <w:noProof/>
                <w:sz w:val="20"/>
              </w:rPr>
            </w:pPr>
            <w:r>
              <w:rPr>
                <w:noProof/>
                <w:sz w:val="20"/>
              </w:rPr>
              <w:t>No or negligible impact</w:t>
            </w:r>
          </w:p>
        </w:tc>
        <w:tc>
          <w:tcPr>
            <w:tcW w:w="897" w:type="pct"/>
            <w:tcBorders>
              <w:top w:val="single" w:sz="4" w:space="0" w:color="auto"/>
              <w:left w:val="single" w:sz="4" w:space="0" w:color="auto"/>
              <w:bottom w:val="single" w:sz="4" w:space="0" w:color="auto"/>
              <w:right w:val="single" w:sz="4" w:space="0" w:color="auto"/>
            </w:tcBorders>
          </w:tcPr>
          <w:p w:rsidR="001A26B0" w:rsidRDefault="00E33A99">
            <w:pPr>
              <w:spacing w:after="0" w:line="254" w:lineRule="auto"/>
              <w:jc w:val="center"/>
              <w:rPr>
                <w:noProof/>
                <w:sz w:val="20"/>
              </w:rPr>
            </w:pPr>
            <w:r>
              <w:rPr>
                <w:noProof/>
                <w:sz w:val="20"/>
              </w:rPr>
              <w:t>Weakly positive</w:t>
            </w:r>
          </w:p>
        </w:tc>
        <w:tc>
          <w:tcPr>
            <w:tcW w:w="970" w:type="pct"/>
            <w:tcBorders>
              <w:top w:val="single" w:sz="4" w:space="0" w:color="auto"/>
              <w:left w:val="single" w:sz="4" w:space="0" w:color="auto"/>
              <w:bottom w:val="single" w:sz="4" w:space="0" w:color="auto"/>
              <w:right w:val="single" w:sz="4" w:space="0" w:color="auto"/>
            </w:tcBorders>
          </w:tcPr>
          <w:p w:rsidR="001A26B0" w:rsidRDefault="00E33A99">
            <w:pPr>
              <w:spacing w:after="0" w:line="254" w:lineRule="auto"/>
              <w:jc w:val="center"/>
              <w:rPr>
                <w:noProof/>
                <w:sz w:val="20"/>
              </w:rPr>
            </w:pPr>
            <w:r>
              <w:rPr>
                <w:noProof/>
                <w:sz w:val="20"/>
              </w:rPr>
              <w:t>Strongly positive</w:t>
            </w:r>
          </w:p>
        </w:tc>
      </w:tr>
    </w:tbl>
    <w:p w:rsidR="001A26B0" w:rsidRDefault="00E33A99">
      <w:pPr>
        <w:tabs>
          <w:tab w:val="left" w:pos="1949"/>
          <w:tab w:val="left" w:pos="3936"/>
          <w:tab w:val="left" w:pos="5822"/>
          <w:tab w:val="left" w:pos="7488"/>
        </w:tabs>
        <w:spacing w:after="0" w:line="254" w:lineRule="auto"/>
        <w:jc w:val="left"/>
        <w:rPr>
          <w:noProof/>
          <w:sz w:val="20"/>
        </w:rPr>
      </w:pPr>
      <w:r>
        <w:rPr>
          <w:noProof/>
          <w:sz w:val="20"/>
        </w:rPr>
        <w:tab/>
      </w:r>
      <w:r>
        <w:rPr>
          <w:noProof/>
          <w:sz w:val="20"/>
        </w:rPr>
        <w:tab/>
      </w:r>
      <w:r>
        <w:rPr>
          <w:noProof/>
          <w:sz w:val="20"/>
        </w:rPr>
        <w:tab/>
      </w:r>
      <w:r>
        <w:rPr>
          <w:noProof/>
          <w:sz w:val="20"/>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3"/>
        <w:gridCol w:w="6"/>
        <w:gridCol w:w="1492"/>
        <w:gridCol w:w="6"/>
        <w:gridCol w:w="1490"/>
        <w:gridCol w:w="9"/>
        <w:gridCol w:w="1575"/>
        <w:gridCol w:w="9"/>
        <w:gridCol w:w="1709"/>
      </w:tblGrid>
      <w:tr w:rsidR="001A26B0">
        <w:trPr>
          <w:tblHeader/>
        </w:trPr>
        <w:tc>
          <w:tcPr>
            <w:tcW w:w="5000" w:type="pct"/>
            <w:gridSpan w:val="9"/>
            <w:tcBorders>
              <w:top w:val="single" w:sz="4" w:space="0" w:color="auto"/>
              <w:left w:val="single" w:sz="4" w:space="0" w:color="auto"/>
              <w:bottom w:val="single" w:sz="4" w:space="0" w:color="auto"/>
              <w:right w:val="single" w:sz="4" w:space="0" w:color="auto"/>
            </w:tcBorders>
          </w:tcPr>
          <w:p w:rsidR="001A26B0" w:rsidRDefault="00E33A99">
            <w:pPr>
              <w:spacing w:after="20"/>
              <w:jc w:val="center"/>
              <w:rPr>
                <w:b/>
                <w:i/>
                <w:noProof/>
                <w:sz w:val="20"/>
              </w:rPr>
            </w:pPr>
            <w:r>
              <w:rPr>
                <w:b/>
                <w:i/>
                <w:noProof/>
                <w:sz w:val="20"/>
              </w:rPr>
              <w:t xml:space="preserve">1. EMISSION TARGETS </w:t>
            </w:r>
          </w:p>
        </w:tc>
      </w:tr>
      <w:tr w:rsidR="001A26B0">
        <w:trPr>
          <w:tblHeader/>
        </w:trPr>
        <w:tc>
          <w:tcPr>
            <w:tcW w:w="5000" w:type="pct"/>
            <w:gridSpan w:val="9"/>
            <w:tcBorders>
              <w:top w:val="single" w:sz="4" w:space="0" w:color="auto"/>
              <w:left w:val="single" w:sz="4" w:space="0" w:color="auto"/>
              <w:bottom w:val="single" w:sz="4" w:space="0" w:color="auto"/>
              <w:right w:val="single" w:sz="4" w:space="0" w:color="auto"/>
            </w:tcBorders>
          </w:tcPr>
          <w:p w:rsidR="001A26B0" w:rsidRDefault="00E33A99">
            <w:pPr>
              <w:spacing w:after="20"/>
              <w:jc w:val="center"/>
              <w:rPr>
                <w:b/>
                <w:noProof/>
                <w:sz w:val="20"/>
              </w:rPr>
            </w:pPr>
            <w:r>
              <w:rPr>
                <w:b/>
                <w:noProof/>
                <w:sz w:val="20"/>
              </w:rPr>
              <w:t>METRIC</w:t>
            </w:r>
          </w:p>
        </w:tc>
      </w:tr>
      <w:tr w:rsidR="001A26B0">
        <w:trPr>
          <w:tblHeader/>
        </w:trPr>
        <w:tc>
          <w:tcPr>
            <w:tcW w:w="1435" w:type="pct"/>
            <w:tcBorders>
              <w:top w:val="single" w:sz="4" w:space="0" w:color="auto"/>
              <w:left w:val="single" w:sz="4" w:space="0" w:color="auto"/>
              <w:bottom w:val="single" w:sz="4" w:space="0" w:color="auto"/>
              <w:right w:val="single" w:sz="4" w:space="0" w:color="auto"/>
            </w:tcBorders>
          </w:tcPr>
          <w:p w:rsidR="001A26B0" w:rsidRDefault="00E33A99">
            <w:pPr>
              <w:spacing w:after="20"/>
              <w:jc w:val="center"/>
              <w:rPr>
                <w:b/>
                <w:i/>
                <w:noProof/>
                <w:sz w:val="20"/>
              </w:rPr>
            </w:pPr>
            <w:r>
              <w:rPr>
                <w:b/>
                <w:i/>
                <w:noProof/>
                <w:sz w:val="20"/>
              </w:rPr>
              <w:t>Options considered</w:t>
            </w:r>
          </w:p>
        </w:tc>
        <w:tc>
          <w:tcPr>
            <w:tcW w:w="848" w:type="pct"/>
            <w:gridSpan w:val="2"/>
            <w:tcBorders>
              <w:top w:val="single" w:sz="4" w:space="0" w:color="auto"/>
              <w:left w:val="single" w:sz="4" w:space="0" w:color="auto"/>
              <w:bottom w:val="single" w:sz="4" w:space="0" w:color="auto"/>
              <w:right w:val="single" w:sz="4" w:space="0" w:color="auto"/>
            </w:tcBorders>
          </w:tcPr>
          <w:p w:rsidR="001A26B0" w:rsidRDefault="00E33A99">
            <w:pPr>
              <w:spacing w:after="20"/>
              <w:jc w:val="center"/>
              <w:rPr>
                <w:b/>
                <w:i/>
                <w:noProof/>
                <w:sz w:val="20"/>
              </w:rPr>
            </w:pPr>
            <w:r>
              <w:rPr>
                <w:b/>
                <w:i/>
                <w:noProof/>
                <w:sz w:val="20"/>
              </w:rPr>
              <w:t>Effectiveness</w:t>
            </w:r>
          </w:p>
        </w:tc>
        <w:tc>
          <w:tcPr>
            <w:tcW w:w="852" w:type="pct"/>
            <w:gridSpan w:val="3"/>
            <w:tcBorders>
              <w:top w:val="single" w:sz="4" w:space="0" w:color="auto"/>
              <w:left w:val="single" w:sz="4" w:space="0" w:color="auto"/>
              <w:bottom w:val="single" w:sz="4" w:space="0" w:color="auto"/>
              <w:right w:val="single" w:sz="4" w:space="0" w:color="auto"/>
            </w:tcBorders>
          </w:tcPr>
          <w:p w:rsidR="001A26B0" w:rsidRDefault="00E33A99">
            <w:pPr>
              <w:spacing w:after="20"/>
              <w:jc w:val="center"/>
              <w:rPr>
                <w:b/>
                <w:i/>
                <w:noProof/>
                <w:sz w:val="20"/>
              </w:rPr>
            </w:pPr>
            <w:r>
              <w:rPr>
                <w:b/>
                <w:i/>
                <w:noProof/>
                <w:sz w:val="20"/>
              </w:rPr>
              <w:t>Efficiency</w:t>
            </w:r>
          </w:p>
        </w:tc>
        <w:tc>
          <w:tcPr>
            <w:tcW w:w="897" w:type="pct"/>
            <w:gridSpan w:val="2"/>
            <w:tcBorders>
              <w:top w:val="single" w:sz="4" w:space="0" w:color="auto"/>
              <w:left w:val="single" w:sz="4" w:space="0" w:color="auto"/>
              <w:bottom w:val="single" w:sz="4" w:space="0" w:color="auto"/>
              <w:right w:val="single" w:sz="4" w:space="0" w:color="auto"/>
            </w:tcBorders>
          </w:tcPr>
          <w:p w:rsidR="001A26B0" w:rsidRDefault="00E33A99">
            <w:pPr>
              <w:spacing w:after="20"/>
              <w:jc w:val="center"/>
              <w:rPr>
                <w:b/>
                <w:i/>
                <w:noProof/>
                <w:sz w:val="20"/>
              </w:rPr>
            </w:pPr>
            <w:r>
              <w:rPr>
                <w:b/>
                <w:i/>
                <w:noProof/>
                <w:sz w:val="20"/>
              </w:rPr>
              <w:t>Coherence</w:t>
            </w:r>
          </w:p>
        </w:tc>
        <w:tc>
          <w:tcPr>
            <w:tcW w:w="968" w:type="pct"/>
            <w:tcBorders>
              <w:top w:val="single" w:sz="4" w:space="0" w:color="auto"/>
              <w:left w:val="single" w:sz="4" w:space="0" w:color="auto"/>
              <w:bottom w:val="single" w:sz="4" w:space="0" w:color="auto"/>
              <w:right w:val="single" w:sz="4" w:space="0" w:color="auto"/>
            </w:tcBorders>
          </w:tcPr>
          <w:p w:rsidR="001A26B0" w:rsidRDefault="00E33A99">
            <w:pPr>
              <w:spacing w:after="20"/>
              <w:jc w:val="center"/>
              <w:rPr>
                <w:b/>
                <w:i/>
                <w:noProof/>
                <w:sz w:val="20"/>
              </w:rPr>
            </w:pPr>
            <w:r>
              <w:rPr>
                <w:b/>
                <w:i/>
                <w:noProof/>
                <w:sz w:val="20"/>
              </w:rPr>
              <w:t>Proportionality – added value</w:t>
            </w:r>
          </w:p>
        </w:tc>
      </w:tr>
      <w:tr w:rsidR="001A26B0">
        <w:trPr>
          <w:tblHeader/>
        </w:trPr>
        <w:tc>
          <w:tcPr>
            <w:tcW w:w="1435" w:type="pct"/>
            <w:tcBorders>
              <w:top w:val="single" w:sz="4" w:space="0" w:color="auto"/>
              <w:left w:val="single" w:sz="4" w:space="0" w:color="auto"/>
              <w:bottom w:val="single" w:sz="4" w:space="0" w:color="auto"/>
              <w:right w:val="single" w:sz="4" w:space="0" w:color="auto"/>
            </w:tcBorders>
          </w:tcPr>
          <w:p w:rsidR="001A26B0" w:rsidRDefault="00E33A99">
            <w:pPr>
              <w:spacing w:after="20"/>
              <w:jc w:val="center"/>
              <w:rPr>
                <w:noProof/>
                <w:sz w:val="20"/>
              </w:rPr>
            </w:pPr>
            <w:r>
              <w:rPr>
                <w:noProof/>
                <w:sz w:val="20"/>
              </w:rPr>
              <w:t>Tank-to-Wheel (no change)</w:t>
            </w:r>
          </w:p>
        </w:tc>
        <w:tc>
          <w:tcPr>
            <w:tcW w:w="848" w:type="pct"/>
            <w:gridSpan w:val="2"/>
            <w:tcBorders>
              <w:top w:val="single" w:sz="4" w:space="0" w:color="auto"/>
              <w:left w:val="single" w:sz="4" w:space="0" w:color="auto"/>
              <w:bottom w:val="single" w:sz="4" w:space="0" w:color="auto"/>
              <w:right w:val="single" w:sz="4" w:space="0" w:color="auto"/>
            </w:tcBorders>
            <w:shd w:val="clear" w:color="auto" w:fill="92D050"/>
          </w:tcPr>
          <w:p w:rsidR="001A26B0" w:rsidRDefault="00E33A99">
            <w:pPr>
              <w:spacing w:after="20"/>
              <w:jc w:val="center"/>
              <w:rPr>
                <w:noProof/>
                <w:sz w:val="20"/>
              </w:rPr>
            </w:pPr>
            <w:r>
              <w:rPr>
                <w:noProof/>
                <w:sz w:val="20"/>
              </w:rPr>
              <w:sym w:font="Wingdings" w:char="F0FC"/>
            </w:r>
          </w:p>
        </w:tc>
        <w:tc>
          <w:tcPr>
            <w:tcW w:w="852" w:type="pct"/>
            <w:gridSpan w:val="3"/>
            <w:tcBorders>
              <w:top w:val="single" w:sz="4" w:space="0" w:color="auto"/>
              <w:left w:val="single" w:sz="4" w:space="0" w:color="auto"/>
              <w:bottom w:val="single" w:sz="4" w:space="0" w:color="auto"/>
              <w:right w:val="single" w:sz="4" w:space="0" w:color="auto"/>
            </w:tcBorders>
            <w:shd w:val="clear" w:color="auto" w:fill="92D050"/>
          </w:tcPr>
          <w:p w:rsidR="001A26B0" w:rsidRDefault="00E33A99">
            <w:pPr>
              <w:spacing w:after="20"/>
              <w:jc w:val="center"/>
              <w:rPr>
                <w:noProof/>
                <w:sz w:val="20"/>
              </w:rPr>
            </w:pPr>
            <w:r>
              <w:rPr>
                <w:noProof/>
                <w:sz w:val="20"/>
              </w:rPr>
              <w:sym w:font="Wingdings" w:char="F0FC"/>
            </w:r>
          </w:p>
        </w:tc>
        <w:tc>
          <w:tcPr>
            <w:tcW w:w="897" w:type="pct"/>
            <w:gridSpan w:val="2"/>
            <w:tcBorders>
              <w:top w:val="single" w:sz="4" w:space="0" w:color="auto"/>
              <w:left w:val="single" w:sz="4" w:space="0" w:color="auto"/>
              <w:bottom w:val="single" w:sz="4" w:space="0" w:color="auto"/>
              <w:right w:val="single" w:sz="4" w:space="0" w:color="auto"/>
            </w:tcBorders>
            <w:shd w:val="clear" w:color="auto" w:fill="00B050"/>
          </w:tcPr>
          <w:p w:rsidR="001A26B0" w:rsidRDefault="00E33A99">
            <w:pPr>
              <w:spacing w:after="20"/>
              <w:jc w:val="center"/>
              <w:rPr>
                <w:noProof/>
                <w:sz w:val="20"/>
              </w:rPr>
            </w:pPr>
            <w:r>
              <w:rPr>
                <w:noProof/>
                <w:sz w:val="20"/>
              </w:rPr>
              <w:sym w:font="Wingdings" w:char="F0FC"/>
            </w:r>
            <w:r>
              <w:rPr>
                <w:noProof/>
                <w:sz w:val="20"/>
              </w:rPr>
              <w:sym w:font="Wingdings" w:char="F0FC"/>
            </w:r>
          </w:p>
        </w:tc>
        <w:tc>
          <w:tcPr>
            <w:tcW w:w="968" w:type="pct"/>
            <w:tcBorders>
              <w:top w:val="single" w:sz="4" w:space="0" w:color="auto"/>
              <w:left w:val="single" w:sz="4" w:space="0" w:color="auto"/>
              <w:bottom w:val="single" w:sz="4" w:space="0" w:color="auto"/>
              <w:right w:val="single" w:sz="4" w:space="0" w:color="auto"/>
            </w:tcBorders>
            <w:shd w:val="clear" w:color="auto" w:fill="00B050"/>
          </w:tcPr>
          <w:p w:rsidR="001A26B0" w:rsidRDefault="00E33A99">
            <w:pPr>
              <w:spacing w:after="20"/>
              <w:jc w:val="center"/>
              <w:rPr>
                <w:noProof/>
                <w:sz w:val="20"/>
              </w:rPr>
            </w:pPr>
            <w:r>
              <w:rPr>
                <w:noProof/>
                <w:sz w:val="20"/>
              </w:rPr>
              <w:sym w:font="Wingdings" w:char="F0FC"/>
            </w:r>
            <w:r>
              <w:rPr>
                <w:noProof/>
                <w:sz w:val="20"/>
              </w:rPr>
              <w:sym w:font="Wingdings" w:char="F0FC"/>
            </w:r>
          </w:p>
        </w:tc>
      </w:tr>
      <w:tr w:rsidR="001A26B0">
        <w:trPr>
          <w:tblHeader/>
        </w:trPr>
        <w:tc>
          <w:tcPr>
            <w:tcW w:w="1435" w:type="pct"/>
            <w:tcBorders>
              <w:top w:val="single" w:sz="4" w:space="0" w:color="auto"/>
              <w:left w:val="single" w:sz="4" w:space="0" w:color="auto"/>
              <w:bottom w:val="single" w:sz="4" w:space="0" w:color="auto"/>
              <w:right w:val="single" w:sz="4" w:space="0" w:color="auto"/>
            </w:tcBorders>
          </w:tcPr>
          <w:p w:rsidR="001A26B0" w:rsidRDefault="00E33A99">
            <w:pPr>
              <w:spacing w:after="20"/>
              <w:jc w:val="center"/>
              <w:rPr>
                <w:noProof/>
                <w:sz w:val="20"/>
              </w:rPr>
            </w:pPr>
            <w:r>
              <w:rPr>
                <w:noProof/>
                <w:sz w:val="20"/>
              </w:rPr>
              <w:t>Well-to-Wheel</w:t>
            </w:r>
          </w:p>
        </w:tc>
        <w:tc>
          <w:tcPr>
            <w:tcW w:w="848" w:type="pct"/>
            <w:gridSpan w:val="2"/>
            <w:tcBorders>
              <w:top w:val="single" w:sz="4" w:space="0" w:color="auto"/>
              <w:left w:val="single" w:sz="4" w:space="0" w:color="auto"/>
              <w:bottom w:val="single" w:sz="4" w:space="0" w:color="auto"/>
              <w:right w:val="single" w:sz="4" w:space="0" w:color="auto"/>
            </w:tcBorders>
            <w:shd w:val="clear" w:color="auto" w:fill="92D050"/>
          </w:tcPr>
          <w:p w:rsidR="001A26B0" w:rsidRDefault="00E33A99">
            <w:pPr>
              <w:spacing w:after="20"/>
              <w:jc w:val="center"/>
              <w:rPr>
                <w:noProof/>
                <w:sz w:val="20"/>
              </w:rPr>
            </w:pPr>
            <w:r>
              <w:rPr>
                <w:noProof/>
                <w:sz w:val="20"/>
              </w:rPr>
              <w:sym w:font="Wingdings" w:char="F0FC"/>
            </w:r>
          </w:p>
        </w:tc>
        <w:tc>
          <w:tcPr>
            <w:tcW w:w="852" w:type="pct"/>
            <w:gridSpan w:val="3"/>
            <w:tcBorders>
              <w:top w:val="single" w:sz="4" w:space="0" w:color="auto"/>
              <w:left w:val="single" w:sz="4" w:space="0" w:color="auto"/>
              <w:bottom w:val="single" w:sz="4" w:space="0" w:color="auto"/>
              <w:right w:val="single" w:sz="4" w:space="0" w:color="auto"/>
            </w:tcBorders>
            <w:shd w:val="clear" w:color="auto" w:fill="92D050"/>
          </w:tcPr>
          <w:p w:rsidR="001A26B0" w:rsidRDefault="00E33A99">
            <w:pPr>
              <w:spacing w:after="20"/>
              <w:jc w:val="center"/>
              <w:rPr>
                <w:noProof/>
                <w:sz w:val="20"/>
              </w:rPr>
            </w:pPr>
            <w:r>
              <w:rPr>
                <w:noProof/>
                <w:sz w:val="20"/>
              </w:rPr>
              <w:sym w:font="Wingdings" w:char="F0FC"/>
            </w:r>
          </w:p>
        </w:tc>
        <w:tc>
          <w:tcPr>
            <w:tcW w:w="897" w:type="pct"/>
            <w:gridSpan w:val="2"/>
            <w:tcBorders>
              <w:top w:val="single" w:sz="4" w:space="0" w:color="auto"/>
              <w:left w:val="single" w:sz="4" w:space="0" w:color="auto"/>
              <w:bottom w:val="single" w:sz="4" w:space="0" w:color="auto"/>
              <w:right w:val="single" w:sz="4" w:space="0" w:color="auto"/>
            </w:tcBorders>
            <w:shd w:val="clear" w:color="auto" w:fill="FF0000"/>
          </w:tcPr>
          <w:p w:rsidR="001A26B0" w:rsidRDefault="00E33A99">
            <w:pPr>
              <w:spacing w:after="20"/>
              <w:jc w:val="center"/>
              <w:rPr>
                <w:noProof/>
                <w:sz w:val="20"/>
              </w:rPr>
            </w:pPr>
            <w:r>
              <w:rPr>
                <w:noProof/>
                <w:sz w:val="20"/>
              </w:rPr>
              <w:sym w:font="Wingdings" w:char="F0FB"/>
            </w:r>
            <w:r>
              <w:rPr>
                <w:noProof/>
                <w:sz w:val="20"/>
              </w:rPr>
              <w:sym w:font="Wingdings" w:char="F0FB"/>
            </w:r>
          </w:p>
        </w:tc>
        <w:tc>
          <w:tcPr>
            <w:tcW w:w="968" w:type="pct"/>
            <w:tcBorders>
              <w:top w:val="single" w:sz="4" w:space="0" w:color="auto"/>
              <w:left w:val="single" w:sz="4" w:space="0" w:color="auto"/>
              <w:bottom w:val="single" w:sz="4" w:space="0" w:color="auto"/>
              <w:right w:val="single" w:sz="4" w:space="0" w:color="auto"/>
            </w:tcBorders>
            <w:shd w:val="clear" w:color="auto" w:fill="FF0000"/>
          </w:tcPr>
          <w:p w:rsidR="001A26B0" w:rsidRDefault="00E33A99">
            <w:pPr>
              <w:spacing w:after="20"/>
              <w:jc w:val="center"/>
              <w:rPr>
                <w:noProof/>
                <w:sz w:val="20"/>
              </w:rPr>
            </w:pPr>
            <w:r>
              <w:rPr>
                <w:noProof/>
                <w:sz w:val="20"/>
              </w:rPr>
              <w:sym w:font="Wingdings" w:char="F0FB"/>
            </w:r>
            <w:r>
              <w:rPr>
                <w:noProof/>
                <w:sz w:val="20"/>
              </w:rPr>
              <w:sym w:font="Wingdings" w:char="F0FB"/>
            </w:r>
          </w:p>
        </w:tc>
      </w:tr>
      <w:tr w:rsidR="001A26B0">
        <w:trPr>
          <w:tblHeader/>
        </w:trPr>
        <w:tc>
          <w:tcPr>
            <w:tcW w:w="1435" w:type="pct"/>
            <w:tcBorders>
              <w:top w:val="single" w:sz="4" w:space="0" w:color="auto"/>
              <w:left w:val="single" w:sz="4" w:space="0" w:color="auto"/>
              <w:bottom w:val="single" w:sz="4" w:space="0" w:color="auto"/>
              <w:right w:val="single" w:sz="4" w:space="0" w:color="auto"/>
            </w:tcBorders>
          </w:tcPr>
          <w:p w:rsidR="001A26B0" w:rsidRDefault="00E33A99">
            <w:pPr>
              <w:spacing w:after="20"/>
              <w:jc w:val="center"/>
              <w:rPr>
                <w:noProof/>
                <w:sz w:val="20"/>
              </w:rPr>
            </w:pPr>
            <w:r>
              <w:rPr>
                <w:noProof/>
                <w:sz w:val="20"/>
              </w:rPr>
              <w:t>Embedded emissions</w:t>
            </w:r>
          </w:p>
        </w:tc>
        <w:tc>
          <w:tcPr>
            <w:tcW w:w="848" w:type="pct"/>
            <w:gridSpan w:val="2"/>
            <w:tcBorders>
              <w:top w:val="single" w:sz="4" w:space="0" w:color="auto"/>
              <w:left w:val="single" w:sz="4" w:space="0" w:color="auto"/>
              <w:bottom w:val="single" w:sz="4" w:space="0" w:color="auto"/>
              <w:right w:val="single" w:sz="4" w:space="0" w:color="auto"/>
            </w:tcBorders>
            <w:shd w:val="clear" w:color="auto" w:fill="92D050"/>
          </w:tcPr>
          <w:p w:rsidR="001A26B0" w:rsidRDefault="00E33A99">
            <w:pPr>
              <w:spacing w:after="20"/>
              <w:jc w:val="center"/>
              <w:rPr>
                <w:noProof/>
                <w:sz w:val="20"/>
              </w:rPr>
            </w:pPr>
            <w:r>
              <w:rPr>
                <w:noProof/>
                <w:sz w:val="20"/>
              </w:rPr>
              <w:sym w:font="Wingdings" w:char="F0FC"/>
            </w:r>
          </w:p>
        </w:tc>
        <w:tc>
          <w:tcPr>
            <w:tcW w:w="852" w:type="pct"/>
            <w:gridSpan w:val="3"/>
            <w:tcBorders>
              <w:top w:val="single" w:sz="4" w:space="0" w:color="auto"/>
              <w:left w:val="single" w:sz="4" w:space="0" w:color="auto"/>
              <w:bottom w:val="single" w:sz="4" w:space="0" w:color="auto"/>
              <w:right w:val="single" w:sz="4" w:space="0" w:color="auto"/>
            </w:tcBorders>
            <w:shd w:val="clear" w:color="auto" w:fill="92D050"/>
          </w:tcPr>
          <w:p w:rsidR="001A26B0" w:rsidRDefault="00E33A99">
            <w:pPr>
              <w:spacing w:after="20"/>
              <w:jc w:val="center"/>
              <w:rPr>
                <w:noProof/>
                <w:sz w:val="20"/>
              </w:rPr>
            </w:pPr>
            <w:r>
              <w:rPr>
                <w:noProof/>
                <w:sz w:val="20"/>
              </w:rPr>
              <w:sym w:font="Wingdings" w:char="F0FC"/>
            </w:r>
          </w:p>
        </w:tc>
        <w:tc>
          <w:tcPr>
            <w:tcW w:w="897" w:type="pct"/>
            <w:gridSpan w:val="2"/>
            <w:tcBorders>
              <w:top w:val="single" w:sz="4" w:space="0" w:color="auto"/>
              <w:left w:val="single" w:sz="4" w:space="0" w:color="auto"/>
              <w:bottom w:val="single" w:sz="4" w:space="0" w:color="auto"/>
              <w:right w:val="single" w:sz="4" w:space="0" w:color="auto"/>
            </w:tcBorders>
            <w:shd w:val="clear" w:color="auto" w:fill="FF0000"/>
          </w:tcPr>
          <w:p w:rsidR="001A26B0" w:rsidRDefault="00E33A99">
            <w:pPr>
              <w:spacing w:after="20"/>
              <w:jc w:val="center"/>
              <w:rPr>
                <w:noProof/>
                <w:sz w:val="20"/>
              </w:rPr>
            </w:pPr>
            <w:r>
              <w:rPr>
                <w:noProof/>
                <w:sz w:val="20"/>
              </w:rPr>
              <w:sym w:font="Wingdings" w:char="F0FB"/>
            </w:r>
            <w:r>
              <w:rPr>
                <w:noProof/>
                <w:sz w:val="20"/>
              </w:rPr>
              <w:sym w:font="Wingdings" w:char="F0FB"/>
            </w:r>
          </w:p>
        </w:tc>
        <w:tc>
          <w:tcPr>
            <w:tcW w:w="968" w:type="pct"/>
            <w:tcBorders>
              <w:top w:val="single" w:sz="4" w:space="0" w:color="auto"/>
              <w:left w:val="single" w:sz="4" w:space="0" w:color="auto"/>
              <w:bottom w:val="single" w:sz="4" w:space="0" w:color="auto"/>
              <w:right w:val="single" w:sz="4" w:space="0" w:color="auto"/>
            </w:tcBorders>
            <w:shd w:val="clear" w:color="auto" w:fill="FF0000"/>
          </w:tcPr>
          <w:p w:rsidR="001A26B0" w:rsidRDefault="00E33A99">
            <w:pPr>
              <w:spacing w:after="20"/>
              <w:jc w:val="center"/>
              <w:rPr>
                <w:noProof/>
                <w:sz w:val="20"/>
              </w:rPr>
            </w:pPr>
            <w:r>
              <w:rPr>
                <w:noProof/>
                <w:sz w:val="20"/>
              </w:rPr>
              <w:sym w:font="Wingdings" w:char="F0FB"/>
            </w:r>
            <w:r>
              <w:rPr>
                <w:noProof/>
                <w:sz w:val="20"/>
              </w:rPr>
              <w:sym w:font="Wingdings" w:char="F0FB"/>
            </w:r>
          </w:p>
        </w:tc>
      </w:tr>
      <w:tr w:rsidR="001A26B0">
        <w:trPr>
          <w:tblHeader/>
        </w:trPr>
        <w:tc>
          <w:tcPr>
            <w:tcW w:w="1435" w:type="pct"/>
            <w:tcBorders>
              <w:top w:val="single" w:sz="4" w:space="0" w:color="auto"/>
              <w:left w:val="single" w:sz="4" w:space="0" w:color="auto"/>
              <w:bottom w:val="single" w:sz="4" w:space="0" w:color="auto"/>
              <w:right w:val="single" w:sz="4" w:space="0" w:color="auto"/>
            </w:tcBorders>
          </w:tcPr>
          <w:p w:rsidR="001A26B0" w:rsidRDefault="00E33A99">
            <w:pPr>
              <w:spacing w:after="20"/>
              <w:jc w:val="center"/>
              <w:rPr>
                <w:noProof/>
                <w:sz w:val="20"/>
              </w:rPr>
            </w:pPr>
            <w:r>
              <w:rPr>
                <w:noProof/>
                <w:sz w:val="20"/>
              </w:rPr>
              <w:t>Mileage weighting</w:t>
            </w:r>
          </w:p>
        </w:tc>
        <w:tc>
          <w:tcPr>
            <w:tcW w:w="848" w:type="pct"/>
            <w:gridSpan w:val="2"/>
            <w:tcBorders>
              <w:top w:val="single" w:sz="4" w:space="0" w:color="auto"/>
              <w:left w:val="single" w:sz="4" w:space="0" w:color="auto"/>
              <w:bottom w:val="single" w:sz="4" w:space="0" w:color="auto"/>
              <w:right w:val="single" w:sz="4" w:space="0" w:color="auto"/>
            </w:tcBorders>
            <w:shd w:val="clear" w:color="auto" w:fill="92D050"/>
          </w:tcPr>
          <w:p w:rsidR="001A26B0" w:rsidRDefault="00E33A99">
            <w:pPr>
              <w:spacing w:after="20"/>
              <w:jc w:val="center"/>
              <w:rPr>
                <w:noProof/>
                <w:sz w:val="20"/>
              </w:rPr>
            </w:pPr>
            <w:r>
              <w:rPr>
                <w:noProof/>
                <w:sz w:val="20"/>
              </w:rPr>
              <w:sym w:font="Wingdings" w:char="F0FC"/>
            </w:r>
          </w:p>
        </w:tc>
        <w:tc>
          <w:tcPr>
            <w:tcW w:w="852" w:type="pct"/>
            <w:gridSpan w:val="3"/>
            <w:tcBorders>
              <w:top w:val="single" w:sz="4" w:space="0" w:color="auto"/>
              <w:left w:val="single" w:sz="4" w:space="0" w:color="auto"/>
              <w:bottom w:val="single" w:sz="4" w:space="0" w:color="auto"/>
              <w:right w:val="single" w:sz="4" w:space="0" w:color="auto"/>
            </w:tcBorders>
            <w:shd w:val="clear" w:color="auto" w:fill="92D050"/>
          </w:tcPr>
          <w:p w:rsidR="001A26B0" w:rsidRDefault="00E33A99">
            <w:pPr>
              <w:spacing w:after="20"/>
              <w:jc w:val="center"/>
              <w:rPr>
                <w:noProof/>
                <w:sz w:val="20"/>
              </w:rPr>
            </w:pPr>
            <w:r>
              <w:rPr>
                <w:noProof/>
                <w:sz w:val="20"/>
              </w:rPr>
              <w:sym w:font="Wingdings" w:char="F0FC"/>
            </w:r>
          </w:p>
        </w:tc>
        <w:tc>
          <w:tcPr>
            <w:tcW w:w="897" w:type="pct"/>
            <w:gridSpan w:val="2"/>
            <w:tcBorders>
              <w:top w:val="single" w:sz="4" w:space="0" w:color="auto"/>
              <w:left w:val="single" w:sz="4" w:space="0" w:color="auto"/>
              <w:bottom w:val="single" w:sz="4" w:space="0" w:color="auto"/>
              <w:right w:val="single" w:sz="4" w:space="0" w:color="auto"/>
            </w:tcBorders>
            <w:shd w:val="clear" w:color="auto" w:fill="00B050"/>
          </w:tcPr>
          <w:p w:rsidR="001A26B0" w:rsidRDefault="00E33A99">
            <w:pPr>
              <w:spacing w:after="20"/>
              <w:jc w:val="center"/>
              <w:rPr>
                <w:noProof/>
                <w:sz w:val="20"/>
              </w:rPr>
            </w:pPr>
            <w:r>
              <w:rPr>
                <w:noProof/>
                <w:sz w:val="20"/>
              </w:rPr>
              <w:sym w:font="Wingdings" w:char="F0FC"/>
            </w:r>
            <w:r>
              <w:rPr>
                <w:noProof/>
                <w:sz w:val="20"/>
              </w:rPr>
              <w:sym w:font="Wingdings" w:char="F0FC"/>
            </w:r>
          </w:p>
        </w:tc>
        <w:tc>
          <w:tcPr>
            <w:tcW w:w="968" w:type="pct"/>
            <w:tcBorders>
              <w:top w:val="single" w:sz="4" w:space="0" w:color="auto"/>
              <w:left w:val="single" w:sz="4" w:space="0" w:color="auto"/>
              <w:bottom w:val="single" w:sz="4" w:space="0" w:color="auto"/>
              <w:right w:val="single" w:sz="4" w:space="0" w:color="auto"/>
            </w:tcBorders>
            <w:shd w:val="clear" w:color="auto" w:fill="FF0000"/>
          </w:tcPr>
          <w:p w:rsidR="001A26B0" w:rsidRDefault="00E33A99">
            <w:pPr>
              <w:spacing w:after="20"/>
              <w:jc w:val="center"/>
              <w:rPr>
                <w:noProof/>
                <w:sz w:val="20"/>
              </w:rPr>
            </w:pPr>
            <w:r>
              <w:rPr>
                <w:noProof/>
                <w:sz w:val="20"/>
              </w:rPr>
              <w:sym w:font="Wingdings" w:char="F0FB"/>
            </w:r>
            <w:r>
              <w:rPr>
                <w:noProof/>
                <w:sz w:val="20"/>
              </w:rPr>
              <w:sym w:font="Wingdings" w:char="F0FB"/>
            </w:r>
          </w:p>
        </w:tc>
      </w:tr>
      <w:tr w:rsidR="001A26B0">
        <w:trPr>
          <w:tblHeader/>
        </w:trPr>
        <w:tc>
          <w:tcPr>
            <w:tcW w:w="5000" w:type="pct"/>
            <w:gridSpan w:val="9"/>
            <w:tcBorders>
              <w:top w:val="single" w:sz="4" w:space="0" w:color="auto"/>
              <w:left w:val="single" w:sz="4" w:space="0" w:color="auto"/>
              <w:bottom w:val="single" w:sz="4" w:space="0" w:color="auto"/>
              <w:right w:val="single" w:sz="4" w:space="0" w:color="auto"/>
            </w:tcBorders>
          </w:tcPr>
          <w:p w:rsidR="001A26B0" w:rsidRDefault="00E33A99">
            <w:pPr>
              <w:spacing w:after="20"/>
              <w:jc w:val="center"/>
              <w:rPr>
                <w:b/>
                <w:noProof/>
                <w:sz w:val="20"/>
              </w:rPr>
            </w:pPr>
            <w:r>
              <w:rPr>
                <w:b/>
                <w:noProof/>
                <w:sz w:val="20"/>
              </w:rPr>
              <w:t>TIMING</w:t>
            </w:r>
          </w:p>
        </w:tc>
      </w:tr>
      <w:tr w:rsidR="001A26B0">
        <w:trPr>
          <w:tblHeader/>
        </w:trPr>
        <w:tc>
          <w:tcPr>
            <w:tcW w:w="1435" w:type="pct"/>
            <w:tcBorders>
              <w:top w:val="single" w:sz="4" w:space="0" w:color="auto"/>
              <w:left w:val="single" w:sz="4" w:space="0" w:color="auto"/>
              <w:bottom w:val="single" w:sz="4" w:space="0" w:color="auto"/>
              <w:right w:val="single" w:sz="4" w:space="0" w:color="auto"/>
            </w:tcBorders>
          </w:tcPr>
          <w:p w:rsidR="001A26B0" w:rsidRDefault="00E33A99">
            <w:pPr>
              <w:spacing w:after="20"/>
              <w:jc w:val="center"/>
              <w:rPr>
                <w:noProof/>
                <w:sz w:val="20"/>
              </w:rPr>
            </w:pPr>
            <w:r>
              <w:rPr>
                <w:noProof/>
                <w:sz w:val="20"/>
              </w:rPr>
              <w:t>New CO</w:t>
            </w:r>
            <w:r>
              <w:rPr>
                <w:noProof/>
                <w:sz w:val="20"/>
                <w:vertAlign w:val="subscript"/>
              </w:rPr>
              <w:t>2</w:t>
            </w:r>
            <w:r>
              <w:rPr>
                <w:noProof/>
                <w:sz w:val="20"/>
              </w:rPr>
              <w:t xml:space="preserve"> targets apply in 2030</w:t>
            </w:r>
          </w:p>
        </w:tc>
        <w:tc>
          <w:tcPr>
            <w:tcW w:w="848" w:type="pct"/>
            <w:gridSpan w:val="2"/>
            <w:tcBorders>
              <w:top w:val="single" w:sz="4" w:space="0" w:color="auto"/>
              <w:left w:val="single" w:sz="4" w:space="0" w:color="auto"/>
              <w:bottom w:val="single" w:sz="4" w:space="0" w:color="auto"/>
              <w:right w:val="single" w:sz="4" w:space="0" w:color="auto"/>
            </w:tcBorders>
            <w:shd w:val="clear" w:color="auto" w:fill="92D050"/>
          </w:tcPr>
          <w:p w:rsidR="001A26B0" w:rsidRDefault="00E33A99">
            <w:pPr>
              <w:spacing w:after="20"/>
              <w:jc w:val="center"/>
              <w:rPr>
                <w:noProof/>
                <w:sz w:val="20"/>
              </w:rPr>
            </w:pPr>
            <w:r>
              <w:rPr>
                <w:noProof/>
                <w:sz w:val="20"/>
              </w:rPr>
              <w:sym w:font="Wingdings" w:char="F0FC"/>
            </w:r>
          </w:p>
        </w:tc>
        <w:tc>
          <w:tcPr>
            <w:tcW w:w="852" w:type="pct"/>
            <w:gridSpan w:val="3"/>
            <w:tcBorders>
              <w:top w:val="single" w:sz="4" w:space="0" w:color="auto"/>
              <w:left w:val="single" w:sz="4" w:space="0" w:color="auto"/>
              <w:bottom w:val="single" w:sz="4" w:space="0" w:color="auto"/>
              <w:right w:val="single" w:sz="4" w:space="0" w:color="auto"/>
            </w:tcBorders>
            <w:shd w:val="clear" w:color="auto" w:fill="F79646" w:themeFill="accent6"/>
          </w:tcPr>
          <w:p w:rsidR="001A26B0" w:rsidRDefault="00E33A99">
            <w:pPr>
              <w:spacing w:after="20"/>
              <w:jc w:val="center"/>
              <w:rPr>
                <w:noProof/>
                <w:sz w:val="20"/>
              </w:rPr>
            </w:pPr>
            <w:r>
              <w:rPr>
                <w:noProof/>
                <w:sz w:val="20"/>
              </w:rPr>
              <w:sym w:font="Wingdings" w:char="F0FB"/>
            </w:r>
          </w:p>
        </w:tc>
        <w:tc>
          <w:tcPr>
            <w:tcW w:w="897" w:type="pct"/>
            <w:gridSpan w:val="2"/>
            <w:tcBorders>
              <w:top w:val="single" w:sz="4" w:space="0" w:color="auto"/>
              <w:left w:val="single" w:sz="4" w:space="0" w:color="auto"/>
              <w:bottom w:val="single" w:sz="4" w:space="0" w:color="auto"/>
              <w:right w:val="single" w:sz="4" w:space="0" w:color="auto"/>
            </w:tcBorders>
            <w:shd w:val="clear" w:color="auto" w:fill="F79646" w:themeFill="accent6"/>
          </w:tcPr>
          <w:p w:rsidR="001A26B0" w:rsidRDefault="00E33A99">
            <w:pPr>
              <w:spacing w:after="20"/>
              <w:jc w:val="center"/>
              <w:rPr>
                <w:noProof/>
                <w:sz w:val="20"/>
              </w:rPr>
            </w:pPr>
            <w:r>
              <w:rPr>
                <w:noProof/>
                <w:sz w:val="20"/>
              </w:rPr>
              <w:sym w:font="Wingdings" w:char="F0FB"/>
            </w:r>
          </w:p>
        </w:tc>
        <w:tc>
          <w:tcPr>
            <w:tcW w:w="968" w:type="pct"/>
            <w:tcBorders>
              <w:top w:val="single" w:sz="4" w:space="0" w:color="auto"/>
              <w:left w:val="single" w:sz="4" w:space="0" w:color="auto"/>
              <w:bottom w:val="single" w:sz="4" w:space="0" w:color="auto"/>
              <w:right w:val="single" w:sz="4" w:space="0" w:color="auto"/>
            </w:tcBorders>
            <w:shd w:val="clear" w:color="auto" w:fill="00B050"/>
          </w:tcPr>
          <w:p w:rsidR="001A26B0" w:rsidRDefault="00E33A99">
            <w:pPr>
              <w:spacing w:after="20"/>
              <w:jc w:val="center"/>
              <w:rPr>
                <w:noProof/>
                <w:sz w:val="20"/>
              </w:rPr>
            </w:pPr>
            <w:r>
              <w:rPr>
                <w:noProof/>
                <w:sz w:val="20"/>
              </w:rPr>
              <w:sym w:font="Wingdings" w:char="F0FC"/>
            </w:r>
            <w:r>
              <w:rPr>
                <w:noProof/>
                <w:sz w:val="20"/>
              </w:rPr>
              <w:sym w:font="Wingdings" w:char="F0FC"/>
            </w:r>
          </w:p>
        </w:tc>
      </w:tr>
      <w:tr w:rsidR="001A26B0">
        <w:trPr>
          <w:tblHeader/>
        </w:trPr>
        <w:tc>
          <w:tcPr>
            <w:tcW w:w="1435" w:type="pct"/>
            <w:tcBorders>
              <w:top w:val="single" w:sz="4" w:space="0" w:color="auto"/>
              <w:left w:val="single" w:sz="4" w:space="0" w:color="auto"/>
              <w:bottom w:val="single" w:sz="4" w:space="0" w:color="auto"/>
              <w:right w:val="single" w:sz="4" w:space="0" w:color="auto"/>
            </w:tcBorders>
          </w:tcPr>
          <w:p w:rsidR="001A26B0" w:rsidRDefault="00E33A99">
            <w:pPr>
              <w:spacing w:after="20"/>
              <w:jc w:val="center"/>
              <w:rPr>
                <w:noProof/>
                <w:sz w:val="20"/>
              </w:rPr>
            </w:pPr>
            <w:r>
              <w:rPr>
                <w:noProof/>
                <w:sz w:val="20"/>
              </w:rPr>
              <w:t>New CO</w:t>
            </w:r>
            <w:r>
              <w:rPr>
                <w:noProof/>
                <w:sz w:val="20"/>
                <w:vertAlign w:val="subscript"/>
              </w:rPr>
              <w:t>2</w:t>
            </w:r>
            <w:r>
              <w:rPr>
                <w:noProof/>
                <w:sz w:val="20"/>
              </w:rPr>
              <w:t xml:space="preserve"> targets apply in 2025 and in 2030</w:t>
            </w:r>
          </w:p>
        </w:tc>
        <w:tc>
          <w:tcPr>
            <w:tcW w:w="848" w:type="pct"/>
            <w:gridSpan w:val="2"/>
            <w:tcBorders>
              <w:top w:val="single" w:sz="4" w:space="0" w:color="auto"/>
              <w:left w:val="single" w:sz="4" w:space="0" w:color="auto"/>
              <w:bottom w:val="single" w:sz="4" w:space="0" w:color="auto"/>
              <w:right w:val="single" w:sz="4" w:space="0" w:color="auto"/>
            </w:tcBorders>
            <w:shd w:val="clear" w:color="auto" w:fill="00B050"/>
          </w:tcPr>
          <w:p w:rsidR="001A26B0" w:rsidRDefault="00E33A99">
            <w:pPr>
              <w:spacing w:after="20"/>
              <w:jc w:val="center"/>
              <w:rPr>
                <w:noProof/>
                <w:sz w:val="20"/>
              </w:rPr>
            </w:pPr>
            <w:r>
              <w:rPr>
                <w:noProof/>
                <w:sz w:val="20"/>
              </w:rPr>
              <w:sym w:font="Wingdings" w:char="F0FC"/>
            </w:r>
            <w:r>
              <w:rPr>
                <w:noProof/>
                <w:sz w:val="20"/>
              </w:rPr>
              <w:sym w:font="Wingdings" w:char="F0FC"/>
            </w:r>
          </w:p>
        </w:tc>
        <w:tc>
          <w:tcPr>
            <w:tcW w:w="852" w:type="pct"/>
            <w:gridSpan w:val="3"/>
            <w:tcBorders>
              <w:top w:val="single" w:sz="4" w:space="0" w:color="auto"/>
              <w:left w:val="single" w:sz="4" w:space="0" w:color="auto"/>
              <w:bottom w:val="single" w:sz="4" w:space="0" w:color="auto"/>
              <w:right w:val="single" w:sz="4" w:space="0" w:color="auto"/>
            </w:tcBorders>
            <w:shd w:val="clear" w:color="auto" w:fill="00B050"/>
          </w:tcPr>
          <w:p w:rsidR="001A26B0" w:rsidRDefault="00E33A99">
            <w:pPr>
              <w:spacing w:after="20"/>
              <w:jc w:val="center"/>
              <w:rPr>
                <w:noProof/>
                <w:sz w:val="20"/>
              </w:rPr>
            </w:pPr>
            <w:r>
              <w:rPr>
                <w:noProof/>
                <w:sz w:val="20"/>
              </w:rPr>
              <w:sym w:font="Wingdings" w:char="F0FC"/>
            </w:r>
            <w:r>
              <w:rPr>
                <w:noProof/>
                <w:sz w:val="20"/>
              </w:rPr>
              <w:sym w:font="Wingdings" w:char="F0FC"/>
            </w:r>
          </w:p>
        </w:tc>
        <w:tc>
          <w:tcPr>
            <w:tcW w:w="897" w:type="pct"/>
            <w:gridSpan w:val="2"/>
            <w:tcBorders>
              <w:top w:val="single" w:sz="4" w:space="0" w:color="auto"/>
              <w:left w:val="single" w:sz="4" w:space="0" w:color="auto"/>
              <w:bottom w:val="single" w:sz="4" w:space="0" w:color="auto"/>
              <w:right w:val="single" w:sz="4" w:space="0" w:color="auto"/>
            </w:tcBorders>
            <w:shd w:val="clear" w:color="auto" w:fill="00B050"/>
          </w:tcPr>
          <w:p w:rsidR="001A26B0" w:rsidRDefault="00E33A99">
            <w:pPr>
              <w:spacing w:after="20"/>
              <w:jc w:val="center"/>
              <w:rPr>
                <w:noProof/>
                <w:sz w:val="20"/>
              </w:rPr>
            </w:pPr>
            <w:r>
              <w:rPr>
                <w:noProof/>
                <w:sz w:val="20"/>
              </w:rPr>
              <w:sym w:font="Wingdings" w:char="F0FC"/>
            </w:r>
            <w:r>
              <w:rPr>
                <w:noProof/>
                <w:sz w:val="20"/>
              </w:rPr>
              <w:sym w:font="Wingdings" w:char="F0FC"/>
            </w:r>
          </w:p>
        </w:tc>
        <w:tc>
          <w:tcPr>
            <w:tcW w:w="968" w:type="pct"/>
            <w:tcBorders>
              <w:top w:val="single" w:sz="4" w:space="0" w:color="auto"/>
              <w:left w:val="single" w:sz="4" w:space="0" w:color="auto"/>
              <w:bottom w:val="single" w:sz="4" w:space="0" w:color="auto"/>
              <w:right w:val="single" w:sz="4" w:space="0" w:color="auto"/>
            </w:tcBorders>
            <w:shd w:val="clear" w:color="auto" w:fill="00B050"/>
          </w:tcPr>
          <w:p w:rsidR="001A26B0" w:rsidRDefault="00E33A99">
            <w:pPr>
              <w:spacing w:after="20"/>
              <w:jc w:val="center"/>
              <w:rPr>
                <w:noProof/>
                <w:sz w:val="20"/>
              </w:rPr>
            </w:pPr>
            <w:r>
              <w:rPr>
                <w:noProof/>
                <w:sz w:val="20"/>
              </w:rPr>
              <w:sym w:font="Wingdings" w:char="F0FC"/>
            </w:r>
            <w:r>
              <w:rPr>
                <w:noProof/>
                <w:sz w:val="20"/>
              </w:rPr>
              <w:sym w:font="Wingdings" w:char="F0FC"/>
            </w:r>
          </w:p>
        </w:tc>
      </w:tr>
      <w:tr w:rsidR="001A26B0">
        <w:trPr>
          <w:tblHeader/>
        </w:trPr>
        <w:tc>
          <w:tcPr>
            <w:tcW w:w="1435" w:type="pct"/>
            <w:tcBorders>
              <w:top w:val="single" w:sz="4" w:space="0" w:color="auto"/>
              <w:left w:val="single" w:sz="4" w:space="0" w:color="auto"/>
              <w:bottom w:val="single" w:sz="4" w:space="0" w:color="auto"/>
              <w:right w:val="single" w:sz="4" w:space="0" w:color="auto"/>
            </w:tcBorders>
          </w:tcPr>
          <w:p w:rsidR="001A26B0" w:rsidRDefault="00E33A99">
            <w:pPr>
              <w:spacing w:after="20"/>
              <w:jc w:val="center"/>
              <w:rPr>
                <w:noProof/>
                <w:sz w:val="20"/>
              </w:rPr>
            </w:pPr>
            <w:r>
              <w:rPr>
                <w:noProof/>
                <w:sz w:val="20"/>
              </w:rPr>
              <w:t>New CO</w:t>
            </w:r>
            <w:r>
              <w:rPr>
                <w:noProof/>
                <w:sz w:val="20"/>
                <w:vertAlign w:val="subscript"/>
              </w:rPr>
              <w:t>2</w:t>
            </w:r>
            <w:r>
              <w:rPr>
                <w:noProof/>
                <w:sz w:val="20"/>
              </w:rPr>
              <w:t xml:space="preserve"> targets defined for each year 2022-2030</w:t>
            </w:r>
          </w:p>
        </w:tc>
        <w:tc>
          <w:tcPr>
            <w:tcW w:w="848" w:type="pct"/>
            <w:gridSpan w:val="2"/>
            <w:tcBorders>
              <w:top w:val="single" w:sz="4" w:space="0" w:color="auto"/>
              <w:left w:val="single" w:sz="4" w:space="0" w:color="auto"/>
              <w:bottom w:val="single" w:sz="4" w:space="0" w:color="auto"/>
              <w:right w:val="single" w:sz="4" w:space="0" w:color="auto"/>
            </w:tcBorders>
            <w:shd w:val="clear" w:color="auto" w:fill="00B050"/>
          </w:tcPr>
          <w:p w:rsidR="001A26B0" w:rsidRDefault="00E33A99">
            <w:pPr>
              <w:spacing w:after="20"/>
              <w:jc w:val="center"/>
              <w:rPr>
                <w:noProof/>
                <w:sz w:val="20"/>
              </w:rPr>
            </w:pPr>
            <w:r>
              <w:rPr>
                <w:noProof/>
                <w:sz w:val="20"/>
              </w:rPr>
              <w:sym w:font="Wingdings" w:char="F0FC"/>
            </w:r>
            <w:r>
              <w:rPr>
                <w:noProof/>
                <w:sz w:val="20"/>
              </w:rPr>
              <w:sym w:font="Wingdings" w:char="F0FC"/>
            </w:r>
          </w:p>
        </w:tc>
        <w:tc>
          <w:tcPr>
            <w:tcW w:w="852" w:type="pct"/>
            <w:gridSpan w:val="3"/>
            <w:tcBorders>
              <w:top w:val="single" w:sz="4" w:space="0" w:color="auto"/>
              <w:left w:val="single" w:sz="4" w:space="0" w:color="auto"/>
              <w:bottom w:val="single" w:sz="4" w:space="0" w:color="auto"/>
              <w:right w:val="single" w:sz="4" w:space="0" w:color="auto"/>
            </w:tcBorders>
            <w:shd w:val="clear" w:color="auto" w:fill="92D050"/>
          </w:tcPr>
          <w:p w:rsidR="001A26B0" w:rsidRDefault="00E33A99">
            <w:pPr>
              <w:spacing w:after="20"/>
              <w:jc w:val="center"/>
              <w:rPr>
                <w:noProof/>
                <w:sz w:val="20"/>
              </w:rPr>
            </w:pPr>
            <w:r>
              <w:rPr>
                <w:noProof/>
                <w:sz w:val="20"/>
              </w:rPr>
              <w:sym w:font="Wingdings" w:char="F0FC"/>
            </w:r>
          </w:p>
        </w:tc>
        <w:tc>
          <w:tcPr>
            <w:tcW w:w="897" w:type="pct"/>
            <w:gridSpan w:val="2"/>
            <w:tcBorders>
              <w:top w:val="single" w:sz="4" w:space="0" w:color="auto"/>
              <w:left w:val="single" w:sz="4" w:space="0" w:color="auto"/>
              <w:bottom w:val="single" w:sz="4" w:space="0" w:color="auto"/>
              <w:right w:val="single" w:sz="4" w:space="0" w:color="auto"/>
            </w:tcBorders>
            <w:shd w:val="clear" w:color="auto" w:fill="00B050"/>
          </w:tcPr>
          <w:p w:rsidR="001A26B0" w:rsidRDefault="00E33A99">
            <w:pPr>
              <w:spacing w:after="20"/>
              <w:jc w:val="center"/>
              <w:rPr>
                <w:noProof/>
                <w:sz w:val="20"/>
              </w:rPr>
            </w:pPr>
            <w:r>
              <w:rPr>
                <w:noProof/>
                <w:sz w:val="20"/>
              </w:rPr>
              <w:sym w:font="Wingdings" w:char="F0FC"/>
            </w:r>
            <w:r>
              <w:rPr>
                <w:noProof/>
                <w:sz w:val="20"/>
              </w:rPr>
              <w:sym w:font="Wingdings" w:char="F0FC"/>
            </w:r>
          </w:p>
        </w:tc>
        <w:tc>
          <w:tcPr>
            <w:tcW w:w="968" w:type="pct"/>
            <w:tcBorders>
              <w:top w:val="single" w:sz="4" w:space="0" w:color="auto"/>
              <w:left w:val="single" w:sz="4" w:space="0" w:color="auto"/>
              <w:bottom w:val="single" w:sz="4" w:space="0" w:color="auto"/>
              <w:right w:val="single" w:sz="4" w:space="0" w:color="auto"/>
            </w:tcBorders>
            <w:shd w:val="clear" w:color="auto" w:fill="F79646" w:themeFill="accent6"/>
          </w:tcPr>
          <w:p w:rsidR="001A26B0" w:rsidRDefault="00E33A99">
            <w:pPr>
              <w:spacing w:after="20"/>
              <w:jc w:val="center"/>
              <w:rPr>
                <w:noProof/>
                <w:sz w:val="20"/>
              </w:rPr>
            </w:pPr>
            <w:r>
              <w:rPr>
                <w:noProof/>
                <w:sz w:val="20"/>
              </w:rPr>
              <w:sym w:font="Wingdings" w:char="F0FB"/>
            </w:r>
          </w:p>
        </w:tc>
      </w:tr>
      <w:tr w:rsidR="001A26B0">
        <w:trPr>
          <w:tblHeader/>
        </w:trPr>
        <w:tc>
          <w:tcPr>
            <w:tcW w:w="5000" w:type="pct"/>
            <w:gridSpan w:val="9"/>
            <w:tcBorders>
              <w:top w:val="single" w:sz="4" w:space="0" w:color="auto"/>
              <w:left w:val="single" w:sz="4" w:space="0" w:color="auto"/>
              <w:bottom w:val="single" w:sz="4" w:space="0" w:color="auto"/>
              <w:right w:val="single" w:sz="4" w:space="0" w:color="auto"/>
            </w:tcBorders>
          </w:tcPr>
          <w:p w:rsidR="001A26B0" w:rsidRDefault="00E33A99">
            <w:pPr>
              <w:spacing w:after="20"/>
              <w:jc w:val="center"/>
              <w:rPr>
                <w:b/>
                <w:noProof/>
                <w:sz w:val="20"/>
              </w:rPr>
            </w:pPr>
            <w:r>
              <w:rPr>
                <w:b/>
                <w:noProof/>
                <w:sz w:val="20"/>
              </w:rPr>
              <w:t>CO</w:t>
            </w:r>
            <w:r>
              <w:rPr>
                <w:b/>
                <w:noProof/>
                <w:sz w:val="20"/>
                <w:vertAlign w:val="subscript"/>
              </w:rPr>
              <w:t>2</w:t>
            </w:r>
            <w:r>
              <w:rPr>
                <w:b/>
                <w:noProof/>
                <w:sz w:val="20"/>
              </w:rPr>
              <w:t xml:space="preserve"> TARGET LEVEL FOR CARS</w:t>
            </w:r>
          </w:p>
        </w:tc>
      </w:tr>
      <w:tr w:rsidR="001A26B0">
        <w:trPr>
          <w:tblHeader/>
        </w:trPr>
        <w:tc>
          <w:tcPr>
            <w:tcW w:w="1435" w:type="pct"/>
            <w:tcBorders>
              <w:top w:val="single" w:sz="4" w:space="0" w:color="auto"/>
              <w:left w:val="single" w:sz="4" w:space="0" w:color="auto"/>
              <w:bottom w:val="single" w:sz="4" w:space="0" w:color="auto"/>
              <w:right w:val="single" w:sz="4" w:space="0" w:color="auto"/>
            </w:tcBorders>
          </w:tcPr>
          <w:p w:rsidR="001A26B0" w:rsidRDefault="00E33A99">
            <w:pPr>
              <w:spacing w:after="20"/>
              <w:jc w:val="center"/>
              <w:rPr>
                <w:noProof/>
                <w:sz w:val="20"/>
              </w:rPr>
            </w:pPr>
            <w:r>
              <w:rPr>
                <w:noProof/>
                <w:sz w:val="20"/>
              </w:rPr>
              <w:t>TLC20</w:t>
            </w:r>
          </w:p>
        </w:tc>
        <w:tc>
          <w:tcPr>
            <w:tcW w:w="848" w:type="pct"/>
            <w:gridSpan w:val="2"/>
            <w:tcBorders>
              <w:top w:val="single" w:sz="4" w:space="0" w:color="auto"/>
              <w:left w:val="single" w:sz="4" w:space="0" w:color="auto"/>
              <w:bottom w:val="single" w:sz="4" w:space="0" w:color="auto"/>
              <w:right w:val="single" w:sz="4" w:space="0" w:color="auto"/>
            </w:tcBorders>
            <w:shd w:val="clear" w:color="auto" w:fill="92D050"/>
          </w:tcPr>
          <w:p w:rsidR="001A26B0" w:rsidRDefault="00E33A99">
            <w:pPr>
              <w:spacing w:after="20"/>
              <w:jc w:val="center"/>
              <w:rPr>
                <w:noProof/>
                <w:sz w:val="20"/>
              </w:rPr>
            </w:pPr>
            <w:r>
              <w:rPr>
                <w:noProof/>
                <w:sz w:val="20"/>
              </w:rPr>
              <w:sym w:font="Wingdings" w:char="F0FC"/>
            </w:r>
          </w:p>
        </w:tc>
        <w:tc>
          <w:tcPr>
            <w:tcW w:w="852" w:type="pct"/>
            <w:gridSpan w:val="3"/>
            <w:tcBorders>
              <w:top w:val="single" w:sz="4" w:space="0" w:color="auto"/>
              <w:left w:val="single" w:sz="4" w:space="0" w:color="auto"/>
              <w:bottom w:val="single" w:sz="4" w:space="0" w:color="auto"/>
              <w:right w:val="single" w:sz="4" w:space="0" w:color="auto"/>
            </w:tcBorders>
            <w:shd w:val="clear" w:color="auto" w:fill="92D050"/>
          </w:tcPr>
          <w:p w:rsidR="001A26B0" w:rsidRDefault="00E33A99">
            <w:pPr>
              <w:spacing w:after="20"/>
              <w:jc w:val="center"/>
              <w:rPr>
                <w:noProof/>
                <w:sz w:val="20"/>
              </w:rPr>
            </w:pPr>
            <w:r>
              <w:rPr>
                <w:noProof/>
                <w:sz w:val="20"/>
              </w:rPr>
              <w:sym w:font="Wingdings" w:char="F0FC"/>
            </w:r>
          </w:p>
        </w:tc>
        <w:tc>
          <w:tcPr>
            <w:tcW w:w="89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A26B0" w:rsidRDefault="00E33A99">
            <w:pPr>
              <w:spacing w:after="20"/>
              <w:jc w:val="center"/>
              <w:rPr>
                <w:noProof/>
                <w:sz w:val="20"/>
              </w:rPr>
            </w:pPr>
            <w:r>
              <w:rPr>
                <w:noProof/>
                <w:sz w:val="20"/>
              </w:rPr>
              <w:t>O</w:t>
            </w:r>
          </w:p>
        </w:tc>
        <w:tc>
          <w:tcPr>
            <w:tcW w:w="968" w:type="pct"/>
            <w:tcBorders>
              <w:top w:val="single" w:sz="4" w:space="0" w:color="auto"/>
              <w:left w:val="single" w:sz="4" w:space="0" w:color="auto"/>
              <w:bottom w:val="single" w:sz="4" w:space="0" w:color="auto"/>
              <w:right w:val="single" w:sz="4" w:space="0" w:color="auto"/>
            </w:tcBorders>
            <w:shd w:val="clear" w:color="auto" w:fill="00B050"/>
          </w:tcPr>
          <w:p w:rsidR="001A26B0" w:rsidRDefault="00E33A99">
            <w:pPr>
              <w:spacing w:after="20"/>
              <w:jc w:val="center"/>
              <w:rPr>
                <w:noProof/>
                <w:sz w:val="20"/>
              </w:rPr>
            </w:pPr>
            <w:r>
              <w:rPr>
                <w:noProof/>
                <w:sz w:val="20"/>
              </w:rPr>
              <w:sym w:font="Wingdings" w:char="F0FC"/>
            </w:r>
            <w:r>
              <w:rPr>
                <w:noProof/>
                <w:sz w:val="20"/>
              </w:rPr>
              <w:sym w:font="Wingdings" w:char="F0FC"/>
            </w:r>
          </w:p>
        </w:tc>
      </w:tr>
      <w:tr w:rsidR="001A26B0">
        <w:trPr>
          <w:tblHeader/>
        </w:trPr>
        <w:tc>
          <w:tcPr>
            <w:tcW w:w="1435" w:type="pct"/>
            <w:tcBorders>
              <w:top w:val="single" w:sz="4" w:space="0" w:color="auto"/>
              <w:left w:val="single" w:sz="4" w:space="0" w:color="auto"/>
              <w:bottom w:val="single" w:sz="4" w:space="0" w:color="auto"/>
              <w:right w:val="single" w:sz="4" w:space="0" w:color="auto"/>
            </w:tcBorders>
          </w:tcPr>
          <w:p w:rsidR="001A26B0" w:rsidRDefault="00E33A99">
            <w:pPr>
              <w:spacing w:after="20"/>
              <w:jc w:val="center"/>
              <w:rPr>
                <w:noProof/>
                <w:sz w:val="20"/>
              </w:rPr>
            </w:pPr>
            <w:r>
              <w:rPr>
                <w:noProof/>
                <w:sz w:val="20"/>
              </w:rPr>
              <w:t>TLC25</w:t>
            </w:r>
          </w:p>
        </w:tc>
        <w:tc>
          <w:tcPr>
            <w:tcW w:w="848" w:type="pct"/>
            <w:gridSpan w:val="2"/>
            <w:tcBorders>
              <w:top w:val="single" w:sz="4" w:space="0" w:color="auto"/>
              <w:left w:val="single" w:sz="4" w:space="0" w:color="auto"/>
              <w:bottom w:val="single" w:sz="4" w:space="0" w:color="auto"/>
              <w:right w:val="single" w:sz="4" w:space="0" w:color="auto"/>
            </w:tcBorders>
            <w:shd w:val="clear" w:color="auto" w:fill="00B050"/>
          </w:tcPr>
          <w:p w:rsidR="001A26B0" w:rsidRDefault="00E33A99">
            <w:pPr>
              <w:spacing w:after="20"/>
              <w:jc w:val="center"/>
              <w:rPr>
                <w:noProof/>
                <w:sz w:val="20"/>
              </w:rPr>
            </w:pPr>
            <w:r>
              <w:rPr>
                <w:noProof/>
                <w:sz w:val="20"/>
              </w:rPr>
              <w:sym w:font="Wingdings" w:char="F0FC"/>
            </w:r>
            <w:r>
              <w:rPr>
                <w:noProof/>
                <w:sz w:val="20"/>
              </w:rPr>
              <w:sym w:font="Wingdings" w:char="F0FC"/>
            </w:r>
          </w:p>
        </w:tc>
        <w:tc>
          <w:tcPr>
            <w:tcW w:w="852" w:type="pct"/>
            <w:gridSpan w:val="3"/>
            <w:tcBorders>
              <w:top w:val="single" w:sz="4" w:space="0" w:color="auto"/>
              <w:left w:val="single" w:sz="4" w:space="0" w:color="auto"/>
              <w:bottom w:val="single" w:sz="4" w:space="0" w:color="auto"/>
              <w:right w:val="single" w:sz="4" w:space="0" w:color="auto"/>
            </w:tcBorders>
            <w:shd w:val="clear" w:color="auto" w:fill="00B050"/>
          </w:tcPr>
          <w:p w:rsidR="001A26B0" w:rsidRDefault="00E33A99">
            <w:pPr>
              <w:spacing w:after="20"/>
              <w:jc w:val="center"/>
              <w:rPr>
                <w:noProof/>
                <w:sz w:val="20"/>
              </w:rPr>
            </w:pPr>
            <w:r>
              <w:rPr>
                <w:noProof/>
                <w:sz w:val="20"/>
              </w:rPr>
              <w:sym w:font="Wingdings" w:char="F0FC"/>
            </w:r>
            <w:r>
              <w:rPr>
                <w:noProof/>
                <w:sz w:val="20"/>
              </w:rPr>
              <w:sym w:font="Wingdings" w:char="F0FC"/>
            </w:r>
          </w:p>
        </w:tc>
        <w:tc>
          <w:tcPr>
            <w:tcW w:w="897" w:type="pct"/>
            <w:gridSpan w:val="2"/>
            <w:tcBorders>
              <w:top w:val="single" w:sz="4" w:space="0" w:color="auto"/>
              <w:left w:val="single" w:sz="4" w:space="0" w:color="auto"/>
              <w:bottom w:val="single" w:sz="4" w:space="0" w:color="auto"/>
              <w:right w:val="single" w:sz="4" w:space="0" w:color="auto"/>
            </w:tcBorders>
            <w:shd w:val="clear" w:color="auto" w:fill="00B050"/>
          </w:tcPr>
          <w:p w:rsidR="001A26B0" w:rsidRDefault="00E33A99">
            <w:pPr>
              <w:spacing w:after="20"/>
              <w:jc w:val="center"/>
              <w:rPr>
                <w:noProof/>
                <w:sz w:val="20"/>
              </w:rPr>
            </w:pPr>
            <w:r>
              <w:rPr>
                <w:noProof/>
                <w:sz w:val="20"/>
              </w:rPr>
              <w:sym w:font="Wingdings" w:char="F0FC"/>
            </w:r>
            <w:r>
              <w:rPr>
                <w:noProof/>
                <w:sz w:val="20"/>
              </w:rPr>
              <w:sym w:font="Wingdings" w:char="F0FC"/>
            </w:r>
          </w:p>
        </w:tc>
        <w:tc>
          <w:tcPr>
            <w:tcW w:w="968" w:type="pct"/>
            <w:tcBorders>
              <w:top w:val="single" w:sz="4" w:space="0" w:color="auto"/>
              <w:left w:val="single" w:sz="4" w:space="0" w:color="auto"/>
              <w:bottom w:val="single" w:sz="4" w:space="0" w:color="auto"/>
              <w:right w:val="single" w:sz="4" w:space="0" w:color="auto"/>
            </w:tcBorders>
            <w:shd w:val="clear" w:color="auto" w:fill="00B050"/>
          </w:tcPr>
          <w:p w:rsidR="001A26B0" w:rsidRDefault="00E33A99">
            <w:pPr>
              <w:spacing w:after="20"/>
              <w:jc w:val="center"/>
              <w:rPr>
                <w:noProof/>
                <w:sz w:val="20"/>
              </w:rPr>
            </w:pPr>
            <w:r>
              <w:rPr>
                <w:noProof/>
                <w:sz w:val="20"/>
              </w:rPr>
              <w:sym w:font="Wingdings" w:char="F0FC"/>
            </w:r>
            <w:r>
              <w:rPr>
                <w:noProof/>
                <w:sz w:val="20"/>
              </w:rPr>
              <w:sym w:font="Wingdings" w:char="F0FC"/>
            </w:r>
          </w:p>
        </w:tc>
      </w:tr>
      <w:tr w:rsidR="001A26B0">
        <w:trPr>
          <w:tblHeader/>
        </w:trPr>
        <w:tc>
          <w:tcPr>
            <w:tcW w:w="1435" w:type="pct"/>
            <w:tcBorders>
              <w:top w:val="single" w:sz="4" w:space="0" w:color="auto"/>
              <w:left w:val="single" w:sz="4" w:space="0" w:color="auto"/>
              <w:bottom w:val="single" w:sz="4" w:space="0" w:color="auto"/>
              <w:right w:val="single" w:sz="4" w:space="0" w:color="auto"/>
            </w:tcBorders>
          </w:tcPr>
          <w:p w:rsidR="001A26B0" w:rsidRDefault="00E33A99">
            <w:pPr>
              <w:spacing w:after="20"/>
              <w:jc w:val="center"/>
              <w:rPr>
                <w:noProof/>
                <w:sz w:val="20"/>
              </w:rPr>
            </w:pPr>
            <w:r>
              <w:rPr>
                <w:noProof/>
                <w:sz w:val="20"/>
              </w:rPr>
              <w:t>TLC30</w:t>
            </w:r>
          </w:p>
        </w:tc>
        <w:tc>
          <w:tcPr>
            <w:tcW w:w="848" w:type="pct"/>
            <w:gridSpan w:val="2"/>
            <w:tcBorders>
              <w:top w:val="single" w:sz="4" w:space="0" w:color="auto"/>
              <w:left w:val="single" w:sz="4" w:space="0" w:color="auto"/>
              <w:bottom w:val="single" w:sz="4" w:space="0" w:color="auto"/>
              <w:right w:val="single" w:sz="4" w:space="0" w:color="auto"/>
            </w:tcBorders>
            <w:shd w:val="clear" w:color="auto" w:fill="00B050"/>
          </w:tcPr>
          <w:p w:rsidR="001A26B0" w:rsidRDefault="00E33A99">
            <w:pPr>
              <w:spacing w:after="20"/>
              <w:jc w:val="center"/>
              <w:rPr>
                <w:noProof/>
                <w:sz w:val="20"/>
              </w:rPr>
            </w:pPr>
            <w:r>
              <w:rPr>
                <w:noProof/>
                <w:sz w:val="20"/>
              </w:rPr>
              <w:sym w:font="Wingdings" w:char="F0FC"/>
            </w:r>
            <w:r>
              <w:rPr>
                <w:noProof/>
                <w:sz w:val="20"/>
              </w:rPr>
              <w:sym w:font="Wingdings" w:char="F0FC"/>
            </w:r>
          </w:p>
        </w:tc>
        <w:tc>
          <w:tcPr>
            <w:tcW w:w="852" w:type="pct"/>
            <w:gridSpan w:val="3"/>
            <w:tcBorders>
              <w:top w:val="single" w:sz="4" w:space="0" w:color="auto"/>
              <w:left w:val="single" w:sz="4" w:space="0" w:color="auto"/>
              <w:bottom w:val="single" w:sz="4" w:space="0" w:color="auto"/>
              <w:right w:val="single" w:sz="4" w:space="0" w:color="auto"/>
            </w:tcBorders>
            <w:shd w:val="clear" w:color="auto" w:fill="00B050"/>
          </w:tcPr>
          <w:p w:rsidR="001A26B0" w:rsidRDefault="00E33A99">
            <w:pPr>
              <w:spacing w:after="20"/>
              <w:jc w:val="center"/>
              <w:rPr>
                <w:noProof/>
                <w:sz w:val="20"/>
              </w:rPr>
            </w:pPr>
            <w:r>
              <w:rPr>
                <w:noProof/>
                <w:sz w:val="20"/>
              </w:rPr>
              <w:sym w:font="Wingdings" w:char="F0FC"/>
            </w:r>
            <w:r>
              <w:rPr>
                <w:noProof/>
                <w:sz w:val="20"/>
              </w:rPr>
              <w:sym w:font="Wingdings" w:char="F0FC"/>
            </w:r>
          </w:p>
        </w:tc>
        <w:tc>
          <w:tcPr>
            <w:tcW w:w="897" w:type="pct"/>
            <w:gridSpan w:val="2"/>
            <w:tcBorders>
              <w:top w:val="single" w:sz="4" w:space="0" w:color="auto"/>
              <w:left w:val="single" w:sz="4" w:space="0" w:color="auto"/>
              <w:bottom w:val="single" w:sz="4" w:space="0" w:color="auto"/>
              <w:right w:val="single" w:sz="4" w:space="0" w:color="auto"/>
            </w:tcBorders>
            <w:shd w:val="clear" w:color="auto" w:fill="00B050"/>
          </w:tcPr>
          <w:p w:rsidR="001A26B0" w:rsidRDefault="00E33A99">
            <w:pPr>
              <w:spacing w:after="20"/>
              <w:jc w:val="center"/>
              <w:rPr>
                <w:noProof/>
                <w:sz w:val="20"/>
              </w:rPr>
            </w:pPr>
            <w:r>
              <w:rPr>
                <w:noProof/>
                <w:sz w:val="20"/>
              </w:rPr>
              <w:sym w:font="Wingdings" w:char="F0FC"/>
            </w:r>
            <w:r>
              <w:rPr>
                <w:noProof/>
                <w:sz w:val="20"/>
              </w:rPr>
              <w:sym w:font="Wingdings" w:char="F0FC"/>
            </w:r>
          </w:p>
        </w:tc>
        <w:tc>
          <w:tcPr>
            <w:tcW w:w="968" w:type="pct"/>
            <w:tcBorders>
              <w:top w:val="single" w:sz="4" w:space="0" w:color="auto"/>
              <w:left w:val="single" w:sz="4" w:space="0" w:color="auto"/>
              <w:bottom w:val="single" w:sz="4" w:space="0" w:color="auto"/>
              <w:right w:val="single" w:sz="4" w:space="0" w:color="auto"/>
            </w:tcBorders>
            <w:shd w:val="clear" w:color="auto" w:fill="00B050"/>
          </w:tcPr>
          <w:p w:rsidR="001A26B0" w:rsidRDefault="00E33A99">
            <w:pPr>
              <w:spacing w:after="20"/>
              <w:jc w:val="center"/>
              <w:rPr>
                <w:noProof/>
                <w:sz w:val="20"/>
              </w:rPr>
            </w:pPr>
            <w:r>
              <w:rPr>
                <w:noProof/>
                <w:sz w:val="20"/>
              </w:rPr>
              <w:sym w:font="Wingdings" w:char="F0FC"/>
            </w:r>
            <w:r>
              <w:rPr>
                <w:noProof/>
                <w:sz w:val="20"/>
              </w:rPr>
              <w:sym w:font="Wingdings" w:char="F0FC"/>
            </w:r>
          </w:p>
        </w:tc>
      </w:tr>
      <w:tr w:rsidR="001A26B0">
        <w:trPr>
          <w:tblHeader/>
        </w:trPr>
        <w:tc>
          <w:tcPr>
            <w:tcW w:w="1435" w:type="pct"/>
            <w:tcBorders>
              <w:top w:val="single" w:sz="4" w:space="0" w:color="auto"/>
              <w:left w:val="single" w:sz="4" w:space="0" w:color="auto"/>
              <w:bottom w:val="single" w:sz="4" w:space="0" w:color="auto"/>
              <w:right w:val="single" w:sz="4" w:space="0" w:color="auto"/>
            </w:tcBorders>
          </w:tcPr>
          <w:p w:rsidR="001A26B0" w:rsidRDefault="00E33A99">
            <w:pPr>
              <w:spacing w:after="20"/>
              <w:jc w:val="center"/>
              <w:rPr>
                <w:noProof/>
                <w:sz w:val="20"/>
              </w:rPr>
            </w:pPr>
            <w:r>
              <w:rPr>
                <w:noProof/>
                <w:sz w:val="20"/>
              </w:rPr>
              <w:t>TLC40</w:t>
            </w:r>
          </w:p>
        </w:tc>
        <w:tc>
          <w:tcPr>
            <w:tcW w:w="848" w:type="pct"/>
            <w:gridSpan w:val="2"/>
            <w:tcBorders>
              <w:top w:val="single" w:sz="4" w:space="0" w:color="auto"/>
              <w:left w:val="single" w:sz="4" w:space="0" w:color="auto"/>
              <w:bottom w:val="single" w:sz="4" w:space="0" w:color="auto"/>
              <w:right w:val="single" w:sz="4" w:space="0" w:color="auto"/>
            </w:tcBorders>
            <w:shd w:val="clear" w:color="auto" w:fill="00B050"/>
          </w:tcPr>
          <w:p w:rsidR="001A26B0" w:rsidRDefault="00E33A99">
            <w:pPr>
              <w:spacing w:after="20"/>
              <w:jc w:val="center"/>
              <w:rPr>
                <w:noProof/>
                <w:sz w:val="20"/>
              </w:rPr>
            </w:pPr>
            <w:r>
              <w:rPr>
                <w:noProof/>
                <w:sz w:val="20"/>
              </w:rPr>
              <w:sym w:font="Wingdings" w:char="F0FC"/>
            </w:r>
            <w:r>
              <w:rPr>
                <w:noProof/>
                <w:sz w:val="20"/>
              </w:rPr>
              <w:sym w:font="Wingdings" w:char="F0FC"/>
            </w:r>
          </w:p>
        </w:tc>
        <w:tc>
          <w:tcPr>
            <w:tcW w:w="852" w:type="pct"/>
            <w:gridSpan w:val="3"/>
            <w:tcBorders>
              <w:top w:val="single" w:sz="4" w:space="0" w:color="auto"/>
              <w:left w:val="single" w:sz="4" w:space="0" w:color="auto"/>
              <w:bottom w:val="single" w:sz="4" w:space="0" w:color="auto"/>
              <w:right w:val="single" w:sz="4" w:space="0" w:color="auto"/>
            </w:tcBorders>
            <w:shd w:val="clear" w:color="auto" w:fill="92D050"/>
          </w:tcPr>
          <w:p w:rsidR="001A26B0" w:rsidRDefault="00E33A99">
            <w:pPr>
              <w:spacing w:after="20"/>
              <w:jc w:val="center"/>
              <w:rPr>
                <w:noProof/>
                <w:sz w:val="20"/>
              </w:rPr>
            </w:pPr>
            <w:r>
              <w:rPr>
                <w:noProof/>
                <w:sz w:val="20"/>
              </w:rPr>
              <w:sym w:font="Wingdings" w:char="F0FC"/>
            </w:r>
          </w:p>
        </w:tc>
        <w:tc>
          <w:tcPr>
            <w:tcW w:w="897" w:type="pct"/>
            <w:gridSpan w:val="2"/>
            <w:tcBorders>
              <w:top w:val="single" w:sz="4" w:space="0" w:color="auto"/>
              <w:left w:val="single" w:sz="4" w:space="0" w:color="auto"/>
              <w:bottom w:val="single" w:sz="4" w:space="0" w:color="auto"/>
              <w:right w:val="single" w:sz="4" w:space="0" w:color="auto"/>
            </w:tcBorders>
            <w:shd w:val="clear" w:color="auto" w:fill="92D050"/>
          </w:tcPr>
          <w:p w:rsidR="001A26B0" w:rsidRDefault="00E33A99">
            <w:pPr>
              <w:spacing w:after="20"/>
              <w:jc w:val="center"/>
              <w:rPr>
                <w:noProof/>
                <w:sz w:val="20"/>
              </w:rPr>
            </w:pPr>
            <w:r>
              <w:rPr>
                <w:noProof/>
                <w:sz w:val="20"/>
              </w:rPr>
              <w:sym w:font="Wingdings" w:char="F0FC"/>
            </w:r>
          </w:p>
        </w:tc>
        <w:tc>
          <w:tcPr>
            <w:tcW w:w="968" w:type="pct"/>
            <w:tcBorders>
              <w:top w:val="single" w:sz="4" w:space="0" w:color="auto"/>
              <w:left w:val="single" w:sz="4" w:space="0" w:color="auto"/>
              <w:bottom w:val="single" w:sz="4" w:space="0" w:color="auto"/>
              <w:right w:val="single" w:sz="4" w:space="0" w:color="auto"/>
            </w:tcBorders>
            <w:shd w:val="clear" w:color="auto" w:fill="92D050"/>
          </w:tcPr>
          <w:p w:rsidR="001A26B0" w:rsidRDefault="00E33A99">
            <w:pPr>
              <w:spacing w:after="20"/>
              <w:jc w:val="center"/>
              <w:rPr>
                <w:noProof/>
                <w:sz w:val="20"/>
              </w:rPr>
            </w:pPr>
            <w:r>
              <w:rPr>
                <w:noProof/>
                <w:sz w:val="20"/>
              </w:rPr>
              <w:sym w:font="Wingdings" w:char="F0FC"/>
            </w:r>
          </w:p>
        </w:tc>
      </w:tr>
      <w:tr w:rsidR="001A26B0">
        <w:trPr>
          <w:tblHeader/>
        </w:trPr>
        <w:tc>
          <w:tcPr>
            <w:tcW w:w="1435" w:type="pct"/>
            <w:tcBorders>
              <w:top w:val="single" w:sz="4" w:space="0" w:color="auto"/>
              <w:left w:val="single" w:sz="4" w:space="0" w:color="auto"/>
              <w:bottom w:val="single" w:sz="4" w:space="0" w:color="auto"/>
              <w:right w:val="single" w:sz="4" w:space="0" w:color="auto"/>
            </w:tcBorders>
          </w:tcPr>
          <w:p w:rsidR="001A26B0" w:rsidRDefault="00E33A99">
            <w:pPr>
              <w:spacing w:after="20"/>
              <w:jc w:val="center"/>
              <w:rPr>
                <w:noProof/>
                <w:sz w:val="20"/>
              </w:rPr>
            </w:pPr>
            <w:r>
              <w:rPr>
                <w:noProof/>
                <w:sz w:val="20"/>
              </w:rPr>
              <w:t>TLC_EP40</w:t>
            </w:r>
          </w:p>
        </w:tc>
        <w:tc>
          <w:tcPr>
            <w:tcW w:w="848" w:type="pct"/>
            <w:gridSpan w:val="2"/>
            <w:tcBorders>
              <w:top w:val="single" w:sz="4" w:space="0" w:color="auto"/>
              <w:left w:val="single" w:sz="4" w:space="0" w:color="auto"/>
              <w:bottom w:val="single" w:sz="4" w:space="0" w:color="auto"/>
              <w:right w:val="single" w:sz="4" w:space="0" w:color="auto"/>
            </w:tcBorders>
            <w:shd w:val="clear" w:color="auto" w:fill="00B050"/>
          </w:tcPr>
          <w:p w:rsidR="001A26B0" w:rsidRDefault="00E33A99">
            <w:pPr>
              <w:spacing w:after="20"/>
              <w:jc w:val="center"/>
              <w:rPr>
                <w:noProof/>
                <w:sz w:val="20"/>
              </w:rPr>
            </w:pPr>
            <w:r>
              <w:rPr>
                <w:noProof/>
                <w:sz w:val="20"/>
              </w:rPr>
              <w:sym w:font="Wingdings" w:char="F0FC"/>
            </w:r>
            <w:r>
              <w:rPr>
                <w:noProof/>
                <w:sz w:val="20"/>
              </w:rPr>
              <w:sym w:font="Wingdings" w:char="F0FC"/>
            </w:r>
          </w:p>
        </w:tc>
        <w:tc>
          <w:tcPr>
            <w:tcW w:w="852" w:type="pct"/>
            <w:gridSpan w:val="3"/>
            <w:tcBorders>
              <w:top w:val="single" w:sz="4" w:space="0" w:color="auto"/>
              <w:left w:val="single" w:sz="4" w:space="0" w:color="auto"/>
              <w:bottom w:val="single" w:sz="4" w:space="0" w:color="auto"/>
              <w:right w:val="single" w:sz="4" w:space="0" w:color="auto"/>
            </w:tcBorders>
            <w:shd w:val="clear" w:color="auto" w:fill="92D050"/>
          </w:tcPr>
          <w:p w:rsidR="001A26B0" w:rsidRDefault="00E33A99">
            <w:pPr>
              <w:spacing w:after="20"/>
              <w:jc w:val="center"/>
              <w:rPr>
                <w:noProof/>
                <w:sz w:val="20"/>
              </w:rPr>
            </w:pPr>
            <w:r>
              <w:rPr>
                <w:noProof/>
                <w:sz w:val="20"/>
              </w:rPr>
              <w:sym w:font="Wingdings" w:char="F0FC"/>
            </w:r>
          </w:p>
        </w:tc>
        <w:tc>
          <w:tcPr>
            <w:tcW w:w="897" w:type="pct"/>
            <w:gridSpan w:val="2"/>
            <w:tcBorders>
              <w:top w:val="single" w:sz="4" w:space="0" w:color="auto"/>
              <w:left w:val="single" w:sz="4" w:space="0" w:color="auto"/>
              <w:bottom w:val="single" w:sz="4" w:space="0" w:color="auto"/>
              <w:right w:val="single" w:sz="4" w:space="0" w:color="auto"/>
            </w:tcBorders>
            <w:shd w:val="clear" w:color="auto" w:fill="92D050"/>
          </w:tcPr>
          <w:p w:rsidR="001A26B0" w:rsidRDefault="00E33A99">
            <w:pPr>
              <w:spacing w:after="20"/>
              <w:jc w:val="center"/>
              <w:rPr>
                <w:noProof/>
                <w:sz w:val="20"/>
              </w:rPr>
            </w:pPr>
            <w:r>
              <w:rPr>
                <w:noProof/>
                <w:sz w:val="20"/>
              </w:rPr>
              <w:sym w:font="Wingdings" w:char="F0FC"/>
            </w:r>
          </w:p>
        </w:tc>
        <w:tc>
          <w:tcPr>
            <w:tcW w:w="968" w:type="pct"/>
            <w:tcBorders>
              <w:top w:val="single" w:sz="4" w:space="0" w:color="auto"/>
              <w:left w:val="single" w:sz="4" w:space="0" w:color="auto"/>
              <w:bottom w:val="single" w:sz="4" w:space="0" w:color="auto"/>
              <w:right w:val="single" w:sz="4" w:space="0" w:color="auto"/>
            </w:tcBorders>
            <w:shd w:val="clear" w:color="auto" w:fill="92D050"/>
          </w:tcPr>
          <w:p w:rsidR="001A26B0" w:rsidRDefault="00E33A99">
            <w:pPr>
              <w:spacing w:after="20"/>
              <w:jc w:val="center"/>
              <w:rPr>
                <w:noProof/>
                <w:sz w:val="20"/>
              </w:rPr>
            </w:pPr>
            <w:r>
              <w:rPr>
                <w:noProof/>
                <w:sz w:val="20"/>
              </w:rPr>
              <w:sym w:font="Wingdings" w:char="F0FC"/>
            </w:r>
          </w:p>
        </w:tc>
      </w:tr>
      <w:tr w:rsidR="001A26B0">
        <w:trPr>
          <w:tblHeader/>
        </w:trPr>
        <w:tc>
          <w:tcPr>
            <w:tcW w:w="1435" w:type="pct"/>
            <w:tcBorders>
              <w:top w:val="single" w:sz="4" w:space="0" w:color="auto"/>
              <w:left w:val="single" w:sz="4" w:space="0" w:color="auto"/>
              <w:bottom w:val="single" w:sz="4" w:space="0" w:color="auto"/>
              <w:right w:val="single" w:sz="4" w:space="0" w:color="auto"/>
            </w:tcBorders>
          </w:tcPr>
          <w:p w:rsidR="001A26B0" w:rsidRDefault="00E33A99">
            <w:pPr>
              <w:spacing w:after="20"/>
              <w:jc w:val="center"/>
              <w:rPr>
                <w:noProof/>
                <w:sz w:val="20"/>
              </w:rPr>
            </w:pPr>
            <w:r>
              <w:rPr>
                <w:noProof/>
                <w:sz w:val="20"/>
              </w:rPr>
              <w:t>TLC_EP50</w:t>
            </w:r>
          </w:p>
        </w:tc>
        <w:tc>
          <w:tcPr>
            <w:tcW w:w="848" w:type="pct"/>
            <w:gridSpan w:val="2"/>
            <w:tcBorders>
              <w:top w:val="single" w:sz="4" w:space="0" w:color="auto"/>
              <w:left w:val="single" w:sz="4" w:space="0" w:color="auto"/>
              <w:bottom w:val="single" w:sz="4" w:space="0" w:color="auto"/>
              <w:right w:val="single" w:sz="4" w:space="0" w:color="auto"/>
            </w:tcBorders>
            <w:shd w:val="clear" w:color="auto" w:fill="00B050"/>
          </w:tcPr>
          <w:p w:rsidR="001A26B0" w:rsidRDefault="00E33A99">
            <w:pPr>
              <w:spacing w:after="20"/>
              <w:jc w:val="center"/>
              <w:rPr>
                <w:noProof/>
                <w:sz w:val="20"/>
              </w:rPr>
            </w:pPr>
            <w:r>
              <w:rPr>
                <w:noProof/>
                <w:sz w:val="20"/>
              </w:rPr>
              <w:sym w:font="Wingdings" w:char="F0FC"/>
            </w:r>
            <w:r>
              <w:rPr>
                <w:noProof/>
                <w:sz w:val="20"/>
              </w:rPr>
              <w:sym w:font="Wingdings" w:char="F0FC"/>
            </w:r>
          </w:p>
        </w:tc>
        <w:tc>
          <w:tcPr>
            <w:tcW w:w="852" w:type="pct"/>
            <w:gridSpan w:val="3"/>
            <w:tcBorders>
              <w:top w:val="single" w:sz="4" w:space="0" w:color="auto"/>
              <w:left w:val="single" w:sz="4" w:space="0" w:color="auto"/>
              <w:bottom w:val="single" w:sz="4" w:space="0" w:color="auto"/>
              <w:right w:val="single" w:sz="4" w:space="0" w:color="auto"/>
            </w:tcBorders>
            <w:shd w:val="clear" w:color="auto" w:fill="F79646" w:themeFill="accent6"/>
          </w:tcPr>
          <w:p w:rsidR="001A26B0" w:rsidRDefault="00E33A99">
            <w:pPr>
              <w:spacing w:after="20"/>
              <w:jc w:val="center"/>
              <w:rPr>
                <w:noProof/>
                <w:sz w:val="20"/>
              </w:rPr>
            </w:pPr>
            <w:r>
              <w:rPr>
                <w:noProof/>
                <w:sz w:val="20"/>
              </w:rPr>
              <w:sym w:font="Wingdings" w:char="F0FB"/>
            </w:r>
          </w:p>
        </w:tc>
        <w:tc>
          <w:tcPr>
            <w:tcW w:w="89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A26B0" w:rsidRDefault="00E33A99">
            <w:pPr>
              <w:spacing w:after="20"/>
              <w:jc w:val="center"/>
              <w:rPr>
                <w:noProof/>
                <w:sz w:val="20"/>
              </w:rPr>
            </w:pPr>
            <w:r>
              <w:rPr>
                <w:noProof/>
                <w:sz w:val="20"/>
              </w:rPr>
              <w:t>O</w:t>
            </w:r>
          </w:p>
        </w:tc>
        <w:tc>
          <w:tcPr>
            <w:tcW w:w="968" w:type="pct"/>
            <w:tcBorders>
              <w:top w:val="single" w:sz="4" w:space="0" w:color="auto"/>
              <w:left w:val="single" w:sz="4" w:space="0" w:color="auto"/>
              <w:bottom w:val="single" w:sz="4" w:space="0" w:color="auto"/>
              <w:right w:val="single" w:sz="4" w:space="0" w:color="auto"/>
            </w:tcBorders>
            <w:shd w:val="clear" w:color="auto" w:fill="F79646" w:themeFill="accent6"/>
          </w:tcPr>
          <w:p w:rsidR="001A26B0" w:rsidRDefault="00E33A99">
            <w:pPr>
              <w:spacing w:after="20"/>
              <w:jc w:val="center"/>
              <w:rPr>
                <w:noProof/>
                <w:sz w:val="20"/>
              </w:rPr>
            </w:pPr>
            <w:r>
              <w:rPr>
                <w:noProof/>
                <w:sz w:val="20"/>
              </w:rPr>
              <w:sym w:font="Wingdings" w:char="F0FB"/>
            </w:r>
          </w:p>
        </w:tc>
      </w:tr>
      <w:tr w:rsidR="001A26B0">
        <w:trPr>
          <w:tblHeader/>
        </w:trPr>
        <w:tc>
          <w:tcPr>
            <w:tcW w:w="5000" w:type="pct"/>
            <w:gridSpan w:val="9"/>
            <w:tcBorders>
              <w:top w:val="single" w:sz="4" w:space="0" w:color="auto"/>
              <w:left w:val="single" w:sz="4" w:space="0" w:color="auto"/>
              <w:bottom w:val="single" w:sz="4" w:space="0" w:color="auto"/>
              <w:right w:val="single" w:sz="4" w:space="0" w:color="auto"/>
            </w:tcBorders>
          </w:tcPr>
          <w:p w:rsidR="001A26B0" w:rsidRDefault="00E33A99">
            <w:pPr>
              <w:spacing w:after="20"/>
              <w:jc w:val="center"/>
              <w:rPr>
                <w:b/>
                <w:noProof/>
                <w:sz w:val="20"/>
              </w:rPr>
            </w:pPr>
            <w:r>
              <w:rPr>
                <w:b/>
                <w:noProof/>
                <w:sz w:val="20"/>
              </w:rPr>
              <w:t>CO</w:t>
            </w:r>
            <w:r>
              <w:rPr>
                <w:b/>
                <w:noProof/>
                <w:sz w:val="20"/>
                <w:vertAlign w:val="subscript"/>
              </w:rPr>
              <w:t>2</w:t>
            </w:r>
            <w:r>
              <w:rPr>
                <w:b/>
                <w:noProof/>
                <w:sz w:val="20"/>
              </w:rPr>
              <w:t xml:space="preserve"> TARGET LEVEL FOR VANS</w:t>
            </w:r>
          </w:p>
        </w:tc>
      </w:tr>
      <w:tr w:rsidR="001A26B0">
        <w:trPr>
          <w:tblHeader/>
        </w:trPr>
        <w:tc>
          <w:tcPr>
            <w:tcW w:w="1435" w:type="pct"/>
            <w:tcBorders>
              <w:top w:val="single" w:sz="4" w:space="0" w:color="auto"/>
              <w:left w:val="single" w:sz="4" w:space="0" w:color="auto"/>
              <w:bottom w:val="single" w:sz="4" w:space="0" w:color="auto"/>
              <w:right w:val="single" w:sz="4" w:space="0" w:color="auto"/>
            </w:tcBorders>
          </w:tcPr>
          <w:p w:rsidR="001A26B0" w:rsidRDefault="00E33A99">
            <w:pPr>
              <w:spacing w:after="20"/>
              <w:jc w:val="center"/>
              <w:rPr>
                <w:noProof/>
                <w:sz w:val="20"/>
              </w:rPr>
            </w:pPr>
            <w:r>
              <w:rPr>
                <w:noProof/>
                <w:sz w:val="20"/>
              </w:rPr>
              <w:t>TLV20</w:t>
            </w:r>
          </w:p>
        </w:tc>
        <w:tc>
          <w:tcPr>
            <w:tcW w:w="848" w:type="pct"/>
            <w:gridSpan w:val="2"/>
            <w:tcBorders>
              <w:top w:val="single" w:sz="4" w:space="0" w:color="auto"/>
              <w:left w:val="single" w:sz="4" w:space="0" w:color="auto"/>
              <w:bottom w:val="single" w:sz="4" w:space="0" w:color="auto"/>
              <w:right w:val="single" w:sz="4" w:space="0" w:color="auto"/>
            </w:tcBorders>
            <w:shd w:val="clear" w:color="auto" w:fill="92D050"/>
          </w:tcPr>
          <w:p w:rsidR="001A26B0" w:rsidRDefault="00E33A99">
            <w:pPr>
              <w:spacing w:after="20"/>
              <w:jc w:val="center"/>
              <w:rPr>
                <w:noProof/>
                <w:sz w:val="20"/>
              </w:rPr>
            </w:pPr>
            <w:r>
              <w:rPr>
                <w:noProof/>
                <w:sz w:val="20"/>
              </w:rPr>
              <w:sym w:font="Wingdings" w:char="F0FC"/>
            </w:r>
          </w:p>
        </w:tc>
        <w:tc>
          <w:tcPr>
            <w:tcW w:w="852" w:type="pct"/>
            <w:gridSpan w:val="3"/>
            <w:tcBorders>
              <w:top w:val="single" w:sz="4" w:space="0" w:color="auto"/>
              <w:left w:val="single" w:sz="4" w:space="0" w:color="auto"/>
              <w:bottom w:val="single" w:sz="4" w:space="0" w:color="auto"/>
              <w:right w:val="single" w:sz="4" w:space="0" w:color="auto"/>
            </w:tcBorders>
            <w:shd w:val="clear" w:color="auto" w:fill="92D050"/>
          </w:tcPr>
          <w:p w:rsidR="001A26B0" w:rsidRDefault="00E33A99">
            <w:pPr>
              <w:spacing w:after="20"/>
              <w:jc w:val="center"/>
              <w:rPr>
                <w:noProof/>
                <w:sz w:val="20"/>
              </w:rPr>
            </w:pPr>
            <w:r>
              <w:rPr>
                <w:noProof/>
                <w:sz w:val="20"/>
              </w:rPr>
              <w:sym w:font="Wingdings" w:char="F0FC"/>
            </w:r>
          </w:p>
        </w:tc>
        <w:tc>
          <w:tcPr>
            <w:tcW w:w="89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A26B0" w:rsidRDefault="00E33A99">
            <w:pPr>
              <w:spacing w:after="20"/>
              <w:jc w:val="center"/>
              <w:rPr>
                <w:noProof/>
                <w:sz w:val="20"/>
              </w:rPr>
            </w:pPr>
            <w:r>
              <w:rPr>
                <w:noProof/>
                <w:sz w:val="20"/>
              </w:rPr>
              <w:t>O</w:t>
            </w:r>
          </w:p>
        </w:tc>
        <w:tc>
          <w:tcPr>
            <w:tcW w:w="968" w:type="pct"/>
            <w:tcBorders>
              <w:top w:val="single" w:sz="4" w:space="0" w:color="auto"/>
              <w:left w:val="single" w:sz="4" w:space="0" w:color="auto"/>
              <w:bottom w:val="single" w:sz="4" w:space="0" w:color="auto"/>
              <w:right w:val="single" w:sz="4" w:space="0" w:color="auto"/>
            </w:tcBorders>
            <w:shd w:val="clear" w:color="auto" w:fill="00B050"/>
          </w:tcPr>
          <w:p w:rsidR="001A26B0" w:rsidRDefault="00E33A99">
            <w:pPr>
              <w:spacing w:after="20"/>
              <w:jc w:val="center"/>
              <w:rPr>
                <w:noProof/>
                <w:sz w:val="20"/>
              </w:rPr>
            </w:pPr>
            <w:r>
              <w:rPr>
                <w:noProof/>
                <w:sz w:val="20"/>
              </w:rPr>
              <w:sym w:font="Wingdings" w:char="F0FC"/>
            </w:r>
            <w:r>
              <w:rPr>
                <w:noProof/>
                <w:sz w:val="20"/>
              </w:rPr>
              <w:sym w:font="Wingdings" w:char="F0FC"/>
            </w:r>
          </w:p>
        </w:tc>
      </w:tr>
      <w:tr w:rsidR="001A26B0">
        <w:trPr>
          <w:tblHeader/>
        </w:trPr>
        <w:tc>
          <w:tcPr>
            <w:tcW w:w="1435" w:type="pct"/>
            <w:tcBorders>
              <w:top w:val="single" w:sz="4" w:space="0" w:color="auto"/>
              <w:left w:val="single" w:sz="4" w:space="0" w:color="auto"/>
              <w:bottom w:val="single" w:sz="4" w:space="0" w:color="auto"/>
              <w:right w:val="single" w:sz="4" w:space="0" w:color="auto"/>
            </w:tcBorders>
          </w:tcPr>
          <w:p w:rsidR="001A26B0" w:rsidRDefault="00E33A99">
            <w:pPr>
              <w:spacing w:after="20"/>
              <w:jc w:val="center"/>
              <w:rPr>
                <w:noProof/>
                <w:sz w:val="20"/>
              </w:rPr>
            </w:pPr>
            <w:r>
              <w:rPr>
                <w:noProof/>
                <w:sz w:val="20"/>
              </w:rPr>
              <w:t>TLV25</w:t>
            </w:r>
          </w:p>
        </w:tc>
        <w:tc>
          <w:tcPr>
            <w:tcW w:w="848" w:type="pct"/>
            <w:gridSpan w:val="2"/>
            <w:tcBorders>
              <w:top w:val="single" w:sz="4" w:space="0" w:color="auto"/>
              <w:left w:val="single" w:sz="4" w:space="0" w:color="auto"/>
              <w:bottom w:val="single" w:sz="4" w:space="0" w:color="auto"/>
              <w:right w:val="single" w:sz="4" w:space="0" w:color="auto"/>
            </w:tcBorders>
            <w:shd w:val="clear" w:color="auto" w:fill="92D050"/>
          </w:tcPr>
          <w:p w:rsidR="001A26B0" w:rsidRDefault="00E33A99">
            <w:pPr>
              <w:spacing w:after="20"/>
              <w:jc w:val="center"/>
              <w:rPr>
                <w:noProof/>
                <w:sz w:val="20"/>
              </w:rPr>
            </w:pPr>
            <w:r>
              <w:rPr>
                <w:noProof/>
                <w:sz w:val="20"/>
              </w:rPr>
              <w:sym w:font="Wingdings" w:char="F0FC"/>
            </w:r>
          </w:p>
        </w:tc>
        <w:tc>
          <w:tcPr>
            <w:tcW w:w="852" w:type="pct"/>
            <w:gridSpan w:val="3"/>
            <w:tcBorders>
              <w:top w:val="single" w:sz="4" w:space="0" w:color="auto"/>
              <w:left w:val="single" w:sz="4" w:space="0" w:color="auto"/>
              <w:bottom w:val="single" w:sz="4" w:space="0" w:color="auto"/>
              <w:right w:val="single" w:sz="4" w:space="0" w:color="auto"/>
            </w:tcBorders>
            <w:shd w:val="clear" w:color="auto" w:fill="92D050"/>
          </w:tcPr>
          <w:p w:rsidR="001A26B0" w:rsidRDefault="00E33A99">
            <w:pPr>
              <w:spacing w:after="20"/>
              <w:jc w:val="center"/>
              <w:rPr>
                <w:noProof/>
                <w:sz w:val="20"/>
              </w:rPr>
            </w:pPr>
            <w:r>
              <w:rPr>
                <w:noProof/>
                <w:sz w:val="20"/>
              </w:rPr>
              <w:sym w:font="Wingdings" w:char="F0FC"/>
            </w:r>
          </w:p>
        </w:tc>
        <w:tc>
          <w:tcPr>
            <w:tcW w:w="897" w:type="pct"/>
            <w:gridSpan w:val="2"/>
            <w:tcBorders>
              <w:top w:val="single" w:sz="4" w:space="0" w:color="auto"/>
              <w:left w:val="single" w:sz="4" w:space="0" w:color="auto"/>
              <w:bottom w:val="single" w:sz="4" w:space="0" w:color="auto"/>
              <w:right w:val="single" w:sz="4" w:space="0" w:color="auto"/>
            </w:tcBorders>
            <w:shd w:val="clear" w:color="auto" w:fill="92D050"/>
          </w:tcPr>
          <w:p w:rsidR="001A26B0" w:rsidRDefault="00E33A99">
            <w:pPr>
              <w:spacing w:after="20"/>
              <w:jc w:val="center"/>
              <w:rPr>
                <w:noProof/>
                <w:sz w:val="20"/>
              </w:rPr>
            </w:pPr>
            <w:r>
              <w:rPr>
                <w:noProof/>
                <w:sz w:val="20"/>
              </w:rPr>
              <w:sym w:font="Wingdings" w:char="F0FC"/>
            </w:r>
          </w:p>
        </w:tc>
        <w:tc>
          <w:tcPr>
            <w:tcW w:w="968" w:type="pct"/>
            <w:tcBorders>
              <w:top w:val="single" w:sz="4" w:space="0" w:color="auto"/>
              <w:left w:val="single" w:sz="4" w:space="0" w:color="auto"/>
              <w:bottom w:val="single" w:sz="4" w:space="0" w:color="auto"/>
              <w:right w:val="single" w:sz="4" w:space="0" w:color="auto"/>
            </w:tcBorders>
            <w:shd w:val="clear" w:color="auto" w:fill="00B050"/>
          </w:tcPr>
          <w:p w:rsidR="001A26B0" w:rsidRDefault="00E33A99">
            <w:pPr>
              <w:spacing w:after="20"/>
              <w:jc w:val="center"/>
              <w:rPr>
                <w:noProof/>
                <w:sz w:val="20"/>
              </w:rPr>
            </w:pPr>
            <w:r>
              <w:rPr>
                <w:noProof/>
                <w:sz w:val="20"/>
              </w:rPr>
              <w:sym w:font="Wingdings" w:char="F0FC"/>
            </w:r>
            <w:r>
              <w:rPr>
                <w:noProof/>
                <w:sz w:val="20"/>
              </w:rPr>
              <w:sym w:font="Wingdings" w:char="F0FC"/>
            </w:r>
          </w:p>
        </w:tc>
      </w:tr>
      <w:tr w:rsidR="001A26B0">
        <w:trPr>
          <w:tblHeader/>
        </w:trPr>
        <w:tc>
          <w:tcPr>
            <w:tcW w:w="1435" w:type="pct"/>
            <w:tcBorders>
              <w:top w:val="single" w:sz="4" w:space="0" w:color="auto"/>
              <w:left w:val="single" w:sz="4" w:space="0" w:color="auto"/>
              <w:bottom w:val="single" w:sz="4" w:space="0" w:color="auto"/>
              <w:right w:val="single" w:sz="4" w:space="0" w:color="auto"/>
            </w:tcBorders>
          </w:tcPr>
          <w:p w:rsidR="001A26B0" w:rsidRDefault="00E33A99">
            <w:pPr>
              <w:spacing w:after="20"/>
              <w:jc w:val="center"/>
              <w:rPr>
                <w:noProof/>
                <w:sz w:val="20"/>
              </w:rPr>
            </w:pPr>
            <w:r>
              <w:rPr>
                <w:noProof/>
                <w:sz w:val="20"/>
              </w:rPr>
              <w:t>TLV30</w:t>
            </w:r>
          </w:p>
        </w:tc>
        <w:tc>
          <w:tcPr>
            <w:tcW w:w="848" w:type="pct"/>
            <w:gridSpan w:val="2"/>
            <w:tcBorders>
              <w:top w:val="single" w:sz="4" w:space="0" w:color="auto"/>
              <w:left w:val="single" w:sz="4" w:space="0" w:color="auto"/>
              <w:bottom w:val="single" w:sz="4" w:space="0" w:color="auto"/>
              <w:right w:val="single" w:sz="4" w:space="0" w:color="auto"/>
            </w:tcBorders>
            <w:shd w:val="clear" w:color="auto" w:fill="92D050"/>
          </w:tcPr>
          <w:p w:rsidR="001A26B0" w:rsidRDefault="00E33A99">
            <w:pPr>
              <w:spacing w:after="20"/>
              <w:jc w:val="center"/>
              <w:rPr>
                <w:noProof/>
                <w:sz w:val="20"/>
              </w:rPr>
            </w:pPr>
            <w:r>
              <w:rPr>
                <w:noProof/>
                <w:sz w:val="20"/>
              </w:rPr>
              <w:sym w:font="Wingdings" w:char="F0FC"/>
            </w:r>
          </w:p>
        </w:tc>
        <w:tc>
          <w:tcPr>
            <w:tcW w:w="852" w:type="pct"/>
            <w:gridSpan w:val="3"/>
            <w:tcBorders>
              <w:top w:val="single" w:sz="4" w:space="0" w:color="auto"/>
              <w:left w:val="single" w:sz="4" w:space="0" w:color="auto"/>
              <w:bottom w:val="single" w:sz="4" w:space="0" w:color="auto"/>
              <w:right w:val="single" w:sz="4" w:space="0" w:color="auto"/>
            </w:tcBorders>
            <w:shd w:val="clear" w:color="auto" w:fill="00B050"/>
          </w:tcPr>
          <w:p w:rsidR="001A26B0" w:rsidRDefault="00E33A99">
            <w:pPr>
              <w:spacing w:after="20"/>
              <w:jc w:val="center"/>
              <w:rPr>
                <w:noProof/>
                <w:sz w:val="20"/>
              </w:rPr>
            </w:pPr>
            <w:r>
              <w:rPr>
                <w:noProof/>
                <w:sz w:val="20"/>
              </w:rPr>
              <w:sym w:font="Wingdings" w:char="F0FC"/>
            </w:r>
            <w:r>
              <w:rPr>
                <w:noProof/>
                <w:sz w:val="20"/>
              </w:rPr>
              <w:sym w:font="Wingdings" w:char="F0FC"/>
            </w:r>
          </w:p>
        </w:tc>
        <w:tc>
          <w:tcPr>
            <w:tcW w:w="897" w:type="pct"/>
            <w:gridSpan w:val="2"/>
            <w:tcBorders>
              <w:top w:val="single" w:sz="4" w:space="0" w:color="auto"/>
              <w:left w:val="single" w:sz="4" w:space="0" w:color="auto"/>
              <w:bottom w:val="single" w:sz="4" w:space="0" w:color="auto"/>
              <w:right w:val="single" w:sz="4" w:space="0" w:color="auto"/>
            </w:tcBorders>
            <w:shd w:val="clear" w:color="auto" w:fill="00B050"/>
          </w:tcPr>
          <w:p w:rsidR="001A26B0" w:rsidRDefault="00E33A99">
            <w:pPr>
              <w:spacing w:after="20"/>
              <w:jc w:val="center"/>
              <w:rPr>
                <w:noProof/>
                <w:sz w:val="20"/>
              </w:rPr>
            </w:pPr>
            <w:r>
              <w:rPr>
                <w:noProof/>
                <w:sz w:val="20"/>
              </w:rPr>
              <w:sym w:font="Wingdings" w:char="F0FC"/>
            </w:r>
            <w:r>
              <w:rPr>
                <w:noProof/>
                <w:sz w:val="20"/>
              </w:rPr>
              <w:sym w:font="Wingdings" w:char="F0FC"/>
            </w:r>
          </w:p>
        </w:tc>
        <w:tc>
          <w:tcPr>
            <w:tcW w:w="968" w:type="pct"/>
            <w:tcBorders>
              <w:top w:val="single" w:sz="4" w:space="0" w:color="auto"/>
              <w:left w:val="single" w:sz="4" w:space="0" w:color="auto"/>
              <w:bottom w:val="single" w:sz="4" w:space="0" w:color="auto"/>
              <w:right w:val="single" w:sz="4" w:space="0" w:color="auto"/>
            </w:tcBorders>
            <w:shd w:val="clear" w:color="auto" w:fill="00B050"/>
          </w:tcPr>
          <w:p w:rsidR="001A26B0" w:rsidRDefault="00E33A99">
            <w:pPr>
              <w:spacing w:after="20"/>
              <w:jc w:val="center"/>
              <w:rPr>
                <w:noProof/>
                <w:sz w:val="20"/>
              </w:rPr>
            </w:pPr>
            <w:r>
              <w:rPr>
                <w:noProof/>
                <w:sz w:val="20"/>
              </w:rPr>
              <w:sym w:font="Wingdings" w:char="F0FC"/>
            </w:r>
            <w:r>
              <w:rPr>
                <w:noProof/>
                <w:sz w:val="20"/>
              </w:rPr>
              <w:sym w:font="Wingdings" w:char="F0FC"/>
            </w:r>
          </w:p>
        </w:tc>
      </w:tr>
      <w:tr w:rsidR="001A26B0">
        <w:trPr>
          <w:tblHeader/>
        </w:trPr>
        <w:tc>
          <w:tcPr>
            <w:tcW w:w="1435" w:type="pct"/>
            <w:tcBorders>
              <w:top w:val="single" w:sz="4" w:space="0" w:color="auto"/>
              <w:left w:val="single" w:sz="4" w:space="0" w:color="auto"/>
              <w:bottom w:val="single" w:sz="4" w:space="0" w:color="auto"/>
              <w:right w:val="single" w:sz="4" w:space="0" w:color="auto"/>
            </w:tcBorders>
          </w:tcPr>
          <w:p w:rsidR="001A26B0" w:rsidRDefault="00E33A99">
            <w:pPr>
              <w:spacing w:after="20"/>
              <w:jc w:val="center"/>
              <w:rPr>
                <w:noProof/>
                <w:sz w:val="20"/>
              </w:rPr>
            </w:pPr>
            <w:r>
              <w:rPr>
                <w:noProof/>
                <w:sz w:val="20"/>
              </w:rPr>
              <w:t>TLV40</w:t>
            </w:r>
          </w:p>
        </w:tc>
        <w:tc>
          <w:tcPr>
            <w:tcW w:w="848" w:type="pct"/>
            <w:gridSpan w:val="2"/>
            <w:tcBorders>
              <w:top w:val="single" w:sz="4" w:space="0" w:color="auto"/>
              <w:left w:val="single" w:sz="4" w:space="0" w:color="auto"/>
              <w:bottom w:val="single" w:sz="4" w:space="0" w:color="auto"/>
              <w:right w:val="single" w:sz="4" w:space="0" w:color="auto"/>
            </w:tcBorders>
            <w:shd w:val="clear" w:color="auto" w:fill="00B050"/>
          </w:tcPr>
          <w:p w:rsidR="001A26B0" w:rsidRDefault="00E33A99">
            <w:pPr>
              <w:spacing w:after="20"/>
              <w:jc w:val="center"/>
              <w:rPr>
                <w:noProof/>
                <w:sz w:val="20"/>
              </w:rPr>
            </w:pPr>
            <w:r>
              <w:rPr>
                <w:noProof/>
                <w:sz w:val="20"/>
              </w:rPr>
              <w:sym w:font="Wingdings" w:char="F0FC"/>
            </w:r>
            <w:r>
              <w:rPr>
                <w:noProof/>
                <w:sz w:val="20"/>
              </w:rPr>
              <w:sym w:font="Wingdings" w:char="F0FC"/>
            </w:r>
          </w:p>
        </w:tc>
        <w:tc>
          <w:tcPr>
            <w:tcW w:w="852" w:type="pct"/>
            <w:gridSpan w:val="3"/>
            <w:tcBorders>
              <w:top w:val="single" w:sz="4" w:space="0" w:color="auto"/>
              <w:left w:val="single" w:sz="4" w:space="0" w:color="auto"/>
              <w:bottom w:val="single" w:sz="4" w:space="0" w:color="auto"/>
              <w:right w:val="single" w:sz="4" w:space="0" w:color="auto"/>
            </w:tcBorders>
            <w:shd w:val="clear" w:color="auto" w:fill="00B050"/>
          </w:tcPr>
          <w:p w:rsidR="001A26B0" w:rsidRDefault="00E33A99">
            <w:pPr>
              <w:spacing w:after="20"/>
              <w:jc w:val="center"/>
              <w:rPr>
                <w:noProof/>
                <w:sz w:val="20"/>
              </w:rPr>
            </w:pPr>
            <w:r>
              <w:rPr>
                <w:noProof/>
                <w:sz w:val="20"/>
              </w:rPr>
              <w:sym w:font="Wingdings" w:char="F0FC"/>
            </w:r>
            <w:r>
              <w:rPr>
                <w:noProof/>
                <w:sz w:val="20"/>
              </w:rPr>
              <w:sym w:font="Wingdings" w:char="F0FC"/>
            </w:r>
          </w:p>
        </w:tc>
        <w:tc>
          <w:tcPr>
            <w:tcW w:w="897" w:type="pct"/>
            <w:gridSpan w:val="2"/>
            <w:tcBorders>
              <w:top w:val="single" w:sz="4" w:space="0" w:color="auto"/>
              <w:left w:val="single" w:sz="4" w:space="0" w:color="auto"/>
              <w:bottom w:val="single" w:sz="4" w:space="0" w:color="auto"/>
              <w:right w:val="single" w:sz="4" w:space="0" w:color="auto"/>
            </w:tcBorders>
            <w:shd w:val="clear" w:color="auto" w:fill="00B050"/>
          </w:tcPr>
          <w:p w:rsidR="001A26B0" w:rsidRDefault="00E33A99">
            <w:pPr>
              <w:spacing w:after="20"/>
              <w:jc w:val="center"/>
              <w:rPr>
                <w:noProof/>
                <w:sz w:val="20"/>
              </w:rPr>
            </w:pPr>
            <w:r>
              <w:rPr>
                <w:noProof/>
                <w:sz w:val="20"/>
              </w:rPr>
              <w:sym w:font="Wingdings" w:char="F0FC"/>
            </w:r>
            <w:r>
              <w:rPr>
                <w:noProof/>
                <w:sz w:val="20"/>
              </w:rPr>
              <w:sym w:font="Wingdings" w:char="F0FC"/>
            </w:r>
          </w:p>
        </w:tc>
        <w:tc>
          <w:tcPr>
            <w:tcW w:w="968" w:type="pct"/>
            <w:tcBorders>
              <w:top w:val="single" w:sz="4" w:space="0" w:color="auto"/>
              <w:left w:val="single" w:sz="4" w:space="0" w:color="auto"/>
              <w:bottom w:val="single" w:sz="4" w:space="0" w:color="auto"/>
              <w:right w:val="single" w:sz="4" w:space="0" w:color="auto"/>
            </w:tcBorders>
            <w:shd w:val="clear" w:color="auto" w:fill="00B050"/>
          </w:tcPr>
          <w:p w:rsidR="001A26B0" w:rsidRDefault="00E33A99">
            <w:pPr>
              <w:spacing w:after="20"/>
              <w:jc w:val="center"/>
              <w:rPr>
                <w:noProof/>
                <w:sz w:val="20"/>
              </w:rPr>
            </w:pPr>
            <w:r>
              <w:rPr>
                <w:noProof/>
                <w:sz w:val="20"/>
              </w:rPr>
              <w:sym w:font="Wingdings" w:char="F0FC"/>
            </w:r>
            <w:r>
              <w:rPr>
                <w:noProof/>
                <w:sz w:val="20"/>
              </w:rPr>
              <w:sym w:font="Wingdings" w:char="F0FC"/>
            </w:r>
          </w:p>
        </w:tc>
      </w:tr>
      <w:tr w:rsidR="001A26B0">
        <w:trPr>
          <w:tblHeader/>
        </w:trPr>
        <w:tc>
          <w:tcPr>
            <w:tcW w:w="1435" w:type="pct"/>
            <w:tcBorders>
              <w:top w:val="single" w:sz="4" w:space="0" w:color="auto"/>
              <w:left w:val="single" w:sz="4" w:space="0" w:color="auto"/>
              <w:bottom w:val="single" w:sz="4" w:space="0" w:color="auto"/>
              <w:right w:val="single" w:sz="4" w:space="0" w:color="auto"/>
            </w:tcBorders>
          </w:tcPr>
          <w:p w:rsidR="001A26B0" w:rsidRDefault="00E33A99">
            <w:pPr>
              <w:spacing w:after="20"/>
              <w:jc w:val="center"/>
              <w:rPr>
                <w:noProof/>
                <w:sz w:val="20"/>
              </w:rPr>
            </w:pPr>
            <w:r>
              <w:rPr>
                <w:noProof/>
                <w:sz w:val="20"/>
              </w:rPr>
              <w:t>TLV_EP40</w:t>
            </w:r>
          </w:p>
        </w:tc>
        <w:tc>
          <w:tcPr>
            <w:tcW w:w="848" w:type="pct"/>
            <w:gridSpan w:val="2"/>
            <w:tcBorders>
              <w:top w:val="single" w:sz="4" w:space="0" w:color="auto"/>
              <w:left w:val="single" w:sz="4" w:space="0" w:color="auto"/>
              <w:bottom w:val="single" w:sz="4" w:space="0" w:color="auto"/>
              <w:right w:val="single" w:sz="4" w:space="0" w:color="auto"/>
            </w:tcBorders>
            <w:shd w:val="clear" w:color="auto" w:fill="00B050"/>
          </w:tcPr>
          <w:p w:rsidR="001A26B0" w:rsidRDefault="00E33A99">
            <w:pPr>
              <w:spacing w:after="20"/>
              <w:jc w:val="center"/>
              <w:rPr>
                <w:noProof/>
                <w:sz w:val="20"/>
              </w:rPr>
            </w:pPr>
            <w:r>
              <w:rPr>
                <w:noProof/>
                <w:sz w:val="20"/>
              </w:rPr>
              <w:sym w:font="Wingdings" w:char="F0FC"/>
            </w:r>
            <w:r>
              <w:rPr>
                <w:noProof/>
                <w:sz w:val="20"/>
              </w:rPr>
              <w:sym w:font="Wingdings" w:char="F0FC"/>
            </w:r>
          </w:p>
        </w:tc>
        <w:tc>
          <w:tcPr>
            <w:tcW w:w="852" w:type="pct"/>
            <w:gridSpan w:val="3"/>
            <w:tcBorders>
              <w:top w:val="single" w:sz="4" w:space="0" w:color="auto"/>
              <w:left w:val="single" w:sz="4" w:space="0" w:color="auto"/>
              <w:bottom w:val="single" w:sz="4" w:space="0" w:color="auto"/>
              <w:right w:val="single" w:sz="4" w:space="0" w:color="auto"/>
            </w:tcBorders>
            <w:shd w:val="clear" w:color="auto" w:fill="92D050"/>
          </w:tcPr>
          <w:p w:rsidR="001A26B0" w:rsidRDefault="00E33A99">
            <w:pPr>
              <w:spacing w:after="20"/>
              <w:jc w:val="center"/>
              <w:rPr>
                <w:noProof/>
                <w:sz w:val="20"/>
              </w:rPr>
            </w:pPr>
            <w:r>
              <w:rPr>
                <w:noProof/>
                <w:sz w:val="20"/>
              </w:rPr>
              <w:sym w:font="Wingdings" w:char="F0FC"/>
            </w:r>
          </w:p>
        </w:tc>
        <w:tc>
          <w:tcPr>
            <w:tcW w:w="897" w:type="pct"/>
            <w:gridSpan w:val="2"/>
            <w:tcBorders>
              <w:top w:val="single" w:sz="4" w:space="0" w:color="auto"/>
              <w:left w:val="single" w:sz="4" w:space="0" w:color="auto"/>
              <w:bottom w:val="single" w:sz="4" w:space="0" w:color="auto"/>
              <w:right w:val="single" w:sz="4" w:space="0" w:color="auto"/>
            </w:tcBorders>
            <w:shd w:val="clear" w:color="auto" w:fill="92D050"/>
          </w:tcPr>
          <w:p w:rsidR="001A26B0" w:rsidRDefault="00E33A99">
            <w:pPr>
              <w:spacing w:after="20"/>
              <w:jc w:val="center"/>
              <w:rPr>
                <w:noProof/>
                <w:sz w:val="20"/>
              </w:rPr>
            </w:pPr>
            <w:r>
              <w:rPr>
                <w:noProof/>
                <w:sz w:val="20"/>
              </w:rPr>
              <w:sym w:font="Wingdings" w:char="F0FC"/>
            </w:r>
          </w:p>
        </w:tc>
        <w:tc>
          <w:tcPr>
            <w:tcW w:w="968" w:type="pct"/>
            <w:tcBorders>
              <w:top w:val="single" w:sz="4" w:space="0" w:color="auto"/>
              <w:left w:val="single" w:sz="4" w:space="0" w:color="auto"/>
              <w:bottom w:val="single" w:sz="4" w:space="0" w:color="auto"/>
              <w:right w:val="single" w:sz="4" w:space="0" w:color="auto"/>
            </w:tcBorders>
            <w:shd w:val="clear" w:color="auto" w:fill="92D050"/>
          </w:tcPr>
          <w:p w:rsidR="001A26B0" w:rsidRDefault="00E33A99">
            <w:pPr>
              <w:spacing w:after="20"/>
              <w:jc w:val="center"/>
              <w:rPr>
                <w:noProof/>
                <w:sz w:val="20"/>
              </w:rPr>
            </w:pPr>
            <w:r>
              <w:rPr>
                <w:noProof/>
                <w:sz w:val="20"/>
              </w:rPr>
              <w:sym w:font="Wingdings" w:char="F0FC"/>
            </w:r>
          </w:p>
        </w:tc>
      </w:tr>
      <w:tr w:rsidR="001A26B0">
        <w:trPr>
          <w:tblHeader/>
        </w:trPr>
        <w:tc>
          <w:tcPr>
            <w:tcW w:w="1435" w:type="pct"/>
            <w:tcBorders>
              <w:top w:val="single" w:sz="4" w:space="0" w:color="auto"/>
              <w:left w:val="single" w:sz="4" w:space="0" w:color="auto"/>
              <w:bottom w:val="single" w:sz="4" w:space="0" w:color="auto"/>
              <w:right w:val="single" w:sz="4" w:space="0" w:color="auto"/>
            </w:tcBorders>
          </w:tcPr>
          <w:p w:rsidR="001A26B0" w:rsidRDefault="00E33A99">
            <w:pPr>
              <w:spacing w:after="20"/>
              <w:jc w:val="center"/>
              <w:rPr>
                <w:noProof/>
                <w:sz w:val="20"/>
              </w:rPr>
            </w:pPr>
            <w:r>
              <w:rPr>
                <w:noProof/>
                <w:sz w:val="20"/>
              </w:rPr>
              <w:t>TLV_EP50</w:t>
            </w:r>
          </w:p>
        </w:tc>
        <w:tc>
          <w:tcPr>
            <w:tcW w:w="848" w:type="pct"/>
            <w:gridSpan w:val="2"/>
            <w:tcBorders>
              <w:top w:val="single" w:sz="4" w:space="0" w:color="auto"/>
              <w:left w:val="single" w:sz="4" w:space="0" w:color="auto"/>
              <w:bottom w:val="single" w:sz="4" w:space="0" w:color="auto"/>
              <w:right w:val="single" w:sz="4" w:space="0" w:color="auto"/>
            </w:tcBorders>
            <w:shd w:val="clear" w:color="auto" w:fill="00B050"/>
          </w:tcPr>
          <w:p w:rsidR="001A26B0" w:rsidRDefault="00E33A99">
            <w:pPr>
              <w:spacing w:after="20"/>
              <w:jc w:val="center"/>
              <w:rPr>
                <w:noProof/>
                <w:sz w:val="20"/>
              </w:rPr>
            </w:pPr>
            <w:r>
              <w:rPr>
                <w:noProof/>
                <w:sz w:val="20"/>
              </w:rPr>
              <w:sym w:font="Wingdings" w:char="F0FC"/>
            </w:r>
            <w:r>
              <w:rPr>
                <w:noProof/>
                <w:sz w:val="20"/>
              </w:rPr>
              <w:sym w:font="Wingdings" w:char="F0FC"/>
            </w:r>
          </w:p>
        </w:tc>
        <w:tc>
          <w:tcPr>
            <w:tcW w:w="852" w:type="pct"/>
            <w:gridSpan w:val="3"/>
            <w:tcBorders>
              <w:top w:val="single" w:sz="4" w:space="0" w:color="auto"/>
              <w:left w:val="single" w:sz="4" w:space="0" w:color="auto"/>
              <w:bottom w:val="single" w:sz="4" w:space="0" w:color="auto"/>
              <w:right w:val="single" w:sz="4" w:space="0" w:color="auto"/>
            </w:tcBorders>
            <w:shd w:val="clear" w:color="auto" w:fill="92D050"/>
          </w:tcPr>
          <w:p w:rsidR="001A26B0" w:rsidRDefault="00E33A99">
            <w:pPr>
              <w:spacing w:after="20"/>
              <w:jc w:val="center"/>
              <w:rPr>
                <w:noProof/>
                <w:sz w:val="20"/>
              </w:rPr>
            </w:pPr>
            <w:r>
              <w:rPr>
                <w:noProof/>
                <w:sz w:val="20"/>
              </w:rPr>
              <w:sym w:font="Wingdings" w:char="F0FC"/>
            </w:r>
          </w:p>
        </w:tc>
        <w:tc>
          <w:tcPr>
            <w:tcW w:w="897" w:type="pct"/>
            <w:gridSpan w:val="2"/>
            <w:tcBorders>
              <w:top w:val="single" w:sz="4" w:space="0" w:color="auto"/>
              <w:left w:val="single" w:sz="4" w:space="0" w:color="auto"/>
              <w:bottom w:val="single" w:sz="4" w:space="0" w:color="auto"/>
              <w:right w:val="single" w:sz="4" w:space="0" w:color="auto"/>
            </w:tcBorders>
            <w:shd w:val="clear" w:color="auto" w:fill="92D050"/>
          </w:tcPr>
          <w:p w:rsidR="001A26B0" w:rsidRDefault="00E33A99">
            <w:pPr>
              <w:spacing w:after="20"/>
              <w:jc w:val="center"/>
              <w:rPr>
                <w:noProof/>
                <w:sz w:val="20"/>
              </w:rPr>
            </w:pPr>
            <w:r>
              <w:rPr>
                <w:noProof/>
                <w:sz w:val="20"/>
              </w:rPr>
              <w:sym w:font="Wingdings" w:char="F0FC"/>
            </w:r>
          </w:p>
        </w:tc>
        <w:tc>
          <w:tcPr>
            <w:tcW w:w="968" w:type="pct"/>
            <w:tcBorders>
              <w:top w:val="single" w:sz="4" w:space="0" w:color="auto"/>
              <w:left w:val="single" w:sz="4" w:space="0" w:color="auto"/>
              <w:bottom w:val="single" w:sz="4" w:space="0" w:color="auto"/>
              <w:right w:val="single" w:sz="4" w:space="0" w:color="auto"/>
            </w:tcBorders>
            <w:shd w:val="clear" w:color="auto" w:fill="92D050"/>
          </w:tcPr>
          <w:p w:rsidR="001A26B0" w:rsidRDefault="00E33A99">
            <w:pPr>
              <w:spacing w:after="20"/>
              <w:jc w:val="center"/>
              <w:rPr>
                <w:noProof/>
                <w:sz w:val="20"/>
              </w:rPr>
            </w:pPr>
            <w:r>
              <w:rPr>
                <w:noProof/>
                <w:sz w:val="20"/>
              </w:rPr>
              <w:sym w:font="Wingdings" w:char="F0FC"/>
            </w:r>
          </w:p>
        </w:tc>
      </w:tr>
      <w:tr w:rsidR="001A26B0">
        <w:trPr>
          <w:tblHeader/>
        </w:trPr>
        <w:tc>
          <w:tcPr>
            <w:tcW w:w="5000" w:type="pct"/>
            <w:gridSpan w:val="9"/>
            <w:tcBorders>
              <w:top w:val="single" w:sz="4" w:space="0" w:color="auto"/>
              <w:left w:val="single" w:sz="4" w:space="0" w:color="auto"/>
              <w:bottom w:val="single" w:sz="4" w:space="0" w:color="auto"/>
              <w:right w:val="single" w:sz="4" w:space="0" w:color="auto"/>
            </w:tcBorders>
          </w:tcPr>
          <w:p w:rsidR="001A26B0" w:rsidRDefault="00E33A99">
            <w:pPr>
              <w:spacing w:after="20"/>
              <w:jc w:val="center"/>
              <w:rPr>
                <w:b/>
                <w:i/>
                <w:noProof/>
                <w:sz w:val="20"/>
              </w:rPr>
            </w:pPr>
            <w:r>
              <w:rPr>
                <w:b/>
                <w:i/>
                <w:noProof/>
                <w:sz w:val="20"/>
              </w:rPr>
              <w:t xml:space="preserve">2. DISTRIBUTION OF </w:t>
            </w:r>
            <w:r>
              <w:rPr>
                <w:b/>
                <w:i/>
                <w:noProof/>
                <w:sz w:val="20"/>
              </w:rPr>
              <w:t>EFFORTS (cars and vans)</w:t>
            </w:r>
          </w:p>
        </w:tc>
      </w:tr>
      <w:tr w:rsidR="001A26B0">
        <w:trPr>
          <w:tblHeader/>
        </w:trPr>
        <w:tc>
          <w:tcPr>
            <w:tcW w:w="1435" w:type="pct"/>
            <w:tcBorders>
              <w:top w:val="single" w:sz="4" w:space="0" w:color="auto"/>
              <w:left w:val="single" w:sz="4" w:space="0" w:color="auto"/>
              <w:bottom w:val="single" w:sz="4" w:space="0" w:color="auto"/>
              <w:right w:val="single" w:sz="4" w:space="0" w:color="auto"/>
            </w:tcBorders>
          </w:tcPr>
          <w:p w:rsidR="001A26B0" w:rsidRDefault="00E33A99">
            <w:pPr>
              <w:spacing w:after="20"/>
              <w:jc w:val="center"/>
              <w:rPr>
                <w:noProof/>
                <w:sz w:val="20"/>
              </w:rPr>
            </w:pPr>
            <w:r>
              <w:rPr>
                <w:noProof/>
                <w:sz w:val="20"/>
              </w:rPr>
              <w:t>No change: mass, current slope (DOE0)</w:t>
            </w:r>
          </w:p>
        </w:tc>
        <w:tc>
          <w:tcPr>
            <w:tcW w:w="848" w:type="pct"/>
            <w:gridSpan w:val="2"/>
            <w:tcBorders>
              <w:top w:val="single" w:sz="4" w:space="0" w:color="auto"/>
              <w:left w:val="single" w:sz="4" w:space="0" w:color="auto"/>
              <w:bottom w:val="single" w:sz="4" w:space="0" w:color="auto"/>
              <w:right w:val="single" w:sz="4" w:space="0" w:color="auto"/>
            </w:tcBorders>
            <w:shd w:val="clear" w:color="auto" w:fill="EEECE1" w:themeFill="background2"/>
          </w:tcPr>
          <w:p w:rsidR="001A26B0" w:rsidRDefault="00E33A99">
            <w:pPr>
              <w:spacing w:after="20"/>
              <w:jc w:val="center"/>
              <w:rPr>
                <w:noProof/>
                <w:sz w:val="20"/>
              </w:rPr>
            </w:pPr>
            <w:r>
              <w:rPr>
                <w:noProof/>
                <w:sz w:val="20"/>
              </w:rPr>
              <w:t xml:space="preserve">O </w:t>
            </w:r>
          </w:p>
        </w:tc>
        <w:tc>
          <w:tcPr>
            <w:tcW w:w="852" w:type="pct"/>
            <w:gridSpan w:val="3"/>
            <w:tcBorders>
              <w:top w:val="single" w:sz="4" w:space="0" w:color="auto"/>
              <w:left w:val="single" w:sz="4" w:space="0" w:color="auto"/>
              <w:bottom w:val="single" w:sz="4" w:space="0" w:color="auto"/>
              <w:right w:val="single" w:sz="4" w:space="0" w:color="auto"/>
            </w:tcBorders>
            <w:shd w:val="clear" w:color="auto" w:fill="92D050"/>
          </w:tcPr>
          <w:p w:rsidR="001A26B0" w:rsidRDefault="00E33A99">
            <w:pPr>
              <w:spacing w:after="20"/>
              <w:jc w:val="center"/>
              <w:rPr>
                <w:noProof/>
                <w:sz w:val="20"/>
              </w:rPr>
            </w:pPr>
            <w:r>
              <w:rPr>
                <w:noProof/>
                <w:sz w:val="20"/>
              </w:rPr>
              <w:sym w:font="Wingdings" w:char="F0FC"/>
            </w:r>
          </w:p>
        </w:tc>
        <w:tc>
          <w:tcPr>
            <w:tcW w:w="897" w:type="pct"/>
            <w:gridSpan w:val="2"/>
            <w:tcBorders>
              <w:top w:val="single" w:sz="4" w:space="0" w:color="auto"/>
              <w:left w:val="single" w:sz="4" w:space="0" w:color="auto"/>
              <w:bottom w:val="single" w:sz="4" w:space="0" w:color="auto"/>
              <w:right w:val="single" w:sz="4" w:space="0" w:color="auto"/>
            </w:tcBorders>
            <w:shd w:val="clear" w:color="auto" w:fill="F79646" w:themeFill="accent6"/>
          </w:tcPr>
          <w:p w:rsidR="001A26B0" w:rsidRDefault="00E33A99">
            <w:pPr>
              <w:spacing w:after="20"/>
              <w:jc w:val="center"/>
              <w:rPr>
                <w:noProof/>
                <w:sz w:val="20"/>
              </w:rPr>
            </w:pPr>
            <w:r>
              <w:rPr>
                <w:noProof/>
                <w:sz w:val="20"/>
              </w:rPr>
              <w:sym w:font="Wingdings" w:char="F0FB"/>
            </w:r>
          </w:p>
        </w:tc>
        <w:tc>
          <w:tcPr>
            <w:tcW w:w="968" w:type="pct"/>
            <w:tcBorders>
              <w:top w:val="single" w:sz="4" w:space="0" w:color="auto"/>
              <w:left w:val="single" w:sz="4" w:space="0" w:color="auto"/>
              <w:bottom w:val="single" w:sz="4" w:space="0" w:color="auto"/>
              <w:right w:val="single" w:sz="4" w:space="0" w:color="auto"/>
            </w:tcBorders>
            <w:shd w:val="clear" w:color="auto" w:fill="92D050"/>
          </w:tcPr>
          <w:p w:rsidR="001A26B0" w:rsidRDefault="00E33A99">
            <w:pPr>
              <w:spacing w:after="20"/>
              <w:jc w:val="center"/>
              <w:rPr>
                <w:noProof/>
                <w:sz w:val="20"/>
              </w:rPr>
            </w:pPr>
            <w:r>
              <w:rPr>
                <w:noProof/>
                <w:sz w:val="20"/>
              </w:rPr>
              <w:sym w:font="Wingdings" w:char="F0FC"/>
            </w:r>
          </w:p>
        </w:tc>
      </w:tr>
      <w:tr w:rsidR="001A26B0">
        <w:trPr>
          <w:tblHeader/>
        </w:trPr>
        <w:tc>
          <w:tcPr>
            <w:tcW w:w="1435" w:type="pct"/>
            <w:tcBorders>
              <w:top w:val="single" w:sz="4" w:space="0" w:color="auto"/>
              <w:left w:val="single" w:sz="4" w:space="0" w:color="auto"/>
              <w:bottom w:val="single" w:sz="4" w:space="0" w:color="auto"/>
              <w:right w:val="single" w:sz="4" w:space="0" w:color="auto"/>
            </w:tcBorders>
          </w:tcPr>
          <w:p w:rsidR="001A26B0" w:rsidRDefault="00E33A99">
            <w:pPr>
              <w:spacing w:after="20"/>
              <w:jc w:val="center"/>
              <w:rPr>
                <w:noProof/>
                <w:sz w:val="20"/>
              </w:rPr>
            </w:pPr>
            <w:r>
              <w:rPr>
                <w:noProof/>
                <w:sz w:val="20"/>
              </w:rPr>
              <w:t xml:space="preserve">Mass, equal reduction effort for all (DOE1) </w:t>
            </w:r>
          </w:p>
        </w:tc>
        <w:tc>
          <w:tcPr>
            <w:tcW w:w="848" w:type="pct"/>
            <w:gridSpan w:val="2"/>
            <w:tcBorders>
              <w:top w:val="single" w:sz="4" w:space="0" w:color="auto"/>
              <w:left w:val="single" w:sz="4" w:space="0" w:color="auto"/>
              <w:bottom w:val="single" w:sz="4" w:space="0" w:color="auto"/>
              <w:right w:val="single" w:sz="4" w:space="0" w:color="auto"/>
            </w:tcBorders>
            <w:shd w:val="clear" w:color="auto" w:fill="EEECE1" w:themeFill="background2"/>
          </w:tcPr>
          <w:p w:rsidR="001A26B0" w:rsidRDefault="00E33A99">
            <w:pPr>
              <w:spacing w:after="20"/>
              <w:jc w:val="center"/>
              <w:rPr>
                <w:noProof/>
                <w:sz w:val="20"/>
              </w:rPr>
            </w:pPr>
            <w:r>
              <w:rPr>
                <w:noProof/>
                <w:sz w:val="20"/>
              </w:rPr>
              <w:t xml:space="preserve">O </w:t>
            </w:r>
          </w:p>
        </w:tc>
        <w:tc>
          <w:tcPr>
            <w:tcW w:w="852" w:type="pct"/>
            <w:gridSpan w:val="3"/>
            <w:tcBorders>
              <w:top w:val="single" w:sz="4" w:space="0" w:color="auto"/>
              <w:left w:val="single" w:sz="4" w:space="0" w:color="auto"/>
              <w:bottom w:val="single" w:sz="4" w:space="0" w:color="auto"/>
              <w:right w:val="single" w:sz="4" w:space="0" w:color="auto"/>
            </w:tcBorders>
            <w:shd w:val="clear" w:color="auto" w:fill="92D050"/>
          </w:tcPr>
          <w:p w:rsidR="001A26B0" w:rsidRDefault="00E33A99">
            <w:pPr>
              <w:spacing w:after="20"/>
              <w:jc w:val="center"/>
              <w:rPr>
                <w:noProof/>
                <w:sz w:val="20"/>
              </w:rPr>
            </w:pPr>
            <w:r>
              <w:rPr>
                <w:noProof/>
                <w:sz w:val="20"/>
              </w:rPr>
              <w:sym w:font="Wingdings" w:char="F0FC"/>
            </w:r>
          </w:p>
        </w:tc>
        <w:tc>
          <w:tcPr>
            <w:tcW w:w="897" w:type="pct"/>
            <w:gridSpan w:val="2"/>
            <w:tcBorders>
              <w:top w:val="single" w:sz="4" w:space="0" w:color="auto"/>
              <w:left w:val="single" w:sz="4" w:space="0" w:color="auto"/>
              <w:bottom w:val="single" w:sz="4" w:space="0" w:color="auto"/>
              <w:right w:val="single" w:sz="4" w:space="0" w:color="auto"/>
            </w:tcBorders>
            <w:shd w:val="clear" w:color="auto" w:fill="EEECE1" w:themeFill="background2"/>
          </w:tcPr>
          <w:p w:rsidR="001A26B0" w:rsidRDefault="00E33A99">
            <w:pPr>
              <w:spacing w:after="20"/>
              <w:jc w:val="center"/>
              <w:rPr>
                <w:noProof/>
                <w:sz w:val="20"/>
              </w:rPr>
            </w:pPr>
            <w:r>
              <w:rPr>
                <w:noProof/>
                <w:sz w:val="20"/>
              </w:rPr>
              <w:t>O</w:t>
            </w:r>
          </w:p>
        </w:tc>
        <w:tc>
          <w:tcPr>
            <w:tcW w:w="968" w:type="pct"/>
            <w:tcBorders>
              <w:top w:val="single" w:sz="4" w:space="0" w:color="auto"/>
              <w:left w:val="single" w:sz="4" w:space="0" w:color="auto"/>
              <w:bottom w:val="single" w:sz="4" w:space="0" w:color="auto"/>
              <w:right w:val="single" w:sz="4" w:space="0" w:color="auto"/>
            </w:tcBorders>
            <w:shd w:val="clear" w:color="auto" w:fill="92D050"/>
          </w:tcPr>
          <w:p w:rsidR="001A26B0" w:rsidRDefault="00E33A99">
            <w:pPr>
              <w:spacing w:after="20"/>
              <w:jc w:val="center"/>
              <w:rPr>
                <w:noProof/>
                <w:sz w:val="20"/>
              </w:rPr>
            </w:pPr>
            <w:r>
              <w:rPr>
                <w:noProof/>
                <w:sz w:val="20"/>
              </w:rPr>
              <w:sym w:font="Wingdings" w:char="F0FC"/>
            </w:r>
          </w:p>
        </w:tc>
      </w:tr>
      <w:tr w:rsidR="001A26B0">
        <w:trPr>
          <w:tblHeader/>
        </w:trPr>
        <w:tc>
          <w:tcPr>
            <w:tcW w:w="1435" w:type="pct"/>
            <w:tcBorders>
              <w:top w:val="single" w:sz="4" w:space="0" w:color="auto"/>
              <w:left w:val="single" w:sz="4" w:space="0" w:color="auto"/>
              <w:bottom w:val="single" w:sz="4" w:space="0" w:color="auto"/>
              <w:right w:val="single" w:sz="4" w:space="0" w:color="auto"/>
            </w:tcBorders>
          </w:tcPr>
          <w:p w:rsidR="001A26B0" w:rsidRDefault="00E33A99">
            <w:pPr>
              <w:spacing w:after="20"/>
              <w:jc w:val="center"/>
              <w:rPr>
                <w:noProof/>
                <w:sz w:val="20"/>
              </w:rPr>
            </w:pPr>
            <w:r>
              <w:rPr>
                <w:noProof/>
                <w:sz w:val="20"/>
              </w:rPr>
              <w:t>Footprint, equal reduction effort for all (DOE2)</w:t>
            </w:r>
          </w:p>
        </w:tc>
        <w:tc>
          <w:tcPr>
            <w:tcW w:w="848" w:type="pct"/>
            <w:gridSpan w:val="2"/>
            <w:tcBorders>
              <w:top w:val="single" w:sz="4" w:space="0" w:color="auto"/>
              <w:left w:val="single" w:sz="4" w:space="0" w:color="auto"/>
              <w:bottom w:val="single" w:sz="4" w:space="0" w:color="auto"/>
              <w:right w:val="single" w:sz="4" w:space="0" w:color="auto"/>
            </w:tcBorders>
            <w:shd w:val="clear" w:color="auto" w:fill="F79646" w:themeFill="accent6"/>
          </w:tcPr>
          <w:p w:rsidR="001A26B0" w:rsidRDefault="00E33A99">
            <w:pPr>
              <w:spacing w:after="20"/>
              <w:jc w:val="center"/>
              <w:rPr>
                <w:noProof/>
                <w:sz w:val="20"/>
              </w:rPr>
            </w:pPr>
            <w:r>
              <w:rPr>
                <w:noProof/>
                <w:sz w:val="20"/>
              </w:rPr>
              <w:sym w:font="Wingdings" w:char="F0FB"/>
            </w:r>
          </w:p>
        </w:tc>
        <w:tc>
          <w:tcPr>
            <w:tcW w:w="852" w:type="pct"/>
            <w:gridSpan w:val="3"/>
            <w:tcBorders>
              <w:top w:val="single" w:sz="4" w:space="0" w:color="auto"/>
              <w:left w:val="single" w:sz="4" w:space="0" w:color="auto"/>
              <w:bottom w:val="single" w:sz="4" w:space="0" w:color="auto"/>
              <w:right w:val="single" w:sz="4" w:space="0" w:color="auto"/>
            </w:tcBorders>
            <w:shd w:val="clear" w:color="auto" w:fill="92D050"/>
          </w:tcPr>
          <w:p w:rsidR="001A26B0" w:rsidRDefault="00E33A99">
            <w:pPr>
              <w:spacing w:after="20"/>
              <w:jc w:val="center"/>
              <w:rPr>
                <w:noProof/>
                <w:sz w:val="20"/>
              </w:rPr>
            </w:pPr>
            <w:r>
              <w:rPr>
                <w:noProof/>
                <w:sz w:val="20"/>
              </w:rPr>
              <w:sym w:font="Wingdings" w:char="F0FC"/>
            </w:r>
          </w:p>
        </w:tc>
        <w:tc>
          <w:tcPr>
            <w:tcW w:w="897" w:type="pct"/>
            <w:gridSpan w:val="2"/>
            <w:tcBorders>
              <w:top w:val="single" w:sz="4" w:space="0" w:color="auto"/>
              <w:left w:val="single" w:sz="4" w:space="0" w:color="auto"/>
              <w:bottom w:val="single" w:sz="4" w:space="0" w:color="auto"/>
              <w:right w:val="single" w:sz="4" w:space="0" w:color="auto"/>
            </w:tcBorders>
            <w:shd w:val="clear" w:color="auto" w:fill="EEECE1" w:themeFill="background2"/>
          </w:tcPr>
          <w:p w:rsidR="001A26B0" w:rsidRDefault="00E33A99">
            <w:pPr>
              <w:spacing w:after="20"/>
              <w:jc w:val="center"/>
              <w:rPr>
                <w:noProof/>
                <w:sz w:val="20"/>
              </w:rPr>
            </w:pPr>
            <w:r>
              <w:rPr>
                <w:noProof/>
                <w:sz w:val="20"/>
              </w:rPr>
              <w:t>O</w:t>
            </w:r>
          </w:p>
        </w:tc>
        <w:tc>
          <w:tcPr>
            <w:tcW w:w="968" w:type="pct"/>
            <w:tcBorders>
              <w:top w:val="single" w:sz="4" w:space="0" w:color="auto"/>
              <w:left w:val="single" w:sz="4" w:space="0" w:color="auto"/>
              <w:bottom w:val="single" w:sz="4" w:space="0" w:color="auto"/>
              <w:right w:val="single" w:sz="4" w:space="0" w:color="auto"/>
            </w:tcBorders>
            <w:shd w:val="clear" w:color="auto" w:fill="EEECE1" w:themeFill="background2"/>
          </w:tcPr>
          <w:p w:rsidR="001A26B0" w:rsidRDefault="00E33A99">
            <w:pPr>
              <w:spacing w:after="20"/>
              <w:jc w:val="center"/>
              <w:rPr>
                <w:noProof/>
                <w:sz w:val="20"/>
              </w:rPr>
            </w:pPr>
            <w:r>
              <w:rPr>
                <w:noProof/>
                <w:sz w:val="20"/>
              </w:rPr>
              <w:t xml:space="preserve">O </w:t>
            </w:r>
          </w:p>
        </w:tc>
      </w:tr>
      <w:tr w:rsidR="001A26B0">
        <w:trPr>
          <w:tblHeader/>
        </w:trPr>
        <w:tc>
          <w:tcPr>
            <w:tcW w:w="1435" w:type="pct"/>
            <w:tcBorders>
              <w:top w:val="single" w:sz="4" w:space="0" w:color="auto"/>
              <w:left w:val="single" w:sz="4" w:space="0" w:color="auto"/>
              <w:bottom w:val="single" w:sz="4" w:space="0" w:color="auto"/>
              <w:right w:val="single" w:sz="4" w:space="0" w:color="auto"/>
            </w:tcBorders>
          </w:tcPr>
          <w:p w:rsidR="001A26B0" w:rsidRDefault="00E33A99">
            <w:pPr>
              <w:spacing w:after="20"/>
              <w:jc w:val="center"/>
              <w:rPr>
                <w:noProof/>
                <w:sz w:val="20"/>
              </w:rPr>
            </w:pPr>
            <w:r>
              <w:rPr>
                <w:noProof/>
                <w:sz w:val="20"/>
              </w:rPr>
              <w:t>No utility parameter, uniform target for all (DOE3)</w:t>
            </w:r>
          </w:p>
        </w:tc>
        <w:tc>
          <w:tcPr>
            <w:tcW w:w="848" w:type="pct"/>
            <w:gridSpan w:val="2"/>
            <w:tcBorders>
              <w:top w:val="single" w:sz="4" w:space="0" w:color="auto"/>
              <w:left w:val="single" w:sz="4" w:space="0" w:color="auto"/>
              <w:bottom w:val="single" w:sz="4" w:space="0" w:color="auto"/>
              <w:right w:val="single" w:sz="4" w:space="0" w:color="auto"/>
            </w:tcBorders>
            <w:shd w:val="clear" w:color="auto" w:fill="92D050"/>
          </w:tcPr>
          <w:p w:rsidR="001A26B0" w:rsidRDefault="00E33A99">
            <w:pPr>
              <w:spacing w:after="20"/>
              <w:jc w:val="center"/>
              <w:rPr>
                <w:noProof/>
                <w:sz w:val="20"/>
              </w:rPr>
            </w:pPr>
            <w:r>
              <w:rPr>
                <w:noProof/>
                <w:sz w:val="20"/>
              </w:rPr>
              <w:sym w:font="Wingdings" w:char="F0FC"/>
            </w:r>
          </w:p>
        </w:tc>
        <w:tc>
          <w:tcPr>
            <w:tcW w:w="852" w:type="pct"/>
            <w:gridSpan w:val="3"/>
            <w:tcBorders>
              <w:top w:val="single" w:sz="4" w:space="0" w:color="auto"/>
              <w:left w:val="single" w:sz="4" w:space="0" w:color="auto"/>
              <w:bottom w:val="single" w:sz="4" w:space="0" w:color="auto"/>
              <w:right w:val="single" w:sz="4" w:space="0" w:color="auto"/>
            </w:tcBorders>
            <w:shd w:val="clear" w:color="auto" w:fill="EEECE1" w:themeFill="background2"/>
          </w:tcPr>
          <w:p w:rsidR="001A26B0" w:rsidRDefault="00E33A99">
            <w:pPr>
              <w:spacing w:after="20"/>
              <w:jc w:val="center"/>
              <w:rPr>
                <w:noProof/>
                <w:sz w:val="20"/>
              </w:rPr>
            </w:pPr>
            <w:r>
              <w:rPr>
                <w:noProof/>
                <w:sz w:val="20"/>
              </w:rPr>
              <w:t>O</w:t>
            </w:r>
          </w:p>
        </w:tc>
        <w:tc>
          <w:tcPr>
            <w:tcW w:w="897" w:type="pct"/>
            <w:gridSpan w:val="2"/>
            <w:tcBorders>
              <w:top w:val="single" w:sz="4" w:space="0" w:color="auto"/>
              <w:left w:val="single" w:sz="4" w:space="0" w:color="auto"/>
              <w:bottom w:val="single" w:sz="4" w:space="0" w:color="auto"/>
              <w:right w:val="single" w:sz="4" w:space="0" w:color="auto"/>
            </w:tcBorders>
            <w:shd w:val="clear" w:color="auto" w:fill="EEECE1" w:themeFill="background2"/>
          </w:tcPr>
          <w:p w:rsidR="001A26B0" w:rsidRDefault="00E33A99">
            <w:pPr>
              <w:spacing w:after="20"/>
              <w:jc w:val="center"/>
              <w:rPr>
                <w:noProof/>
                <w:sz w:val="20"/>
              </w:rPr>
            </w:pPr>
            <w:r>
              <w:rPr>
                <w:noProof/>
                <w:sz w:val="20"/>
              </w:rPr>
              <w:t>O</w:t>
            </w:r>
          </w:p>
        </w:tc>
        <w:tc>
          <w:tcPr>
            <w:tcW w:w="968" w:type="pct"/>
            <w:tcBorders>
              <w:top w:val="single" w:sz="4" w:space="0" w:color="auto"/>
              <w:left w:val="single" w:sz="4" w:space="0" w:color="auto"/>
              <w:bottom w:val="single" w:sz="4" w:space="0" w:color="auto"/>
              <w:right w:val="single" w:sz="4" w:space="0" w:color="auto"/>
            </w:tcBorders>
            <w:shd w:val="clear" w:color="auto" w:fill="F79646" w:themeFill="accent6"/>
          </w:tcPr>
          <w:p w:rsidR="001A26B0" w:rsidRDefault="00E33A99">
            <w:pPr>
              <w:spacing w:after="20"/>
              <w:jc w:val="center"/>
              <w:rPr>
                <w:noProof/>
                <w:sz w:val="20"/>
              </w:rPr>
            </w:pPr>
            <w:r>
              <w:rPr>
                <w:noProof/>
                <w:sz w:val="20"/>
              </w:rPr>
              <w:sym w:font="Wingdings" w:char="F0FB"/>
            </w:r>
          </w:p>
        </w:tc>
      </w:tr>
      <w:tr w:rsidR="001A26B0">
        <w:trPr>
          <w:tblHeader/>
        </w:trPr>
        <w:tc>
          <w:tcPr>
            <w:tcW w:w="1435" w:type="pct"/>
            <w:tcBorders>
              <w:top w:val="single" w:sz="4" w:space="0" w:color="auto"/>
              <w:left w:val="single" w:sz="4" w:space="0" w:color="auto"/>
              <w:bottom w:val="single" w:sz="4" w:space="0" w:color="auto"/>
              <w:right w:val="single" w:sz="4" w:space="0" w:color="auto"/>
            </w:tcBorders>
          </w:tcPr>
          <w:p w:rsidR="001A26B0" w:rsidRDefault="00E33A99">
            <w:pPr>
              <w:spacing w:after="20"/>
              <w:jc w:val="center"/>
              <w:rPr>
                <w:noProof/>
                <w:sz w:val="20"/>
              </w:rPr>
            </w:pPr>
            <w:r>
              <w:rPr>
                <w:noProof/>
                <w:sz w:val="20"/>
              </w:rPr>
              <w:t xml:space="preserve">No utility parameter, equal % reduction for all (DOE4) </w:t>
            </w:r>
          </w:p>
        </w:tc>
        <w:tc>
          <w:tcPr>
            <w:tcW w:w="848" w:type="pct"/>
            <w:gridSpan w:val="2"/>
            <w:tcBorders>
              <w:top w:val="single" w:sz="4" w:space="0" w:color="auto"/>
              <w:left w:val="single" w:sz="4" w:space="0" w:color="auto"/>
              <w:bottom w:val="single" w:sz="4" w:space="0" w:color="auto"/>
              <w:right w:val="single" w:sz="4" w:space="0" w:color="auto"/>
            </w:tcBorders>
            <w:shd w:val="clear" w:color="auto" w:fill="92D050"/>
          </w:tcPr>
          <w:p w:rsidR="001A26B0" w:rsidRDefault="00E33A99">
            <w:pPr>
              <w:spacing w:after="20"/>
              <w:jc w:val="center"/>
              <w:rPr>
                <w:noProof/>
                <w:sz w:val="20"/>
              </w:rPr>
            </w:pPr>
            <w:r>
              <w:rPr>
                <w:noProof/>
                <w:sz w:val="20"/>
              </w:rPr>
              <w:sym w:font="Wingdings" w:char="F0FC"/>
            </w:r>
          </w:p>
        </w:tc>
        <w:tc>
          <w:tcPr>
            <w:tcW w:w="852" w:type="pct"/>
            <w:gridSpan w:val="3"/>
            <w:tcBorders>
              <w:top w:val="single" w:sz="4" w:space="0" w:color="auto"/>
              <w:left w:val="single" w:sz="4" w:space="0" w:color="auto"/>
              <w:bottom w:val="single" w:sz="4" w:space="0" w:color="auto"/>
              <w:right w:val="single" w:sz="4" w:space="0" w:color="auto"/>
            </w:tcBorders>
            <w:shd w:val="clear" w:color="auto" w:fill="EEECE1" w:themeFill="background2"/>
          </w:tcPr>
          <w:p w:rsidR="001A26B0" w:rsidRDefault="00E33A99">
            <w:pPr>
              <w:spacing w:after="20"/>
              <w:jc w:val="center"/>
              <w:rPr>
                <w:noProof/>
                <w:sz w:val="20"/>
              </w:rPr>
            </w:pPr>
            <w:r>
              <w:rPr>
                <w:noProof/>
                <w:sz w:val="20"/>
              </w:rPr>
              <w:t>O</w:t>
            </w:r>
          </w:p>
        </w:tc>
        <w:tc>
          <w:tcPr>
            <w:tcW w:w="897" w:type="pct"/>
            <w:gridSpan w:val="2"/>
            <w:tcBorders>
              <w:top w:val="single" w:sz="4" w:space="0" w:color="auto"/>
              <w:left w:val="single" w:sz="4" w:space="0" w:color="auto"/>
              <w:bottom w:val="single" w:sz="4" w:space="0" w:color="auto"/>
              <w:right w:val="single" w:sz="4" w:space="0" w:color="auto"/>
            </w:tcBorders>
            <w:shd w:val="clear" w:color="auto" w:fill="EEECE1" w:themeFill="background2"/>
          </w:tcPr>
          <w:p w:rsidR="001A26B0" w:rsidRDefault="00E33A99">
            <w:pPr>
              <w:spacing w:after="20"/>
              <w:jc w:val="center"/>
              <w:rPr>
                <w:noProof/>
                <w:sz w:val="20"/>
              </w:rPr>
            </w:pPr>
            <w:r>
              <w:rPr>
                <w:noProof/>
                <w:sz w:val="20"/>
              </w:rPr>
              <w:t>O</w:t>
            </w:r>
          </w:p>
        </w:tc>
        <w:tc>
          <w:tcPr>
            <w:tcW w:w="968" w:type="pct"/>
            <w:tcBorders>
              <w:top w:val="single" w:sz="4" w:space="0" w:color="auto"/>
              <w:left w:val="single" w:sz="4" w:space="0" w:color="auto"/>
              <w:bottom w:val="single" w:sz="4" w:space="0" w:color="auto"/>
              <w:right w:val="single" w:sz="4" w:space="0" w:color="auto"/>
            </w:tcBorders>
            <w:shd w:val="clear" w:color="auto" w:fill="F79646" w:themeFill="accent6"/>
          </w:tcPr>
          <w:p w:rsidR="001A26B0" w:rsidRDefault="00E33A99">
            <w:pPr>
              <w:spacing w:after="20"/>
              <w:jc w:val="center"/>
              <w:rPr>
                <w:noProof/>
                <w:sz w:val="20"/>
              </w:rPr>
            </w:pPr>
            <w:r>
              <w:rPr>
                <w:noProof/>
                <w:sz w:val="20"/>
              </w:rPr>
              <w:sym w:font="Wingdings" w:char="F0FB"/>
            </w:r>
          </w:p>
        </w:tc>
      </w:tr>
      <w:tr w:rsidR="001A26B0">
        <w:trPr>
          <w:tblHeader/>
        </w:trPr>
        <w:tc>
          <w:tcPr>
            <w:tcW w:w="5000" w:type="pct"/>
            <w:gridSpan w:val="9"/>
            <w:tcBorders>
              <w:top w:val="single" w:sz="4" w:space="0" w:color="auto"/>
              <w:left w:val="single" w:sz="4" w:space="0" w:color="auto"/>
              <w:bottom w:val="single" w:sz="4" w:space="0" w:color="auto"/>
              <w:right w:val="single" w:sz="4" w:space="0" w:color="auto"/>
            </w:tcBorders>
          </w:tcPr>
          <w:p w:rsidR="001A26B0" w:rsidRDefault="00E33A99">
            <w:pPr>
              <w:spacing w:after="20"/>
              <w:jc w:val="center"/>
              <w:rPr>
                <w:b/>
                <w:i/>
                <w:noProof/>
                <w:sz w:val="20"/>
              </w:rPr>
            </w:pPr>
            <w:r>
              <w:rPr>
                <w:b/>
                <w:i/>
                <w:noProof/>
                <w:sz w:val="20"/>
              </w:rPr>
              <w:t xml:space="preserve">3. ZEV / LEV INCENTIVES </w:t>
            </w:r>
          </w:p>
        </w:tc>
      </w:tr>
      <w:tr w:rsidR="001A26B0">
        <w:trPr>
          <w:tblHeader/>
        </w:trPr>
        <w:tc>
          <w:tcPr>
            <w:tcW w:w="5000" w:type="pct"/>
            <w:gridSpan w:val="9"/>
            <w:tcBorders>
              <w:top w:val="single" w:sz="4" w:space="0" w:color="auto"/>
              <w:left w:val="single" w:sz="4" w:space="0" w:color="auto"/>
              <w:bottom w:val="single" w:sz="4" w:space="0" w:color="auto"/>
              <w:right w:val="single" w:sz="4" w:space="0" w:color="auto"/>
            </w:tcBorders>
          </w:tcPr>
          <w:p w:rsidR="001A26B0" w:rsidRDefault="00E33A99">
            <w:pPr>
              <w:spacing w:after="20"/>
              <w:jc w:val="center"/>
              <w:rPr>
                <w:b/>
                <w:noProof/>
                <w:sz w:val="20"/>
              </w:rPr>
            </w:pPr>
            <w:r>
              <w:rPr>
                <w:b/>
                <w:noProof/>
                <w:sz w:val="20"/>
              </w:rPr>
              <w:t>TYPE OF ZEV / LEV INCENTIVE – CARS</w:t>
            </w:r>
          </w:p>
        </w:tc>
      </w:tr>
      <w:tr w:rsidR="001A26B0">
        <w:trPr>
          <w:tblHeader/>
        </w:trPr>
        <w:tc>
          <w:tcPr>
            <w:tcW w:w="1438" w:type="pct"/>
            <w:gridSpan w:val="2"/>
            <w:tcBorders>
              <w:top w:val="single" w:sz="4" w:space="0" w:color="auto"/>
              <w:left w:val="single" w:sz="4" w:space="0" w:color="auto"/>
              <w:bottom w:val="single" w:sz="4" w:space="0" w:color="auto"/>
              <w:right w:val="single" w:sz="4" w:space="0" w:color="auto"/>
            </w:tcBorders>
          </w:tcPr>
          <w:p w:rsidR="001A26B0" w:rsidRDefault="00E33A99">
            <w:pPr>
              <w:spacing w:after="20"/>
              <w:jc w:val="center"/>
              <w:rPr>
                <w:noProof/>
                <w:sz w:val="20"/>
              </w:rPr>
            </w:pPr>
            <w:r>
              <w:rPr>
                <w:noProof/>
                <w:sz w:val="20"/>
              </w:rPr>
              <w:t>No incentive</w:t>
            </w:r>
          </w:p>
        </w:tc>
        <w:tc>
          <w:tcPr>
            <w:tcW w:w="848" w:type="pct"/>
            <w:gridSpan w:val="2"/>
            <w:tcBorders>
              <w:top w:val="single" w:sz="4" w:space="0" w:color="auto"/>
              <w:left w:val="single" w:sz="4" w:space="0" w:color="auto"/>
              <w:bottom w:val="single" w:sz="4" w:space="0" w:color="auto"/>
              <w:right w:val="single" w:sz="4" w:space="0" w:color="auto"/>
            </w:tcBorders>
            <w:shd w:val="clear" w:color="auto" w:fill="F79646" w:themeFill="accent6"/>
          </w:tcPr>
          <w:p w:rsidR="001A26B0" w:rsidRDefault="00E33A99">
            <w:pPr>
              <w:spacing w:after="20"/>
              <w:jc w:val="center"/>
              <w:rPr>
                <w:noProof/>
                <w:sz w:val="20"/>
              </w:rPr>
            </w:pPr>
            <w:r>
              <w:rPr>
                <w:noProof/>
                <w:sz w:val="20"/>
              </w:rPr>
              <w:sym w:font="Wingdings" w:char="F0FB"/>
            </w:r>
          </w:p>
        </w:tc>
        <w:tc>
          <w:tcPr>
            <w:tcW w:w="84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A26B0" w:rsidRDefault="00E33A99">
            <w:pPr>
              <w:spacing w:after="20"/>
              <w:jc w:val="center"/>
              <w:rPr>
                <w:noProof/>
                <w:sz w:val="20"/>
              </w:rPr>
            </w:pPr>
            <w:r>
              <w:rPr>
                <w:noProof/>
                <w:sz w:val="20"/>
              </w:rPr>
              <w:t>O</w:t>
            </w:r>
          </w:p>
        </w:tc>
        <w:tc>
          <w:tcPr>
            <w:tcW w:w="89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A26B0" w:rsidRDefault="00E33A99">
            <w:pPr>
              <w:spacing w:after="20"/>
              <w:jc w:val="center"/>
              <w:rPr>
                <w:noProof/>
                <w:sz w:val="20"/>
              </w:rPr>
            </w:pPr>
            <w:r>
              <w:rPr>
                <w:noProof/>
                <w:sz w:val="20"/>
              </w:rPr>
              <w:t>O</w:t>
            </w:r>
          </w:p>
        </w:tc>
        <w:tc>
          <w:tcPr>
            <w:tcW w:w="96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A26B0" w:rsidRDefault="00E33A99">
            <w:pPr>
              <w:spacing w:after="20"/>
              <w:jc w:val="center"/>
              <w:rPr>
                <w:noProof/>
                <w:sz w:val="20"/>
              </w:rPr>
            </w:pPr>
            <w:r>
              <w:rPr>
                <w:noProof/>
                <w:sz w:val="20"/>
              </w:rPr>
              <w:t>O</w:t>
            </w:r>
          </w:p>
        </w:tc>
      </w:tr>
      <w:tr w:rsidR="001A26B0">
        <w:trPr>
          <w:tblHeader/>
        </w:trPr>
        <w:tc>
          <w:tcPr>
            <w:tcW w:w="1438" w:type="pct"/>
            <w:gridSpan w:val="2"/>
            <w:tcBorders>
              <w:top w:val="single" w:sz="4" w:space="0" w:color="auto"/>
              <w:left w:val="single" w:sz="4" w:space="0" w:color="auto"/>
              <w:bottom w:val="single" w:sz="4" w:space="0" w:color="auto"/>
              <w:right w:val="single" w:sz="4" w:space="0" w:color="auto"/>
            </w:tcBorders>
          </w:tcPr>
          <w:p w:rsidR="001A26B0" w:rsidRDefault="00E33A99">
            <w:pPr>
              <w:spacing w:after="20"/>
              <w:jc w:val="center"/>
              <w:rPr>
                <w:noProof/>
                <w:sz w:val="20"/>
              </w:rPr>
            </w:pPr>
            <w:r>
              <w:rPr>
                <w:noProof/>
                <w:sz w:val="20"/>
              </w:rPr>
              <w:t>Mandate</w:t>
            </w:r>
          </w:p>
        </w:tc>
        <w:tc>
          <w:tcPr>
            <w:tcW w:w="848" w:type="pct"/>
            <w:gridSpan w:val="2"/>
            <w:tcBorders>
              <w:top w:val="single" w:sz="4" w:space="0" w:color="auto"/>
              <w:left w:val="single" w:sz="4" w:space="0" w:color="auto"/>
              <w:bottom w:val="single" w:sz="4" w:space="0" w:color="auto"/>
              <w:right w:val="single" w:sz="4" w:space="0" w:color="auto"/>
            </w:tcBorders>
            <w:shd w:val="clear" w:color="auto" w:fill="00B050"/>
          </w:tcPr>
          <w:p w:rsidR="001A26B0" w:rsidRDefault="00E33A99">
            <w:pPr>
              <w:spacing w:after="20"/>
              <w:jc w:val="center"/>
              <w:rPr>
                <w:noProof/>
                <w:sz w:val="20"/>
              </w:rPr>
            </w:pPr>
            <w:r>
              <w:rPr>
                <w:noProof/>
                <w:sz w:val="20"/>
              </w:rPr>
              <w:sym w:font="Wingdings" w:char="F0FC"/>
            </w:r>
            <w:r>
              <w:rPr>
                <w:noProof/>
                <w:sz w:val="20"/>
              </w:rPr>
              <w:sym w:font="Wingdings" w:char="F0FC"/>
            </w:r>
          </w:p>
        </w:tc>
        <w:tc>
          <w:tcPr>
            <w:tcW w:w="849" w:type="pct"/>
            <w:gridSpan w:val="2"/>
            <w:tcBorders>
              <w:top w:val="single" w:sz="4" w:space="0" w:color="auto"/>
              <w:left w:val="single" w:sz="4" w:space="0" w:color="auto"/>
              <w:bottom w:val="single" w:sz="4" w:space="0" w:color="auto"/>
              <w:right w:val="single" w:sz="4" w:space="0" w:color="auto"/>
            </w:tcBorders>
            <w:shd w:val="clear" w:color="auto" w:fill="92D050"/>
          </w:tcPr>
          <w:p w:rsidR="001A26B0" w:rsidRDefault="00E33A99">
            <w:pPr>
              <w:spacing w:after="20"/>
              <w:jc w:val="center"/>
              <w:rPr>
                <w:noProof/>
                <w:sz w:val="20"/>
              </w:rPr>
            </w:pPr>
            <w:r>
              <w:rPr>
                <w:noProof/>
                <w:sz w:val="20"/>
              </w:rPr>
              <w:sym w:font="Wingdings" w:char="F0FC"/>
            </w:r>
          </w:p>
        </w:tc>
        <w:tc>
          <w:tcPr>
            <w:tcW w:w="897" w:type="pct"/>
            <w:gridSpan w:val="2"/>
            <w:tcBorders>
              <w:top w:val="single" w:sz="4" w:space="0" w:color="auto"/>
              <w:left w:val="single" w:sz="4" w:space="0" w:color="auto"/>
              <w:bottom w:val="single" w:sz="4" w:space="0" w:color="auto"/>
              <w:right w:val="single" w:sz="4" w:space="0" w:color="auto"/>
            </w:tcBorders>
            <w:shd w:val="clear" w:color="auto" w:fill="92D050"/>
          </w:tcPr>
          <w:p w:rsidR="001A26B0" w:rsidRDefault="00E33A99">
            <w:pPr>
              <w:spacing w:after="20"/>
              <w:jc w:val="center"/>
              <w:rPr>
                <w:noProof/>
                <w:sz w:val="20"/>
              </w:rPr>
            </w:pPr>
            <w:r>
              <w:rPr>
                <w:noProof/>
                <w:sz w:val="20"/>
              </w:rPr>
              <w:sym w:font="Wingdings" w:char="F0FC"/>
            </w:r>
          </w:p>
        </w:tc>
        <w:tc>
          <w:tcPr>
            <w:tcW w:w="968" w:type="pct"/>
            <w:tcBorders>
              <w:top w:val="single" w:sz="4" w:space="0" w:color="auto"/>
              <w:left w:val="single" w:sz="4" w:space="0" w:color="auto"/>
              <w:bottom w:val="single" w:sz="4" w:space="0" w:color="auto"/>
              <w:right w:val="single" w:sz="4" w:space="0" w:color="auto"/>
            </w:tcBorders>
            <w:shd w:val="clear" w:color="auto" w:fill="F79646" w:themeFill="accent6"/>
          </w:tcPr>
          <w:p w:rsidR="001A26B0" w:rsidRDefault="00E33A99">
            <w:pPr>
              <w:spacing w:after="20"/>
              <w:jc w:val="center"/>
              <w:rPr>
                <w:noProof/>
                <w:sz w:val="20"/>
              </w:rPr>
            </w:pPr>
            <w:r>
              <w:rPr>
                <w:noProof/>
                <w:sz w:val="20"/>
              </w:rPr>
              <w:sym w:font="Wingdings" w:char="F0FB"/>
            </w:r>
          </w:p>
        </w:tc>
      </w:tr>
      <w:tr w:rsidR="001A26B0">
        <w:trPr>
          <w:trHeight w:val="239"/>
          <w:tblHeader/>
        </w:trPr>
        <w:tc>
          <w:tcPr>
            <w:tcW w:w="1438" w:type="pct"/>
            <w:gridSpan w:val="2"/>
            <w:tcBorders>
              <w:top w:val="single" w:sz="4" w:space="0" w:color="auto"/>
              <w:left w:val="single" w:sz="4" w:space="0" w:color="auto"/>
              <w:bottom w:val="single" w:sz="4" w:space="0" w:color="auto"/>
              <w:right w:val="single" w:sz="4" w:space="0" w:color="auto"/>
            </w:tcBorders>
          </w:tcPr>
          <w:p w:rsidR="001A26B0" w:rsidRDefault="00E33A99">
            <w:pPr>
              <w:spacing w:after="20"/>
              <w:jc w:val="center"/>
              <w:rPr>
                <w:noProof/>
                <w:sz w:val="20"/>
              </w:rPr>
            </w:pPr>
            <w:r>
              <w:rPr>
                <w:noProof/>
                <w:sz w:val="20"/>
              </w:rPr>
              <w:t>Crediting system (two way adjustment)</w:t>
            </w:r>
          </w:p>
        </w:tc>
        <w:tc>
          <w:tcPr>
            <w:tcW w:w="848" w:type="pct"/>
            <w:gridSpan w:val="2"/>
            <w:tcBorders>
              <w:top w:val="single" w:sz="4" w:space="0" w:color="auto"/>
              <w:left w:val="single" w:sz="4" w:space="0" w:color="auto"/>
              <w:bottom w:val="single" w:sz="4" w:space="0" w:color="auto"/>
              <w:right w:val="single" w:sz="4" w:space="0" w:color="auto"/>
            </w:tcBorders>
            <w:shd w:val="clear" w:color="auto" w:fill="00B050"/>
          </w:tcPr>
          <w:p w:rsidR="001A26B0" w:rsidRDefault="00E33A99">
            <w:pPr>
              <w:spacing w:after="20"/>
              <w:jc w:val="center"/>
              <w:rPr>
                <w:noProof/>
                <w:sz w:val="20"/>
              </w:rPr>
            </w:pPr>
            <w:r>
              <w:rPr>
                <w:noProof/>
                <w:sz w:val="20"/>
              </w:rPr>
              <w:sym w:font="Wingdings" w:char="F0FC"/>
            </w:r>
            <w:r>
              <w:rPr>
                <w:noProof/>
                <w:sz w:val="20"/>
              </w:rPr>
              <w:sym w:font="Wingdings" w:char="F0FC"/>
            </w:r>
          </w:p>
        </w:tc>
        <w:tc>
          <w:tcPr>
            <w:tcW w:w="849" w:type="pct"/>
            <w:gridSpan w:val="2"/>
            <w:tcBorders>
              <w:top w:val="single" w:sz="4" w:space="0" w:color="auto"/>
              <w:left w:val="single" w:sz="4" w:space="0" w:color="auto"/>
              <w:bottom w:val="single" w:sz="4" w:space="0" w:color="auto"/>
              <w:right w:val="single" w:sz="4" w:space="0" w:color="auto"/>
            </w:tcBorders>
            <w:shd w:val="clear" w:color="auto" w:fill="00B050"/>
          </w:tcPr>
          <w:p w:rsidR="001A26B0" w:rsidRDefault="00E33A99">
            <w:pPr>
              <w:spacing w:after="20"/>
              <w:jc w:val="center"/>
              <w:rPr>
                <w:noProof/>
                <w:sz w:val="20"/>
              </w:rPr>
            </w:pPr>
            <w:r>
              <w:rPr>
                <w:noProof/>
                <w:sz w:val="20"/>
              </w:rPr>
              <w:sym w:font="Wingdings" w:char="F0FC"/>
            </w:r>
            <w:r>
              <w:rPr>
                <w:noProof/>
                <w:sz w:val="20"/>
              </w:rPr>
              <w:sym w:font="Wingdings" w:char="F0FC"/>
            </w:r>
          </w:p>
        </w:tc>
        <w:tc>
          <w:tcPr>
            <w:tcW w:w="897" w:type="pct"/>
            <w:gridSpan w:val="2"/>
            <w:tcBorders>
              <w:top w:val="single" w:sz="4" w:space="0" w:color="auto"/>
              <w:left w:val="single" w:sz="4" w:space="0" w:color="auto"/>
              <w:bottom w:val="single" w:sz="4" w:space="0" w:color="auto"/>
              <w:right w:val="single" w:sz="4" w:space="0" w:color="auto"/>
            </w:tcBorders>
            <w:shd w:val="clear" w:color="auto" w:fill="92D050"/>
          </w:tcPr>
          <w:p w:rsidR="001A26B0" w:rsidRDefault="00E33A99">
            <w:pPr>
              <w:spacing w:after="20"/>
              <w:jc w:val="center"/>
              <w:rPr>
                <w:noProof/>
                <w:sz w:val="20"/>
              </w:rPr>
            </w:pPr>
            <w:r>
              <w:rPr>
                <w:noProof/>
                <w:sz w:val="20"/>
              </w:rPr>
              <w:sym w:font="Wingdings" w:char="F0FC"/>
            </w:r>
          </w:p>
        </w:tc>
        <w:tc>
          <w:tcPr>
            <w:tcW w:w="968" w:type="pct"/>
            <w:tcBorders>
              <w:top w:val="single" w:sz="4" w:space="0" w:color="auto"/>
              <w:left w:val="single" w:sz="4" w:space="0" w:color="auto"/>
              <w:bottom w:val="single" w:sz="4" w:space="0" w:color="auto"/>
              <w:right w:val="single" w:sz="4" w:space="0" w:color="auto"/>
            </w:tcBorders>
            <w:shd w:val="clear" w:color="auto" w:fill="92D050"/>
          </w:tcPr>
          <w:p w:rsidR="001A26B0" w:rsidRDefault="00E33A99">
            <w:pPr>
              <w:spacing w:after="20"/>
              <w:jc w:val="center"/>
              <w:rPr>
                <w:noProof/>
                <w:sz w:val="20"/>
              </w:rPr>
            </w:pPr>
            <w:r>
              <w:rPr>
                <w:noProof/>
                <w:sz w:val="20"/>
              </w:rPr>
              <w:sym w:font="Wingdings" w:char="F0FC"/>
            </w:r>
          </w:p>
        </w:tc>
      </w:tr>
      <w:tr w:rsidR="001A26B0">
        <w:trPr>
          <w:tblHeader/>
        </w:trPr>
        <w:tc>
          <w:tcPr>
            <w:tcW w:w="1438" w:type="pct"/>
            <w:gridSpan w:val="2"/>
            <w:tcBorders>
              <w:top w:val="single" w:sz="4" w:space="0" w:color="auto"/>
              <w:left w:val="single" w:sz="4" w:space="0" w:color="auto"/>
              <w:bottom w:val="single" w:sz="4" w:space="0" w:color="auto"/>
              <w:right w:val="single" w:sz="4" w:space="0" w:color="auto"/>
            </w:tcBorders>
          </w:tcPr>
          <w:p w:rsidR="001A26B0" w:rsidRDefault="00E33A99">
            <w:pPr>
              <w:spacing w:after="20"/>
              <w:jc w:val="center"/>
              <w:rPr>
                <w:noProof/>
                <w:sz w:val="20"/>
              </w:rPr>
            </w:pPr>
            <w:r>
              <w:rPr>
                <w:noProof/>
                <w:sz w:val="20"/>
              </w:rPr>
              <w:t>Crediting system (one way adjustment)</w:t>
            </w:r>
          </w:p>
        </w:tc>
        <w:tc>
          <w:tcPr>
            <w:tcW w:w="848" w:type="pct"/>
            <w:gridSpan w:val="2"/>
            <w:tcBorders>
              <w:top w:val="single" w:sz="4" w:space="0" w:color="auto"/>
              <w:left w:val="single" w:sz="4" w:space="0" w:color="auto"/>
              <w:bottom w:val="single" w:sz="4" w:space="0" w:color="auto"/>
              <w:right w:val="single" w:sz="4" w:space="0" w:color="auto"/>
            </w:tcBorders>
            <w:shd w:val="clear" w:color="auto" w:fill="F79646" w:themeFill="accent6"/>
          </w:tcPr>
          <w:p w:rsidR="001A26B0" w:rsidRDefault="00E33A99">
            <w:pPr>
              <w:spacing w:after="20"/>
              <w:jc w:val="center"/>
              <w:rPr>
                <w:noProof/>
                <w:sz w:val="20"/>
              </w:rPr>
            </w:pPr>
            <w:r>
              <w:rPr>
                <w:noProof/>
                <w:sz w:val="20"/>
              </w:rPr>
              <w:sym w:font="Wingdings" w:char="F0FB"/>
            </w:r>
          </w:p>
        </w:tc>
        <w:tc>
          <w:tcPr>
            <w:tcW w:w="849" w:type="pct"/>
            <w:gridSpan w:val="2"/>
            <w:tcBorders>
              <w:top w:val="single" w:sz="4" w:space="0" w:color="auto"/>
              <w:left w:val="single" w:sz="4" w:space="0" w:color="auto"/>
              <w:bottom w:val="single" w:sz="4" w:space="0" w:color="auto"/>
              <w:right w:val="single" w:sz="4" w:space="0" w:color="auto"/>
            </w:tcBorders>
            <w:shd w:val="clear" w:color="auto" w:fill="92D050"/>
          </w:tcPr>
          <w:p w:rsidR="001A26B0" w:rsidRDefault="00E33A99">
            <w:pPr>
              <w:spacing w:after="20"/>
              <w:jc w:val="center"/>
              <w:rPr>
                <w:noProof/>
                <w:sz w:val="20"/>
              </w:rPr>
            </w:pPr>
            <w:r>
              <w:rPr>
                <w:noProof/>
                <w:sz w:val="20"/>
              </w:rPr>
              <w:sym w:font="Wingdings" w:char="F0FC"/>
            </w:r>
          </w:p>
        </w:tc>
        <w:tc>
          <w:tcPr>
            <w:tcW w:w="89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A26B0" w:rsidRDefault="00E33A99">
            <w:pPr>
              <w:spacing w:after="20"/>
              <w:jc w:val="center"/>
              <w:rPr>
                <w:noProof/>
                <w:sz w:val="20"/>
              </w:rPr>
            </w:pPr>
            <w:r>
              <w:rPr>
                <w:noProof/>
                <w:sz w:val="20"/>
              </w:rPr>
              <w:t>O</w:t>
            </w:r>
          </w:p>
        </w:tc>
        <w:tc>
          <w:tcPr>
            <w:tcW w:w="968" w:type="pct"/>
            <w:tcBorders>
              <w:top w:val="single" w:sz="4" w:space="0" w:color="auto"/>
              <w:left w:val="single" w:sz="4" w:space="0" w:color="auto"/>
              <w:bottom w:val="single" w:sz="4" w:space="0" w:color="auto"/>
              <w:right w:val="single" w:sz="4" w:space="0" w:color="auto"/>
            </w:tcBorders>
            <w:shd w:val="clear" w:color="auto" w:fill="92D050"/>
          </w:tcPr>
          <w:p w:rsidR="001A26B0" w:rsidRDefault="00E33A99">
            <w:pPr>
              <w:spacing w:after="20"/>
              <w:jc w:val="center"/>
              <w:rPr>
                <w:noProof/>
                <w:sz w:val="20"/>
              </w:rPr>
            </w:pPr>
            <w:r>
              <w:rPr>
                <w:noProof/>
                <w:sz w:val="20"/>
              </w:rPr>
              <w:sym w:font="Wingdings" w:char="F0FC"/>
            </w:r>
          </w:p>
        </w:tc>
      </w:tr>
      <w:tr w:rsidR="001A26B0">
        <w:trPr>
          <w:tblHeader/>
        </w:trPr>
        <w:tc>
          <w:tcPr>
            <w:tcW w:w="1435" w:type="pct"/>
            <w:tcBorders>
              <w:top w:val="single" w:sz="4" w:space="0" w:color="auto"/>
              <w:left w:val="single" w:sz="4" w:space="0" w:color="auto"/>
              <w:bottom w:val="single" w:sz="4" w:space="0" w:color="auto"/>
              <w:right w:val="single" w:sz="4" w:space="0" w:color="auto"/>
            </w:tcBorders>
          </w:tcPr>
          <w:p w:rsidR="001A26B0" w:rsidRDefault="00E33A99">
            <w:pPr>
              <w:tabs>
                <w:tab w:val="left" w:pos="4560"/>
              </w:tabs>
              <w:spacing w:after="20"/>
              <w:jc w:val="center"/>
              <w:rPr>
                <w:b/>
                <w:i/>
                <w:noProof/>
                <w:sz w:val="20"/>
              </w:rPr>
            </w:pPr>
            <w:r>
              <w:rPr>
                <w:b/>
                <w:i/>
                <w:noProof/>
                <w:sz w:val="20"/>
              </w:rPr>
              <w:t>Options considered</w:t>
            </w:r>
          </w:p>
        </w:tc>
        <w:tc>
          <w:tcPr>
            <w:tcW w:w="848" w:type="pct"/>
            <w:gridSpan w:val="2"/>
            <w:tcBorders>
              <w:top w:val="single" w:sz="4" w:space="0" w:color="auto"/>
              <w:left w:val="single" w:sz="4" w:space="0" w:color="auto"/>
              <w:bottom w:val="single" w:sz="4" w:space="0" w:color="auto"/>
              <w:right w:val="single" w:sz="4" w:space="0" w:color="auto"/>
            </w:tcBorders>
          </w:tcPr>
          <w:p w:rsidR="001A26B0" w:rsidRDefault="00E33A99">
            <w:pPr>
              <w:tabs>
                <w:tab w:val="left" w:pos="4560"/>
              </w:tabs>
              <w:spacing w:after="20"/>
              <w:jc w:val="center"/>
              <w:rPr>
                <w:b/>
                <w:i/>
                <w:noProof/>
                <w:sz w:val="20"/>
              </w:rPr>
            </w:pPr>
            <w:r>
              <w:rPr>
                <w:b/>
                <w:i/>
                <w:noProof/>
                <w:sz w:val="20"/>
              </w:rPr>
              <w:t>Effectiveness</w:t>
            </w:r>
          </w:p>
        </w:tc>
        <w:tc>
          <w:tcPr>
            <w:tcW w:w="847" w:type="pct"/>
            <w:gridSpan w:val="2"/>
            <w:tcBorders>
              <w:top w:val="single" w:sz="4" w:space="0" w:color="auto"/>
              <w:left w:val="single" w:sz="4" w:space="0" w:color="auto"/>
              <w:bottom w:val="single" w:sz="4" w:space="0" w:color="auto"/>
              <w:right w:val="single" w:sz="4" w:space="0" w:color="auto"/>
            </w:tcBorders>
          </w:tcPr>
          <w:p w:rsidR="001A26B0" w:rsidRDefault="00E33A99">
            <w:pPr>
              <w:tabs>
                <w:tab w:val="left" w:pos="4560"/>
              </w:tabs>
              <w:spacing w:after="20"/>
              <w:jc w:val="center"/>
              <w:rPr>
                <w:b/>
                <w:i/>
                <w:noProof/>
                <w:sz w:val="20"/>
              </w:rPr>
            </w:pPr>
            <w:r>
              <w:rPr>
                <w:b/>
                <w:i/>
                <w:noProof/>
                <w:sz w:val="20"/>
              </w:rPr>
              <w:t>Efficiency</w:t>
            </w:r>
          </w:p>
        </w:tc>
        <w:tc>
          <w:tcPr>
            <w:tcW w:w="897" w:type="pct"/>
            <w:gridSpan w:val="2"/>
            <w:tcBorders>
              <w:top w:val="single" w:sz="4" w:space="0" w:color="auto"/>
              <w:left w:val="single" w:sz="4" w:space="0" w:color="auto"/>
              <w:bottom w:val="single" w:sz="4" w:space="0" w:color="auto"/>
              <w:right w:val="single" w:sz="4" w:space="0" w:color="auto"/>
            </w:tcBorders>
          </w:tcPr>
          <w:p w:rsidR="001A26B0" w:rsidRDefault="00E33A99">
            <w:pPr>
              <w:tabs>
                <w:tab w:val="left" w:pos="4560"/>
              </w:tabs>
              <w:spacing w:after="20"/>
              <w:jc w:val="center"/>
              <w:rPr>
                <w:b/>
                <w:i/>
                <w:noProof/>
                <w:sz w:val="20"/>
              </w:rPr>
            </w:pPr>
            <w:r>
              <w:rPr>
                <w:b/>
                <w:i/>
                <w:noProof/>
                <w:sz w:val="20"/>
              </w:rPr>
              <w:t>Coherence</w:t>
            </w:r>
          </w:p>
        </w:tc>
        <w:tc>
          <w:tcPr>
            <w:tcW w:w="973" w:type="pct"/>
            <w:gridSpan w:val="2"/>
            <w:tcBorders>
              <w:top w:val="single" w:sz="4" w:space="0" w:color="auto"/>
              <w:left w:val="single" w:sz="4" w:space="0" w:color="auto"/>
              <w:bottom w:val="single" w:sz="4" w:space="0" w:color="auto"/>
              <w:right w:val="single" w:sz="4" w:space="0" w:color="auto"/>
            </w:tcBorders>
          </w:tcPr>
          <w:p w:rsidR="001A26B0" w:rsidRDefault="00E33A99">
            <w:pPr>
              <w:tabs>
                <w:tab w:val="left" w:pos="4560"/>
              </w:tabs>
              <w:spacing w:after="20"/>
              <w:jc w:val="center"/>
              <w:rPr>
                <w:b/>
                <w:i/>
                <w:noProof/>
                <w:sz w:val="20"/>
              </w:rPr>
            </w:pPr>
            <w:r>
              <w:rPr>
                <w:b/>
                <w:i/>
                <w:noProof/>
                <w:sz w:val="20"/>
              </w:rPr>
              <w:t>Proportionality – added value</w:t>
            </w:r>
          </w:p>
        </w:tc>
      </w:tr>
      <w:tr w:rsidR="001A26B0">
        <w:trPr>
          <w:tblHeader/>
        </w:trPr>
        <w:tc>
          <w:tcPr>
            <w:tcW w:w="5000" w:type="pct"/>
            <w:gridSpan w:val="9"/>
            <w:tcBorders>
              <w:top w:val="single" w:sz="4" w:space="0" w:color="auto"/>
              <w:left w:val="single" w:sz="4" w:space="0" w:color="auto"/>
              <w:bottom w:val="single" w:sz="4" w:space="0" w:color="auto"/>
              <w:right w:val="single" w:sz="4" w:space="0" w:color="auto"/>
            </w:tcBorders>
          </w:tcPr>
          <w:p w:rsidR="001A26B0" w:rsidRDefault="00E33A99">
            <w:pPr>
              <w:spacing w:after="20"/>
              <w:jc w:val="center"/>
              <w:rPr>
                <w:b/>
                <w:noProof/>
                <w:sz w:val="20"/>
              </w:rPr>
            </w:pPr>
            <w:r>
              <w:rPr>
                <w:b/>
                <w:noProof/>
                <w:sz w:val="20"/>
              </w:rPr>
              <w:t>TYPE OF ZEV / LEV INCENTIVE - VANS</w:t>
            </w:r>
          </w:p>
        </w:tc>
      </w:tr>
      <w:tr w:rsidR="001A26B0">
        <w:trPr>
          <w:tblHeader/>
        </w:trPr>
        <w:tc>
          <w:tcPr>
            <w:tcW w:w="1438" w:type="pct"/>
            <w:gridSpan w:val="2"/>
            <w:tcBorders>
              <w:top w:val="single" w:sz="4" w:space="0" w:color="auto"/>
              <w:left w:val="single" w:sz="4" w:space="0" w:color="auto"/>
              <w:bottom w:val="single" w:sz="4" w:space="0" w:color="auto"/>
              <w:right w:val="single" w:sz="4" w:space="0" w:color="auto"/>
            </w:tcBorders>
          </w:tcPr>
          <w:p w:rsidR="001A26B0" w:rsidRDefault="00E33A99">
            <w:pPr>
              <w:spacing w:after="20"/>
              <w:jc w:val="center"/>
              <w:rPr>
                <w:noProof/>
                <w:sz w:val="20"/>
              </w:rPr>
            </w:pPr>
            <w:r>
              <w:rPr>
                <w:noProof/>
                <w:sz w:val="20"/>
              </w:rPr>
              <w:t>No incentive</w:t>
            </w:r>
          </w:p>
        </w:tc>
        <w:tc>
          <w:tcPr>
            <w:tcW w:w="848" w:type="pct"/>
            <w:gridSpan w:val="2"/>
            <w:tcBorders>
              <w:top w:val="single" w:sz="4" w:space="0" w:color="auto"/>
              <w:left w:val="single" w:sz="4" w:space="0" w:color="auto"/>
              <w:bottom w:val="single" w:sz="4" w:space="0" w:color="auto"/>
              <w:right w:val="single" w:sz="4" w:space="0" w:color="auto"/>
            </w:tcBorders>
            <w:shd w:val="clear" w:color="auto" w:fill="F79646" w:themeFill="accent6"/>
          </w:tcPr>
          <w:p w:rsidR="001A26B0" w:rsidRDefault="00E33A99">
            <w:pPr>
              <w:spacing w:after="20"/>
              <w:jc w:val="center"/>
              <w:rPr>
                <w:noProof/>
                <w:sz w:val="20"/>
              </w:rPr>
            </w:pPr>
            <w:r>
              <w:rPr>
                <w:noProof/>
                <w:sz w:val="20"/>
              </w:rPr>
              <w:sym w:font="Wingdings" w:char="F0FB"/>
            </w:r>
          </w:p>
        </w:tc>
        <w:tc>
          <w:tcPr>
            <w:tcW w:w="849" w:type="pct"/>
            <w:gridSpan w:val="2"/>
            <w:tcBorders>
              <w:top w:val="single" w:sz="4" w:space="0" w:color="auto"/>
              <w:left w:val="single" w:sz="4" w:space="0" w:color="auto"/>
              <w:bottom w:val="single" w:sz="4" w:space="0" w:color="auto"/>
              <w:right w:val="single" w:sz="4" w:space="0" w:color="auto"/>
            </w:tcBorders>
            <w:shd w:val="clear" w:color="auto" w:fill="EEECE1" w:themeFill="background2"/>
          </w:tcPr>
          <w:p w:rsidR="001A26B0" w:rsidRDefault="00E33A99">
            <w:pPr>
              <w:spacing w:after="20"/>
              <w:jc w:val="center"/>
              <w:rPr>
                <w:noProof/>
                <w:sz w:val="20"/>
              </w:rPr>
            </w:pPr>
            <w:r>
              <w:rPr>
                <w:noProof/>
                <w:sz w:val="20"/>
              </w:rPr>
              <w:t>O</w:t>
            </w:r>
          </w:p>
        </w:tc>
        <w:tc>
          <w:tcPr>
            <w:tcW w:w="89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A26B0" w:rsidRDefault="00E33A99">
            <w:pPr>
              <w:spacing w:after="20"/>
              <w:jc w:val="center"/>
              <w:rPr>
                <w:noProof/>
                <w:sz w:val="20"/>
              </w:rPr>
            </w:pPr>
            <w:r>
              <w:rPr>
                <w:noProof/>
                <w:sz w:val="20"/>
              </w:rPr>
              <w:t>O</w:t>
            </w:r>
          </w:p>
        </w:tc>
        <w:tc>
          <w:tcPr>
            <w:tcW w:w="96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A26B0" w:rsidRDefault="00E33A99">
            <w:pPr>
              <w:spacing w:after="20"/>
              <w:jc w:val="center"/>
              <w:rPr>
                <w:noProof/>
                <w:sz w:val="20"/>
              </w:rPr>
            </w:pPr>
            <w:r>
              <w:rPr>
                <w:noProof/>
                <w:sz w:val="20"/>
              </w:rPr>
              <w:t>O</w:t>
            </w:r>
          </w:p>
        </w:tc>
      </w:tr>
      <w:tr w:rsidR="001A26B0">
        <w:trPr>
          <w:tblHeader/>
        </w:trPr>
        <w:tc>
          <w:tcPr>
            <w:tcW w:w="1438" w:type="pct"/>
            <w:gridSpan w:val="2"/>
            <w:tcBorders>
              <w:top w:val="single" w:sz="4" w:space="0" w:color="auto"/>
              <w:left w:val="single" w:sz="4" w:space="0" w:color="auto"/>
              <w:bottom w:val="single" w:sz="4" w:space="0" w:color="auto"/>
              <w:right w:val="single" w:sz="4" w:space="0" w:color="auto"/>
            </w:tcBorders>
          </w:tcPr>
          <w:p w:rsidR="001A26B0" w:rsidRDefault="00E33A99">
            <w:pPr>
              <w:spacing w:after="20"/>
              <w:jc w:val="center"/>
              <w:rPr>
                <w:noProof/>
                <w:sz w:val="20"/>
              </w:rPr>
            </w:pPr>
            <w:r>
              <w:rPr>
                <w:noProof/>
                <w:sz w:val="20"/>
              </w:rPr>
              <w:t>Mandate</w:t>
            </w:r>
          </w:p>
        </w:tc>
        <w:tc>
          <w:tcPr>
            <w:tcW w:w="848" w:type="pct"/>
            <w:gridSpan w:val="2"/>
            <w:tcBorders>
              <w:top w:val="single" w:sz="4" w:space="0" w:color="auto"/>
              <w:left w:val="single" w:sz="4" w:space="0" w:color="auto"/>
              <w:bottom w:val="single" w:sz="4" w:space="0" w:color="auto"/>
              <w:right w:val="single" w:sz="4" w:space="0" w:color="auto"/>
            </w:tcBorders>
            <w:shd w:val="clear" w:color="auto" w:fill="00B050"/>
          </w:tcPr>
          <w:p w:rsidR="001A26B0" w:rsidRDefault="00E33A99">
            <w:pPr>
              <w:spacing w:after="20"/>
              <w:jc w:val="center"/>
              <w:rPr>
                <w:noProof/>
                <w:sz w:val="20"/>
              </w:rPr>
            </w:pPr>
            <w:r>
              <w:rPr>
                <w:noProof/>
                <w:sz w:val="20"/>
              </w:rPr>
              <w:sym w:font="Wingdings" w:char="F0FC"/>
            </w:r>
            <w:r>
              <w:rPr>
                <w:noProof/>
                <w:sz w:val="20"/>
              </w:rPr>
              <w:sym w:font="Wingdings" w:char="F0FC"/>
            </w:r>
          </w:p>
        </w:tc>
        <w:tc>
          <w:tcPr>
            <w:tcW w:w="849" w:type="pct"/>
            <w:gridSpan w:val="2"/>
            <w:tcBorders>
              <w:top w:val="single" w:sz="4" w:space="0" w:color="auto"/>
              <w:left w:val="single" w:sz="4" w:space="0" w:color="auto"/>
              <w:bottom w:val="single" w:sz="4" w:space="0" w:color="auto"/>
              <w:right w:val="single" w:sz="4" w:space="0" w:color="auto"/>
            </w:tcBorders>
            <w:shd w:val="clear" w:color="auto" w:fill="F79646" w:themeFill="accent6"/>
          </w:tcPr>
          <w:p w:rsidR="001A26B0" w:rsidRDefault="00E33A99">
            <w:pPr>
              <w:spacing w:after="20"/>
              <w:jc w:val="center"/>
              <w:rPr>
                <w:noProof/>
                <w:sz w:val="20"/>
              </w:rPr>
            </w:pPr>
            <w:r>
              <w:rPr>
                <w:noProof/>
                <w:sz w:val="20"/>
              </w:rPr>
              <w:sym w:font="Wingdings" w:char="F0FB"/>
            </w:r>
          </w:p>
        </w:tc>
        <w:tc>
          <w:tcPr>
            <w:tcW w:w="897" w:type="pct"/>
            <w:gridSpan w:val="2"/>
            <w:tcBorders>
              <w:top w:val="single" w:sz="4" w:space="0" w:color="auto"/>
              <w:left w:val="single" w:sz="4" w:space="0" w:color="auto"/>
              <w:bottom w:val="single" w:sz="4" w:space="0" w:color="auto"/>
              <w:right w:val="single" w:sz="4" w:space="0" w:color="auto"/>
            </w:tcBorders>
            <w:shd w:val="clear" w:color="auto" w:fill="92D050"/>
          </w:tcPr>
          <w:p w:rsidR="001A26B0" w:rsidRDefault="00E33A99">
            <w:pPr>
              <w:spacing w:after="20"/>
              <w:jc w:val="center"/>
              <w:rPr>
                <w:noProof/>
                <w:sz w:val="20"/>
              </w:rPr>
            </w:pPr>
            <w:r>
              <w:rPr>
                <w:noProof/>
                <w:sz w:val="20"/>
              </w:rPr>
              <w:sym w:font="Wingdings" w:char="F0FC"/>
            </w:r>
          </w:p>
        </w:tc>
        <w:tc>
          <w:tcPr>
            <w:tcW w:w="968" w:type="pct"/>
            <w:tcBorders>
              <w:top w:val="single" w:sz="4" w:space="0" w:color="auto"/>
              <w:left w:val="single" w:sz="4" w:space="0" w:color="auto"/>
              <w:bottom w:val="single" w:sz="4" w:space="0" w:color="auto"/>
              <w:right w:val="single" w:sz="4" w:space="0" w:color="auto"/>
            </w:tcBorders>
            <w:shd w:val="clear" w:color="auto" w:fill="F79646" w:themeFill="accent6"/>
          </w:tcPr>
          <w:p w:rsidR="001A26B0" w:rsidRDefault="00E33A99">
            <w:pPr>
              <w:spacing w:after="20"/>
              <w:jc w:val="center"/>
              <w:rPr>
                <w:noProof/>
                <w:sz w:val="20"/>
              </w:rPr>
            </w:pPr>
            <w:r>
              <w:rPr>
                <w:noProof/>
                <w:sz w:val="20"/>
              </w:rPr>
              <w:sym w:font="Wingdings" w:char="F0FB"/>
            </w:r>
          </w:p>
        </w:tc>
      </w:tr>
      <w:tr w:rsidR="001A26B0">
        <w:trPr>
          <w:trHeight w:val="239"/>
          <w:tblHeader/>
        </w:trPr>
        <w:tc>
          <w:tcPr>
            <w:tcW w:w="1438" w:type="pct"/>
            <w:gridSpan w:val="2"/>
            <w:tcBorders>
              <w:top w:val="single" w:sz="4" w:space="0" w:color="auto"/>
              <w:left w:val="single" w:sz="4" w:space="0" w:color="auto"/>
              <w:bottom w:val="single" w:sz="4" w:space="0" w:color="auto"/>
              <w:right w:val="single" w:sz="4" w:space="0" w:color="auto"/>
            </w:tcBorders>
          </w:tcPr>
          <w:p w:rsidR="001A26B0" w:rsidRDefault="00E33A99">
            <w:pPr>
              <w:spacing w:after="20"/>
              <w:jc w:val="center"/>
              <w:rPr>
                <w:noProof/>
                <w:sz w:val="20"/>
              </w:rPr>
            </w:pPr>
            <w:r>
              <w:rPr>
                <w:noProof/>
                <w:sz w:val="20"/>
              </w:rPr>
              <w:t>Crediting system (two way adjustment)</w:t>
            </w:r>
          </w:p>
        </w:tc>
        <w:tc>
          <w:tcPr>
            <w:tcW w:w="848" w:type="pct"/>
            <w:gridSpan w:val="2"/>
            <w:tcBorders>
              <w:top w:val="single" w:sz="4" w:space="0" w:color="auto"/>
              <w:left w:val="single" w:sz="4" w:space="0" w:color="auto"/>
              <w:bottom w:val="single" w:sz="4" w:space="0" w:color="auto"/>
              <w:right w:val="single" w:sz="4" w:space="0" w:color="auto"/>
            </w:tcBorders>
            <w:shd w:val="clear" w:color="auto" w:fill="00B050"/>
          </w:tcPr>
          <w:p w:rsidR="001A26B0" w:rsidRDefault="00E33A99">
            <w:pPr>
              <w:spacing w:after="20"/>
              <w:jc w:val="center"/>
              <w:rPr>
                <w:noProof/>
                <w:sz w:val="20"/>
              </w:rPr>
            </w:pPr>
            <w:r>
              <w:rPr>
                <w:noProof/>
                <w:sz w:val="20"/>
              </w:rPr>
              <w:sym w:font="Wingdings" w:char="F0FC"/>
            </w:r>
            <w:r>
              <w:rPr>
                <w:noProof/>
                <w:sz w:val="20"/>
              </w:rPr>
              <w:sym w:font="Wingdings" w:char="F0FC"/>
            </w:r>
          </w:p>
        </w:tc>
        <w:tc>
          <w:tcPr>
            <w:tcW w:w="849" w:type="pct"/>
            <w:gridSpan w:val="2"/>
            <w:tcBorders>
              <w:top w:val="single" w:sz="4" w:space="0" w:color="auto"/>
              <w:left w:val="single" w:sz="4" w:space="0" w:color="auto"/>
              <w:bottom w:val="single" w:sz="4" w:space="0" w:color="auto"/>
              <w:right w:val="single" w:sz="4" w:space="0" w:color="auto"/>
            </w:tcBorders>
            <w:shd w:val="clear" w:color="auto" w:fill="F79646" w:themeFill="accent6"/>
          </w:tcPr>
          <w:p w:rsidR="001A26B0" w:rsidRDefault="00E33A99">
            <w:pPr>
              <w:spacing w:after="20"/>
              <w:jc w:val="center"/>
              <w:rPr>
                <w:noProof/>
                <w:sz w:val="20"/>
              </w:rPr>
            </w:pPr>
            <w:r>
              <w:rPr>
                <w:noProof/>
                <w:sz w:val="20"/>
              </w:rPr>
              <w:sym w:font="Wingdings" w:char="F0FB"/>
            </w:r>
          </w:p>
        </w:tc>
        <w:tc>
          <w:tcPr>
            <w:tcW w:w="897" w:type="pct"/>
            <w:gridSpan w:val="2"/>
            <w:tcBorders>
              <w:top w:val="single" w:sz="4" w:space="0" w:color="auto"/>
              <w:left w:val="single" w:sz="4" w:space="0" w:color="auto"/>
              <w:bottom w:val="single" w:sz="4" w:space="0" w:color="auto"/>
              <w:right w:val="single" w:sz="4" w:space="0" w:color="auto"/>
            </w:tcBorders>
            <w:shd w:val="clear" w:color="auto" w:fill="92D050"/>
          </w:tcPr>
          <w:p w:rsidR="001A26B0" w:rsidRDefault="00E33A99">
            <w:pPr>
              <w:spacing w:after="20"/>
              <w:jc w:val="center"/>
              <w:rPr>
                <w:noProof/>
                <w:sz w:val="20"/>
              </w:rPr>
            </w:pPr>
            <w:r>
              <w:rPr>
                <w:noProof/>
                <w:sz w:val="20"/>
              </w:rPr>
              <w:sym w:font="Wingdings" w:char="F0FC"/>
            </w:r>
          </w:p>
        </w:tc>
        <w:tc>
          <w:tcPr>
            <w:tcW w:w="968" w:type="pct"/>
            <w:tcBorders>
              <w:top w:val="single" w:sz="4" w:space="0" w:color="auto"/>
              <w:left w:val="single" w:sz="4" w:space="0" w:color="auto"/>
              <w:bottom w:val="single" w:sz="4" w:space="0" w:color="auto"/>
              <w:right w:val="single" w:sz="4" w:space="0" w:color="auto"/>
            </w:tcBorders>
            <w:shd w:val="clear" w:color="auto" w:fill="92D050"/>
          </w:tcPr>
          <w:p w:rsidR="001A26B0" w:rsidRDefault="00E33A99">
            <w:pPr>
              <w:spacing w:after="20"/>
              <w:jc w:val="center"/>
              <w:rPr>
                <w:noProof/>
                <w:sz w:val="20"/>
              </w:rPr>
            </w:pPr>
            <w:r>
              <w:rPr>
                <w:noProof/>
                <w:sz w:val="20"/>
              </w:rPr>
              <w:sym w:font="Wingdings" w:char="F0FC"/>
            </w:r>
          </w:p>
        </w:tc>
      </w:tr>
      <w:tr w:rsidR="001A26B0">
        <w:trPr>
          <w:tblHeader/>
        </w:trPr>
        <w:tc>
          <w:tcPr>
            <w:tcW w:w="1438" w:type="pct"/>
            <w:gridSpan w:val="2"/>
            <w:tcBorders>
              <w:top w:val="single" w:sz="4" w:space="0" w:color="auto"/>
              <w:left w:val="single" w:sz="4" w:space="0" w:color="auto"/>
              <w:bottom w:val="single" w:sz="4" w:space="0" w:color="auto"/>
              <w:right w:val="single" w:sz="4" w:space="0" w:color="auto"/>
            </w:tcBorders>
          </w:tcPr>
          <w:p w:rsidR="001A26B0" w:rsidRDefault="00E33A99">
            <w:pPr>
              <w:spacing w:after="20"/>
              <w:jc w:val="center"/>
              <w:rPr>
                <w:noProof/>
                <w:sz w:val="20"/>
              </w:rPr>
            </w:pPr>
            <w:r>
              <w:rPr>
                <w:noProof/>
                <w:sz w:val="20"/>
              </w:rPr>
              <w:t>Crediting system (one way adjustment)</w:t>
            </w:r>
          </w:p>
        </w:tc>
        <w:tc>
          <w:tcPr>
            <w:tcW w:w="848" w:type="pct"/>
            <w:gridSpan w:val="2"/>
            <w:tcBorders>
              <w:top w:val="single" w:sz="4" w:space="0" w:color="auto"/>
              <w:left w:val="single" w:sz="4" w:space="0" w:color="auto"/>
              <w:bottom w:val="single" w:sz="4" w:space="0" w:color="auto"/>
              <w:right w:val="single" w:sz="4" w:space="0" w:color="auto"/>
            </w:tcBorders>
            <w:shd w:val="clear" w:color="auto" w:fill="F79646" w:themeFill="accent6"/>
          </w:tcPr>
          <w:p w:rsidR="001A26B0" w:rsidRDefault="00E33A99">
            <w:pPr>
              <w:spacing w:after="20"/>
              <w:jc w:val="center"/>
              <w:rPr>
                <w:noProof/>
                <w:sz w:val="20"/>
              </w:rPr>
            </w:pPr>
            <w:r>
              <w:rPr>
                <w:noProof/>
                <w:sz w:val="20"/>
              </w:rPr>
              <w:sym w:font="Wingdings" w:char="F0FB"/>
            </w:r>
          </w:p>
        </w:tc>
        <w:tc>
          <w:tcPr>
            <w:tcW w:w="849" w:type="pct"/>
            <w:gridSpan w:val="2"/>
            <w:tcBorders>
              <w:top w:val="single" w:sz="4" w:space="0" w:color="auto"/>
              <w:left w:val="single" w:sz="4" w:space="0" w:color="auto"/>
              <w:bottom w:val="single" w:sz="4" w:space="0" w:color="auto"/>
              <w:right w:val="single" w:sz="4" w:space="0" w:color="auto"/>
            </w:tcBorders>
            <w:shd w:val="clear" w:color="auto" w:fill="F79646" w:themeFill="accent6"/>
          </w:tcPr>
          <w:p w:rsidR="001A26B0" w:rsidRDefault="00E33A99">
            <w:pPr>
              <w:spacing w:after="20"/>
              <w:jc w:val="center"/>
              <w:rPr>
                <w:noProof/>
                <w:sz w:val="20"/>
              </w:rPr>
            </w:pPr>
            <w:r>
              <w:rPr>
                <w:noProof/>
                <w:sz w:val="20"/>
              </w:rPr>
              <w:sym w:font="Wingdings" w:char="F0FB"/>
            </w:r>
          </w:p>
        </w:tc>
        <w:tc>
          <w:tcPr>
            <w:tcW w:w="89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A26B0" w:rsidRDefault="00E33A99">
            <w:pPr>
              <w:spacing w:after="20"/>
              <w:jc w:val="center"/>
              <w:rPr>
                <w:noProof/>
                <w:sz w:val="20"/>
              </w:rPr>
            </w:pPr>
            <w:r>
              <w:rPr>
                <w:noProof/>
                <w:sz w:val="20"/>
              </w:rPr>
              <w:t>O</w:t>
            </w:r>
          </w:p>
        </w:tc>
        <w:tc>
          <w:tcPr>
            <w:tcW w:w="968" w:type="pct"/>
            <w:tcBorders>
              <w:top w:val="single" w:sz="4" w:space="0" w:color="auto"/>
              <w:left w:val="single" w:sz="4" w:space="0" w:color="auto"/>
              <w:bottom w:val="single" w:sz="4" w:space="0" w:color="auto"/>
              <w:right w:val="single" w:sz="4" w:space="0" w:color="auto"/>
            </w:tcBorders>
            <w:shd w:val="clear" w:color="auto" w:fill="92D050"/>
          </w:tcPr>
          <w:p w:rsidR="001A26B0" w:rsidRDefault="00E33A99">
            <w:pPr>
              <w:spacing w:after="20"/>
              <w:jc w:val="center"/>
              <w:rPr>
                <w:noProof/>
                <w:sz w:val="20"/>
              </w:rPr>
            </w:pPr>
            <w:r>
              <w:rPr>
                <w:noProof/>
                <w:sz w:val="20"/>
              </w:rPr>
              <w:sym w:font="Wingdings" w:char="F0FC"/>
            </w:r>
          </w:p>
        </w:tc>
      </w:tr>
      <w:tr w:rsidR="001A26B0">
        <w:trPr>
          <w:tblHeader/>
        </w:trPr>
        <w:tc>
          <w:tcPr>
            <w:tcW w:w="5000" w:type="pct"/>
            <w:gridSpan w:val="9"/>
            <w:tcBorders>
              <w:top w:val="single" w:sz="4" w:space="0" w:color="auto"/>
              <w:left w:val="single" w:sz="4" w:space="0" w:color="auto"/>
              <w:bottom w:val="single" w:sz="4" w:space="0" w:color="auto"/>
              <w:right w:val="single" w:sz="4" w:space="0" w:color="auto"/>
            </w:tcBorders>
          </w:tcPr>
          <w:p w:rsidR="001A26B0" w:rsidRDefault="00E33A99">
            <w:pPr>
              <w:tabs>
                <w:tab w:val="left" w:pos="4560"/>
              </w:tabs>
              <w:spacing w:after="20"/>
              <w:jc w:val="center"/>
              <w:rPr>
                <w:b/>
                <w:i/>
                <w:noProof/>
                <w:sz w:val="20"/>
              </w:rPr>
            </w:pPr>
            <w:r>
              <w:rPr>
                <w:b/>
                <w:i/>
                <w:noProof/>
                <w:sz w:val="20"/>
              </w:rPr>
              <w:t>4. ELEMENTS FOR COST-EFFECTIVE IMPLEMENTATION</w:t>
            </w:r>
          </w:p>
        </w:tc>
      </w:tr>
      <w:tr w:rsidR="001A26B0">
        <w:trPr>
          <w:tblHeader/>
        </w:trPr>
        <w:tc>
          <w:tcPr>
            <w:tcW w:w="5000" w:type="pct"/>
            <w:gridSpan w:val="9"/>
            <w:tcBorders>
              <w:top w:val="single" w:sz="4" w:space="0" w:color="auto"/>
              <w:left w:val="single" w:sz="4" w:space="0" w:color="auto"/>
              <w:bottom w:val="single" w:sz="4" w:space="0" w:color="auto"/>
              <w:right w:val="single" w:sz="4" w:space="0" w:color="auto"/>
            </w:tcBorders>
          </w:tcPr>
          <w:p w:rsidR="001A26B0" w:rsidRDefault="00E33A99">
            <w:pPr>
              <w:tabs>
                <w:tab w:val="left" w:pos="4560"/>
              </w:tabs>
              <w:spacing w:after="20"/>
              <w:jc w:val="center"/>
              <w:rPr>
                <w:b/>
                <w:noProof/>
                <w:sz w:val="20"/>
              </w:rPr>
            </w:pPr>
            <w:r>
              <w:rPr>
                <w:b/>
                <w:noProof/>
                <w:sz w:val="20"/>
              </w:rPr>
              <w:t>ECO-INNOVATION</w:t>
            </w:r>
          </w:p>
        </w:tc>
      </w:tr>
      <w:tr w:rsidR="001A26B0">
        <w:trPr>
          <w:tblHeader/>
        </w:trPr>
        <w:tc>
          <w:tcPr>
            <w:tcW w:w="1435" w:type="pct"/>
            <w:tcBorders>
              <w:top w:val="single" w:sz="4" w:space="0" w:color="auto"/>
              <w:left w:val="single" w:sz="4" w:space="0" w:color="auto"/>
              <w:bottom w:val="single" w:sz="4" w:space="0" w:color="auto"/>
              <w:right w:val="single" w:sz="4" w:space="0" w:color="auto"/>
            </w:tcBorders>
          </w:tcPr>
          <w:p w:rsidR="001A26B0" w:rsidRDefault="00E33A99">
            <w:pPr>
              <w:tabs>
                <w:tab w:val="left" w:pos="4560"/>
              </w:tabs>
              <w:spacing w:after="20"/>
              <w:jc w:val="center"/>
              <w:rPr>
                <w:noProof/>
                <w:sz w:val="20"/>
              </w:rPr>
            </w:pPr>
            <w:r>
              <w:rPr>
                <w:noProof/>
                <w:sz w:val="20"/>
              </w:rPr>
              <w:t xml:space="preserve">Future review and possible cap adjustment </w:t>
            </w:r>
          </w:p>
        </w:tc>
        <w:tc>
          <w:tcPr>
            <w:tcW w:w="848" w:type="pct"/>
            <w:gridSpan w:val="2"/>
            <w:tcBorders>
              <w:top w:val="single" w:sz="4" w:space="0" w:color="auto"/>
              <w:left w:val="single" w:sz="4" w:space="0" w:color="auto"/>
              <w:bottom w:val="single" w:sz="4" w:space="0" w:color="auto"/>
              <w:right w:val="single" w:sz="4" w:space="0" w:color="auto"/>
            </w:tcBorders>
            <w:shd w:val="clear" w:color="auto" w:fill="92D050"/>
          </w:tcPr>
          <w:p w:rsidR="001A26B0" w:rsidRDefault="00E33A99">
            <w:pPr>
              <w:tabs>
                <w:tab w:val="left" w:pos="4560"/>
              </w:tabs>
              <w:spacing w:after="20"/>
              <w:jc w:val="center"/>
              <w:rPr>
                <w:noProof/>
                <w:sz w:val="20"/>
              </w:rPr>
            </w:pPr>
            <w:r>
              <w:rPr>
                <w:noProof/>
                <w:sz w:val="20"/>
              </w:rPr>
              <w:sym w:font="Wingdings" w:char="F0FC"/>
            </w:r>
          </w:p>
        </w:tc>
        <w:tc>
          <w:tcPr>
            <w:tcW w:w="847" w:type="pct"/>
            <w:gridSpan w:val="2"/>
            <w:tcBorders>
              <w:top w:val="single" w:sz="4" w:space="0" w:color="auto"/>
              <w:left w:val="single" w:sz="4" w:space="0" w:color="auto"/>
              <w:bottom w:val="single" w:sz="4" w:space="0" w:color="auto"/>
              <w:right w:val="single" w:sz="4" w:space="0" w:color="auto"/>
            </w:tcBorders>
            <w:shd w:val="clear" w:color="auto" w:fill="92D050"/>
          </w:tcPr>
          <w:p w:rsidR="001A26B0" w:rsidRDefault="00E33A99">
            <w:pPr>
              <w:tabs>
                <w:tab w:val="left" w:pos="4560"/>
              </w:tabs>
              <w:spacing w:after="20"/>
              <w:jc w:val="center"/>
              <w:rPr>
                <w:noProof/>
                <w:sz w:val="20"/>
              </w:rPr>
            </w:pPr>
            <w:r>
              <w:rPr>
                <w:noProof/>
                <w:sz w:val="20"/>
              </w:rPr>
              <w:sym w:font="Wingdings" w:char="F0FC"/>
            </w:r>
          </w:p>
        </w:tc>
        <w:tc>
          <w:tcPr>
            <w:tcW w:w="897" w:type="pct"/>
            <w:gridSpan w:val="2"/>
            <w:tcBorders>
              <w:top w:val="single" w:sz="4" w:space="0" w:color="auto"/>
              <w:left w:val="single" w:sz="4" w:space="0" w:color="auto"/>
              <w:bottom w:val="single" w:sz="4" w:space="0" w:color="auto"/>
              <w:right w:val="single" w:sz="4" w:space="0" w:color="auto"/>
            </w:tcBorders>
            <w:shd w:val="clear" w:color="auto" w:fill="92D050"/>
          </w:tcPr>
          <w:p w:rsidR="001A26B0" w:rsidRDefault="00E33A99">
            <w:pPr>
              <w:tabs>
                <w:tab w:val="left" w:pos="4560"/>
              </w:tabs>
              <w:spacing w:after="20"/>
              <w:jc w:val="center"/>
              <w:rPr>
                <w:noProof/>
                <w:sz w:val="20"/>
              </w:rPr>
            </w:pPr>
            <w:r>
              <w:rPr>
                <w:noProof/>
                <w:sz w:val="20"/>
              </w:rPr>
              <w:sym w:font="Wingdings" w:char="F0FC"/>
            </w:r>
          </w:p>
        </w:tc>
        <w:tc>
          <w:tcPr>
            <w:tcW w:w="973" w:type="pct"/>
            <w:gridSpan w:val="2"/>
            <w:tcBorders>
              <w:top w:val="single" w:sz="4" w:space="0" w:color="auto"/>
              <w:left w:val="single" w:sz="4" w:space="0" w:color="auto"/>
              <w:bottom w:val="single" w:sz="4" w:space="0" w:color="auto"/>
              <w:right w:val="single" w:sz="4" w:space="0" w:color="auto"/>
            </w:tcBorders>
            <w:shd w:val="clear" w:color="auto" w:fill="92D050"/>
          </w:tcPr>
          <w:p w:rsidR="001A26B0" w:rsidRDefault="00E33A99">
            <w:pPr>
              <w:tabs>
                <w:tab w:val="left" w:pos="4560"/>
              </w:tabs>
              <w:spacing w:after="20"/>
              <w:jc w:val="center"/>
              <w:rPr>
                <w:noProof/>
                <w:sz w:val="20"/>
              </w:rPr>
            </w:pPr>
            <w:r>
              <w:rPr>
                <w:noProof/>
                <w:sz w:val="20"/>
              </w:rPr>
              <w:sym w:font="Wingdings" w:char="F0FC"/>
            </w:r>
          </w:p>
        </w:tc>
      </w:tr>
      <w:tr w:rsidR="001A26B0">
        <w:trPr>
          <w:tblHeader/>
        </w:trPr>
        <w:tc>
          <w:tcPr>
            <w:tcW w:w="1435" w:type="pct"/>
            <w:tcBorders>
              <w:top w:val="single" w:sz="4" w:space="0" w:color="auto"/>
              <w:left w:val="single" w:sz="4" w:space="0" w:color="auto"/>
              <w:bottom w:val="single" w:sz="4" w:space="0" w:color="auto"/>
              <w:right w:val="single" w:sz="4" w:space="0" w:color="auto"/>
            </w:tcBorders>
          </w:tcPr>
          <w:p w:rsidR="001A26B0" w:rsidRDefault="00E33A99">
            <w:pPr>
              <w:tabs>
                <w:tab w:val="left" w:pos="4560"/>
              </w:tabs>
              <w:spacing w:after="20"/>
              <w:jc w:val="center"/>
              <w:rPr>
                <w:noProof/>
                <w:sz w:val="20"/>
              </w:rPr>
            </w:pPr>
            <w:r>
              <w:rPr>
                <w:noProof/>
                <w:sz w:val="20"/>
              </w:rPr>
              <w:t>Extend scope to mobile air conditioning systems, incl. future review and cap adjustment</w:t>
            </w:r>
          </w:p>
        </w:tc>
        <w:tc>
          <w:tcPr>
            <w:tcW w:w="848" w:type="pct"/>
            <w:gridSpan w:val="2"/>
            <w:tcBorders>
              <w:top w:val="single" w:sz="4" w:space="0" w:color="auto"/>
              <w:left w:val="single" w:sz="4" w:space="0" w:color="auto"/>
              <w:bottom w:val="single" w:sz="4" w:space="0" w:color="auto"/>
              <w:right w:val="single" w:sz="4" w:space="0" w:color="auto"/>
            </w:tcBorders>
            <w:shd w:val="clear" w:color="auto" w:fill="00B050"/>
          </w:tcPr>
          <w:p w:rsidR="001A26B0" w:rsidRDefault="00E33A99">
            <w:pPr>
              <w:tabs>
                <w:tab w:val="left" w:pos="4560"/>
              </w:tabs>
              <w:spacing w:after="20"/>
              <w:jc w:val="center"/>
              <w:rPr>
                <w:noProof/>
                <w:sz w:val="20"/>
              </w:rPr>
            </w:pPr>
            <w:r>
              <w:rPr>
                <w:noProof/>
                <w:sz w:val="20"/>
              </w:rPr>
              <w:sym w:font="Wingdings" w:char="F0FC"/>
            </w:r>
            <w:r>
              <w:rPr>
                <w:noProof/>
                <w:sz w:val="20"/>
              </w:rPr>
              <w:sym w:font="Wingdings" w:char="F0FC"/>
            </w:r>
          </w:p>
        </w:tc>
        <w:tc>
          <w:tcPr>
            <w:tcW w:w="847" w:type="pct"/>
            <w:gridSpan w:val="2"/>
            <w:tcBorders>
              <w:top w:val="single" w:sz="4" w:space="0" w:color="auto"/>
              <w:left w:val="single" w:sz="4" w:space="0" w:color="auto"/>
              <w:bottom w:val="single" w:sz="4" w:space="0" w:color="auto"/>
              <w:right w:val="single" w:sz="4" w:space="0" w:color="auto"/>
            </w:tcBorders>
            <w:shd w:val="clear" w:color="auto" w:fill="00B050"/>
          </w:tcPr>
          <w:p w:rsidR="001A26B0" w:rsidRDefault="00E33A99">
            <w:pPr>
              <w:tabs>
                <w:tab w:val="left" w:pos="4560"/>
              </w:tabs>
              <w:spacing w:after="20"/>
              <w:jc w:val="center"/>
              <w:rPr>
                <w:noProof/>
                <w:sz w:val="20"/>
              </w:rPr>
            </w:pPr>
            <w:r>
              <w:rPr>
                <w:noProof/>
                <w:sz w:val="20"/>
              </w:rPr>
              <w:sym w:font="Wingdings" w:char="F0FC"/>
            </w:r>
            <w:r>
              <w:rPr>
                <w:noProof/>
                <w:sz w:val="20"/>
              </w:rPr>
              <w:sym w:font="Wingdings" w:char="F0FC"/>
            </w:r>
          </w:p>
        </w:tc>
        <w:tc>
          <w:tcPr>
            <w:tcW w:w="897" w:type="pct"/>
            <w:gridSpan w:val="2"/>
            <w:tcBorders>
              <w:top w:val="single" w:sz="4" w:space="0" w:color="auto"/>
              <w:left w:val="single" w:sz="4" w:space="0" w:color="auto"/>
              <w:bottom w:val="single" w:sz="4" w:space="0" w:color="auto"/>
              <w:right w:val="single" w:sz="4" w:space="0" w:color="auto"/>
            </w:tcBorders>
            <w:shd w:val="clear" w:color="auto" w:fill="00B050"/>
          </w:tcPr>
          <w:p w:rsidR="001A26B0" w:rsidRDefault="00E33A99">
            <w:pPr>
              <w:tabs>
                <w:tab w:val="left" w:pos="4560"/>
              </w:tabs>
              <w:spacing w:after="20"/>
              <w:jc w:val="center"/>
              <w:rPr>
                <w:noProof/>
                <w:sz w:val="20"/>
              </w:rPr>
            </w:pPr>
            <w:r>
              <w:rPr>
                <w:noProof/>
                <w:sz w:val="20"/>
              </w:rPr>
              <w:sym w:font="Wingdings" w:char="F0FC"/>
            </w:r>
            <w:r>
              <w:rPr>
                <w:noProof/>
                <w:sz w:val="20"/>
              </w:rPr>
              <w:sym w:font="Wingdings" w:char="F0FC"/>
            </w:r>
          </w:p>
        </w:tc>
        <w:tc>
          <w:tcPr>
            <w:tcW w:w="973" w:type="pct"/>
            <w:gridSpan w:val="2"/>
            <w:tcBorders>
              <w:top w:val="single" w:sz="4" w:space="0" w:color="auto"/>
              <w:left w:val="single" w:sz="4" w:space="0" w:color="auto"/>
              <w:bottom w:val="single" w:sz="4" w:space="0" w:color="auto"/>
              <w:right w:val="single" w:sz="4" w:space="0" w:color="auto"/>
            </w:tcBorders>
            <w:shd w:val="clear" w:color="auto" w:fill="92D050"/>
          </w:tcPr>
          <w:p w:rsidR="001A26B0" w:rsidRDefault="00E33A99">
            <w:pPr>
              <w:tabs>
                <w:tab w:val="left" w:pos="4560"/>
              </w:tabs>
              <w:spacing w:after="20"/>
              <w:jc w:val="center"/>
              <w:rPr>
                <w:noProof/>
                <w:sz w:val="20"/>
              </w:rPr>
            </w:pPr>
            <w:r>
              <w:rPr>
                <w:noProof/>
                <w:sz w:val="20"/>
              </w:rPr>
              <w:sym w:font="Wingdings" w:char="F0FC"/>
            </w:r>
          </w:p>
        </w:tc>
      </w:tr>
      <w:tr w:rsidR="001A26B0">
        <w:trPr>
          <w:tblHeader/>
        </w:trPr>
        <w:tc>
          <w:tcPr>
            <w:tcW w:w="5000" w:type="pct"/>
            <w:gridSpan w:val="9"/>
            <w:tcBorders>
              <w:top w:val="single" w:sz="4" w:space="0" w:color="auto"/>
              <w:left w:val="single" w:sz="4" w:space="0" w:color="auto"/>
              <w:bottom w:val="single" w:sz="4" w:space="0" w:color="auto"/>
              <w:right w:val="single" w:sz="4" w:space="0" w:color="auto"/>
            </w:tcBorders>
            <w:shd w:val="clear" w:color="auto" w:fill="auto"/>
          </w:tcPr>
          <w:p w:rsidR="001A26B0" w:rsidRDefault="00E33A99">
            <w:pPr>
              <w:tabs>
                <w:tab w:val="left" w:pos="4560"/>
              </w:tabs>
              <w:spacing w:after="20"/>
              <w:jc w:val="center"/>
              <w:rPr>
                <w:noProof/>
                <w:sz w:val="20"/>
              </w:rPr>
            </w:pPr>
            <w:r>
              <w:rPr>
                <w:b/>
                <w:noProof/>
                <w:sz w:val="20"/>
              </w:rPr>
              <w:t>POOLING</w:t>
            </w:r>
          </w:p>
        </w:tc>
      </w:tr>
      <w:tr w:rsidR="001A26B0">
        <w:trPr>
          <w:tblHeader/>
        </w:trPr>
        <w:tc>
          <w:tcPr>
            <w:tcW w:w="1435" w:type="pct"/>
            <w:tcBorders>
              <w:top w:val="single" w:sz="4" w:space="0" w:color="auto"/>
              <w:left w:val="single" w:sz="4" w:space="0" w:color="auto"/>
              <w:bottom w:val="single" w:sz="4" w:space="0" w:color="auto"/>
              <w:right w:val="single" w:sz="4" w:space="0" w:color="auto"/>
            </w:tcBorders>
          </w:tcPr>
          <w:p w:rsidR="001A26B0" w:rsidRDefault="00E33A99">
            <w:pPr>
              <w:tabs>
                <w:tab w:val="left" w:pos="4560"/>
              </w:tabs>
              <w:spacing w:after="20"/>
              <w:jc w:val="center"/>
              <w:rPr>
                <w:noProof/>
                <w:sz w:val="20"/>
              </w:rPr>
            </w:pPr>
            <w:r>
              <w:rPr>
                <w:noProof/>
                <w:sz w:val="20"/>
              </w:rPr>
              <w:t>Enhanced pooling</w:t>
            </w:r>
          </w:p>
        </w:tc>
        <w:tc>
          <w:tcPr>
            <w:tcW w:w="84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A26B0" w:rsidRDefault="00E33A99">
            <w:pPr>
              <w:tabs>
                <w:tab w:val="left" w:pos="4560"/>
              </w:tabs>
              <w:spacing w:after="20"/>
              <w:jc w:val="center"/>
              <w:rPr>
                <w:noProof/>
                <w:sz w:val="20"/>
              </w:rPr>
            </w:pPr>
            <w:r>
              <w:rPr>
                <w:noProof/>
                <w:sz w:val="20"/>
              </w:rPr>
              <w:t>O</w:t>
            </w:r>
          </w:p>
        </w:tc>
        <w:tc>
          <w:tcPr>
            <w:tcW w:w="847" w:type="pct"/>
            <w:gridSpan w:val="2"/>
            <w:tcBorders>
              <w:top w:val="single" w:sz="4" w:space="0" w:color="auto"/>
              <w:left w:val="single" w:sz="4" w:space="0" w:color="auto"/>
              <w:bottom w:val="single" w:sz="4" w:space="0" w:color="auto"/>
              <w:right w:val="single" w:sz="4" w:space="0" w:color="auto"/>
            </w:tcBorders>
            <w:shd w:val="clear" w:color="auto" w:fill="92D050"/>
          </w:tcPr>
          <w:p w:rsidR="001A26B0" w:rsidRDefault="00E33A99">
            <w:pPr>
              <w:tabs>
                <w:tab w:val="left" w:pos="4560"/>
              </w:tabs>
              <w:spacing w:after="20"/>
              <w:jc w:val="center"/>
              <w:rPr>
                <w:noProof/>
                <w:sz w:val="20"/>
              </w:rPr>
            </w:pPr>
            <w:r>
              <w:rPr>
                <w:noProof/>
                <w:sz w:val="20"/>
              </w:rPr>
              <w:sym w:font="Wingdings" w:char="F0FC"/>
            </w:r>
          </w:p>
        </w:tc>
        <w:tc>
          <w:tcPr>
            <w:tcW w:w="897" w:type="pct"/>
            <w:gridSpan w:val="2"/>
            <w:tcBorders>
              <w:top w:val="single" w:sz="4" w:space="0" w:color="auto"/>
              <w:left w:val="single" w:sz="4" w:space="0" w:color="auto"/>
              <w:bottom w:val="single" w:sz="4" w:space="0" w:color="auto"/>
              <w:right w:val="single" w:sz="4" w:space="0" w:color="auto"/>
            </w:tcBorders>
            <w:shd w:val="clear" w:color="auto" w:fill="92D050"/>
          </w:tcPr>
          <w:p w:rsidR="001A26B0" w:rsidRDefault="00E33A99">
            <w:pPr>
              <w:tabs>
                <w:tab w:val="left" w:pos="4560"/>
              </w:tabs>
              <w:spacing w:after="20"/>
              <w:jc w:val="center"/>
              <w:rPr>
                <w:noProof/>
                <w:sz w:val="20"/>
              </w:rPr>
            </w:pPr>
            <w:r>
              <w:rPr>
                <w:noProof/>
                <w:sz w:val="20"/>
              </w:rPr>
              <w:sym w:font="Wingdings" w:char="F0FC"/>
            </w:r>
          </w:p>
        </w:tc>
        <w:tc>
          <w:tcPr>
            <w:tcW w:w="973" w:type="pct"/>
            <w:gridSpan w:val="2"/>
            <w:tcBorders>
              <w:top w:val="single" w:sz="4" w:space="0" w:color="auto"/>
              <w:left w:val="single" w:sz="4" w:space="0" w:color="auto"/>
              <w:bottom w:val="single" w:sz="4" w:space="0" w:color="auto"/>
              <w:right w:val="single" w:sz="4" w:space="0" w:color="auto"/>
            </w:tcBorders>
            <w:shd w:val="clear" w:color="auto" w:fill="92D050"/>
          </w:tcPr>
          <w:p w:rsidR="001A26B0" w:rsidRDefault="00E33A99">
            <w:pPr>
              <w:tabs>
                <w:tab w:val="left" w:pos="4560"/>
              </w:tabs>
              <w:spacing w:after="20"/>
              <w:jc w:val="center"/>
              <w:rPr>
                <w:noProof/>
                <w:sz w:val="20"/>
              </w:rPr>
            </w:pPr>
            <w:r>
              <w:rPr>
                <w:noProof/>
                <w:sz w:val="20"/>
              </w:rPr>
              <w:sym w:font="Wingdings" w:char="F0FC"/>
            </w:r>
          </w:p>
        </w:tc>
      </w:tr>
      <w:tr w:rsidR="001A26B0">
        <w:trPr>
          <w:tblHeader/>
        </w:trPr>
        <w:tc>
          <w:tcPr>
            <w:tcW w:w="5000" w:type="pct"/>
            <w:gridSpan w:val="9"/>
            <w:tcBorders>
              <w:top w:val="single" w:sz="4" w:space="0" w:color="auto"/>
              <w:left w:val="single" w:sz="4" w:space="0" w:color="auto"/>
              <w:bottom w:val="single" w:sz="4" w:space="0" w:color="auto"/>
              <w:right w:val="single" w:sz="4" w:space="0" w:color="auto"/>
            </w:tcBorders>
          </w:tcPr>
          <w:p w:rsidR="001A26B0" w:rsidRDefault="00E33A99">
            <w:pPr>
              <w:tabs>
                <w:tab w:val="left" w:pos="4560"/>
              </w:tabs>
              <w:spacing w:after="20"/>
              <w:jc w:val="center"/>
              <w:rPr>
                <w:noProof/>
                <w:sz w:val="20"/>
              </w:rPr>
            </w:pPr>
            <w:r>
              <w:rPr>
                <w:b/>
                <w:noProof/>
                <w:sz w:val="20"/>
              </w:rPr>
              <w:t>TRADING</w:t>
            </w:r>
          </w:p>
        </w:tc>
      </w:tr>
      <w:tr w:rsidR="001A26B0">
        <w:trPr>
          <w:tblHeader/>
        </w:trPr>
        <w:tc>
          <w:tcPr>
            <w:tcW w:w="1435" w:type="pct"/>
            <w:tcBorders>
              <w:top w:val="single" w:sz="4" w:space="0" w:color="auto"/>
              <w:left w:val="single" w:sz="4" w:space="0" w:color="auto"/>
              <w:bottom w:val="single" w:sz="4" w:space="0" w:color="auto"/>
              <w:right w:val="single" w:sz="4" w:space="0" w:color="auto"/>
            </w:tcBorders>
          </w:tcPr>
          <w:p w:rsidR="001A26B0" w:rsidRDefault="00E33A99">
            <w:pPr>
              <w:tabs>
                <w:tab w:val="left" w:pos="4560"/>
              </w:tabs>
              <w:spacing w:after="20"/>
              <w:jc w:val="center"/>
              <w:rPr>
                <w:noProof/>
                <w:sz w:val="20"/>
              </w:rPr>
            </w:pPr>
            <w:r>
              <w:rPr>
                <w:noProof/>
                <w:sz w:val="20"/>
              </w:rPr>
              <w:t>Trading</w:t>
            </w:r>
          </w:p>
        </w:tc>
        <w:tc>
          <w:tcPr>
            <w:tcW w:w="848" w:type="pct"/>
            <w:gridSpan w:val="2"/>
            <w:tcBorders>
              <w:top w:val="single" w:sz="4" w:space="0" w:color="auto"/>
              <w:left w:val="single" w:sz="4" w:space="0" w:color="auto"/>
              <w:bottom w:val="single" w:sz="4" w:space="0" w:color="auto"/>
              <w:right w:val="single" w:sz="4" w:space="0" w:color="auto"/>
            </w:tcBorders>
            <w:shd w:val="clear" w:color="auto" w:fill="EEECE1" w:themeFill="background2"/>
          </w:tcPr>
          <w:p w:rsidR="001A26B0" w:rsidRDefault="00E33A99">
            <w:pPr>
              <w:tabs>
                <w:tab w:val="left" w:pos="4560"/>
              </w:tabs>
              <w:spacing w:after="20"/>
              <w:jc w:val="center"/>
              <w:rPr>
                <w:noProof/>
                <w:sz w:val="20"/>
              </w:rPr>
            </w:pPr>
            <w:r>
              <w:rPr>
                <w:noProof/>
                <w:sz w:val="20"/>
              </w:rPr>
              <w:t>O</w:t>
            </w:r>
          </w:p>
        </w:tc>
        <w:tc>
          <w:tcPr>
            <w:tcW w:w="847" w:type="pct"/>
            <w:gridSpan w:val="2"/>
            <w:tcBorders>
              <w:top w:val="single" w:sz="4" w:space="0" w:color="auto"/>
              <w:left w:val="single" w:sz="4" w:space="0" w:color="auto"/>
              <w:bottom w:val="single" w:sz="4" w:space="0" w:color="auto"/>
              <w:right w:val="single" w:sz="4" w:space="0" w:color="auto"/>
            </w:tcBorders>
            <w:shd w:val="clear" w:color="auto" w:fill="92D050"/>
          </w:tcPr>
          <w:p w:rsidR="001A26B0" w:rsidRDefault="00E33A99">
            <w:pPr>
              <w:tabs>
                <w:tab w:val="left" w:pos="4560"/>
              </w:tabs>
              <w:spacing w:after="20"/>
              <w:jc w:val="center"/>
              <w:rPr>
                <w:noProof/>
                <w:sz w:val="20"/>
              </w:rPr>
            </w:pPr>
            <w:r>
              <w:rPr>
                <w:noProof/>
                <w:sz w:val="20"/>
              </w:rPr>
              <w:sym w:font="Wingdings" w:char="F0FC"/>
            </w:r>
          </w:p>
        </w:tc>
        <w:tc>
          <w:tcPr>
            <w:tcW w:w="897" w:type="pct"/>
            <w:gridSpan w:val="2"/>
            <w:tcBorders>
              <w:top w:val="single" w:sz="4" w:space="0" w:color="auto"/>
              <w:left w:val="single" w:sz="4" w:space="0" w:color="auto"/>
              <w:bottom w:val="single" w:sz="4" w:space="0" w:color="auto"/>
              <w:right w:val="single" w:sz="4" w:space="0" w:color="auto"/>
            </w:tcBorders>
            <w:shd w:val="clear" w:color="auto" w:fill="92D050"/>
          </w:tcPr>
          <w:p w:rsidR="001A26B0" w:rsidRDefault="00E33A99">
            <w:pPr>
              <w:tabs>
                <w:tab w:val="left" w:pos="4560"/>
              </w:tabs>
              <w:spacing w:after="20"/>
              <w:jc w:val="center"/>
              <w:rPr>
                <w:noProof/>
                <w:sz w:val="20"/>
              </w:rPr>
            </w:pPr>
            <w:r>
              <w:rPr>
                <w:noProof/>
                <w:sz w:val="20"/>
              </w:rPr>
              <w:sym w:font="Wingdings" w:char="F0FC"/>
            </w:r>
          </w:p>
        </w:tc>
        <w:tc>
          <w:tcPr>
            <w:tcW w:w="973" w:type="pct"/>
            <w:gridSpan w:val="2"/>
            <w:tcBorders>
              <w:top w:val="single" w:sz="4" w:space="0" w:color="auto"/>
              <w:left w:val="single" w:sz="4" w:space="0" w:color="auto"/>
              <w:bottom w:val="single" w:sz="4" w:space="0" w:color="auto"/>
              <w:right w:val="single" w:sz="4" w:space="0" w:color="auto"/>
            </w:tcBorders>
            <w:shd w:val="clear" w:color="auto" w:fill="EEECE1" w:themeFill="background2"/>
          </w:tcPr>
          <w:p w:rsidR="001A26B0" w:rsidRDefault="00E33A99">
            <w:pPr>
              <w:tabs>
                <w:tab w:val="left" w:pos="4560"/>
              </w:tabs>
              <w:spacing w:after="20"/>
              <w:jc w:val="center"/>
              <w:rPr>
                <w:noProof/>
                <w:sz w:val="20"/>
              </w:rPr>
            </w:pPr>
            <w:r>
              <w:rPr>
                <w:noProof/>
                <w:sz w:val="20"/>
              </w:rPr>
              <w:t>O</w:t>
            </w:r>
          </w:p>
        </w:tc>
      </w:tr>
      <w:tr w:rsidR="001A26B0">
        <w:trPr>
          <w:tblHeader/>
        </w:trPr>
        <w:tc>
          <w:tcPr>
            <w:tcW w:w="5000" w:type="pct"/>
            <w:gridSpan w:val="9"/>
            <w:tcBorders>
              <w:top w:val="single" w:sz="4" w:space="0" w:color="auto"/>
              <w:left w:val="single" w:sz="4" w:space="0" w:color="auto"/>
              <w:bottom w:val="single" w:sz="4" w:space="0" w:color="auto"/>
              <w:right w:val="single" w:sz="4" w:space="0" w:color="auto"/>
            </w:tcBorders>
          </w:tcPr>
          <w:p w:rsidR="001A26B0" w:rsidRDefault="00E33A99">
            <w:pPr>
              <w:tabs>
                <w:tab w:val="left" w:pos="4560"/>
              </w:tabs>
              <w:spacing w:after="20"/>
              <w:jc w:val="center"/>
              <w:rPr>
                <w:noProof/>
                <w:sz w:val="20"/>
              </w:rPr>
            </w:pPr>
            <w:r>
              <w:rPr>
                <w:b/>
                <w:noProof/>
                <w:sz w:val="20"/>
              </w:rPr>
              <w:t>BANKING AND BORROWING</w:t>
            </w:r>
          </w:p>
        </w:tc>
      </w:tr>
      <w:tr w:rsidR="001A26B0">
        <w:trPr>
          <w:tblHeader/>
        </w:trPr>
        <w:tc>
          <w:tcPr>
            <w:tcW w:w="1435" w:type="pct"/>
            <w:tcBorders>
              <w:top w:val="single" w:sz="4" w:space="0" w:color="auto"/>
              <w:left w:val="single" w:sz="4" w:space="0" w:color="auto"/>
              <w:bottom w:val="single" w:sz="4" w:space="0" w:color="auto"/>
              <w:right w:val="single" w:sz="4" w:space="0" w:color="auto"/>
            </w:tcBorders>
          </w:tcPr>
          <w:p w:rsidR="001A26B0" w:rsidRDefault="00E33A99">
            <w:pPr>
              <w:tabs>
                <w:tab w:val="left" w:pos="4560"/>
              </w:tabs>
              <w:spacing w:after="20"/>
              <w:jc w:val="center"/>
              <w:rPr>
                <w:noProof/>
                <w:sz w:val="20"/>
              </w:rPr>
            </w:pPr>
            <w:r>
              <w:rPr>
                <w:noProof/>
                <w:sz w:val="20"/>
              </w:rPr>
              <w:t>Banking</w:t>
            </w:r>
          </w:p>
        </w:tc>
        <w:tc>
          <w:tcPr>
            <w:tcW w:w="84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A26B0" w:rsidRDefault="00E33A99">
            <w:pPr>
              <w:tabs>
                <w:tab w:val="left" w:pos="4560"/>
              </w:tabs>
              <w:spacing w:after="20"/>
              <w:jc w:val="center"/>
              <w:rPr>
                <w:noProof/>
                <w:sz w:val="20"/>
              </w:rPr>
            </w:pPr>
            <w:r>
              <w:rPr>
                <w:noProof/>
                <w:sz w:val="20"/>
              </w:rPr>
              <w:t>O</w:t>
            </w:r>
          </w:p>
        </w:tc>
        <w:tc>
          <w:tcPr>
            <w:tcW w:w="847" w:type="pct"/>
            <w:gridSpan w:val="2"/>
            <w:tcBorders>
              <w:top w:val="single" w:sz="4" w:space="0" w:color="auto"/>
              <w:left w:val="single" w:sz="4" w:space="0" w:color="auto"/>
              <w:bottom w:val="single" w:sz="4" w:space="0" w:color="auto"/>
              <w:right w:val="single" w:sz="4" w:space="0" w:color="auto"/>
            </w:tcBorders>
            <w:shd w:val="clear" w:color="auto" w:fill="92D050"/>
          </w:tcPr>
          <w:p w:rsidR="001A26B0" w:rsidRDefault="00E33A99">
            <w:pPr>
              <w:tabs>
                <w:tab w:val="left" w:pos="4560"/>
              </w:tabs>
              <w:spacing w:after="20"/>
              <w:jc w:val="center"/>
              <w:rPr>
                <w:noProof/>
                <w:sz w:val="20"/>
              </w:rPr>
            </w:pPr>
            <w:r>
              <w:rPr>
                <w:noProof/>
                <w:sz w:val="20"/>
              </w:rPr>
              <w:sym w:font="Wingdings" w:char="F0FC"/>
            </w:r>
          </w:p>
        </w:tc>
        <w:tc>
          <w:tcPr>
            <w:tcW w:w="897" w:type="pct"/>
            <w:gridSpan w:val="2"/>
            <w:tcBorders>
              <w:top w:val="single" w:sz="4" w:space="0" w:color="auto"/>
              <w:left w:val="single" w:sz="4" w:space="0" w:color="auto"/>
              <w:bottom w:val="single" w:sz="4" w:space="0" w:color="auto"/>
              <w:right w:val="single" w:sz="4" w:space="0" w:color="auto"/>
            </w:tcBorders>
            <w:shd w:val="clear" w:color="auto" w:fill="EEECE1" w:themeFill="background2"/>
          </w:tcPr>
          <w:p w:rsidR="001A26B0" w:rsidRDefault="00E33A99">
            <w:pPr>
              <w:tabs>
                <w:tab w:val="left" w:pos="4560"/>
              </w:tabs>
              <w:spacing w:after="20"/>
              <w:jc w:val="center"/>
              <w:rPr>
                <w:noProof/>
                <w:sz w:val="20"/>
              </w:rPr>
            </w:pPr>
            <w:r>
              <w:rPr>
                <w:noProof/>
                <w:sz w:val="20"/>
              </w:rPr>
              <w:t>O</w:t>
            </w:r>
          </w:p>
        </w:tc>
        <w:tc>
          <w:tcPr>
            <w:tcW w:w="973" w:type="pct"/>
            <w:gridSpan w:val="2"/>
            <w:tcBorders>
              <w:top w:val="single" w:sz="4" w:space="0" w:color="auto"/>
              <w:left w:val="single" w:sz="4" w:space="0" w:color="auto"/>
              <w:bottom w:val="single" w:sz="4" w:space="0" w:color="auto"/>
              <w:right w:val="single" w:sz="4" w:space="0" w:color="auto"/>
            </w:tcBorders>
            <w:shd w:val="clear" w:color="auto" w:fill="EEECE1" w:themeFill="background2"/>
          </w:tcPr>
          <w:p w:rsidR="001A26B0" w:rsidRDefault="00E33A99">
            <w:pPr>
              <w:tabs>
                <w:tab w:val="left" w:pos="4560"/>
              </w:tabs>
              <w:spacing w:after="20"/>
              <w:jc w:val="center"/>
              <w:rPr>
                <w:noProof/>
                <w:sz w:val="20"/>
              </w:rPr>
            </w:pPr>
            <w:r>
              <w:rPr>
                <w:noProof/>
                <w:sz w:val="20"/>
              </w:rPr>
              <w:t>O</w:t>
            </w:r>
          </w:p>
        </w:tc>
      </w:tr>
      <w:tr w:rsidR="001A26B0">
        <w:trPr>
          <w:tblHeader/>
        </w:trPr>
        <w:tc>
          <w:tcPr>
            <w:tcW w:w="1435" w:type="pct"/>
            <w:tcBorders>
              <w:top w:val="single" w:sz="4" w:space="0" w:color="auto"/>
              <w:left w:val="single" w:sz="4" w:space="0" w:color="auto"/>
              <w:bottom w:val="single" w:sz="4" w:space="0" w:color="auto"/>
              <w:right w:val="single" w:sz="4" w:space="0" w:color="auto"/>
            </w:tcBorders>
          </w:tcPr>
          <w:p w:rsidR="001A26B0" w:rsidRDefault="00E33A99">
            <w:pPr>
              <w:tabs>
                <w:tab w:val="left" w:pos="4560"/>
              </w:tabs>
              <w:spacing w:after="20"/>
              <w:jc w:val="center"/>
              <w:rPr>
                <w:noProof/>
                <w:sz w:val="20"/>
              </w:rPr>
            </w:pPr>
            <w:r>
              <w:rPr>
                <w:noProof/>
                <w:sz w:val="20"/>
              </w:rPr>
              <w:t>Banking and borrowing</w:t>
            </w:r>
          </w:p>
        </w:tc>
        <w:tc>
          <w:tcPr>
            <w:tcW w:w="848" w:type="pct"/>
            <w:gridSpan w:val="2"/>
            <w:tcBorders>
              <w:top w:val="single" w:sz="4" w:space="0" w:color="auto"/>
              <w:left w:val="single" w:sz="4" w:space="0" w:color="auto"/>
              <w:bottom w:val="single" w:sz="4" w:space="0" w:color="auto"/>
              <w:right w:val="single" w:sz="4" w:space="0" w:color="auto"/>
            </w:tcBorders>
            <w:shd w:val="clear" w:color="auto" w:fill="F79646" w:themeFill="accent6"/>
          </w:tcPr>
          <w:p w:rsidR="001A26B0" w:rsidRDefault="00E33A99">
            <w:pPr>
              <w:tabs>
                <w:tab w:val="left" w:pos="4560"/>
              </w:tabs>
              <w:spacing w:after="20"/>
              <w:jc w:val="center"/>
              <w:rPr>
                <w:noProof/>
                <w:sz w:val="20"/>
              </w:rPr>
            </w:pPr>
            <w:r>
              <w:rPr>
                <w:noProof/>
                <w:sz w:val="20"/>
              </w:rPr>
              <w:sym w:font="Wingdings" w:char="F0FB"/>
            </w:r>
          </w:p>
        </w:tc>
        <w:tc>
          <w:tcPr>
            <w:tcW w:w="847" w:type="pct"/>
            <w:gridSpan w:val="2"/>
            <w:tcBorders>
              <w:top w:val="single" w:sz="4" w:space="0" w:color="auto"/>
              <w:left w:val="single" w:sz="4" w:space="0" w:color="auto"/>
              <w:bottom w:val="single" w:sz="4" w:space="0" w:color="auto"/>
              <w:right w:val="single" w:sz="4" w:space="0" w:color="auto"/>
            </w:tcBorders>
            <w:shd w:val="clear" w:color="auto" w:fill="92D050"/>
          </w:tcPr>
          <w:p w:rsidR="001A26B0" w:rsidRDefault="00E33A99">
            <w:pPr>
              <w:tabs>
                <w:tab w:val="left" w:pos="4560"/>
              </w:tabs>
              <w:spacing w:after="20"/>
              <w:jc w:val="center"/>
              <w:rPr>
                <w:noProof/>
                <w:sz w:val="20"/>
              </w:rPr>
            </w:pPr>
            <w:r>
              <w:rPr>
                <w:noProof/>
                <w:sz w:val="20"/>
              </w:rPr>
              <w:sym w:font="Wingdings" w:char="F0FC"/>
            </w:r>
          </w:p>
        </w:tc>
        <w:tc>
          <w:tcPr>
            <w:tcW w:w="897" w:type="pct"/>
            <w:gridSpan w:val="2"/>
            <w:tcBorders>
              <w:top w:val="single" w:sz="4" w:space="0" w:color="auto"/>
              <w:left w:val="single" w:sz="4" w:space="0" w:color="auto"/>
              <w:bottom w:val="single" w:sz="4" w:space="0" w:color="auto"/>
              <w:right w:val="single" w:sz="4" w:space="0" w:color="auto"/>
            </w:tcBorders>
            <w:shd w:val="clear" w:color="auto" w:fill="EEECE1" w:themeFill="background2"/>
          </w:tcPr>
          <w:p w:rsidR="001A26B0" w:rsidRDefault="00E33A99">
            <w:pPr>
              <w:tabs>
                <w:tab w:val="left" w:pos="4560"/>
              </w:tabs>
              <w:spacing w:after="20"/>
              <w:jc w:val="center"/>
              <w:rPr>
                <w:noProof/>
                <w:sz w:val="20"/>
              </w:rPr>
            </w:pPr>
            <w:r>
              <w:rPr>
                <w:noProof/>
                <w:sz w:val="20"/>
              </w:rPr>
              <w:t>O</w:t>
            </w:r>
          </w:p>
        </w:tc>
        <w:tc>
          <w:tcPr>
            <w:tcW w:w="973" w:type="pct"/>
            <w:gridSpan w:val="2"/>
            <w:tcBorders>
              <w:top w:val="single" w:sz="4" w:space="0" w:color="auto"/>
              <w:left w:val="single" w:sz="4" w:space="0" w:color="auto"/>
              <w:bottom w:val="single" w:sz="4" w:space="0" w:color="auto"/>
              <w:right w:val="single" w:sz="4" w:space="0" w:color="auto"/>
            </w:tcBorders>
            <w:shd w:val="clear" w:color="auto" w:fill="EEECE1" w:themeFill="background2"/>
          </w:tcPr>
          <w:p w:rsidR="001A26B0" w:rsidRDefault="00E33A99">
            <w:pPr>
              <w:tabs>
                <w:tab w:val="left" w:pos="4560"/>
              </w:tabs>
              <w:spacing w:after="20"/>
              <w:jc w:val="center"/>
              <w:rPr>
                <w:noProof/>
                <w:sz w:val="20"/>
              </w:rPr>
            </w:pPr>
            <w:r>
              <w:rPr>
                <w:noProof/>
                <w:sz w:val="20"/>
              </w:rPr>
              <w:t>O</w:t>
            </w:r>
          </w:p>
        </w:tc>
      </w:tr>
      <w:tr w:rsidR="001A26B0">
        <w:trPr>
          <w:tblHeader/>
        </w:trPr>
        <w:tc>
          <w:tcPr>
            <w:tcW w:w="5000" w:type="pct"/>
            <w:gridSpan w:val="9"/>
            <w:tcBorders>
              <w:top w:val="single" w:sz="4" w:space="0" w:color="auto"/>
              <w:left w:val="single" w:sz="4" w:space="0" w:color="auto"/>
              <w:bottom w:val="single" w:sz="4" w:space="0" w:color="auto"/>
              <w:right w:val="single" w:sz="4" w:space="0" w:color="auto"/>
            </w:tcBorders>
          </w:tcPr>
          <w:p w:rsidR="001A26B0" w:rsidRDefault="00E33A99">
            <w:pPr>
              <w:tabs>
                <w:tab w:val="left" w:pos="4560"/>
              </w:tabs>
              <w:spacing w:after="20"/>
              <w:jc w:val="center"/>
              <w:rPr>
                <w:noProof/>
                <w:sz w:val="20"/>
              </w:rPr>
            </w:pPr>
            <w:r>
              <w:rPr>
                <w:b/>
                <w:noProof/>
                <w:sz w:val="20"/>
              </w:rPr>
              <w:t>NICHE DEROGATION</w:t>
            </w:r>
          </w:p>
        </w:tc>
      </w:tr>
      <w:tr w:rsidR="001A26B0">
        <w:trPr>
          <w:tblHeader/>
        </w:trPr>
        <w:tc>
          <w:tcPr>
            <w:tcW w:w="1435" w:type="pct"/>
            <w:tcBorders>
              <w:top w:val="single" w:sz="4" w:space="0" w:color="auto"/>
              <w:left w:val="single" w:sz="4" w:space="0" w:color="auto"/>
              <w:bottom w:val="single" w:sz="4" w:space="0" w:color="auto"/>
              <w:right w:val="single" w:sz="4" w:space="0" w:color="auto"/>
            </w:tcBorders>
          </w:tcPr>
          <w:p w:rsidR="001A26B0" w:rsidRDefault="00E33A99">
            <w:pPr>
              <w:tabs>
                <w:tab w:val="left" w:pos="4560"/>
              </w:tabs>
              <w:spacing w:after="20"/>
              <w:jc w:val="center"/>
              <w:rPr>
                <w:noProof/>
                <w:sz w:val="20"/>
              </w:rPr>
            </w:pPr>
            <w:r>
              <w:rPr>
                <w:noProof/>
                <w:sz w:val="20"/>
              </w:rPr>
              <w:t>New derogation target for niche manufacturers</w:t>
            </w:r>
          </w:p>
        </w:tc>
        <w:tc>
          <w:tcPr>
            <w:tcW w:w="848" w:type="pct"/>
            <w:gridSpan w:val="2"/>
            <w:tcBorders>
              <w:top w:val="single" w:sz="4" w:space="0" w:color="auto"/>
              <w:left w:val="single" w:sz="4" w:space="0" w:color="auto"/>
              <w:bottom w:val="single" w:sz="4" w:space="0" w:color="auto"/>
              <w:right w:val="single" w:sz="4" w:space="0" w:color="auto"/>
            </w:tcBorders>
            <w:shd w:val="clear" w:color="auto" w:fill="92D050"/>
          </w:tcPr>
          <w:p w:rsidR="001A26B0" w:rsidRDefault="00E33A99">
            <w:pPr>
              <w:tabs>
                <w:tab w:val="left" w:pos="4560"/>
              </w:tabs>
              <w:spacing w:after="20"/>
              <w:jc w:val="center"/>
              <w:rPr>
                <w:noProof/>
                <w:sz w:val="20"/>
              </w:rPr>
            </w:pPr>
            <w:r>
              <w:rPr>
                <w:noProof/>
                <w:sz w:val="20"/>
              </w:rPr>
              <w:sym w:font="Wingdings" w:char="F0FC"/>
            </w:r>
          </w:p>
        </w:tc>
        <w:tc>
          <w:tcPr>
            <w:tcW w:w="84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A26B0" w:rsidRDefault="00E33A99">
            <w:pPr>
              <w:tabs>
                <w:tab w:val="left" w:pos="4560"/>
              </w:tabs>
              <w:spacing w:after="20"/>
              <w:jc w:val="center"/>
              <w:rPr>
                <w:noProof/>
                <w:sz w:val="20"/>
              </w:rPr>
            </w:pPr>
            <w:r>
              <w:rPr>
                <w:noProof/>
                <w:sz w:val="20"/>
              </w:rPr>
              <w:t>O</w:t>
            </w:r>
          </w:p>
        </w:tc>
        <w:tc>
          <w:tcPr>
            <w:tcW w:w="897" w:type="pct"/>
            <w:gridSpan w:val="2"/>
            <w:tcBorders>
              <w:top w:val="single" w:sz="4" w:space="0" w:color="auto"/>
              <w:left w:val="single" w:sz="4" w:space="0" w:color="auto"/>
              <w:bottom w:val="single" w:sz="4" w:space="0" w:color="auto"/>
              <w:right w:val="single" w:sz="4" w:space="0" w:color="auto"/>
            </w:tcBorders>
            <w:shd w:val="clear" w:color="auto" w:fill="92D050"/>
          </w:tcPr>
          <w:p w:rsidR="001A26B0" w:rsidRDefault="00E33A99">
            <w:pPr>
              <w:tabs>
                <w:tab w:val="left" w:pos="4560"/>
              </w:tabs>
              <w:spacing w:after="20"/>
              <w:jc w:val="center"/>
              <w:rPr>
                <w:noProof/>
                <w:sz w:val="20"/>
              </w:rPr>
            </w:pPr>
            <w:r>
              <w:rPr>
                <w:noProof/>
                <w:sz w:val="20"/>
              </w:rPr>
              <w:sym w:font="Wingdings" w:char="F0FC"/>
            </w:r>
          </w:p>
        </w:tc>
        <w:tc>
          <w:tcPr>
            <w:tcW w:w="973" w:type="pct"/>
            <w:gridSpan w:val="2"/>
            <w:tcBorders>
              <w:top w:val="single" w:sz="4" w:space="0" w:color="auto"/>
              <w:left w:val="single" w:sz="4" w:space="0" w:color="auto"/>
              <w:bottom w:val="single" w:sz="4" w:space="0" w:color="auto"/>
              <w:right w:val="single" w:sz="4" w:space="0" w:color="auto"/>
            </w:tcBorders>
            <w:shd w:val="clear" w:color="auto" w:fill="92D050"/>
          </w:tcPr>
          <w:p w:rsidR="001A26B0" w:rsidRDefault="00E33A99">
            <w:pPr>
              <w:tabs>
                <w:tab w:val="left" w:pos="4560"/>
              </w:tabs>
              <w:spacing w:after="20"/>
              <w:jc w:val="center"/>
              <w:rPr>
                <w:noProof/>
                <w:sz w:val="20"/>
              </w:rPr>
            </w:pPr>
            <w:r>
              <w:rPr>
                <w:noProof/>
                <w:sz w:val="20"/>
              </w:rPr>
              <w:sym w:font="Wingdings" w:char="F0FC"/>
            </w:r>
          </w:p>
        </w:tc>
      </w:tr>
      <w:tr w:rsidR="001A26B0">
        <w:trPr>
          <w:tblHeader/>
        </w:trPr>
        <w:tc>
          <w:tcPr>
            <w:tcW w:w="1435" w:type="pct"/>
            <w:tcBorders>
              <w:top w:val="single" w:sz="4" w:space="0" w:color="auto"/>
              <w:left w:val="single" w:sz="4" w:space="0" w:color="auto"/>
              <w:bottom w:val="single" w:sz="4" w:space="0" w:color="auto"/>
              <w:right w:val="single" w:sz="4" w:space="0" w:color="auto"/>
            </w:tcBorders>
          </w:tcPr>
          <w:p w:rsidR="001A26B0" w:rsidRDefault="00E33A99">
            <w:pPr>
              <w:tabs>
                <w:tab w:val="left" w:pos="4560"/>
              </w:tabs>
              <w:spacing w:after="20"/>
              <w:jc w:val="center"/>
              <w:rPr>
                <w:noProof/>
                <w:sz w:val="20"/>
              </w:rPr>
            </w:pPr>
            <w:r>
              <w:rPr>
                <w:noProof/>
                <w:sz w:val="20"/>
              </w:rPr>
              <w:t>Remove derogation for niche manufacturers</w:t>
            </w:r>
          </w:p>
        </w:tc>
        <w:tc>
          <w:tcPr>
            <w:tcW w:w="848" w:type="pct"/>
            <w:gridSpan w:val="2"/>
            <w:tcBorders>
              <w:top w:val="single" w:sz="4" w:space="0" w:color="auto"/>
              <w:left w:val="single" w:sz="4" w:space="0" w:color="auto"/>
              <w:bottom w:val="single" w:sz="4" w:space="0" w:color="auto"/>
              <w:right w:val="single" w:sz="4" w:space="0" w:color="auto"/>
            </w:tcBorders>
            <w:shd w:val="clear" w:color="auto" w:fill="00B050"/>
          </w:tcPr>
          <w:p w:rsidR="001A26B0" w:rsidRDefault="00E33A99">
            <w:pPr>
              <w:tabs>
                <w:tab w:val="left" w:pos="4560"/>
              </w:tabs>
              <w:spacing w:after="20"/>
              <w:jc w:val="center"/>
              <w:rPr>
                <w:noProof/>
                <w:sz w:val="20"/>
              </w:rPr>
            </w:pPr>
            <w:r>
              <w:rPr>
                <w:noProof/>
                <w:sz w:val="20"/>
              </w:rPr>
              <w:sym w:font="Wingdings" w:char="F0FC"/>
            </w:r>
            <w:r>
              <w:rPr>
                <w:noProof/>
                <w:sz w:val="20"/>
              </w:rPr>
              <w:sym w:font="Wingdings" w:char="F0FC"/>
            </w:r>
          </w:p>
        </w:tc>
        <w:tc>
          <w:tcPr>
            <w:tcW w:w="84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A26B0" w:rsidRDefault="00E33A99">
            <w:pPr>
              <w:tabs>
                <w:tab w:val="left" w:pos="4560"/>
              </w:tabs>
              <w:spacing w:after="20"/>
              <w:jc w:val="center"/>
              <w:rPr>
                <w:noProof/>
                <w:sz w:val="20"/>
              </w:rPr>
            </w:pPr>
            <w:r>
              <w:rPr>
                <w:noProof/>
                <w:sz w:val="20"/>
              </w:rPr>
              <w:t>O</w:t>
            </w:r>
          </w:p>
        </w:tc>
        <w:tc>
          <w:tcPr>
            <w:tcW w:w="897" w:type="pct"/>
            <w:gridSpan w:val="2"/>
            <w:tcBorders>
              <w:top w:val="single" w:sz="4" w:space="0" w:color="auto"/>
              <w:left w:val="single" w:sz="4" w:space="0" w:color="auto"/>
              <w:bottom w:val="single" w:sz="4" w:space="0" w:color="auto"/>
              <w:right w:val="single" w:sz="4" w:space="0" w:color="auto"/>
            </w:tcBorders>
            <w:shd w:val="clear" w:color="auto" w:fill="00B050"/>
          </w:tcPr>
          <w:p w:rsidR="001A26B0" w:rsidRDefault="00E33A99">
            <w:pPr>
              <w:tabs>
                <w:tab w:val="left" w:pos="4560"/>
              </w:tabs>
              <w:spacing w:after="20"/>
              <w:jc w:val="center"/>
              <w:rPr>
                <w:noProof/>
                <w:sz w:val="20"/>
              </w:rPr>
            </w:pPr>
            <w:r>
              <w:rPr>
                <w:noProof/>
                <w:sz w:val="20"/>
              </w:rPr>
              <w:sym w:font="Wingdings" w:char="F0FC"/>
            </w:r>
            <w:r>
              <w:rPr>
                <w:noProof/>
                <w:sz w:val="20"/>
              </w:rPr>
              <w:sym w:font="Wingdings" w:char="F0FC"/>
            </w:r>
          </w:p>
        </w:tc>
        <w:tc>
          <w:tcPr>
            <w:tcW w:w="973" w:type="pct"/>
            <w:gridSpan w:val="2"/>
            <w:tcBorders>
              <w:top w:val="single" w:sz="4" w:space="0" w:color="auto"/>
              <w:left w:val="single" w:sz="4" w:space="0" w:color="auto"/>
              <w:bottom w:val="single" w:sz="4" w:space="0" w:color="auto"/>
              <w:right w:val="single" w:sz="4" w:space="0" w:color="auto"/>
            </w:tcBorders>
            <w:shd w:val="clear" w:color="auto" w:fill="EEECE1" w:themeFill="background2"/>
          </w:tcPr>
          <w:p w:rsidR="001A26B0" w:rsidRDefault="00E33A99">
            <w:pPr>
              <w:tabs>
                <w:tab w:val="left" w:pos="4560"/>
              </w:tabs>
              <w:spacing w:after="20"/>
              <w:jc w:val="center"/>
              <w:rPr>
                <w:noProof/>
                <w:sz w:val="20"/>
              </w:rPr>
            </w:pPr>
            <w:r>
              <w:rPr>
                <w:noProof/>
                <w:sz w:val="20"/>
              </w:rPr>
              <w:t>O</w:t>
            </w:r>
          </w:p>
        </w:tc>
      </w:tr>
      <w:tr w:rsidR="001A26B0">
        <w:trPr>
          <w:tblHeader/>
        </w:trPr>
        <w:tc>
          <w:tcPr>
            <w:tcW w:w="5000" w:type="pct"/>
            <w:gridSpan w:val="9"/>
            <w:tcBorders>
              <w:top w:val="single" w:sz="4" w:space="0" w:color="auto"/>
              <w:left w:val="single" w:sz="4" w:space="0" w:color="auto"/>
              <w:bottom w:val="single" w:sz="4" w:space="0" w:color="auto"/>
              <w:right w:val="single" w:sz="4" w:space="0" w:color="auto"/>
            </w:tcBorders>
          </w:tcPr>
          <w:p w:rsidR="001A26B0" w:rsidRDefault="00E33A99">
            <w:pPr>
              <w:tabs>
                <w:tab w:val="left" w:pos="4560"/>
              </w:tabs>
              <w:spacing w:after="20"/>
              <w:jc w:val="center"/>
              <w:rPr>
                <w:b/>
                <w:i/>
                <w:noProof/>
                <w:sz w:val="20"/>
              </w:rPr>
            </w:pPr>
            <w:r>
              <w:rPr>
                <w:b/>
                <w:i/>
                <w:noProof/>
                <w:sz w:val="20"/>
              </w:rPr>
              <w:t xml:space="preserve">5. GOVERNANCE </w:t>
            </w:r>
          </w:p>
        </w:tc>
      </w:tr>
      <w:tr w:rsidR="001A26B0">
        <w:trPr>
          <w:tblHeader/>
        </w:trPr>
        <w:tc>
          <w:tcPr>
            <w:tcW w:w="5000" w:type="pct"/>
            <w:gridSpan w:val="9"/>
            <w:tcBorders>
              <w:top w:val="single" w:sz="4" w:space="0" w:color="auto"/>
              <w:left w:val="single" w:sz="4" w:space="0" w:color="auto"/>
              <w:bottom w:val="single" w:sz="4" w:space="0" w:color="auto"/>
              <w:right w:val="single" w:sz="4" w:space="0" w:color="auto"/>
            </w:tcBorders>
          </w:tcPr>
          <w:p w:rsidR="001A26B0" w:rsidRDefault="00E33A99">
            <w:pPr>
              <w:tabs>
                <w:tab w:val="left" w:pos="4560"/>
              </w:tabs>
              <w:spacing w:after="20"/>
              <w:jc w:val="center"/>
              <w:rPr>
                <w:b/>
                <w:i/>
                <w:noProof/>
                <w:sz w:val="20"/>
              </w:rPr>
            </w:pPr>
            <w:r>
              <w:rPr>
                <w:b/>
                <w:i/>
                <w:noProof/>
                <w:sz w:val="20"/>
              </w:rPr>
              <w:t xml:space="preserve">REAL-WORLD </w:t>
            </w:r>
            <w:r>
              <w:rPr>
                <w:b/>
                <w:i/>
                <w:noProof/>
                <w:sz w:val="20"/>
              </w:rPr>
              <w:t>EMISSIONS</w:t>
            </w:r>
          </w:p>
        </w:tc>
      </w:tr>
      <w:tr w:rsidR="001A26B0">
        <w:trPr>
          <w:tblHeader/>
        </w:trPr>
        <w:tc>
          <w:tcPr>
            <w:tcW w:w="1435" w:type="pct"/>
            <w:tcBorders>
              <w:top w:val="single" w:sz="4" w:space="0" w:color="auto"/>
              <w:left w:val="single" w:sz="4" w:space="0" w:color="auto"/>
              <w:bottom w:val="single" w:sz="4" w:space="0" w:color="auto"/>
              <w:right w:val="single" w:sz="4" w:space="0" w:color="auto"/>
            </w:tcBorders>
          </w:tcPr>
          <w:p w:rsidR="001A26B0" w:rsidRDefault="00E33A99">
            <w:pPr>
              <w:tabs>
                <w:tab w:val="left" w:pos="4560"/>
              </w:tabs>
              <w:spacing w:after="20"/>
              <w:jc w:val="center"/>
              <w:rPr>
                <w:noProof/>
                <w:sz w:val="20"/>
              </w:rPr>
            </w:pPr>
            <w:r>
              <w:rPr>
                <w:noProof/>
                <w:sz w:val="20"/>
              </w:rPr>
              <w:t xml:space="preserve">Collection, publication and monitoring of real world fuel consumption data </w:t>
            </w:r>
          </w:p>
        </w:tc>
        <w:tc>
          <w:tcPr>
            <w:tcW w:w="848" w:type="pct"/>
            <w:gridSpan w:val="2"/>
            <w:tcBorders>
              <w:top w:val="single" w:sz="4" w:space="0" w:color="auto"/>
              <w:left w:val="single" w:sz="4" w:space="0" w:color="auto"/>
              <w:bottom w:val="single" w:sz="4" w:space="0" w:color="auto"/>
              <w:right w:val="single" w:sz="4" w:space="0" w:color="auto"/>
            </w:tcBorders>
            <w:shd w:val="clear" w:color="auto" w:fill="00B050"/>
          </w:tcPr>
          <w:p w:rsidR="001A26B0" w:rsidRDefault="00E33A99">
            <w:pPr>
              <w:tabs>
                <w:tab w:val="left" w:pos="4560"/>
              </w:tabs>
              <w:spacing w:after="20"/>
              <w:jc w:val="center"/>
              <w:rPr>
                <w:noProof/>
                <w:sz w:val="20"/>
              </w:rPr>
            </w:pPr>
            <w:r>
              <w:rPr>
                <w:noProof/>
                <w:sz w:val="20"/>
              </w:rPr>
              <w:sym w:font="Wingdings" w:char="F0FC"/>
            </w:r>
            <w:r>
              <w:rPr>
                <w:noProof/>
                <w:sz w:val="20"/>
              </w:rPr>
              <w:sym w:font="Wingdings" w:char="F0FC"/>
            </w:r>
          </w:p>
        </w:tc>
        <w:tc>
          <w:tcPr>
            <w:tcW w:w="847" w:type="pct"/>
            <w:gridSpan w:val="2"/>
            <w:tcBorders>
              <w:top w:val="single" w:sz="4" w:space="0" w:color="auto"/>
              <w:left w:val="single" w:sz="4" w:space="0" w:color="auto"/>
              <w:bottom w:val="single" w:sz="4" w:space="0" w:color="auto"/>
              <w:right w:val="single" w:sz="4" w:space="0" w:color="auto"/>
            </w:tcBorders>
            <w:shd w:val="clear" w:color="auto" w:fill="92D050"/>
          </w:tcPr>
          <w:p w:rsidR="001A26B0" w:rsidRDefault="00E33A99">
            <w:pPr>
              <w:tabs>
                <w:tab w:val="left" w:pos="4560"/>
              </w:tabs>
              <w:spacing w:after="20"/>
              <w:jc w:val="center"/>
              <w:rPr>
                <w:noProof/>
                <w:sz w:val="20"/>
              </w:rPr>
            </w:pPr>
            <w:r>
              <w:rPr>
                <w:noProof/>
                <w:sz w:val="20"/>
              </w:rPr>
              <w:sym w:font="Wingdings" w:char="F0FC"/>
            </w:r>
          </w:p>
        </w:tc>
        <w:tc>
          <w:tcPr>
            <w:tcW w:w="897" w:type="pct"/>
            <w:gridSpan w:val="2"/>
            <w:tcBorders>
              <w:top w:val="single" w:sz="4" w:space="0" w:color="auto"/>
              <w:left w:val="single" w:sz="4" w:space="0" w:color="auto"/>
              <w:bottom w:val="single" w:sz="4" w:space="0" w:color="auto"/>
              <w:right w:val="single" w:sz="4" w:space="0" w:color="auto"/>
            </w:tcBorders>
            <w:shd w:val="clear" w:color="auto" w:fill="92D050"/>
          </w:tcPr>
          <w:p w:rsidR="001A26B0" w:rsidRDefault="00E33A99">
            <w:pPr>
              <w:tabs>
                <w:tab w:val="left" w:pos="4560"/>
              </w:tabs>
              <w:spacing w:after="20"/>
              <w:jc w:val="center"/>
              <w:rPr>
                <w:noProof/>
                <w:sz w:val="20"/>
              </w:rPr>
            </w:pPr>
            <w:r>
              <w:rPr>
                <w:noProof/>
                <w:sz w:val="20"/>
              </w:rPr>
              <w:sym w:font="Wingdings" w:char="F0FC"/>
            </w:r>
          </w:p>
        </w:tc>
        <w:tc>
          <w:tcPr>
            <w:tcW w:w="973" w:type="pct"/>
            <w:gridSpan w:val="2"/>
            <w:tcBorders>
              <w:top w:val="single" w:sz="4" w:space="0" w:color="auto"/>
              <w:left w:val="single" w:sz="4" w:space="0" w:color="auto"/>
              <w:bottom w:val="single" w:sz="4" w:space="0" w:color="auto"/>
              <w:right w:val="single" w:sz="4" w:space="0" w:color="auto"/>
            </w:tcBorders>
            <w:shd w:val="clear" w:color="auto" w:fill="92D050"/>
          </w:tcPr>
          <w:p w:rsidR="001A26B0" w:rsidRDefault="00E33A99">
            <w:pPr>
              <w:tabs>
                <w:tab w:val="left" w:pos="4560"/>
              </w:tabs>
              <w:spacing w:after="20"/>
              <w:jc w:val="center"/>
              <w:rPr>
                <w:noProof/>
                <w:sz w:val="20"/>
              </w:rPr>
            </w:pPr>
            <w:r>
              <w:rPr>
                <w:noProof/>
                <w:sz w:val="20"/>
              </w:rPr>
              <w:sym w:font="Wingdings" w:char="F0FC"/>
            </w:r>
          </w:p>
        </w:tc>
      </w:tr>
      <w:tr w:rsidR="001A26B0">
        <w:trPr>
          <w:tblHeader/>
        </w:trPr>
        <w:tc>
          <w:tcPr>
            <w:tcW w:w="5000" w:type="pct"/>
            <w:gridSpan w:val="9"/>
            <w:tcBorders>
              <w:top w:val="single" w:sz="4" w:space="0" w:color="auto"/>
              <w:left w:val="single" w:sz="4" w:space="0" w:color="auto"/>
              <w:bottom w:val="single" w:sz="4" w:space="0" w:color="auto"/>
              <w:right w:val="single" w:sz="4" w:space="0" w:color="auto"/>
            </w:tcBorders>
          </w:tcPr>
          <w:p w:rsidR="001A26B0" w:rsidRDefault="00E33A99">
            <w:pPr>
              <w:tabs>
                <w:tab w:val="left" w:pos="4560"/>
              </w:tabs>
              <w:spacing w:after="20"/>
              <w:jc w:val="center"/>
              <w:rPr>
                <w:noProof/>
                <w:sz w:val="20"/>
              </w:rPr>
            </w:pPr>
            <w:r>
              <w:rPr>
                <w:b/>
                <w:i/>
                <w:noProof/>
                <w:sz w:val="20"/>
              </w:rPr>
              <w:t>MARKET SURVEILLANCE</w:t>
            </w:r>
          </w:p>
        </w:tc>
      </w:tr>
      <w:tr w:rsidR="001A26B0">
        <w:trPr>
          <w:tblHeader/>
        </w:trPr>
        <w:tc>
          <w:tcPr>
            <w:tcW w:w="1435" w:type="pct"/>
            <w:tcBorders>
              <w:top w:val="single" w:sz="4" w:space="0" w:color="auto"/>
              <w:left w:val="single" w:sz="4" w:space="0" w:color="auto"/>
              <w:bottom w:val="single" w:sz="4" w:space="0" w:color="auto"/>
              <w:right w:val="single" w:sz="4" w:space="0" w:color="auto"/>
            </w:tcBorders>
          </w:tcPr>
          <w:p w:rsidR="001A26B0" w:rsidRDefault="00E33A99">
            <w:pPr>
              <w:tabs>
                <w:tab w:val="left" w:pos="4560"/>
              </w:tabs>
              <w:spacing w:after="20"/>
              <w:jc w:val="center"/>
              <w:rPr>
                <w:noProof/>
                <w:sz w:val="20"/>
              </w:rPr>
            </w:pPr>
            <w:r>
              <w:rPr>
                <w:noProof/>
                <w:sz w:val="20"/>
              </w:rPr>
              <w:t>Obligation to report deviations and correction mechanism</w:t>
            </w:r>
          </w:p>
        </w:tc>
        <w:tc>
          <w:tcPr>
            <w:tcW w:w="848" w:type="pct"/>
            <w:gridSpan w:val="2"/>
            <w:tcBorders>
              <w:top w:val="single" w:sz="4" w:space="0" w:color="auto"/>
              <w:left w:val="single" w:sz="4" w:space="0" w:color="auto"/>
              <w:bottom w:val="single" w:sz="4" w:space="0" w:color="auto"/>
              <w:right w:val="single" w:sz="4" w:space="0" w:color="auto"/>
            </w:tcBorders>
            <w:shd w:val="clear" w:color="auto" w:fill="00B050"/>
          </w:tcPr>
          <w:p w:rsidR="001A26B0" w:rsidRDefault="00E33A99">
            <w:pPr>
              <w:tabs>
                <w:tab w:val="left" w:pos="4560"/>
              </w:tabs>
              <w:spacing w:after="20"/>
              <w:jc w:val="center"/>
              <w:rPr>
                <w:noProof/>
                <w:sz w:val="20"/>
              </w:rPr>
            </w:pPr>
            <w:r>
              <w:rPr>
                <w:noProof/>
                <w:sz w:val="20"/>
              </w:rPr>
              <w:sym w:font="Wingdings" w:char="F0FC"/>
            </w:r>
            <w:r>
              <w:rPr>
                <w:noProof/>
                <w:sz w:val="20"/>
              </w:rPr>
              <w:sym w:font="Wingdings" w:char="F0FC"/>
            </w:r>
          </w:p>
        </w:tc>
        <w:tc>
          <w:tcPr>
            <w:tcW w:w="847" w:type="pct"/>
            <w:gridSpan w:val="2"/>
            <w:tcBorders>
              <w:top w:val="single" w:sz="4" w:space="0" w:color="auto"/>
              <w:left w:val="single" w:sz="4" w:space="0" w:color="auto"/>
              <w:bottom w:val="single" w:sz="4" w:space="0" w:color="auto"/>
              <w:right w:val="single" w:sz="4" w:space="0" w:color="auto"/>
            </w:tcBorders>
            <w:shd w:val="clear" w:color="auto" w:fill="92D050"/>
          </w:tcPr>
          <w:p w:rsidR="001A26B0" w:rsidRDefault="00E33A99">
            <w:pPr>
              <w:tabs>
                <w:tab w:val="left" w:pos="4560"/>
              </w:tabs>
              <w:spacing w:after="20"/>
              <w:jc w:val="center"/>
              <w:rPr>
                <w:noProof/>
                <w:sz w:val="20"/>
              </w:rPr>
            </w:pPr>
            <w:r>
              <w:rPr>
                <w:noProof/>
                <w:sz w:val="20"/>
              </w:rPr>
              <w:sym w:font="Wingdings" w:char="F0FC"/>
            </w:r>
          </w:p>
        </w:tc>
        <w:tc>
          <w:tcPr>
            <w:tcW w:w="897" w:type="pct"/>
            <w:gridSpan w:val="2"/>
            <w:tcBorders>
              <w:top w:val="single" w:sz="4" w:space="0" w:color="auto"/>
              <w:left w:val="single" w:sz="4" w:space="0" w:color="auto"/>
              <w:bottom w:val="single" w:sz="4" w:space="0" w:color="auto"/>
              <w:right w:val="single" w:sz="4" w:space="0" w:color="auto"/>
            </w:tcBorders>
            <w:shd w:val="clear" w:color="auto" w:fill="92D050"/>
          </w:tcPr>
          <w:p w:rsidR="001A26B0" w:rsidRDefault="00E33A99">
            <w:pPr>
              <w:tabs>
                <w:tab w:val="left" w:pos="4560"/>
              </w:tabs>
              <w:spacing w:after="20"/>
              <w:jc w:val="center"/>
              <w:rPr>
                <w:noProof/>
                <w:sz w:val="20"/>
              </w:rPr>
            </w:pPr>
            <w:r>
              <w:rPr>
                <w:noProof/>
                <w:sz w:val="20"/>
              </w:rPr>
              <w:sym w:font="Wingdings" w:char="F0FC"/>
            </w:r>
          </w:p>
        </w:tc>
        <w:tc>
          <w:tcPr>
            <w:tcW w:w="973" w:type="pct"/>
            <w:gridSpan w:val="2"/>
            <w:tcBorders>
              <w:top w:val="single" w:sz="4" w:space="0" w:color="auto"/>
              <w:left w:val="single" w:sz="4" w:space="0" w:color="auto"/>
              <w:bottom w:val="single" w:sz="4" w:space="0" w:color="auto"/>
              <w:right w:val="single" w:sz="4" w:space="0" w:color="auto"/>
            </w:tcBorders>
            <w:shd w:val="clear" w:color="auto" w:fill="92D050"/>
          </w:tcPr>
          <w:p w:rsidR="001A26B0" w:rsidRDefault="00E33A99">
            <w:pPr>
              <w:tabs>
                <w:tab w:val="left" w:pos="4560"/>
              </w:tabs>
              <w:spacing w:after="20"/>
              <w:jc w:val="center"/>
              <w:rPr>
                <w:noProof/>
                <w:sz w:val="20"/>
              </w:rPr>
            </w:pPr>
            <w:r>
              <w:rPr>
                <w:noProof/>
                <w:sz w:val="20"/>
              </w:rPr>
              <w:sym w:font="Wingdings" w:char="F0FC"/>
            </w:r>
          </w:p>
        </w:tc>
      </w:tr>
    </w:tbl>
    <w:p w:rsidR="001A26B0" w:rsidRDefault="001A26B0">
      <w:pPr>
        <w:tabs>
          <w:tab w:val="left" w:pos="4560"/>
        </w:tabs>
        <w:rPr>
          <w:noProof/>
        </w:rPr>
      </w:pPr>
    </w:p>
    <w:p w:rsidR="001A26B0" w:rsidRDefault="001A26B0">
      <w:pPr>
        <w:spacing w:after="200" w:line="276" w:lineRule="auto"/>
        <w:jc w:val="left"/>
        <w:rPr>
          <w:noProof/>
        </w:rPr>
      </w:pPr>
    </w:p>
    <w:p w:rsidR="001A26B0" w:rsidRDefault="00E33A99">
      <w:pPr>
        <w:spacing w:after="200" w:line="276" w:lineRule="auto"/>
        <w:jc w:val="left"/>
        <w:rPr>
          <w:noProof/>
        </w:rPr>
      </w:pPr>
      <w:r>
        <w:rPr>
          <w:noProof/>
        </w:rPr>
        <w:br w:type="page"/>
      </w:r>
    </w:p>
    <w:p w:rsidR="001A26B0" w:rsidRDefault="00E33A99">
      <w:pPr>
        <w:pStyle w:val="Heading2"/>
        <w:rPr>
          <w:noProof/>
        </w:rPr>
      </w:pPr>
      <w:bookmarkStart w:id="706" w:name="_Toc496635661"/>
      <w:r>
        <w:rPr>
          <w:noProof/>
        </w:rPr>
        <w:t>Emission targets</w:t>
      </w:r>
      <w:bookmarkEnd w:id="706"/>
    </w:p>
    <w:p w:rsidR="001A26B0" w:rsidRDefault="00E33A99">
      <w:pPr>
        <w:pStyle w:val="Heading3"/>
        <w:rPr>
          <w:noProof/>
        </w:rPr>
      </w:pPr>
      <w:bookmarkStart w:id="707" w:name="_Toc496635662"/>
      <w:r>
        <w:rPr>
          <w:noProof/>
        </w:rPr>
        <w:t>Emission target - Metric</w:t>
      </w:r>
      <w:bookmarkEnd w:id="707"/>
      <w:r>
        <w:rPr>
          <w:noProof/>
        </w:rPr>
        <w:t xml:space="preserve"> </w:t>
      </w:r>
    </w:p>
    <w:p w:rsidR="001A26B0" w:rsidRDefault="00E33A99">
      <w:pPr>
        <w:spacing w:after="120"/>
        <w:rPr>
          <w:noProof/>
          <w:szCs w:val="24"/>
        </w:rPr>
      </w:pPr>
      <w:r>
        <w:rPr>
          <w:noProof/>
          <w:szCs w:val="24"/>
        </w:rPr>
        <w:t xml:space="preserve">As described in Section </w:t>
      </w:r>
      <w:r>
        <w:rPr>
          <w:noProof/>
          <w:szCs w:val="24"/>
        </w:rPr>
        <w:t>6 of this IA, the main distinction in the impacts of the different options for the metric of the CO</w:t>
      </w:r>
      <w:r>
        <w:rPr>
          <w:noProof/>
          <w:szCs w:val="24"/>
          <w:vertAlign w:val="subscript"/>
        </w:rPr>
        <w:t>2</w:t>
      </w:r>
      <w:r>
        <w:rPr>
          <w:noProof/>
          <w:szCs w:val="24"/>
        </w:rPr>
        <w:t xml:space="preserve"> target lies in their coherence with other policies and in the additional complexity and administrative burden they might cause, compared to their added val</w:t>
      </w:r>
      <w:r>
        <w:rPr>
          <w:noProof/>
          <w:szCs w:val="24"/>
        </w:rPr>
        <w:t>ue.</w:t>
      </w:r>
    </w:p>
    <w:p w:rsidR="001A26B0" w:rsidRDefault="00E33A99">
      <w:pPr>
        <w:spacing w:after="120"/>
        <w:rPr>
          <w:noProof/>
          <w:szCs w:val="24"/>
        </w:rPr>
      </w:pPr>
      <w:r>
        <w:rPr>
          <w:noProof/>
          <w:szCs w:val="24"/>
        </w:rPr>
        <w:t>The Tank-to-Wheel (TTW) approach, by focusing on reducing tailpipe CO</w:t>
      </w:r>
      <w:r>
        <w:rPr>
          <w:noProof/>
          <w:szCs w:val="24"/>
          <w:vertAlign w:val="subscript"/>
        </w:rPr>
        <w:t>2</w:t>
      </w:r>
      <w:r>
        <w:rPr>
          <w:noProof/>
          <w:szCs w:val="24"/>
        </w:rPr>
        <w:t xml:space="preserve"> emissions from the light duty vehicle sector, is considered fully coherent with the other instruments contributing to the EU's climate and energy policy, including the EU ETS, the Effort Sharing Regulation, the fuels policy, including the proposal for a r</w:t>
      </w:r>
      <w:r>
        <w:rPr>
          <w:noProof/>
          <w:szCs w:val="24"/>
        </w:rPr>
        <w:t>evised Renewable Energy Directive (RED II), as well as policy initiatives taken in the transport sector. The risk of double regulation will be minimised.</w:t>
      </w:r>
    </w:p>
    <w:p w:rsidR="001A26B0" w:rsidRDefault="00E33A99">
      <w:pPr>
        <w:spacing w:after="120"/>
        <w:rPr>
          <w:noProof/>
          <w:szCs w:val="24"/>
        </w:rPr>
      </w:pPr>
      <w:r>
        <w:rPr>
          <w:noProof/>
          <w:szCs w:val="24"/>
        </w:rPr>
        <w:t>The same applies for the option of enhancing the TTW approach through mileage weighting. However, this</w:t>
      </w:r>
      <w:r>
        <w:rPr>
          <w:noProof/>
          <w:szCs w:val="24"/>
        </w:rPr>
        <w:t xml:space="preserve"> would require establishing weighing factors for different vehicle categories and monitoring mileage over time, which would be costly and highly burdensome given the expected limited benefits in additional CO</w:t>
      </w:r>
      <w:r>
        <w:rPr>
          <w:noProof/>
          <w:szCs w:val="24"/>
          <w:vertAlign w:val="subscript"/>
        </w:rPr>
        <w:t>2</w:t>
      </w:r>
      <w:r>
        <w:rPr>
          <w:noProof/>
          <w:szCs w:val="24"/>
        </w:rPr>
        <w:t xml:space="preserve"> emission reductions achieved.</w:t>
      </w:r>
    </w:p>
    <w:p w:rsidR="001A26B0" w:rsidRDefault="00E33A99">
      <w:pPr>
        <w:spacing w:after="120"/>
        <w:rPr>
          <w:noProof/>
          <w:szCs w:val="24"/>
        </w:rPr>
      </w:pPr>
      <w:r>
        <w:rPr>
          <w:noProof/>
          <w:szCs w:val="24"/>
        </w:rPr>
        <w:t xml:space="preserve">As explained in </w:t>
      </w:r>
      <w:r>
        <w:rPr>
          <w:noProof/>
          <w:szCs w:val="24"/>
        </w:rPr>
        <w:t>Chapter 6, both a Well-to-Wheel (WTW) and embedded emissions metric would lead to double regulation, interfering with the EU ETS and/or EU fuels policy. Furthermore, a switch to a WTW or embedded emissions metric would lead to confusion in terms of respons</w:t>
      </w:r>
      <w:r>
        <w:rPr>
          <w:noProof/>
          <w:szCs w:val="24"/>
        </w:rPr>
        <w:t xml:space="preserve">ibilities and liabilities, making vehicle manufacturers accountable for emissions occurring outside their sector. Such approaches also risks creating additional burden, in particular in terms of monitoring and reporting obligations. </w:t>
      </w:r>
    </w:p>
    <w:p w:rsidR="001A26B0" w:rsidRDefault="00E33A99">
      <w:pPr>
        <w:spacing w:after="120"/>
        <w:rPr>
          <w:noProof/>
          <w:szCs w:val="24"/>
        </w:rPr>
      </w:pPr>
      <w:r>
        <w:rPr>
          <w:noProof/>
          <w:szCs w:val="24"/>
        </w:rPr>
        <w:t>The choice of the metr</w:t>
      </w:r>
      <w:r>
        <w:rPr>
          <w:noProof/>
          <w:szCs w:val="24"/>
        </w:rPr>
        <w:t>ic for the CO</w:t>
      </w:r>
      <w:r>
        <w:rPr>
          <w:noProof/>
          <w:szCs w:val="24"/>
          <w:vertAlign w:val="subscript"/>
        </w:rPr>
        <w:t>2</w:t>
      </w:r>
      <w:r>
        <w:rPr>
          <w:noProof/>
          <w:szCs w:val="24"/>
        </w:rPr>
        <w:t xml:space="preserve"> targets would in principle not affect the effectiveness of the policy, in particular with regards to the achievement of the specific objective to reduce CO</w:t>
      </w:r>
      <w:r>
        <w:rPr>
          <w:noProof/>
          <w:szCs w:val="24"/>
          <w:vertAlign w:val="subscript"/>
        </w:rPr>
        <w:t>2</w:t>
      </w:r>
      <w:r>
        <w:rPr>
          <w:noProof/>
          <w:szCs w:val="24"/>
        </w:rPr>
        <w:t xml:space="preserve"> emissions. However, different metrics may have different impacts on the sources and </w:t>
      </w:r>
      <w:r>
        <w:rPr>
          <w:noProof/>
          <w:szCs w:val="24"/>
        </w:rPr>
        <w:t>sectors of CO</w:t>
      </w:r>
      <w:r>
        <w:rPr>
          <w:noProof/>
          <w:szCs w:val="24"/>
          <w:vertAlign w:val="subscript"/>
        </w:rPr>
        <w:t>2</w:t>
      </w:r>
      <w:r>
        <w:rPr>
          <w:noProof/>
          <w:szCs w:val="24"/>
        </w:rPr>
        <w:t xml:space="preserve"> emissions associated with vehicles, i.e. the vehicle itself during use, the fuel/electricity sector, or vehicle manufacturing. </w:t>
      </w:r>
    </w:p>
    <w:p w:rsidR="001A26B0" w:rsidRDefault="00E33A99">
      <w:pPr>
        <w:spacing w:after="120"/>
        <w:rPr>
          <w:b/>
          <w:noProof/>
          <w:szCs w:val="24"/>
        </w:rPr>
      </w:pPr>
      <w:r>
        <w:rPr>
          <w:noProof/>
          <w:szCs w:val="24"/>
        </w:rPr>
        <w:t>Similarly, the options considered could in principle all be equally efficient as the costs and benefits will be l</w:t>
      </w:r>
      <w:r>
        <w:rPr>
          <w:noProof/>
          <w:szCs w:val="24"/>
        </w:rPr>
        <w:t>argely determined by the target level and by how the efforts are distributed across the sectors concerned. However, they clearly differ in terms of the associated administrative costs.</w:t>
      </w:r>
    </w:p>
    <w:p w:rsidR="001A26B0" w:rsidRDefault="00E33A99">
      <w:pPr>
        <w:spacing w:after="120"/>
        <w:rPr>
          <w:b/>
          <w:noProof/>
          <w:szCs w:val="24"/>
        </w:rPr>
      </w:pPr>
      <w:r>
        <w:rPr>
          <w:b/>
          <w:noProof/>
          <w:szCs w:val="24"/>
        </w:rPr>
        <w:t>The preferred option for the emission target metric is thus to maintain</w:t>
      </w:r>
      <w:r>
        <w:rPr>
          <w:b/>
          <w:noProof/>
          <w:szCs w:val="24"/>
        </w:rPr>
        <w:t xml:space="preserve"> the Tank-to-Wheel (TTW) approach with targets set in g CO</w:t>
      </w:r>
      <w:r>
        <w:rPr>
          <w:b/>
          <w:noProof/>
          <w:szCs w:val="24"/>
          <w:vertAlign w:val="subscript"/>
        </w:rPr>
        <w:t>2</w:t>
      </w:r>
      <w:r>
        <w:rPr>
          <w:b/>
          <w:noProof/>
          <w:szCs w:val="24"/>
        </w:rPr>
        <w:t>/km for the sales-weighted average of the fleet.</w:t>
      </w:r>
    </w:p>
    <w:p w:rsidR="001A26B0" w:rsidRDefault="00E33A99">
      <w:pPr>
        <w:pStyle w:val="Heading3"/>
        <w:rPr>
          <w:noProof/>
        </w:rPr>
      </w:pPr>
      <w:bookmarkStart w:id="708" w:name="_Toc496635663"/>
      <w:r>
        <w:rPr>
          <w:noProof/>
        </w:rPr>
        <w:t>Emission targets – timing</w:t>
      </w:r>
      <w:bookmarkEnd w:id="708"/>
      <w:r>
        <w:rPr>
          <w:noProof/>
        </w:rPr>
        <w:t xml:space="preserve"> </w:t>
      </w:r>
    </w:p>
    <w:p w:rsidR="001A26B0" w:rsidRDefault="00E33A99">
      <w:pPr>
        <w:spacing w:after="120"/>
        <w:rPr>
          <w:noProof/>
          <w:color w:val="000000" w:themeColor="text1"/>
        </w:rPr>
      </w:pPr>
      <w:r>
        <w:rPr>
          <w:noProof/>
          <w:szCs w:val="24"/>
        </w:rPr>
        <w:t xml:space="preserve">The option with new targets applying in 2025 and in 2030 scores very high on all criteria. </w:t>
      </w:r>
      <w:r>
        <w:rPr>
          <w:noProof/>
          <w:color w:val="000000" w:themeColor="text1"/>
        </w:rPr>
        <w:t>Setting CO</w:t>
      </w:r>
      <w:r>
        <w:rPr>
          <w:noProof/>
          <w:color w:val="000000" w:themeColor="text1"/>
          <w:vertAlign w:val="subscript"/>
        </w:rPr>
        <w:t>2</w:t>
      </w:r>
      <w:r>
        <w:rPr>
          <w:noProof/>
          <w:color w:val="000000" w:themeColor="text1"/>
        </w:rPr>
        <w:t xml:space="preserve"> targets also in 20</w:t>
      </w:r>
      <w:r>
        <w:rPr>
          <w:noProof/>
          <w:color w:val="000000" w:themeColor="text1"/>
        </w:rPr>
        <w:t>25 would provide a clear and early signal for the automotive sector to increase the market share of LEV/ZEV in the EU from the early 2020s on. It would incentivize the European automotive sector to swiftly upscale their investments in key technologies as b</w:t>
      </w:r>
      <w:r>
        <w:rPr>
          <w:noProof/>
          <w:color w:val="000000" w:themeColor="text1"/>
        </w:rPr>
        <w:t>atteries and benefit early on from the economies of scale and learning. As other jurisdictions – like China and California – are going forward with strong incentives for LEV/ZEV, there is a risk that – without a 2025 target – European automotive industry m</w:t>
      </w:r>
      <w:r>
        <w:rPr>
          <w:noProof/>
          <w:color w:val="000000" w:themeColor="text1"/>
        </w:rPr>
        <w:t>ay fall behind and foreign competitors gain a cost advantage.</w:t>
      </w:r>
    </w:p>
    <w:p w:rsidR="001A26B0" w:rsidRDefault="00E33A99">
      <w:pPr>
        <w:spacing w:after="120"/>
        <w:rPr>
          <w:noProof/>
          <w:color w:val="000000" w:themeColor="text1"/>
        </w:rPr>
      </w:pPr>
      <w:r>
        <w:rPr>
          <w:noProof/>
          <w:color w:val="000000" w:themeColor="text1"/>
        </w:rPr>
        <w:t xml:space="preserve">At the same time, it would leave sufficient flexibility to manufacturers to phase in more efficient technologies and hence give sufficient lead time for the automotive supply chain to adapt. </w:t>
      </w:r>
    </w:p>
    <w:p w:rsidR="001A26B0" w:rsidRDefault="00E33A99">
      <w:pPr>
        <w:spacing w:after="120"/>
        <w:rPr>
          <w:noProof/>
          <w:szCs w:val="24"/>
        </w:rPr>
      </w:pPr>
      <w:r>
        <w:rPr>
          <w:noProof/>
          <w:szCs w:val="24"/>
        </w:rPr>
        <w:t>It</w:t>
      </w:r>
      <w:r>
        <w:rPr>
          <w:noProof/>
          <w:szCs w:val="24"/>
        </w:rPr>
        <w:t xml:space="preserve"> is in particular effective in achieving the first specific objective by reducing CO</w:t>
      </w:r>
      <w:r>
        <w:rPr>
          <w:noProof/>
          <w:szCs w:val="24"/>
          <w:vertAlign w:val="subscript"/>
        </w:rPr>
        <w:t>2</w:t>
      </w:r>
      <w:r>
        <w:rPr>
          <w:noProof/>
          <w:szCs w:val="24"/>
        </w:rPr>
        <w:t xml:space="preserve"> emissions early. As a result, </w:t>
      </w:r>
      <w:r>
        <w:rPr>
          <w:noProof/>
          <w:color w:val="000000" w:themeColor="text1"/>
        </w:rPr>
        <w:t xml:space="preserve">cumulative emission reductions are expected to be higher </w:t>
      </w:r>
      <w:r>
        <w:rPr>
          <w:noProof/>
          <w:szCs w:val="24"/>
        </w:rPr>
        <w:t>as described in Section 6</w:t>
      </w:r>
      <w:r>
        <w:rPr>
          <w:noProof/>
          <w:color w:val="000000" w:themeColor="text1"/>
        </w:rPr>
        <w:t xml:space="preserve">. </w:t>
      </w:r>
      <w:r>
        <w:rPr>
          <w:noProof/>
          <w:szCs w:val="24"/>
        </w:rPr>
        <w:t>This option is also coherent with the broader climate an</w:t>
      </w:r>
      <w:r>
        <w:rPr>
          <w:noProof/>
          <w:szCs w:val="24"/>
        </w:rPr>
        <w:t>d energy policy by ensuring that the cars/vans policy will contribute delivering on time on the annual objectives set in the broader context of the proposed effort sharing decision for 2030, while leaving flexibility for manufacturers as regards the trajec</w:t>
      </w:r>
      <w:r>
        <w:rPr>
          <w:noProof/>
          <w:szCs w:val="24"/>
        </w:rPr>
        <w:t>tory to follow in the intermediate years.</w:t>
      </w:r>
    </w:p>
    <w:p w:rsidR="001A26B0" w:rsidRDefault="00E33A99">
      <w:pPr>
        <w:spacing w:after="120"/>
        <w:rPr>
          <w:noProof/>
          <w:szCs w:val="24"/>
        </w:rPr>
      </w:pPr>
      <w:r>
        <w:rPr>
          <w:noProof/>
          <w:szCs w:val="24"/>
        </w:rPr>
        <w:t>Postponing the new CO</w:t>
      </w:r>
      <w:r>
        <w:rPr>
          <w:noProof/>
          <w:szCs w:val="24"/>
          <w:vertAlign w:val="subscript"/>
        </w:rPr>
        <w:t>2</w:t>
      </w:r>
      <w:r>
        <w:rPr>
          <w:noProof/>
          <w:szCs w:val="24"/>
        </w:rPr>
        <w:t xml:space="preserve"> targets for cars and vans until 2030 causes the policy to be less effective in reducing CO</w:t>
      </w:r>
      <w:r>
        <w:rPr>
          <w:noProof/>
          <w:szCs w:val="24"/>
          <w:vertAlign w:val="subscript"/>
        </w:rPr>
        <w:t>2</w:t>
      </w:r>
      <w:r>
        <w:rPr>
          <w:noProof/>
          <w:szCs w:val="24"/>
        </w:rPr>
        <w:t xml:space="preserve"> emissions. Given the long fleet renewal time, the introduction of more efficient vehicles only arou</w:t>
      </w:r>
      <w:r>
        <w:rPr>
          <w:noProof/>
          <w:szCs w:val="24"/>
        </w:rPr>
        <w:t xml:space="preserve">nd 2030 would result in higher overall emissions from road transport emissions for many years thereafter. </w:t>
      </w:r>
    </w:p>
    <w:p w:rsidR="001A26B0" w:rsidRDefault="00E33A99">
      <w:pPr>
        <w:spacing w:after="120"/>
        <w:rPr>
          <w:noProof/>
          <w:szCs w:val="24"/>
        </w:rPr>
      </w:pPr>
      <w:r>
        <w:rPr>
          <w:noProof/>
          <w:szCs w:val="24"/>
        </w:rPr>
        <w:t xml:space="preserve">This option is also less effective against the second specific objective as consumers would miss out on significant fuel savings in the period up to </w:t>
      </w:r>
      <w:r>
        <w:rPr>
          <w:noProof/>
          <w:szCs w:val="24"/>
        </w:rPr>
        <w:t xml:space="preserve">2030. This would also increase the costs of the policy and in turn negatively influence its efficiency. </w:t>
      </w:r>
    </w:p>
    <w:p w:rsidR="001A26B0" w:rsidRDefault="00E33A99">
      <w:pPr>
        <w:spacing w:after="120"/>
        <w:rPr>
          <w:noProof/>
          <w:szCs w:val="24"/>
        </w:rPr>
      </w:pPr>
      <w:r>
        <w:rPr>
          <w:noProof/>
          <w:szCs w:val="24"/>
        </w:rPr>
        <w:t>All of this makes this option not fully coherent with the broader climate and energy policy as the cars and vans CO</w:t>
      </w:r>
      <w:r>
        <w:rPr>
          <w:noProof/>
          <w:szCs w:val="24"/>
          <w:vertAlign w:val="subscript"/>
        </w:rPr>
        <w:t>2</w:t>
      </w:r>
      <w:r>
        <w:rPr>
          <w:noProof/>
          <w:szCs w:val="24"/>
        </w:rPr>
        <w:t xml:space="preserve"> targets are one of the key element</w:t>
      </w:r>
      <w:r>
        <w:rPr>
          <w:noProof/>
          <w:szCs w:val="24"/>
        </w:rPr>
        <w:t>s contributing to achieving the 2030 climate and energy objectives.</w:t>
      </w:r>
    </w:p>
    <w:p w:rsidR="001A26B0" w:rsidRDefault="00E33A99">
      <w:pPr>
        <w:spacing w:after="120"/>
        <w:rPr>
          <w:noProof/>
          <w:szCs w:val="24"/>
        </w:rPr>
      </w:pPr>
      <w:r>
        <w:rPr>
          <w:noProof/>
          <w:szCs w:val="24"/>
        </w:rPr>
        <w:t>The option of setting annual targets, while being highly effective in reducing CO</w:t>
      </w:r>
      <w:r>
        <w:rPr>
          <w:noProof/>
          <w:szCs w:val="24"/>
          <w:vertAlign w:val="subscript"/>
        </w:rPr>
        <w:t>2</w:t>
      </w:r>
      <w:r>
        <w:rPr>
          <w:noProof/>
          <w:szCs w:val="24"/>
        </w:rPr>
        <w:t xml:space="preserve"> emissions and in steering the market uptake of more LEV and ZEV, would leave manufacturers very little fl</w:t>
      </w:r>
      <w:r>
        <w:rPr>
          <w:noProof/>
          <w:szCs w:val="24"/>
        </w:rPr>
        <w:t xml:space="preserve">exibility during any year of the period. Compared to the limited added value it may bring, such an annual compliance requirement seems overly restrictive. </w:t>
      </w:r>
    </w:p>
    <w:p w:rsidR="001A26B0" w:rsidRDefault="00E33A99">
      <w:pPr>
        <w:spacing w:after="120"/>
        <w:rPr>
          <w:noProof/>
          <w:szCs w:val="24"/>
        </w:rPr>
      </w:pPr>
      <w:r>
        <w:rPr>
          <w:b/>
          <w:noProof/>
          <w:szCs w:val="24"/>
        </w:rPr>
        <w:t>The preferred option is thus to set new CO</w:t>
      </w:r>
      <w:r>
        <w:rPr>
          <w:b/>
          <w:noProof/>
          <w:szCs w:val="24"/>
          <w:vertAlign w:val="subscript"/>
        </w:rPr>
        <w:t>2</w:t>
      </w:r>
      <w:r>
        <w:rPr>
          <w:b/>
          <w:noProof/>
          <w:szCs w:val="24"/>
        </w:rPr>
        <w:t xml:space="preserve"> targets for cars and vans applying from 2025 and stricte</w:t>
      </w:r>
      <w:r>
        <w:rPr>
          <w:b/>
          <w:noProof/>
          <w:szCs w:val="24"/>
        </w:rPr>
        <w:t>r targets applying from 2030 on.</w:t>
      </w:r>
    </w:p>
    <w:p w:rsidR="001A26B0" w:rsidRDefault="00E33A99">
      <w:pPr>
        <w:pStyle w:val="Heading3"/>
        <w:rPr>
          <w:noProof/>
        </w:rPr>
      </w:pPr>
      <w:bookmarkStart w:id="709" w:name="_Toc496635664"/>
      <w:r>
        <w:rPr>
          <w:noProof/>
        </w:rPr>
        <w:t>Emission targets – level for cars</w:t>
      </w:r>
      <w:bookmarkEnd w:id="709"/>
      <w:r>
        <w:rPr>
          <w:noProof/>
        </w:rPr>
        <w:t xml:space="preserve"> </w:t>
      </w:r>
    </w:p>
    <w:p w:rsidR="001A26B0" w:rsidRDefault="00E33A99">
      <w:pPr>
        <w:spacing w:after="120"/>
        <w:rPr>
          <w:noProof/>
          <w:szCs w:val="24"/>
        </w:rPr>
      </w:pPr>
      <w:r>
        <w:rPr>
          <w:noProof/>
          <w:szCs w:val="24"/>
        </w:rPr>
        <w:t>The options considered cover a range of target level trajectories up to 2030. As described in Section 6 of this IA, the stricter the target levels set, the higher their effectiveness in ac</w:t>
      </w:r>
      <w:r>
        <w:rPr>
          <w:noProof/>
          <w:szCs w:val="24"/>
        </w:rPr>
        <w:t>hieving the specific objective of reducing CO</w:t>
      </w:r>
      <w:r>
        <w:rPr>
          <w:noProof/>
          <w:szCs w:val="24"/>
          <w:vertAlign w:val="subscript"/>
        </w:rPr>
        <w:t>2</w:t>
      </w:r>
      <w:r>
        <w:rPr>
          <w:noProof/>
          <w:szCs w:val="24"/>
        </w:rPr>
        <w:t xml:space="preserve"> emissions. The additional reductions in 2030 compared to 2005 on top of the baseline range from 4 percentage points (TLC20) to 11.4 percentage points (TLC_EP50). In 2040, the range is from 19.1 percentage poin</w:t>
      </w:r>
      <w:r>
        <w:rPr>
          <w:noProof/>
          <w:szCs w:val="24"/>
        </w:rPr>
        <w:t xml:space="preserve">t (TLC20) to 30.3 percentage points (TLC_EP50). </w:t>
      </w:r>
    </w:p>
    <w:p w:rsidR="001A26B0" w:rsidRDefault="00E33A99">
      <w:pPr>
        <w:spacing w:after="120"/>
        <w:rPr>
          <w:noProof/>
          <w:szCs w:val="24"/>
        </w:rPr>
      </w:pPr>
      <w:r>
        <w:rPr>
          <w:noProof/>
          <w:szCs w:val="24"/>
        </w:rPr>
        <w:t>The co-benefits in terms of reduced air pollution also increase with the stringency of the target, leading to additional reductions of NO</w:t>
      </w:r>
      <w:r>
        <w:rPr>
          <w:noProof/>
          <w:szCs w:val="24"/>
          <w:vertAlign w:val="subscript"/>
        </w:rPr>
        <w:t>x</w:t>
      </w:r>
      <w:r>
        <w:rPr>
          <w:noProof/>
          <w:szCs w:val="24"/>
        </w:rPr>
        <w:t xml:space="preserve"> and PM</w:t>
      </w:r>
      <w:r>
        <w:rPr>
          <w:noProof/>
          <w:szCs w:val="24"/>
          <w:vertAlign w:val="subscript"/>
        </w:rPr>
        <w:t>2.5</w:t>
      </w:r>
      <w:r>
        <w:rPr>
          <w:noProof/>
          <w:szCs w:val="24"/>
        </w:rPr>
        <w:t xml:space="preserve"> emissions by 2030 from 2020 compared to the baseline ranging from 2 percentage points (TLC20) to 8 percentage points for NOx and 10 percentage points for PM</w:t>
      </w:r>
      <w:r>
        <w:rPr>
          <w:noProof/>
          <w:szCs w:val="24"/>
          <w:vertAlign w:val="subscript"/>
        </w:rPr>
        <w:t>2.5</w:t>
      </w:r>
      <w:r>
        <w:rPr>
          <w:noProof/>
          <w:szCs w:val="24"/>
        </w:rPr>
        <w:t xml:space="preserve"> (TLC_EP50). </w:t>
      </w:r>
    </w:p>
    <w:p w:rsidR="001A26B0" w:rsidRDefault="00E33A99">
      <w:pPr>
        <w:spacing w:after="120"/>
        <w:rPr>
          <w:noProof/>
          <w:szCs w:val="24"/>
        </w:rPr>
      </w:pPr>
      <w:r>
        <w:rPr>
          <w:noProof/>
          <w:szCs w:val="24"/>
        </w:rPr>
        <w:t xml:space="preserve">Stricter targets will also increase the market uptake of LEV and ZEV accelerating </w:t>
      </w:r>
      <w:r>
        <w:rPr>
          <w:noProof/>
          <w:szCs w:val="24"/>
        </w:rPr>
        <w:t>innovation and reaching economies of scale. However, the change in the fleet composition will be rather gradual compared to the baseline. For instance, for a 30% reduction target, the share of gasoline and diesel cars in 2030 will still be almost three qua</w:t>
      </w:r>
      <w:r>
        <w:rPr>
          <w:noProof/>
          <w:szCs w:val="24"/>
        </w:rPr>
        <w:t>rters of the total new feet compared to slightly more than 80% in the baseline. Only at the higher target levels, the change would be more rapid. For the most ambitious option considered, the gasoline and diesel car share would decline to a little more tha</w:t>
      </w:r>
      <w:r>
        <w:rPr>
          <w:noProof/>
          <w:szCs w:val="24"/>
        </w:rPr>
        <w:t>n 55%.</w:t>
      </w:r>
    </w:p>
    <w:p w:rsidR="001A26B0" w:rsidRDefault="00E33A99">
      <w:pPr>
        <w:spacing w:after="120"/>
        <w:rPr>
          <w:noProof/>
        </w:rPr>
      </w:pPr>
      <w:r>
        <w:rPr>
          <w:noProof/>
          <w:szCs w:val="24"/>
        </w:rPr>
        <w:t xml:space="preserve">All options considered deliver benefits for consumers. The 'total cost of ownership' reflects the change in costs from an end-user perspective of an </w:t>
      </w:r>
      <w:r>
        <w:rPr>
          <w:noProof/>
        </w:rPr>
        <w:t>'average new car'. As the fleet-wide target levels get higher, the capital costs increase as well as</w:t>
      </w:r>
      <w:r>
        <w:rPr>
          <w:noProof/>
        </w:rPr>
        <w:t xml:space="preserve"> the fuel cost savings. Highest net savings for the total cost of ownership can be realised with a reduction target of 25% or 30%. For these options, the net savings for a 2030 'average new car' are about 1,400 EUR considering a lifetime of 15 years and ar</w:t>
      </w:r>
      <w:r>
        <w:rPr>
          <w:noProof/>
        </w:rPr>
        <w:t xml:space="preserve">ound 800 EUR for the first user during the first 5 years after registration of the vehicle. </w:t>
      </w:r>
    </w:p>
    <w:p w:rsidR="001A26B0" w:rsidRDefault="00E33A99">
      <w:pPr>
        <w:spacing w:after="120"/>
        <w:rPr>
          <w:noProof/>
        </w:rPr>
      </w:pPr>
      <w:r>
        <w:rPr>
          <w:noProof/>
        </w:rPr>
        <w:t>The net savings for the second user increase with the stringency of the targets and are higher than those for the first users, benefiting the lower income groups o</w:t>
      </w:r>
      <w:r>
        <w:rPr>
          <w:noProof/>
        </w:rPr>
        <w:t>f consumers. The net savings for the second user are higher for a 30% reduction target than for the 25% option.</w:t>
      </w:r>
    </w:p>
    <w:p w:rsidR="001A26B0" w:rsidRDefault="00E33A99">
      <w:pPr>
        <w:spacing w:after="120"/>
        <w:rPr>
          <w:noProof/>
          <w:szCs w:val="24"/>
        </w:rPr>
      </w:pPr>
      <w:r>
        <w:rPr>
          <w:noProof/>
        </w:rPr>
        <w:t>As regards the macro-economic impacts, t</w:t>
      </w:r>
      <w:r>
        <w:rPr>
          <w:noProof/>
          <w:szCs w:val="24"/>
        </w:rPr>
        <w:t xml:space="preserve">he results show a very small positive impact for the policy scenarios compared to the baseline in terms </w:t>
      </w:r>
      <w:r>
        <w:rPr>
          <w:noProof/>
          <w:szCs w:val="24"/>
        </w:rPr>
        <w:t xml:space="preserve">of EU-28 GDP. </w:t>
      </w:r>
      <w:r>
        <w:rPr>
          <w:noProof/>
          <w:color w:val="000000"/>
          <w:szCs w:val="24"/>
        </w:rPr>
        <w:t xml:space="preserve">It is projected that higher </w:t>
      </w:r>
      <w:r>
        <w:rPr>
          <w:noProof/>
        </w:rPr>
        <w:t>CO</w:t>
      </w:r>
      <w:r>
        <w:rPr>
          <w:noProof/>
          <w:vertAlign w:val="subscript"/>
        </w:rPr>
        <w:t>2</w:t>
      </w:r>
      <w:r>
        <w:rPr>
          <w:noProof/>
        </w:rPr>
        <w:t xml:space="preserve"> targets trigger </w:t>
      </w:r>
      <w:r>
        <w:rPr>
          <w:noProof/>
          <w:szCs w:val="24"/>
        </w:rPr>
        <w:t xml:space="preserve">increased consumer expenditure as well as increased infrastructure investment. This combined impact, as well as a reduction in imports of petroleum products, would result in an overall positive </w:t>
      </w:r>
      <w:r>
        <w:rPr>
          <w:noProof/>
          <w:szCs w:val="24"/>
        </w:rPr>
        <w:t xml:space="preserve">impact on GDP and reduce the import dependency of the EU economy. </w:t>
      </w:r>
    </w:p>
    <w:p w:rsidR="001A26B0" w:rsidRDefault="00E33A99">
      <w:pPr>
        <w:spacing w:after="120"/>
        <w:rPr>
          <w:noProof/>
          <w:color w:val="000000"/>
          <w:szCs w:val="24"/>
        </w:rPr>
      </w:pPr>
      <w:r>
        <w:rPr>
          <w:noProof/>
          <w:color w:val="000000"/>
          <w:szCs w:val="24"/>
        </w:rPr>
        <w:t xml:space="preserve">On the one hand, at the sectoral level, there would be an expansion of the automotive supply chain, which would translate into a production increase in sectors such as rubber and plastics, </w:t>
      </w:r>
      <w:r>
        <w:rPr>
          <w:noProof/>
          <w:color w:val="000000"/>
          <w:szCs w:val="24"/>
        </w:rPr>
        <w:t xml:space="preserve">metals and electrical and machinery equipment. This reflects the impact of increased demand from the automotive sectors for batteries and electric motors. </w:t>
      </w:r>
    </w:p>
    <w:p w:rsidR="001A26B0" w:rsidRDefault="00E33A99">
      <w:pPr>
        <w:spacing w:after="120"/>
        <w:rPr>
          <w:noProof/>
        </w:rPr>
      </w:pPr>
      <w:r>
        <w:rPr>
          <w:noProof/>
          <w:color w:val="000000"/>
          <w:szCs w:val="24"/>
        </w:rPr>
        <w:t xml:space="preserve">On the other hand, </w:t>
      </w:r>
      <w:r>
        <w:rPr>
          <w:noProof/>
          <w:szCs w:val="24"/>
        </w:rPr>
        <w:t>the automotive sector itself would see a small decrease in value added due to the</w:t>
      </w:r>
      <w:r>
        <w:rPr>
          <w:noProof/>
          <w:szCs w:val="24"/>
        </w:rPr>
        <w:t xml:space="preserve"> decreasing use of combustion engines in cars. Similarly, the power and hydrogen supply sectors would increase production reflecting increased demand for electricity and hydrogen to power electric vehicles, while the petroleum refining sector would see a l</w:t>
      </w:r>
      <w:r>
        <w:rPr>
          <w:noProof/>
          <w:szCs w:val="24"/>
        </w:rPr>
        <w:t>ower production. With more stringent target levels, these effects would become slightly more pronounced.</w:t>
      </w:r>
    </w:p>
    <w:p w:rsidR="001A26B0" w:rsidRDefault="00E33A99">
      <w:pPr>
        <w:spacing w:after="120"/>
        <w:rPr>
          <w:noProof/>
          <w:szCs w:val="24"/>
        </w:rPr>
      </w:pPr>
      <w:r>
        <w:rPr>
          <w:noProof/>
          <w:szCs w:val="24"/>
        </w:rPr>
        <w:t>With more ambitious CO</w:t>
      </w:r>
      <w:r>
        <w:rPr>
          <w:noProof/>
          <w:szCs w:val="24"/>
          <w:vertAlign w:val="subscript"/>
        </w:rPr>
        <w:t>2</w:t>
      </w:r>
      <w:r>
        <w:rPr>
          <w:noProof/>
          <w:szCs w:val="24"/>
        </w:rPr>
        <w:t xml:space="preserve"> target levels resulting in an increase in economic output, there is also a marginal increase in the number of jobs across the E</w:t>
      </w:r>
      <w:r>
        <w:rPr>
          <w:noProof/>
          <w:szCs w:val="24"/>
        </w:rPr>
        <w:t xml:space="preserve">U-28 compared to the baseline. The number of additional jobs also increases slightly over time. The main drivers behind the GDP impacts also explain the employment impacts. The exact magnitude of the employment impacts will depend among others whether the </w:t>
      </w:r>
      <w:r>
        <w:rPr>
          <w:noProof/>
          <w:szCs w:val="24"/>
        </w:rPr>
        <w:t xml:space="preserve">battery production will take place in the EU or whether batteries will be imported from Asia. Additional enabling measures for EU investments into battery production would amplify the positive employment effects. </w:t>
      </w:r>
    </w:p>
    <w:p w:rsidR="001A26B0" w:rsidRDefault="00E33A99">
      <w:pPr>
        <w:spacing w:after="120"/>
        <w:rPr>
          <w:noProof/>
        </w:rPr>
      </w:pPr>
      <w:r>
        <w:rPr>
          <w:noProof/>
          <w:szCs w:val="24"/>
        </w:rPr>
        <w:t xml:space="preserve">Shifts in sectoral economic activity will </w:t>
      </w:r>
      <w:r>
        <w:rPr>
          <w:noProof/>
          <w:szCs w:val="24"/>
        </w:rPr>
        <w:t xml:space="preserve">also affect the skills and qualifications required in the automotive sector. Given the gradual shift to electrified powertrains and the expected relatively high share of plug-in hybrid vehicles until 2030, there will be sufficient time for re-skilling and </w:t>
      </w:r>
      <w:r>
        <w:rPr>
          <w:noProof/>
          <w:szCs w:val="24"/>
        </w:rPr>
        <w:t>up-skilling.</w:t>
      </w:r>
    </w:p>
    <w:p w:rsidR="001A26B0" w:rsidRDefault="00E33A99">
      <w:pPr>
        <w:spacing w:after="120"/>
        <w:rPr>
          <w:noProof/>
        </w:rPr>
      </w:pPr>
      <w:r>
        <w:rPr>
          <w:noProof/>
        </w:rPr>
        <w:t>In light of the analysis carried out, the target level of 20% scores less positively on effectiveness than 25% and 30% in particular in view of the CO</w:t>
      </w:r>
      <w:r>
        <w:rPr>
          <w:noProof/>
          <w:vertAlign w:val="subscript"/>
        </w:rPr>
        <w:t>2</w:t>
      </w:r>
      <w:r>
        <w:rPr>
          <w:noProof/>
        </w:rPr>
        <w:t xml:space="preserve"> emission reduction and the lower deployment of ZEV/LEV and fuel efficient technologies. Hig</w:t>
      </w:r>
      <w:r>
        <w:rPr>
          <w:noProof/>
        </w:rPr>
        <w:t xml:space="preserve">her target levels of 40% and above score less positively with regards to the net savings for consumers over 15 years and over the first 5 years. However, they lead to higher market uptake of ZEV/LEV and more net savings for the second owners. </w:t>
      </w:r>
    </w:p>
    <w:p w:rsidR="001A26B0" w:rsidRDefault="00E33A99">
      <w:pPr>
        <w:spacing w:after="120"/>
        <w:rPr>
          <w:noProof/>
          <w:szCs w:val="24"/>
        </w:rPr>
      </w:pPr>
      <w:r>
        <w:rPr>
          <w:noProof/>
        </w:rPr>
        <w:t>Looking at t</w:t>
      </w:r>
      <w:r>
        <w:rPr>
          <w:noProof/>
        </w:rPr>
        <w:t>he efficiency of the options from a societal perspective, the analysis shows that the highest net savings</w:t>
      </w:r>
      <w:r>
        <w:rPr>
          <w:rStyle w:val="FootnoteReference"/>
          <w:noProof/>
        </w:rPr>
        <w:footnoteReference w:id="212"/>
      </w:r>
      <w:r>
        <w:rPr>
          <w:noProof/>
        </w:rPr>
        <w:t xml:space="preserve"> can be realised at target levels of 25% and 30% in both years 2025 and 2030. However, w</w:t>
      </w:r>
      <w:r>
        <w:rPr>
          <w:noProof/>
          <w:szCs w:val="24"/>
        </w:rPr>
        <w:t>hen considering the CO</w:t>
      </w:r>
      <w:r>
        <w:rPr>
          <w:noProof/>
          <w:szCs w:val="24"/>
          <w:vertAlign w:val="subscript"/>
        </w:rPr>
        <w:t>2</w:t>
      </w:r>
      <w:r>
        <w:rPr>
          <w:noProof/>
          <w:szCs w:val="24"/>
        </w:rPr>
        <w:t xml:space="preserve"> external costs, the 30% scenario provi</w:t>
      </w:r>
      <w:r>
        <w:rPr>
          <w:noProof/>
          <w:szCs w:val="24"/>
        </w:rPr>
        <w:t xml:space="preserve">des higher benefits than 25%. </w:t>
      </w:r>
      <w:r>
        <w:rPr>
          <w:noProof/>
        </w:rPr>
        <w:t xml:space="preserve">The </w:t>
      </w:r>
      <w:r>
        <w:rPr>
          <w:noProof/>
          <w:szCs w:val="24"/>
        </w:rPr>
        <w:t>50% scenario delivers no net savings, as the highest target levels lead to significantly higher manufacturing costs. The 40% and 50% also scores lower with regards to proportionality in view of the higher manufacturing cos</w:t>
      </w:r>
      <w:r>
        <w:rPr>
          <w:noProof/>
          <w:szCs w:val="24"/>
        </w:rPr>
        <w:t>ts.</w:t>
      </w:r>
    </w:p>
    <w:p w:rsidR="001A26B0" w:rsidRDefault="00E33A99">
      <w:pPr>
        <w:pStyle w:val="Text3"/>
        <w:ind w:left="0"/>
        <w:rPr>
          <w:noProof/>
        </w:rPr>
      </w:pPr>
      <w:r>
        <w:rPr>
          <w:noProof/>
          <w:szCs w:val="24"/>
        </w:rPr>
        <w:t>In terms of coherence, a key consideration is related to the way the car CO</w:t>
      </w:r>
      <w:r>
        <w:rPr>
          <w:noProof/>
          <w:szCs w:val="24"/>
          <w:vertAlign w:val="subscript"/>
        </w:rPr>
        <w:t>2</w:t>
      </w:r>
      <w:r>
        <w:rPr>
          <w:noProof/>
          <w:szCs w:val="24"/>
        </w:rPr>
        <w:t xml:space="preserve"> targets would deliver a cost-effective contribution to reducing emissions of the sectors covered by the Effort Sharing Regulation by 2030. In this respect, higher targets enha</w:t>
      </w:r>
      <w:r>
        <w:rPr>
          <w:noProof/>
          <w:szCs w:val="24"/>
        </w:rPr>
        <w:t>nce the capabilities of Member States in meeting their target under the Effort Sharing Regulation, taking into account also that other sectors covered by this Regulation, such as agriculture and freight transport have a lower than average cost–effective em</w:t>
      </w:r>
      <w:r>
        <w:rPr>
          <w:noProof/>
          <w:szCs w:val="24"/>
        </w:rPr>
        <w:t>ission reduction potential. However, the highest targets would score less positively against the coherence criteria in view of the increased manufacturing costs.</w:t>
      </w:r>
    </w:p>
    <w:p w:rsidR="001A26B0" w:rsidRDefault="00E33A99">
      <w:pPr>
        <w:pStyle w:val="Heading3"/>
        <w:rPr>
          <w:noProof/>
        </w:rPr>
      </w:pPr>
      <w:bookmarkStart w:id="710" w:name="_Toc496635665"/>
      <w:r>
        <w:rPr>
          <w:noProof/>
        </w:rPr>
        <w:t>Emission targets – level for vans</w:t>
      </w:r>
      <w:bookmarkEnd w:id="710"/>
    </w:p>
    <w:p w:rsidR="001A26B0" w:rsidRDefault="00E33A99">
      <w:pPr>
        <w:spacing w:after="120"/>
        <w:rPr>
          <w:noProof/>
          <w:szCs w:val="24"/>
        </w:rPr>
      </w:pPr>
      <w:r>
        <w:rPr>
          <w:noProof/>
          <w:szCs w:val="24"/>
        </w:rPr>
        <w:t>Regarding the effectiveness and proportionality of the emiss</w:t>
      </w:r>
      <w:r>
        <w:rPr>
          <w:noProof/>
          <w:szCs w:val="24"/>
        </w:rPr>
        <w:t>ion targets for vans, similar considerations apply as for cars. The higher the target levels set, the higher their effectiveness in achieving the specific objective of reducing CO</w:t>
      </w:r>
      <w:r>
        <w:rPr>
          <w:noProof/>
          <w:szCs w:val="24"/>
          <w:vertAlign w:val="subscript"/>
        </w:rPr>
        <w:t>2</w:t>
      </w:r>
      <w:r>
        <w:rPr>
          <w:noProof/>
          <w:szCs w:val="24"/>
        </w:rPr>
        <w:t xml:space="preserve"> emissions and the co-benefits in terms of air quality. Higher targets will </w:t>
      </w:r>
      <w:r>
        <w:rPr>
          <w:noProof/>
          <w:szCs w:val="24"/>
        </w:rPr>
        <w:t xml:space="preserve">also increase the market uptake of LEV and ZEV accelerating innovation and reaching economies of scale. Similar conclusions can also be drawn up as regards the macro-economic impacts including on employment. </w:t>
      </w:r>
    </w:p>
    <w:p w:rsidR="001A26B0" w:rsidRDefault="00E33A99">
      <w:pPr>
        <w:spacing w:after="120"/>
        <w:rPr>
          <w:noProof/>
          <w:szCs w:val="24"/>
        </w:rPr>
      </w:pPr>
      <w:r>
        <w:rPr>
          <w:noProof/>
          <w:szCs w:val="24"/>
        </w:rPr>
        <w:t>As regards the benefits for consumers, the high</w:t>
      </w:r>
      <w:r>
        <w:rPr>
          <w:noProof/>
          <w:szCs w:val="24"/>
        </w:rPr>
        <w:t xml:space="preserve">est net savings over 15 years and 5 years and for the second user occur in the case of the 40% reduction level. </w:t>
      </w:r>
    </w:p>
    <w:p w:rsidR="001A26B0" w:rsidRDefault="00E33A99">
      <w:pPr>
        <w:spacing w:after="120"/>
        <w:rPr>
          <w:noProof/>
          <w:szCs w:val="24"/>
        </w:rPr>
      </w:pPr>
      <w:r>
        <w:rPr>
          <w:noProof/>
          <w:szCs w:val="24"/>
        </w:rPr>
        <w:t xml:space="preserve">In terms of efficiency, the highest net savings from a societal perspective are found for options TLV40 followed by TLV30. </w:t>
      </w:r>
    </w:p>
    <w:p w:rsidR="001A26B0" w:rsidRDefault="00E33A99">
      <w:pPr>
        <w:spacing w:after="120"/>
        <w:rPr>
          <w:noProof/>
          <w:szCs w:val="24"/>
        </w:rPr>
      </w:pPr>
      <w:r>
        <w:rPr>
          <w:noProof/>
          <w:szCs w:val="24"/>
        </w:rPr>
        <w:t xml:space="preserve">In terms of coherence with the overall climate and energy policies, TLV30 and TLV40 are both scoring somewhat better than the other options given the emission reductions and societal net savings delivered. </w:t>
      </w:r>
    </w:p>
    <w:p w:rsidR="001A26B0" w:rsidRDefault="00E33A99">
      <w:pPr>
        <w:pStyle w:val="Heading2"/>
        <w:rPr>
          <w:noProof/>
        </w:rPr>
      </w:pPr>
      <w:bookmarkStart w:id="711" w:name="_Toc496635666"/>
      <w:r>
        <w:rPr>
          <w:noProof/>
        </w:rPr>
        <w:t>Distribution of efforts (cars and vans)</w:t>
      </w:r>
      <w:bookmarkEnd w:id="711"/>
    </w:p>
    <w:p w:rsidR="001A26B0" w:rsidRDefault="00E33A99">
      <w:pPr>
        <w:spacing w:after="120"/>
        <w:rPr>
          <w:noProof/>
          <w:szCs w:val="24"/>
        </w:rPr>
      </w:pPr>
      <w:r>
        <w:rPr>
          <w:noProof/>
          <w:szCs w:val="24"/>
        </w:rPr>
        <w:t>The key s</w:t>
      </w:r>
      <w:r>
        <w:rPr>
          <w:noProof/>
          <w:szCs w:val="24"/>
        </w:rPr>
        <w:t xml:space="preserve">pecific objective considered to assess the effectiveness is to ensure a fair distribution of effort among the manufacturers, thus avoiding that competition is distorted, without undermining the overall emission reduction potential. </w:t>
      </w:r>
    </w:p>
    <w:p w:rsidR="001A26B0" w:rsidRDefault="00E33A99">
      <w:pPr>
        <w:spacing w:after="120"/>
        <w:rPr>
          <w:noProof/>
          <w:szCs w:val="24"/>
        </w:rPr>
      </w:pPr>
      <w:r>
        <w:rPr>
          <w:noProof/>
          <w:szCs w:val="24"/>
        </w:rPr>
        <w:t>As described in Section</w:t>
      </w:r>
      <w:r>
        <w:rPr>
          <w:noProof/>
          <w:szCs w:val="24"/>
        </w:rPr>
        <w:t xml:space="preserve"> 6, for cars, the first three options, which are based on a limit value curve, are comparatively less effective as they tend to lead to higher costs for manufacturers of smaller vehicles, both in absolute and in relative terms. This is especially the case </w:t>
      </w:r>
      <w:r>
        <w:rPr>
          <w:noProof/>
          <w:szCs w:val="24"/>
        </w:rPr>
        <w:t xml:space="preserve">for the footprint-based option. </w:t>
      </w:r>
    </w:p>
    <w:p w:rsidR="001A26B0" w:rsidRDefault="00E33A99">
      <w:pPr>
        <w:spacing w:after="120"/>
        <w:rPr>
          <w:noProof/>
          <w:szCs w:val="24"/>
        </w:rPr>
      </w:pPr>
      <w:r>
        <w:rPr>
          <w:noProof/>
          <w:szCs w:val="24"/>
        </w:rPr>
        <w:t xml:space="preserve">For vans, the options based on footprint and with a uniform target result in significantly higher manufacturing cost increases for manufacturers of larger vehicles. </w:t>
      </w:r>
    </w:p>
    <w:p w:rsidR="001A26B0" w:rsidRDefault="00E33A99">
      <w:pPr>
        <w:spacing w:after="120"/>
        <w:rPr>
          <w:noProof/>
          <w:szCs w:val="24"/>
        </w:rPr>
      </w:pPr>
      <w:r>
        <w:rPr>
          <w:noProof/>
          <w:szCs w:val="24"/>
        </w:rPr>
        <w:t>Another important element for the analysis is the conside</w:t>
      </w:r>
      <w:r>
        <w:rPr>
          <w:noProof/>
          <w:szCs w:val="24"/>
        </w:rPr>
        <w:t xml:space="preserve">ration of the proportionality with regards to the flexibility left for manufacturers in adapting their future fleet composition depending on consumer demand. For both cars and vans, the options DOE3 and DOE4 without a utility parameter leave less room for </w:t>
      </w:r>
      <w:r>
        <w:rPr>
          <w:noProof/>
          <w:szCs w:val="24"/>
        </w:rPr>
        <w:t xml:space="preserve">changes in the fleet composition, and may cause greater challenges for manufacturers producing a less diversified fleet of mainly larger or mainly smaller vehicle models. </w:t>
      </w:r>
    </w:p>
    <w:p w:rsidR="001A26B0" w:rsidRDefault="00E33A99">
      <w:pPr>
        <w:spacing w:after="120"/>
        <w:rPr>
          <w:noProof/>
          <w:szCs w:val="24"/>
        </w:rPr>
      </w:pPr>
      <w:r>
        <w:rPr>
          <w:noProof/>
          <w:szCs w:val="24"/>
        </w:rPr>
        <w:t>As regards the proportionality, maintaining a mass based approach compared to footpr</w:t>
      </w:r>
      <w:r>
        <w:rPr>
          <w:noProof/>
          <w:szCs w:val="24"/>
        </w:rPr>
        <w:t>int would be the simplest option from an administrative point of view. Changing the utility parameter would also create uncertainty for the future.</w:t>
      </w:r>
    </w:p>
    <w:p w:rsidR="001A26B0" w:rsidRDefault="00E33A99">
      <w:pPr>
        <w:spacing w:after="120"/>
        <w:rPr>
          <w:noProof/>
          <w:szCs w:val="24"/>
        </w:rPr>
      </w:pPr>
      <w:r>
        <w:rPr>
          <w:noProof/>
          <w:szCs w:val="24"/>
        </w:rPr>
        <w:t xml:space="preserve">As regards the efficiency, as explained in Section 6.4, the overall cost is hardly affected by the approach </w:t>
      </w:r>
      <w:r>
        <w:rPr>
          <w:noProof/>
          <w:szCs w:val="24"/>
        </w:rPr>
        <w:t>chosen to distribute the EU-wide fleet target across manufacturers. However, the absence of a utility parameter would reduce the flexibility of manufacturers, creating risks to increase the costs of the policy.</w:t>
      </w:r>
    </w:p>
    <w:p w:rsidR="001A26B0" w:rsidRDefault="00E33A99">
      <w:pPr>
        <w:spacing w:after="120"/>
        <w:rPr>
          <w:noProof/>
          <w:szCs w:val="24"/>
        </w:rPr>
      </w:pPr>
      <w:r>
        <w:rPr>
          <w:noProof/>
          <w:szCs w:val="24"/>
        </w:rPr>
        <w:t>As regards internal coherence, the approach o</w:t>
      </w:r>
      <w:r>
        <w:rPr>
          <w:noProof/>
          <w:szCs w:val="24"/>
        </w:rPr>
        <w:t>f keeping the slopes of the limit value curve as currently established in the Cars and Vans Regulation could be questioned. These slopes were specifically linked to the currently applicable targets for 2020/2021. With the switch to WLTP and the new targets</w:t>
      </w:r>
      <w:r>
        <w:rPr>
          <w:noProof/>
          <w:szCs w:val="24"/>
        </w:rPr>
        <w:t xml:space="preserve"> to be set for post-2020, there seems to be no sound basis for simply maintaining them. For the other options considered, no other issues regarding the internal or external coherence were noted. </w:t>
      </w:r>
    </w:p>
    <w:p w:rsidR="001A26B0" w:rsidRDefault="00E33A99">
      <w:pPr>
        <w:spacing w:after="120"/>
        <w:rPr>
          <w:noProof/>
          <w:szCs w:val="24"/>
        </w:rPr>
      </w:pPr>
      <w:r>
        <w:rPr>
          <w:b/>
          <w:noProof/>
          <w:szCs w:val="24"/>
        </w:rPr>
        <w:t>The preferred option for distributing the EU-wide fleet targ</w:t>
      </w:r>
      <w:r>
        <w:rPr>
          <w:b/>
          <w:noProof/>
          <w:szCs w:val="24"/>
        </w:rPr>
        <w:t>ets across individual manufacturers from 2025 on, is to use a limit value curve, with the manufacturer specific targets depending on the average WLTP test mass of the vehicles. The slope of the curve should ensure an equivalent reduction effort amongst man</w:t>
      </w:r>
      <w:r>
        <w:rPr>
          <w:b/>
          <w:noProof/>
          <w:szCs w:val="24"/>
        </w:rPr>
        <w:t>ufacturers.</w:t>
      </w:r>
    </w:p>
    <w:p w:rsidR="001A26B0" w:rsidRDefault="00E33A99">
      <w:pPr>
        <w:pStyle w:val="Heading2"/>
        <w:rPr>
          <w:noProof/>
        </w:rPr>
      </w:pPr>
      <w:bookmarkStart w:id="712" w:name="_Toc496635667"/>
      <w:r>
        <w:rPr>
          <w:noProof/>
        </w:rPr>
        <w:t>ZEV / LEV incentives</w:t>
      </w:r>
      <w:bookmarkEnd w:id="712"/>
      <w:r>
        <w:rPr>
          <w:noProof/>
        </w:rPr>
        <w:t xml:space="preserve"> </w:t>
      </w:r>
    </w:p>
    <w:p w:rsidR="001A26B0" w:rsidRDefault="00E33A99">
      <w:pPr>
        <w:pStyle w:val="Heading3"/>
        <w:rPr>
          <w:noProof/>
        </w:rPr>
      </w:pPr>
      <w:bookmarkStart w:id="713" w:name="_Toc496635668"/>
      <w:r>
        <w:rPr>
          <w:noProof/>
        </w:rPr>
        <w:t>ZEV / LEV incentives for cars</w:t>
      </w:r>
      <w:bookmarkEnd w:id="713"/>
      <w:r>
        <w:rPr>
          <w:noProof/>
        </w:rPr>
        <w:t xml:space="preserve"> </w:t>
      </w:r>
    </w:p>
    <w:p w:rsidR="001A26B0" w:rsidRDefault="00E33A99">
      <w:pPr>
        <w:spacing w:after="120"/>
        <w:rPr>
          <w:bCs/>
          <w:noProof/>
          <w:lang w:val="en"/>
        </w:rPr>
      </w:pPr>
      <w:r>
        <w:rPr>
          <w:bCs/>
          <w:noProof/>
          <w:lang w:val="en"/>
        </w:rPr>
        <w:t>The automotive industry is crucial for Europe's prosperity and the EU is among the world's biggest producers of motor vehicles and demonstrates technological leadership in this sector.</w:t>
      </w:r>
    </w:p>
    <w:p w:rsidR="001A26B0" w:rsidRDefault="00E33A99">
      <w:pPr>
        <w:spacing w:after="120"/>
        <w:rPr>
          <w:bCs/>
          <w:noProof/>
          <w:lang w:val="en"/>
        </w:rPr>
      </w:pPr>
      <w:r>
        <w:rPr>
          <w:bCs/>
          <w:noProof/>
          <w:lang w:val="en"/>
        </w:rPr>
        <w:t>Howeve</w:t>
      </w:r>
      <w:r>
        <w:rPr>
          <w:bCs/>
          <w:noProof/>
          <w:lang w:val="en"/>
        </w:rPr>
        <w:t xml:space="preserve">r, competition is increasing and the global automotive sector is changing rapidly with a higher number of market players from outside the EU, new innovations in electrified powertrains, autonomous driving and connected vehicles. </w:t>
      </w:r>
    </w:p>
    <w:p w:rsidR="001A26B0" w:rsidRDefault="00E33A99">
      <w:pPr>
        <w:spacing w:after="120"/>
        <w:rPr>
          <w:bCs/>
          <w:noProof/>
          <w:lang w:val="en"/>
        </w:rPr>
      </w:pPr>
      <w:r>
        <w:rPr>
          <w:bCs/>
          <w:noProof/>
          <w:lang w:val="en"/>
        </w:rPr>
        <w:t>In order to retain its glo</w:t>
      </w:r>
      <w:r>
        <w:rPr>
          <w:bCs/>
          <w:noProof/>
          <w:lang w:val="en"/>
        </w:rPr>
        <w:t>bal competitiveness and access to markets, the EU needs to react proactively with an ambitious but realistic and cost-effective regulatory framework. This will support technological development and influence regulatory development outside the EU. This is p</w:t>
      </w:r>
      <w:r>
        <w:rPr>
          <w:bCs/>
          <w:noProof/>
          <w:lang w:val="en"/>
        </w:rPr>
        <w:t xml:space="preserve">articular important in the area of zero- and low-emission vehicles. </w:t>
      </w:r>
    </w:p>
    <w:p w:rsidR="001A26B0" w:rsidRDefault="00E33A99">
      <w:pPr>
        <w:spacing w:after="120"/>
        <w:rPr>
          <w:bCs/>
          <w:noProof/>
          <w:lang w:val="en"/>
        </w:rPr>
      </w:pPr>
      <w:r>
        <w:rPr>
          <w:bCs/>
          <w:noProof/>
          <w:lang w:val="en"/>
        </w:rPr>
        <w:t>In terms of future market growth for electric vehicles, analysts expect that the global stock could increase from around 2 million electric vehicles in 2016 to between 9 and 20 million by</w:t>
      </w:r>
      <w:r>
        <w:rPr>
          <w:bCs/>
          <w:noProof/>
          <w:lang w:val="en"/>
        </w:rPr>
        <w:t xml:space="preserve"> 2020 and could reach between 40 and 70 million electric vehicles by 2025.</w:t>
      </w:r>
    </w:p>
    <w:p w:rsidR="001A26B0" w:rsidRDefault="00E33A99">
      <w:pPr>
        <w:spacing w:after="120"/>
        <w:rPr>
          <w:bCs/>
          <w:noProof/>
          <w:lang w:val="en"/>
        </w:rPr>
      </w:pPr>
      <w:r>
        <w:rPr>
          <w:bCs/>
          <w:noProof/>
          <w:lang w:val="en"/>
        </w:rPr>
        <w:t xml:space="preserve">These forecasts are also reflected in recent announcements by major EU car manufacturers intending to significantly increase the share of electrified powertrains in their portfolio </w:t>
      </w:r>
      <w:r>
        <w:rPr>
          <w:bCs/>
          <w:noProof/>
          <w:lang w:val="en"/>
        </w:rPr>
        <w:t>to as much as 25% in 2025 for some of the largest manufacturers.</w:t>
      </w:r>
    </w:p>
    <w:p w:rsidR="001A26B0" w:rsidRDefault="00E33A99">
      <w:pPr>
        <w:spacing w:after="120"/>
        <w:rPr>
          <w:bCs/>
          <w:noProof/>
          <w:lang w:val="en"/>
        </w:rPr>
      </w:pPr>
      <w:r>
        <w:rPr>
          <w:bCs/>
          <w:noProof/>
          <w:lang w:val="en"/>
        </w:rPr>
        <w:t>In 2016 China was by far the largest electric car market in the world with more than twice as many registrations as the US or the EU and with very dynamic growth rates. While the Chinese elec</w:t>
      </w:r>
      <w:r>
        <w:rPr>
          <w:bCs/>
          <w:noProof/>
          <w:lang w:val="en"/>
        </w:rPr>
        <w:t xml:space="preserve">tric car market grew by more than 60% in 2016, the EU market grew by 6% only. In 2016, Chinese car manufacturers increased their share in global electric vehicles production from 40% in 2015 to 43%. </w:t>
      </w:r>
    </w:p>
    <w:p w:rsidR="001A26B0" w:rsidRDefault="00E33A99">
      <w:pPr>
        <w:spacing w:after="120"/>
        <w:rPr>
          <w:noProof/>
          <w:szCs w:val="24"/>
        </w:rPr>
      </w:pPr>
      <w:r>
        <w:rPr>
          <w:bCs/>
          <w:noProof/>
          <w:lang w:val="en"/>
        </w:rPr>
        <w:t>This strong position of the Chinese market and manufactu</w:t>
      </w:r>
      <w:r>
        <w:rPr>
          <w:bCs/>
          <w:noProof/>
          <w:lang w:val="en"/>
        </w:rPr>
        <w:t>rers is expected to continue. In order to even further strengthen its competitive edge, China adopted in 2017 mandatory quotas for "new energy" vehicles for all domestic and foreign car manufacturers that produce for and/or import to the Chinese market. In</w:t>
      </w:r>
      <w:r>
        <w:rPr>
          <w:bCs/>
          <w:noProof/>
          <w:lang w:val="en"/>
        </w:rPr>
        <w:t xml:space="preserve"> the US, California and </w:t>
      </w:r>
      <w:r>
        <w:rPr>
          <w:noProof/>
          <w:szCs w:val="24"/>
        </w:rPr>
        <w:t xml:space="preserve">nine other States have successfully established a regulatory instrument to enhance the uptake of LEV since the early 1990s. </w:t>
      </w:r>
    </w:p>
    <w:p w:rsidR="001A26B0" w:rsidRDefault="00E33A99">
      <w:pPr>
        <w:pStyle w:val="Text3"/>
        <w:ind w:left="0"/>
        <w:rPr>
          <w:noProof/>
        </w:rPr>
      </w:pPr>
      <w:r>
        <w:rPr>
          <w:noProof/>
        </w:rPr>
        <w:t>In the light of this policy context, the Impact Assessment is considering several options to introduce ince</w:t>
      </w:r>
      <w:r>
        <w:rPr>
          <w:noProof/>
        </w:rPr>
        <w:t xml:space="preserve">ntives for zero- and low-emission vehicles. </w:t>
      </w:r>
    </w:p>
    <w:p w:rsidR="001A26B0" w:rsidRDefault="00E33A99">
      <w:pPr>
        <w:pStyle w:val="Text3"/>
        <w:numPr>
          <w:ilvl w:val="0"/>
          <w:numId w:val="79"/>
        </w:numPr>
        <w:rPr>
          <w:noProof/>
          <w:szCs w:val="24"/>
        </w:rPr>
      </w:pPr>
      <w:r>
        <w:rPr>
          <w:noProof/>
        </w:rPr>
        <w:t xml:space="preserve">The first option is a binding mandate under which each manufacturer would have to include at least a specific share of LEV in its new vehicle fleet. </w:t>
      </w:r>
    </w:p>
    <w:p w:rsidR="001A26B0" w:rsidRDefault="00E33A99">
      <w:pPr>
        <w:pStyle w:val="Text3"/>
        <w:numPr>
          <w:ilvl w:val="0"/>
          <w:numId w:val="79"/>
        </w:numPr>
        <w:rPr>
          <w:noProof/>
          <w:szCs w:val="24"/>
        </w:rPr>
      </w:pPr>
      <w:r>
        <w:rPr>
          <w:noProof/>
        </w:rPr>
        <w:t xml:space="preserve">The second option is a more flexible </w:t>
      </w:r>
      <w:r>
        <w:rPr>
          <w:noProof/>
          <w:szCs w:val="24"/>
        </w:rPr>
        <w:t xml:space="preserve">crediting system with a </w:t>
      </w:r>
      <w:r>
        <w:rPr>
          <w:noProof/>
          <w:szCs w:val="24"/>
        </w:rPr>
        <w:t>two-way CO</w:t>
      </w:r>
      <w:r>
        <w:rPr>
          <w:noProof/>
          <w:szCs w:val="24"/>
          <w:vertAlign w:val="subscript"/>
        </w:rPr>
        <w:t>2</w:t>
      </w:r>
      <w:r>
        <w:rPr>
          <w:noProof/>
          <w:szCs w:val="24"/>
        </w:rPr>
        <w:t xml:space="preserve"> target adjustment, building on and improving the current super-credits system. A manufacturer exceeding a certain benchmark of LEV/ZEV in its fleet would be allowed to meet a less strict CO</w:t>
      </w:r>
      <w:r>
        <w:rPr>
          <w:noProof/>
          <w:szCs w:val="24"/>
          <w:vertAlign w:val="subscript"/>
        </w:rPr>
        <w:t>2</w:t>
      </w:r>
      <w:r>
        <w:rPr>
          <w:noProof/>
          <w:szCs w:val="24"/>
        </w:rPr>
        <w:t xml:space="preserve"> target, hence relaxing the need for efficiency improv</w:t>
      </w:r>
      <w:r>
        <w:rPr>
          <w:noProof/>
          <w:szCs w:val="24"/>
        </w:rPr>
        <w:t>ements in internal combustion engines. However, a manufacturer whose sales share of LEV/ZEV fleet is below the benchmark would have to meet a stricter fleet-wide CO</w:t>
      </w:r>
      <w:r>
        <w:rPr>
          <w:noProof/>
          <w:szCs w:val="24"/>
          <w:vertAlign w:val="subscript"/>
        </w:rPr>
        <w:t>2</w:t>
      </w:r>
      <w:r>
        <w:rPr>
          <w:noProof/>
          <w:szCs w:val="24"/>
        </w:rPr>
        <w:t xml:space="preserve"> target, which limits the risk of undermining the overall CO</w:t>
      </w:r>
      <w:r>
        <w:rPr>
          <w:noProof/>
          <w:szCs w:val="24"/>
          <w:vertAlign w:val="subscript"/>
        </w:rPr>
        <w:t>2</w:t>
      </w:r>
      <w:r>
        <w:rPr>
          <w:noProof/>
          <w:szCs w:val="24"/>
        </w:rPr>
        <w:t xml:space="preserve"> fleet-wide target. Section 6 </w:t>
      </w:r>
      <w:r>
        <w:rPr>
          <w:noProof/>
          <w:szCs w:val="24"/>
        </w:rPr>
        <w:t>carries out an analysis on the effects of the over and under-achievement of the ZEV/LEV benchmark on the efficiency improvement for conventional vehicles.</w:t>
      </w:r>
    </w:p>
    <w:p w:rsidR="001A26B0" w:rsidRDefault="00E33A99">
      <w:pPr>
        <w:pStyle w:val="Text3"/>
        <w:numPr>
          <w:ilvl w:val="0"/>
          <w:numId w:val="79"/>
        </w:numPr>
        <w:rPr>
          <w:noProof/>
          <w:szCs w:val="24"/>
        </w:rPr>
      </w:pPr>
      <w:r>
        <w:rPr>
          <w:noProof/>
        </w:rPr>
        <w:t xml:space="preserve">The third option is a crediting system with a </w:t>
      </w:r>
      <w:r>
        <w:rPr>
          <w:noProof/>
          <w:szCs w:val="24"/>
        </w:rPr>
        <w:t>one-way CO</w:t>
      </w:r>
      <w:r>
        <w:rPr>
          <w:noProof/>
          <w:szCs w:val="24"/>
          <w:vertAlign w:val="subscript"/>
        </w:rPr>
        <w:t>2</w:t>
      </w:r>
      <w:r>
        <w:rPr>
          <w:noProof/>
          <w:szCs w:val="24"/>
        </w:rPr>
        <w:t xml:space="preserve"> target adjustment where the CO</w:t>
      </w:r>
      <w:r>
        <w:rPr>
          <w:noProof/>
          <w:szCs w:val="24"/>
          <w:vertAlign w:val="subscript"/>
        </w:rPr>
        <w:t>2</w:t>
      </w:r>
      <w:r>
        <w:rPr>
          <w:noProof/>
          <w:szCs w:val="24"/>
        </w:rPr>
        <w:t xml:space="preserve"> target will</w:t>
      </w:r>
      <w:r>
        <w:rPr>
          <w:noProof/>
          <w:szCs w:val="24"/>
        </w:rPr>
        <w:t xml:space="preserve"> be relaxed if the benchmark is overachieved. Not meeting the benchmark would have no consequences, i.e. the benchmark would become voluntary.</w:t>
      </w:r>
    </w:p>
    <w:p w:rsidR="001A26B0" w:rsidRDefault="00E33A99">
      <w:pPr>
        <w:spacing w:after="120"/>
        <w:rPr>
          <w:noProof/>
        </w:rPr>
      </w:pPr>
      <w:r>
        <w:rPr>
          <w:noProof/>
        </w:rPr>
        <w:t>For the LEV/ZEV mandate or benchmark levels, a range from 10 to 25% in 2025 and 15 to 35% in 2030 has been looked</w:t>
      </w:r>
      <w:r>
        <w:rPr>
          <w:noProof/>
        </w:rPr>
        <w:t xml:space="preserve"> at, depending on the scope of the vehicles considered, only ZEV or including LEV. The selected ranges </w:t>
      </w:r>
      <w:r>
        <w:rPr>
          <w:noProof/>
          <w:szCs w:val="24"/>
        </w:rPr>
        <w:t>broadly mirror the recent announcements by many EU manufacturers as regards their expected LEV uptake for the coming decade</w:t>
      </w:r>
      <w:r>
        <w:rPr>
          <w:noProof/>
        </w:rPr>
        <w:t xml:space="preserve">. </w:t>
      </w:r>
    </w:p>
    <w:p w:rsidR="001A26B0" w:rsidRDefault="00E33A99">
      <w:pPr>
        <w:spacing w:after="120"/>
        <w:rPr>
          <w:noProof/>
        </w:rPr>
      </w:pPr>
      <w:r>
        <w:rPr>
          <w:noProof/>
        </w:rPr>
        <w:t xml:space="preserve">Starting from a rather low </w:t>
      </w:r>
      <w:r>
        <w:rPr>
          <w:noProof/>
        </w:rPr>
        <w:t>base, the accelerated uptake of LEV is expected to yield significant economies of scale, hence bringing down vehicle costs and making LEV more attractive for consumers and stimulating investments in infrastructure. Analysts project that the faster the mark</w:t>
      </w:r>
      <w:r>
        <w:rPr>
          <w:noProof/>
        </w:rPr>
        <w:t>et will grow the faster vehicle costs could come down.</w:t>
      </w:r>
    </w:p>
    <w:p w:rsidR="001A26B0" w:rsidRDefault="00E33A99">
      <w:pPr>
        <w:spacing w:after="120"/>
        <w:rPr>
          <w:i/>
          <w:noProof/>
          <w:szCs w:val="24"/>
        </w:rPr>
      </w:pPr>
      <w:r>
        <w:rPr>
          <w:i/>
          <w:noProof/>
          <w:szCs w:val="24"/>
        </w:rPr>
        <w:t>Design of incentives for low- and zero-emission vehicles</w:t>
      </w:r>
    </w:p>
    <w:p w:rsidR="001A26B0" w:rsidRDefault="00E33A99">
      <w:pPr>
        <w:spacing w:after="120"/>
        <w:rPr>
          <w:noProof/>
          <w:szCs w:val="24"/>
        </w:rPr>
      </w:pPr>
      <w:r>
        <w:rPr>
          <w:noProof/>
          <w:szCs w:val="24"/>
        </w:rPr>
        <w:t>A binding mandate and a crediting system with a two-way CO</w:t>
      </w:r>
      <w:r>
        <w:rPr>
          <w:noProof/>
          <w:szCs w:val="24"/>
          <w:vertAlign w:val="subscript"/>
        </w:rPr>
        <w:t>2</w:t>
      </w:r>
      <w:r>
        <w:rPr>
          <w:noProof/>
          <w:szCs w:val="24"/>
        </w:rPr>
        <w:t xml:space="preserve"> target adjustment score the highest with respect to effectiveness and coherence as t</w:t>
      </w:r>
      <w:r>
        <w:rPr>
          <w:noProof/>
          <w:szCs w:val="24"/>
        </w:rPr>
        <w:t xml:space="preserve">hey provide a clear regulatory signal for industry to invest in LEV. This would create a larger internal market leading to economies of scale, bringing the technology costs down at a faster pace, to the benefit of consumers, industrial competitiveness and </w:t>
      </w:r>
      <w:r>
        <w:rPr>
          <w:noProof/>
          <w:szCs w:val="24"/>
        </w:rPr>
        <w:t xml:space="preserve">triggering investments in the necessary infrastructure. </w:t>
      </w:r>
    </w:p>
    <w:p w:rsidR="001A26B0" w:rsidRDefault="00E33A99">
      <w:pPr>
        <w:spacing w:after="120"/>
        <w:rPr>
          <w:noProof/>
          <w:szCs w:val="24"/>
        </w:rPr>
      </w:pPr>
      <w:r>
        <w:rPr>
          <w:noProof/>
          <w:szCs w:val="24"/>
        </w:rPr>
        <w:t xml:space="preserve">A clear regulatory signal on the future market size for LEV/ZEV will reduce the risk for all market participants – be it car manufacturers, providers of charging infrastructure, or consumers – and </w:t>
      </w:r>
      <w:r>
        <w:rPr>
          <w:noProof/>
          <w:szCs w:val="24"/>
        </w:rPr>
        <w:t>allow a faster uptake. A well-chosen regulatory signal on the future market size – that is in line with the expectations of the car manufacturers – will make all market participants more confident to invest into LEV/ZEV technologies and contribute to solve</w:t>
      </w:r>
      <w:r>
        <w:rPr>
          <w:noProof/>
          <w:szCs w:val="24"/>
        </w:rPr>
        <w:t xml:space="preserve"> the "chicken-and-egg" problem between vehicle manufacturers and providers of charging infrastructure. Private and public providers of charging infrastructure will have a more credible signal on the future charging demand and can invest with less risk.</w:t>
      </w:r>
    </w:p>
    <w:p w:rsidR="001A26B0" w:rsidRDefault="00E33A99">
      <w:pPr>
        <w:spacing w:after="120"/>
        <w:rPr>
          <w:noProof/>
          <w:szCs w:val="24"/>
        </w:rPr>
      </w:pPr>
      <w:r>
        <w:rPr>
          <w:noProof/>
          <w:szCs w:val="24"/>
        </w:rPr>
        <w:t xml:space="preserve">A </w:t>
      </w:r>
      <w:r>
        <w:rPr>
          <w:noProof/>
        </w:rPr>
        <w:t>c</w:t>
      </w:r>
      <w:r>
        <w:rPr>
          <w:noProof/>
        </w:rPr>
        <w:t xml:space="preserve">rediting system with a </w:t>
      </w:r>
      <w:r>
        <w:rPr>
          <w:noProof/>
          <w:szCs w:val="24"/>
        </w:rPr>
        <w:t>one-way CO</w:t>
      </w:r>
      <w:r>
        <w:rPr>
          <w:noProof/>
          <w:szCs w:val="24"/>
          <w:vertAlign w:val="subscript"/>
        </w:rPr>
        <w:t>2</w:t>
      </w:r>
      <w:r>
        <w:rPr>
          <w:noProof/>
          <w:szCs w:val="24"/>
        </w:rPr>
        <w:t xml:space="preserve"> target adjustment would not create a clear signal leaving market participants less certain about the future size of the LEV/ZEV market and therefore investment risks increase. In addition, this creates a higher risk of un</w:t>
      </w:r>
      <w:r>
        <w:rPr>
          <w:noProof/>
          <w:szCs w:val="24"/>
        </w:rPr>
        <w:t>dermining the environmental integrity of the regulatory system.</w:t>
      </w:r>
    </w:p>
    <w:p w:rsidR="001A26B0" w:rsidRDefault="00E33A99">
      <w:pPr>
        <w:spacing w:after="120"/>
        <w:rPr>
          <w:noProof/>
          <w:szCs w:val="24"/>
        </w:rPr>
      </w:pPr>
      <w:r>
        <w:rPr>
          <w:noProof/>
          <w:szCs w:val="24"/>
        </w:rPr>
        <w:t xml:space="preserve">As regards efficiency, the analysis in Section 6 shows that the introduction of LEV incentives leads to higher net economic savings from a societal perspective, with the mandate providing the </w:t>
      </w:r>
      <w:r>
        <w:rPr>
          <w:noProof/>
          <w:szCs w:val="24"/>
        </w:rPr>
        <w:t xml:space="preserve">highest net economic savings compared to a crediting system. </w:t>
      </w:r>
    </w:p>
    <w:p w:rsidR="001A26B0" w:rsidRDefault="00E33A99">
      <w:pPr>
        <w:spacing w:after="120"/>
        <w:rPr>
          <w:noProof/>
          <w:szCs w:val="24"/>
        </w:rPr>
      </w:pPr>
      <w:r>
        <w:rPr>
          <w:noProof/>
          <w:szCs w:val="24"/>
        </w:rPr>
        <w:t xml:space="preserve">However, compared to a crediting system, a binding mandate reduces the flexibility for manufacturers to react to changes in relative costs between LEV/ZEV and conventional technologies. If e.g. </w:t>
      </w:r>
      <w:r>
        <w:rPr>
          <w:noProof/>
          <w:szCs w:val="24"/>
        </w:rPr>
        <w:t xml:space="preserve">battery costs decrease faster than expected, a crediting system offers stronger incentives to invest further in LEV/ZEVs and increase further the competitiveness of the European automotive industry in this technology. A pure binding mandate does not offer </w:t>
      </w:r>
      <w:r>
        <w:rPr>
          <w:noProof/>
          <w:szCs w:val="24"/>
        </w:rPr>
        <w:t>these flexibilities and scores therefore lower in terms of efficiency and proportionality.</w:t>
      </w:r>
    </w:p>
    <w:p w:rsidR="001A26B0" w:rsidRDefault="00E33A99">
      <w:pPr>
        <w:spacing w:after="120"/>
        <w:rPr>
          <w:noProof/>
          <w:szCs w:val="24"/>
        </w:rPr>
      </w:pPr>
      <w:r>
        <w:rPr>
          <w:noProof/>
          <w:szCs w:val="24"/>
        </w:rPr>
        <w:t xml:space="preserve">While having the advantage of being more flexible, the effectiveness and efficiency of a crediting system will eventually depend on the level of the benchmark. In </w:t>
      </w:r>
      <w:r>
        <w:rPr>
          <w:noProof/>
          <w:szCs w:val="24"/>
        </w:rPr>
        <w:t>particular, if the benchmark value is set below the level that the market expects for the future LEV/ZEV market share, this may have negative and perverse effects on the overall effectiveness. Take e.g. the case that the benchmark would be set at a very lo</w:t>
      </w:r>
      <w:r>
        <w:rPr>
          <w:noProof/>
          <w:szCs w:val="24"/>
        </w:rPr>
        <w:t>w level that would be over-achieved in any case. Such a benchmark would provide no additional incentives for the deployment of ZEV/LEV and may even allow every manufacturer to generate such a high amount of credits with no further need to improve the effic</w:t>
      </w:r>
      <w:r>
        <w:rPr>
          <w:noProof/>
          <w:szCs w:val="24"/>
        </w:rPr>
        <w:t>iency of conventional engines. There would neither be incentives for innovation in low-emission nor in conventional technologies.</w:t>
      </w:r>
    </w:p>
    <w:p w:rsidR="001A26B0" w:rsidRDefault="00E33A99">
      <w:pPr>
        <w:spacing w:after="120"/>
        <w:rPr>
          <w:noProof/>
          <w:szCs w:val="24"/>
        </w:rPr>
      </w:pPr>
      <w:r>
        <w:rPr>
          <w:noProof/>
          <w:szCs w:val="24"/>
        </w:rPr>
        <w:t xml:space="preserve">Section 6 has analysed different levels for the ZEV/LEV benchmark – based on </w:t>
      </w:r>
      <w:r>
        <w:rPr>
          <w:noProof/>
        </w:rPr>
        <w:t>the modelled LEV shares for the future and broadl</w:t>
      </w:r>
      <w:r>
        <w:rPr>
          <w:noProof/>
        </w:rPr>
        <w:t xml:space="preserve">y mirroring the recent announcements made by several major European manufacturers. </w:t>
      </w:r>
      <w:r>
        <w:rPr>
          <w:noProof/>
          <w:szCs w:val="24"/>
        </w:rPr>
        <w:t xml:space="preserve">Three benchmark level options–have been analysed for ZEV only and for ZEV and LEV together: </w:t>
      </w:r>
    </w:p>
    <w:p w:rsidR="001A26B0" w:rsidRDefault="00E33A99">
      <w:pPr>
        <w:pStyle w:val="Caption"/>
        <w:rPr>
          <w:noProof/>
          <w:szCs w:val="24"/>
        </w:rPr>
      </w:pPr>
      <w:r>
        <w:rPr>
          <w:noProof/>
        </w:rPr>
        <w:t xml:space="preserve">Table </w:t>
      </w:r>
      <w:r>
        <w:rPr>
          <w:noProof/>
        </w:rPr>
        <w:fldChar w:fldCharType="begin"/>
      </w:r>
      <w:r>
        <w:rPr>
          <w:noProof/>
        </w:rPr>
        <w:instrText xml:space="preserve"> SEQ Table \* ARABIC </w:instrText>
      </w:r>
      <w:r>
        <w:rPr>
          <w:noProof/>
        </w:rPr>
        <w:fldChar w:fldCharType="separate"/>
      </w:r>
      <w:r>
        <w:rPr>
          <w:noProof/>
        </w:rPr>
        <w:t>56</w:t>
      </w:r>
      <w:r>
        <w:rPr>
          <w:noProof/>
        </w:rPr>
        <w:fldChar w:fldCharType="end"/>
      </w:r>
      <w:r>
        <w:rPr>
          <w:noProof/>
        </w:rPr>
        <w:t>: Overview of ZEV/LEV benchmark level options</w:t>
      </w:r>
    </w:p>
    <w:tbl>
      <w:tblPr>
        <w:tblW w:w="3581" w:type="pct"/>
        <w:jc w:val="center"/>
        <w:tblLayout w:type="fixed"/>
        <w:tblLook w:val="04A0" w:firstRow="1" w:lastRow="0" w:firstColumn="1" w:lastColumn="0" w:noHBand="0" w:noVBand="1"/>
      </w:tblPr>
      <w:tblGrid>
        <w:gridCol w:w="1430"/>
        <w:gridCol w:w="1134"/>
        <w:gridCol w:w="1253"/>
        <w:gridCol w:w="1253"/>
        <w:gridCol w:w="1253"/>
      </w:tblGrid>
      <w:tr w:rsidR="001A26B0">
        <w:trPr>
          <w:trHeight w:val="384"/>
          <w:jc w:val="center"/>
        </w:trPr>
        <w:tc>
          <w:tcPr>
            <w:tcW w:w="1130" w:type="pct"/>
            <w:vMerge w:val="restart"/>
            <w:tcBorders>
              <w:top w:val="single" w:sz="4" w:space="0" w:color="auto"/>
              <w:left w:val="single" w:sz="4" w:space="0" w:color="auto"/>
              <w:right w:val="nil"/>
            </w:tcBorders>
            <w:shd w:val="clear" w:color="auto" w:fill="auto"/>
            <w:noWrap/>
            <w:vAlign w:val="center"/>
            <w:hideMark/>
          </w:tcPr>
          <w:p w:rsidR="001A26B0" w:rsidRDefault="001A26B0">
            <w:pPr>
              <w:spacing w:after="0"/>
              <w:jc w:val="center"/>
              <w:rPr>
                <w:noProof/>
                <w:szCs w:val="24"/>
                <w:lang w:eastAsia="en-GB"/>
              </w:rPr>
            </w:pPr>
          </w:p>
        </w:tc>
        <w:tc>
          <w:tcPr>
            <w:tcW w:w="188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A26B0" w:rsidRDefault="00E33A99">
            <w:pPr>
              <w:spacing w:after="0"/>
              <w:jc w:val="center"/>
              <w:rPr>
                <w:b/>
                <w:i/>
                <w:noProof/>
                <w:szCs w:val="24"/>
                <w:lang w:eastAsia="en-GB"/>
              </w:rPr>
            </w:pPr>
            <w:r>
              <w:rPr>
                <w:b/>
                <w:i/>
                <w:noProof/>
                <w:szCs w:val="24"/>
                <w:lang w:eastAsia="en-GB"/>
              </w:rPr>
              <w:t>Z</w:t>
            </w:r>
            <w:r>
              <w:rPr>
                <w:b/>
                <w:i/>
                <w:noProof/>
                <w:szCs w:val="24"/>
                <w:lang w:eastAsia="en-GB"/>
              </w:rPr>
              <w:t>EV only</w:t>
            </w:r>
          </w:p>
        </w:tc>
        <w:tc>
          <w:tcPr>
            <w:tcW w:w="1982" w:type="pct"/>
            <w:gridSpan w:val="2"/>
            <w:tcBorders>
              <w:top w:val="single" w:sz="4" w:space="0" w:color="auto"/>
              <w:left w:val="single" w:sz="4" w:space="0" w:color="auto"/>
              <w:bottom w:val="single" w:sz="4" w:space="0" w:color="auto"/>
              <w:right w:val="single" w:sz="4" w:space="0" w:color="auto"/>
            </w:tcBorders>
            <w:vAlign w:val="center"/>
          </w:tcPr>
          <w:p w:rsidR="001A26B0" w:rsidRDefault="00E33A99">
            <w:pPr>
              <w:spacing w:after="0"/>
              <w:jc w:val="center"/>
              <w:rPr>
                <w:b/>
                <w:i/>
                <w:noProof/>
                <w:szCs w:val="24"/>
                <w:lang w:eastAsia="en-GB"/>
              </w:rPr>
            </w:pPr>
            <w:r>
              <w:rPr>
                <w:b/>
                <w:i/>
                <w:noProof/>
                <w:szCs w:val="24"/>
                <w:lang w:eastAsia="en-GB"/>
              </w:rPr>
              <w:t>ZEV and LEV together</w:t>
            </w:r>
          </w:p>
        </w:tc>
      </w:tr>
      <w:tr w:rsidR="001A26B0">
        <w:trPr>
          <w:trHeight w:val="408"/>
          <w:jc w:val="center"/>
        </w:trPr>
        <w:tc>
          <w:tcPr>
            <w:tcW w:w="1130" w:type="pct"/>
            <w:vMerge/>
            <w:tcBorders>
              <w:left w:val="single" w:sz="4" w:space="0" w:color="auto"/>
              <w:bottom w:val="single" w:sz="4" w:space="0" w:color="auto"/>
              <w:right w:val="nil"/>
            </w:tcBorders>
            <w:shd w:val="clear" w:color="auto" w:fill="auto"/>
            <w:noWrap/>
            <w:vAlign w:val="center"/>
          </w:tcPr>
          <w:p w:rsidR="001A26B0" w:rsidRDefault="001A26B0">
            <w:pPr>
              <w:spacing w:after="0"/>
              <w:jc w:val="center"/>
              <w:rPr>
                <w:noProof/>
                <w:szCs w:val="24"/>
                <w:lang w:eastAsia="en-GB"/>
              </w:rPr>
            </w:pPr>
          </w:p>
        </w:tc>
        <w:tc>
          <w:tcPr>
            <w:tcW w:w="8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B0" w:rsidRDefault="00E33A99">
            <w:pPr>
              <w:spacing w:after="0"/>
              <w:jc w:val="center"/>
              <w:rPr>
                <w:b/>
                <w:noProof/>
                <w:szCs w:val="24"/>
                <w:lang w:eastAsia="en-GB"/>
              </w:rPr>
            </w:pPr>
            <w:r>
              <w:rPr>
                <w:b/>
                <w:noProof/>
                <w:szCs w:val="24"/>
                <w:lang w:eastAsia="en-GB"/>
              </w:rPr>
              <w:t>2025</w:t>
            </w:r>
          </w:p>
        </w:tc>
        <w:tc>
          <w:tcPr>
            <w:tcW w:w="9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B0" w:rsidRDefault="00E33A99">
            <w:pPr>
              <w:spacing w:after="0"/>
              <w:jc w:val="center"/>
              <w:rPr>
                <w:b/>
                <w:noProof/>
                <w:szCs w:val="24"/>
                <w:lang w:eastAsia="en-GB"/>
              </w:rPr>
            </w:pPr>
            <w:r>
              <w:rPr>
                <w:b/>
                <w:noProof/>
                <w:szCs w:val="24"/>
                <w:lang w:eastAsia="en-GB"/>
              </w:rPr>
              <w:t>2030</w:t>
            </w:r>
          </w:p>
        </w:tc>
        <w:tc>
          <w:tcPr>
            <w:tcW w:w="991" w:type="pct"/>
            <w:tcBorders>
              <w:top w:val="single" w:sz="4" w:space="0" w:color="auto"/>
              <w:left w:val="single" w:sz="4" w:space="0" w:color="auto"/>
              <w:bottom w:val="single" w:sz="4" w:space="0" w:color="auto"/>
              <w:right w:val="single" w:sz="4" w:space="0" w:color="auto"/>
            </w:tcBorders>
            <w:vAlign w:val="center"/>
          </w:tcPr>
          <w:p w:rsidR="001A26B0" w:rsidRDefault="00E33A99">
            <w:pPr>
              <w:spacing w:after="0"/>
              <w:jc w:val="center"/>
              <w:rPr>
                <w:b/>
                <w:noProof/>
                <w:szCs w:val="24"/>
                <w:lang w:eastAsia="en-GB"/>
              </w:rPr>
            </w:pPr>
            <w:r>
              <w:rPr>
                <w:b/>
                <w:noProof/>
                <w:szCs w:val="24"/>
                <w:lang w:eastAsia="en-GB"/>
              </w:rPr>
              <w:t>2025</w:t>
            </w:r>
          </w:p>
        </w:tc>
        <w:tc>
          <w:tcPr>
            <w:tcW w:w="992" w:type="pct"/>
            <w:tcBorders>
              <w:top w:val="single" w:sz="4" w:space="0" w:color="auto"/>
              <w:left w:val="single" w:sz="4" w:space="0" w:color="auto"/>
              <w:bottom w:val="single" w:sz="4" w:space="0" w:color="auto"/>
              <w:right w:val="single" w:sz="4" w:space="0" w:color="auto"/>
            </w:tcBorders>
            <w:vAlign w:val="center"/>
          </w:tcPr>
          <w:p w:rsidR="001A26B0" w:rsidRDefault="00E33A99">
            <w:pPr>
              <w:spacing w:after="0"/>
              <w:jc w:val="center"/>
              <w:rPr>
                <w:b/>
                <w:noProof/>
                <w:szCs w:val="24"/>
                <w:lang w:eastAsia="en-GB"/>
              </w:rPr>
            </w:pPr>
            <w:r>
              <w:rPr>
                <w:b/>
                <w:noProof/>
                <w:szCs w:val="24"/>
                <w:lang w:eastAsia="en-GB"/>
              </w:rPr>
              <w:t>2030</w:t>
            </w:r>
          </w:p>
        </w:tc>
      </w:tr>
      <w:tr w:rsidR="001A26B0">
        <w:trPr>
          <w:trHeight w:val="420"/>
          <w:jc w:val="center"/>
        </w:trPr>
        <w:tc>
          <w:tcPr>
            <w:tcW w:w="1130" w:type="pct"/>
            <w:vMerge w:val="restart"/>
            <w:tcBorders>
              <w:top w:val="single" w:sz="4" w:space="0" w:color="auto"/>
              <w:left w:val="single" w:sz="4" w:space="0" w:color="auto"/>
              <w:right w:val="single" w:sz="4" w:space="0" w:color="auto"/>
            </w:tcBorders>
            <w:shd w:val="clear" w:color="auto" w:fill="auto"/>
            <w:noWrap/>
            <w:vAlign w:val="center"/>
          </w:tcPr>
          <w:p w:rsidR="001A26B0" w:rsidRDefault="00E33A99">
            <w:pPr>
              <w:spacing w:after="0"/>
              <w:jc w:val="center"/>
              <w:rPr>
                <w:noProof/>
                <w:szCs w:val="24"/>
                <w:lang w:eastAsia="en-GB"/>
              </w:rPr>
            </w:pPr>
            <w:r>
              <w:rPr>
                <w:noProof/>
                <w:szCs w:val="24"/>
                <w:lang w:eastAsia="en-GB"/>
              </w:rPr>
              <w:t>Levels of the benchmarks</w:t>
            </w:r>
          </w:p>
          <w:p w:rsidR="001A26B0" w:rsidRDefault="001A26B0">
            <w:pPr>
              <w:spacing w:after="0"/>
              <w:jc w:val="center"/>
              <w:rPr>
                <w:noProof/>
                <w:szCs w:val="24"/>
                <w:lang w:eastAsia="en-GB"/>
              </w:rPr>
            </w:pPr>
          </w:p>
        </w:tc>
        <w:tc>
          <w:tcPr>
            <w:tcW w:w="897" w:type="pct"/>
            <w:tcBorders>
              <w:top w:val="single" w:sz="4" w:space="0" w:color="auto"/>
              <w:left w:val="nil"/>
              <w:bottom w:val="single" w:sz="4" w:space="0" w:color="auto"/>
              <w:right w:val="single" w:sz="4" w:space="0" w:color="auto"/>
            </w:tcBorders>
            <w:shd w:val="clear" w:color="auto" w:fill="auto"/>
            <w:noWrap/>
            <w:vAlign w:val="center"/>
          </w:tcPr>
          <w:p w:rsidR="001A26B0" w:rsidRDefault="00E33A99">
            <w:pPr>
              <w:spacing w:after="0"/>
              <w:jc w:val="center"/>
              <w:rPr>
                <w:noProof/>
                <w:szCs w:val="24"/>
                <w:lang w:eastAsia="en-GB"/>
              </w:rPr>
            </w:pPr>
            <w:r>
              <w:rPr>
                <w:noProof/>
                <w:color w:val="000000"/>
                <w:szCs w:val="24"/>
                <w:lang w:eastAsia="en-GB"/>
              </w:rPr>
              <w:t>10%</w:t>
            </w:r>
          </w:p>
        </w:tc>
        <w:tc>
          <w:tcPr>
            <w:tcW w:w="9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A26B0" w:rsidRDefault="00E33A99">
            <w:pPr>
              <w:spacing w:after="0"/>
              <w:jc w:val="center"/>
              <w:rPr>
                <w:noProof/>
                <w:szCs w:val="24"/>
                <w:lang w:eastAsia="en-GB"/>
              </w:rPr>
            </w:pPr>
            <w:r>
              <w:rPr>
                <w:noProof/>
                <w:color w:val="000000"/>
                <w:szCs w:val="24"/>
                <w:lang w:eastAsia="en-GB"/>
              </w:rPr>
              <w:t>15%</w:t>
            </w:r>
          </w:p>
        </w:tc>
        <w:tc>
          <w:tcPr>
            <w:tcW w:w="991" w:type="pct"/>
            <w:tcBorders>
              <w:top w:val="single" w:sz="4" w:space="0" w:color="auto"/>
              <w:left w:val="single" w:sz="4" w:space="0" w:color="auto"/>
              <w:bottom w:val="single" w:sz="4" w:space="0" w:color="auto"/>
              <w:right w:val="single" w:sz="4" w:space="0" w:color="auto"/>
            </w:tcBorders>
            <w:vAlign w:val="center"/>
          </w:tcPr>
          <w:p w:rsidR="001A26B0" w:rsidRDefault="00E33A99">
            <w:pPr>
              <w:spacing w:after="0"/>
              <w:jc w:val="center"/>
              <w:rPr>
                <w:noProof/>
                <w:szCs w:val="24"/>
                <w:lang w:eastAsia="en-GB"/>
              </w:rPr>
            </w:pPr>
            <w:r>
              <w:rPr>
                <w:noProof/>
                <w:color w:val="000000"/>
                <w:szCs w:val="24"/>
                <w:lang w:eastAsia="en-GB"/>
              </w:rPr>
              <w:t>15%</w:t>
            </w:r>
          </w:p>
        </w:tc>
        <w:tc>
          <w:tcPr>
            <w:tcW w:w="992" w:type="pct"/>
            <w:tcBorders>
              <w:top w:val="single" w:sz="4" w:space="0" w:color="auto"/>
              <w:left w:val="single" w:sz="4" w:space="0" w:color="auto"/>
              <w:bottom w:val="single" w:sz="4" w:space="0" w:color="auto"/>
              <w:right w:val="single" w:sz="4" w:space="0" w:color="auto"/>
            </w:tcBorders>
            <w:vAlign w:val="center"/>
          </w:tcPr>
          <w:p w:rsidR="001A26B0" w:rsidRDefault="00E33A99">
            <w:pPr>
              <w:spacing w:after="0"/>
              <w:jc w:val="center"/>
              <w:rPr>
                <w:noProof/>
                <w:szCs w:val="24"/>
                <w:lang w:eastAsia="en-GB"/>
              </w:rPr>
            </w:pPr>
            <w:r>
              <w:rPr>
                <w:noProof/>
                <w:color w:val="000000"/>
                <w:szCs w:val="24"/>
                <w:lang w:eastAsia="en-GB"/>
              </w:rPr>
              <w:t>25%</w:t>
            </w:r>
          </w:p>
        </w:tc>
      </w:tr>
      <w:tr w:rsidR="001A26B0">
        <w:trPr>
          <w:trHeight w:val="468"/>
          <w:jc w:val="center"/>
        </w:trPr>
        <w:tc>
          <w:tcPr>
            <w:tcW w:w="1130" w:type="pct"/>
            <w:vMerge/>
            <w:tcBorders>
              <w:left w:val="single" w:sz="4" w:space="0" w:color="auto"/>
              <w:right w:val="single" w:sz="4" w:space="0" w:color="auto"/>
            </w:tcBorders>
            <w:shd w:val="clear" w:color="auto" w:fill="auto"/>
            <w:noWrap/>
            <w:vAlign w:val="center"/>
          </w:tcPr>
          <w:p w:rsidR="001A26B0" w:rsidRDefault="001A26B0">
            <w:pPr>
              <w:spacing w:after="0"/>
              <w:jc w:val="center"/>
              <w:rPr>
                <w:noProof/>
                <w:szCs w:val="24"/>
                <w:lang w:eastAsia="en-GB"/>
              </w:rPr>
            </w:pPr>
          </w:p>
        </w:tc>
        <w:tc>
          <w:tcPr>
            <w:tcW w:w="897" w:type="pct"/>
            <w:tcBorders>
              <w:top w:val="single" w:sz="4" w:space="0" w:color="auto"/>
              <w:left w:val="nil"/>
              <w:bottom w:val="single" w:sz="4" w:space="0" w:color="auto"/>
              <w:right w:val="single" w:sz="4" w:space="0" w:color="auto"/>
            </w:tcBorders>
            <w:shd w:val="clear" w:color="auto" w:fill="auto"/>
            <w:noWrap/>
            <w:vAlign w:val="center"/>
          </w:tcPr>
          <w:p w:rsidR="001A26B0" w:rsidRDefault="00E33A99">
            <w:pPr>
              <w:spacing w:after="0"/>
              <w:jc w:val="center"/>
              <w:rPr>
                <w:noProof/>
                <w:szCs w:val="24"/>
                <w:lang w:eastAsia="en-GB"/>
              </w:rPr>
            </w:pPr>
            <w:r>
              <w:rPr>
                <w:noProof/>
                <w:color w:val="000000"/>
                <w:szCs w:val="24"/>
                <w:lang w:eastAsia="en-GB"/>
              </w:rPr>
              <w:t>15%</w:t>
            </w:r>
          </w:p>
        </w:tc>
        <w:tc>
          <w:tcPr>
            <w:tcW w:w="9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A26B0" w:rsidRDefault="00E33A99">
            <w:pPr>
              <w:spacing w:after="0"/>
              <w:jc w:val="center"/>
              <w:rPr>
                <w:noProof/>
                <w:szCs w:val="24"/>
                <w:lang w:eastAsia="en-GB"/>
              </w:rPr>
            </w:pPr>
            <w:r>
              <w:rPr>
                <w:noProof/>
                <w:color w:val="000000"/>
                <w:szCs w:val="24"/>
                <w:lang w:eastAsia="en-GB"/>
              </w:rPr>
              <w:t>20%</w:t>
            </w:r>
          </w:p>
        </w:tc>
        <w:tc>
          <w:tcPr>
            <w:tcW w:w="991" w:type="pct"/>
            <w:tcBorders>
              <w:top w:val="single" w:sz="4" w:space="0" w:color="auto"/>
              <w:left w:val="single" w:sz="4" w:space="0" w:color="auto"/>
              <w:bottom w:val="single" w:sz="4" w:space="0" w:color="auto"/>
              <w:right w:val="single" w:sz="4" w:space="0" w:color="auto"/>
            </w:tcBorders>
            <w:vAlign w:val="center"/>
          </w:tcPr>
          <w:p w:rsidR="001A26B0" w:rsidRDefault="00E33A99">
            <w:pPr>
              <w:spacing w:after="0"/>
              <w:jc w:val="center"/>
              <w:rPr>
                <w:noProof/>
                <w:szCs w:val="24"/>
                <w:lang w:eastAsia="en-GB"/>
              </w:rPr>
            </w:pPr>
            <w:r>
              <w:rPr>
                <w:noProof/>
                <w:color w:val="000000"/>
                <w:szCs w:val="24"/>
                <w:lang w:eastAsia="en-GB"/>
              </w:rPr>
              <w:t>20%</w:t>
            </w:r>
          </w:p>
        </w:tc>
        <w:tc>
          <w:tcPr>
            <w:tcW w:w="992" w:type="pct"/>
            <w:tcBorders>
              <w:top w:val="single" w:sz="4" w:space="0" w:color="auto"/>
              <w:left w:val="single" w:sz="4" w:space="0" w:color="auto"/>
              <w:bottom w:val="single" w:sz="4" w:space="0" w:color="auto"/>
              <w:right w:val="single" w:sz="4" w:space="0" w:color="auto"/>
            </w:tcBorders>
            <w:vAlign w:val="center"/>
          </w:tcPr>
          <w:p w:rsidR="001A26B0" w:rsidRDefault="00E33A99">
            <w:pPr>
              <w:spacing w:after="0"/>
              <w:jc w:val="center"/>
              <w:rPr>
                <w:noProof/>
                <w:szCs w:val="24"/>
                <w:lang w:eastAsia="en-GB"/>
              </w:rPr>
            </w:pPr>
            <w:r>
              <w:rPr>
                <w:noProof/>
                <w:color w:val="000000"/>
                <w:szCs w:val="24"/>
                <w:lang w:eastAsia="en-GB"/>
              </w:rPr>
              <w:t>30%</w:t>
            </w:r>
          </w:p>
        </w:tc>
      </w:tr>
      <w:tr w:rsidR="001A26B0">
        <w:trPr>
          <w:trHeight w:val="468"/>
          <w:jc w:val="center"/>
        </w:trPr>
        <w:tc>
          <w:tcPr>
            <w:tcW w:w="1130" w:type="pct"/>
            <w:vMerge/>
            <w:tcBorders>
              <w:left w:val="single" w:sz="4" w:space="0" w:color="auto"/>
              <w:bottom w:val="single" w:sz="4" w:space="0" w:color="auto"/>
              <w:right w:val="single" w:sz="4" w:space="0" w:color="auto"/>
            </w:tcBorders>
            <w:shd w:val="clear" w:color="auto" w:fill="auto"/>
            <w:noWrap/>
            <w:vAlign w:val="center"/>
          </w:tcPr>
          <w:p w:rsidR="001A26B0" w:rsidRDefault="001A26B0">
            <w:pPr>
              <w:spacing w:after="0"/>
              <w:jc w:val="center"/>
              <w:rPr>
                <w:noProof/>
                <w:szCs w:val="24"/>
                <w:lang w:eastAsia="en-GB"/>
              </w:rPr>
            </w:pPr>
          </w:p>
        </w:tc>
        <w:tc>
          <w:tcPr>
            <w:tcW w:w="897" w:type="pct"/>
            <w:tcBorders>
              <w:top w:val="single" w:sz="4" w:space="0" w:color="auto"/>
              <w:left w:val="nil"/>
              <w:bottom w:val="single" w:sz="4" w:space="0" w:color="auto"/>
              <w:right w:val="single" w:sz="4" w:space="0" w:color="auto"/>
            </w:tcBorders>
            <w:shd w:val="clear" w:color="auto" w:fill="auto"/>
            <w:noWrap/>
            <w:vAlign w:val="center"/>
          </w:tcPr>
          <w:p w:rsidR="001A26B0" w:rsidRDefault="00E33A99">
            <w:pPr>
              <w:spacing w:after="0"/>
              <w:jc w:val="center"/>
              <w:rPr>
                <w:noProof/>
                <w:color w:val="000000"/>
                <w:szCs w:val="24"/>
                <w:lang w:eastAsia="en-GB"/>
              </w:rPr>
            </w:pPr>
            <w:r>
              <w:rPr>
                <w:noProof/>
                <w:color w:val="000000"/>
                <w:szCs w:val="24"/>
                <w:lang w:eastAsia="en-GB"/>
              </w:rPr>
              <w:t>20%</w:t>
            </w:r>
          </w:p>
        </w:tc>
        <w:tc>
          <w:tcPr>
            <w:tcW w:w="9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A26B0" w:rsidRDefault="00E33A99">
            <w:pPr>
              <w:spacing w:after="0"/>
              <w:jc w:val="center"/>
              <w:rPr>
                <w:noProof/>
                <w:color w:val="000000"/>
                <w:szCs w:val="24"/>
                <w:lang w:eastAsia="en-GB"/>
              </w:rPr>
            </w:pPr>
            <w:r>
              <w:rPr>
                <w:noProof/>
                <w:color w:val="000000"/>
                <w:szCs w:val="24"/>
                <w:lang w:eastAsia="en-GB"/>
              </w:rPr>
              <w:t>25%</w:t>
            </w:r>
          </w:p>
        </w:tc>
        <w:tc>
          <w:tcPr>
            <w:tcW w:w="991" w:type="pct"/>
            <w:tcBorders>
              <w:top w:val="single" w:sz="4" w:space="0" w:color="auto"/>
              <w:left w:val="single" w:sz="4" w:space="0" w:color="auto"/>
              <w:bottom w:val="single" w:sz="4" w:space="0" w:color="auto"/>
              <w:right w:val="single" w:sz="4" w:space="0" w:color="auto"/>
            </w:tcBorders>
            <w:vAlign w:val="center"/>
          </w:tcPr>
          <w:p w:rsidR="001A26B0" w:rsidRDefault="00E33A99">
            <w:pPr>
              <w:spacing w:after="0"/>
              <w:jc w:val="center"/>
              <w:rPr>
                <w:noProof/>
                <w:color w:val="000000"/>
                <w:szCs w:val="24"/>
                <w:lang w:eastAsia="en-GB"/>
              </w:rPr>
            </w:pPr>
            <w:r>
              <w:rPr>
                <w:noProof/>
                <w:color w:val="000000"/>
                <w:szCs w:val="24"/>
                <w:lang w:eastAsia="en-GB"/>
              </w:rPr>
              <w:t>25%</w:t>
            </w:r>
          </w:p>
        </w:tc>
        <w:tc>
          <w:tcPr>
            <w:tcW w:w="992" w:type="pct"/>
            <w:tcBorders>
              <w:top w:val="single" w:sz="4" w:space="0" w:color="auto"/>
              <w:left w:val="single" w:sz="4" w:space="0" w:color="auto"/>
              <w:bottom w:val="single" w:sz="4" w:space="0" w:color="auto"/>
              <w:right w:val="single" w:sz="4" w:space="0" w:color="auto"/>
            </w:tcBorders>
            <w:vAlign w:val="center"/>
          </w:tcPr>
          <w:p w:rsidR="001A26B0" w:rsidRDefault="00E33A99">
            <w:pPr>
              <w:spacing w:after="0"/>
              <w:jc w:val="center"/>
              <w:rPr>
                <w:noProof/>
                <w:color w:val="000000"/>
                <w:szCs w:val="24"/>
                <w:lang w:eastAsia="en-GB"/>
              </w:rPr>
            </w:pPr>
            <w:r>
              <w:rPr>
                <w:noProof/>
                <w:color w:val="000000"/>
                <w:szCs w:val="24"/>
                <w:lang w:eastAsia="en-GB"/>
              </w:rPr>
              <w:t>35%</w:t>
            </w:r>
          </w:p>
        </w:tc>
      </w:tr>
    </w:tbl>
    <w:p w:rsidR="001A26B0" w:rsidRDefault="00E33A99">
      <w:pPr>
        <w:spacing w:before="240" w:after="120"/>
        <w:rPr>
          <w:noProof/>
          <w:szCs w:val="24"/>
        </w:rPr>
      </w:pPr>
      <w:r>
        <w:rPr>
          <w:noProof/>
          <w:szCs w:val="24"/>
        </w:rPr>
        <w:t xml:space="preserve">The difference between the levels of benchmark is notable in terms of effectiveness and efficiency: </w:t>
      </w:r>
    </w:p>
    <w:p w:rsidR="001A26B0" w:rsidRDefault="00E33A99">
      <w:pPr>
        <w:pStyle w:val="ListParagraph"/>
        <w:numPr>
          <w:ilvl w:val="0"/>
          <w:numId w:val="100"/>
        </w:numPr>
        <w:spacing w:after="120"/>
        <w:rPr>
          <w:noProof/>
          <w:szCs w:val="24"/>
        </w:rPr>
      </w:pPr>
      <w:r>
        <w:rPr>
          <w:noProof/>
          <w:szCs w:val="24"/>
        </w:rPr>
        <w:t xml:space="preserve">A higher LEV incentive level determines a stronger market signal, incentivises more investment on LEV and increases their market uptake, hence is more effective. </w:t>
      </w:r>
    </w:p>
    <w:p w:rsidR="001A26B0" w:rsidRDefault="00E33A99">
      <w:pPr>
        <w:pStyle w:val="ListParagraph"/>
        <w:numPr>
          <w:ilvl w:val="0"/>
          <w:numId w:val="100"/>
        </w:numPr>
        <w:spacing w:after="120"/>
        <w:rPr>
          <w:noProof/>
          <w:szCs w:val="24"/>
        </w:rPr>
      </w:pPr>
      <w:r>
        <w:rPr>
          <w:noProof/>
          <w:szCs w:val="24"/>
        </w:rPr>
        <w:t>As shown in Section 6, a LEV incentive increases the net savings up to a certain level. The h</w:t>
      </w:r>
      <w:r>
        <w:rPr>
          <w:noProof/>
          <w:szCs w:val="24"/>
        </w:rPr>
        <w:t>igher-level benchmark values, while being more effective, show moderately lower net savings than the lower-level benchmarks.</w:t>
      </w:r>
    </w:p>
    <w:p w:rsidR="001A26B0" w:rsidRDefault="00E33A99">
      <w:pPr>
        <w:spacing w:after="120"/>
        <w:rPr>
          <w:i/>
          <w:noProof/>
          <w:szCs w:val="24"/>
        </w:rPr>
      </w:pPr>
      <w:r>
        <w:rPr>
          <w:i/>
          <w:noProof/>
          <w:szCs w:val="24"/>
        </w:rPr>
        <w:t>Interaction between the LEV/ZEV crediting system and the CO</w:t>
      </w:r>
      <w:r>
        <w:rPr>
          <w:i/>
          <w:noProof/>
          <w:szCs w:val="24"/>
          <w:vertAlign w:val="subscript"/>
        </w:rPr>
        <w:t>2</w:t>
      </w:r>
      <w:r>
        <w:rPr>
          <w:i/>
          <w:noProof/>
          <w:szCs w:val="24"/>
        </w:rPr>
        <w:t xml:space="preserve"> fleet-wide reduction level</w:t>
      </w:r>
    </w:p>
    <w:p w:rsidR="001A26B0" w:rsidRDefault="00E33A99">
      <w:pPr>
        <w:spacing w:after="120"/>
        <w:rPr>
          <w:noProof/>
          <w:szCs w:val="24"/>
        </w:rPr>
      </w:pPr>
      <w:r>
        <w:rPr>
          <w:noProof/>
          <w:szCs w:val="24"/>
        </w:rPr>
        <w:t>The CO</w:t>
      </w:r>
      <w:r>
        <w:rPr>
          <w:noProof/>
          <w:szCs w:val="24"/>
          <w:vertAlign w:val="subscript"/>
        </w:rPr>
        <w:t>2</w:t>
      </w:r>
      <w:r>
        <w:rPr>
          <w:noProof/>
          <w:szCs w:val="24"/>
        </w:rPr>
        <w:t xml:space="preserve"> fleet-wide reduction level and the </w:t>
      </w:r>
      <w:r>
        <w:rPr>
          <w:noProof/>
          <w:szCs w:val="24"/>
        </w:rPr>
        <w:t>level of the ZEV/LEV benchmark in the case of the crediting system will also have an impact on the efficiency of the conventional vehicles. Setting a more ambitious LEV incentive increases the market uptake of LEV. As a consequence, in order to comply with</w:t>
      </w:r>
      <w:r>
        <w:rPr>
          <w:noProof/>
          <w:szCs w:val="24"/>
        </w:rPr>
        <w:t xml:space="preserve"> the CO</w:t>
      </w:r>
      <w:r>
        <w:rPr>
          <w:noProof/>
          <w:szCs w:val="24"/>
          <w:vertAlign w:val="subscript"/>
        </w:rPr>
        <w:t>2</w:t>
      </w:r>
      <w:r>
        <w:rPr>
          <w:noProof/>
          <w:szCs w:val="24"/>
        </w:rPr>
        <w:t xml:space="preserve"> fleet-wide target, lower efforts are required to improve the efficiency of the conventional vehicles. This means that there would be less innovation incentives for the conventional engines.</w:t>
      </w:r>
    </w:p>
    <w:p w:rsidR="001A26B0" w:rsidRDefault="00E33A99">
      <w:pPr>
        <w:spacing w:after="120"/>
        <w:rPr>
          <w:noProof/>
          <w:szCs w:val="24"/>
        </w:rPr>
      </w:pPr>
      <w:r>
        <w:rPr>
          <w:b/>
          <w:noProof/>
          <w:szCs w:val="24"/>
        </w:rPr>
        <w:t xml:space="preserve">This will have to be taken into consideration as part of </w:t>
      </w:r>
      <w:r>
        <w:rPr>
          <w:b/>
          <w:noProof/>
          <w:szCs w:val="24"/>
        </w:rPr>
        <w:t>the wider industrial policy when deciding the trade-off between the level of the CO</w:t>
      </w:r>
      <w:r>
        <w:rPr>
          <w:b/>
          <w:noProof/>
          <w:szCs w:val="24"/>
          <w:vertAlign w:val="subscript"/>
        </w:rPr>
        <w:t>2</w:t>
      </w:r>
      <w:r>
        <w:rPr>
          <w:b/>
          <w:noProof/>
          <w:szCs w:val="24"/>
        </w:rPr>
        <w:t xml:space="preserve"> fleet-wide target and the parameters of the LEV/ZEV incentives i.e. (1) level of the LEV/ZEV benchmark, (2) the ratio between the over/underachievement of the LEV/ZEV benc</w:t>
      </w:r>
      <w:r>
        <w:rPr>
          <w:b/>
          <w:noProof/>
          <w:szCs w:val="24"/>
        </w:rPr>
        <w:t>hmark and the credits for the adjustment of the CO</w:t>
      </w:r>
      <w:r>
        <w:rPr>
          <w:b/>
          <w:noProof/>
          <w:szCs w:val="24"/>
          <w:vertAlign w:val="subscript"/>
        </w:rPr>
        <w:t>2</w:t>
      </w:r>
      <w:r>
        <w:rPr>
          <w:b/>
          <w:noProof/>
          <w:szCs w:val="24"/>
        </w:rPr>
        <w:t xml:space="preserve"> fleet-wide target, and (3) the limits to the adjustment itself of the CO</w:t>
      </w:r>
      <w:r>
        <w:rPr>
          <w:b/>
          <w:noProof/>
          <w:szCs w:val="24"/>
          <w:vertAlign w:val="subscript"/>
        </w:rPr>
        <w:t>2</w:t>
      </w:r>
      <w:r>
        <w:rPr>
          <w:b/>
          <w:noProof/>
          <w:szCs w:val="24"/>
        </w:rPr>
        <w:t xml:space="preserve"> fleet-wide target.</w:t>
      </w:r>
      <w:r>
        <w:rPr>
          <w:noProof/>
          <w:szCs w:val="24"/>
        </w:rPr>
        <w:t xml:space="preserve"> </w:t>
      </w:r>
    </w:p>
    <w:p w:rsidR="001A26B0" w:rsidRDefault="00E33A99">
      <w:pPr>
        <w:spacing w:after="120"/>
        <w:rPr>
          <w:noProof/>
          <w:szCs w:val="24"/>
        </w:rPr>
      </w:pPr>
      <w:r>
        <w:rPr>
          <w:noProof/>
          <w:szCs w:val="24"/>
        </w:rPr>
        <w:t>A balanced approach is needed to provide for an effective set of incentives that yields high benefits for cons</w:t>
      </w:r>
      <w:r>
        <w:rPr>
          <w:noProof/>
          <w:szCs w:val="24"/>
        </w:rPr>
        <w:t>umers, competitiveness, and the environment.</w:t>
      </w:r>
    </w:p>
    <w:p w:rsidR="001A26B0" w:rsidRDefault="00E33A99">
      <w:pPr>
        <w:spacing w:after="120"/>
        <w:rPr>
          <w:i/>
          <w:noProof/>
          <w:szCs w:val="24"/>
        </w:rPr>
      </w:pPr>
      <w:r>
        <w:rPr>
          <w:i/>
          <w:noProof/>
          <w:szCs w:val="24"/>
        </w:rPr>
        <w:t xml:space="preserve">Targeting low- or only zero-emission vehicles? </w:t>
      </w:r>
    </w:p>
    <w:p w:rsidR="001A26B0" w:rsidRDefault="00E33A99">
      <w:pPr>
        <w:spacing w:after="120"/>
        <w:rPr>
          <w:noProof/>
          <w:szCs w:val="24"/>
        </w:rPr>
      </w:pPr>
      <w:r>
        <w:rPr>
          <w:noProof/>
          <w:szCs w:val="24"/>
        </w:rPr>
        <w:t>As regards the definition of the vehicles covered by the incentives, a definition based on LEV would incentivize a higher uptake of plug-in hybrid vehicles compare</w:t>
      </w:r>
      <w:r>
        <w:rPr>
          <w:noProof/>
          <w:szCs w:val="24"/>
        </w:rPr>
        <w:t>d to a pure ZEV benchmark. Further hybridisation is an important stepping stone allowing a smooth transition towards electrified powertrains. Furthermore, the higher labour intensity of the production of plug-in hybrid vehicles compared to conventional veh</w:t>
      </w:r>
      <w:r>
        <w:rPr>
          <w:noProof/>
          <w:szCs w:val="24"/>
        </w:rPr>
        <w:t>icles and ZEV would keep employment in the car manufacturing sector.</w:t>
      </w:r>
    </w:p>
    <w:p w:rsidR="001A26B0" w:rsidRDefault="00E33A99">
      <w:pPr>
        <w:spacing w:after="120"/>
        <w:rPr>
          <w:i/>
          <w:noProof/>
          <w:szCs w:val="24"/>
        </w:rPr>
      </w:pPr>
      <w:r>
        <w:rPr>
          <w:i/>
          <w:noProof/>
          <w:szCs w:val="24"/>
        </w:rPr>
        <w:t>Conclusions</w:t>
      </w:r>
    </w:p>
    <w:p w:rsidR="001A26B0" w:rsidRDefault="00E33A99">
      <w:pPr>
        <w:spacing w:after="120"/>
        <w:rPr>
          <w:noProof/>
          <w:szCs w:val="24"/>
        </w:rPr>
      </w:pPr>
      <w:r>
        <w:rPr>
          <w:b/>
          <w:noProof/>
          <w:szCs w:val="24"/>
        </w:rPr>
        <w:t xml:space="preserve">The preferred option as regards the LEV/ZEV incentive mechanism for cars is a crediting system. </w:t>
      </w:r>
    </w:p>
    <w:p w:rsidR="001A26B0" w:rsidRDefault="00E33A99">
      <w:pPr>
        <w:spacing w:after="120"/>
        <w:rPr>
          <w:noProof/>
          <w:szCs w:val="24"/>
        </w:rPr>
      </w:pPr>
      <w:r>
        <w:rPr>
          <w:noProof/>
          <w:szCs w:val="24"/>
        </w:rPr>
        <w:t xml:space="preserve">A well-designed crediting system can provide a strong and credible signal for </w:t>
      </w:r>
      <w:r>
        <w:rPr>
          <w:noProof/>
          <w:szCs w:val="24"/>
        </w:rPr>
        <w:t>the development of zero- and low-emission vehicles while maintaining some improvement of the efficiency of the conventional engines beyond the 2020/2021 baseline. It will support the competitiveness of the EU automotive industry across all technologies and</w:t>
      </w:r>
      <w:r>
        <w:rPr>
          <w:noProof/>
          <w:szCs w:val="24"/>
        </w:rPr>
        <w:t xml:space="preserve"> to ensure that significant benefits for consumers and environment will be achieved.</w:t>
      </w:r>
    </w:p>
    <w:p w:rsidR="001A26B0" w:rsidRDefault="00E33A99">
      <w:pPr>
        <w:rPr>
          <w:noProof/>
        </w:rPr>
      </w:pPr>
      <w:r>
        <w:rPr>
          <w:noProof/>
        </w:rPr>
        <w:t>Market participants – car manufacturers, infrastructure providers, and consumers – will invest with more confidence when there is more certainty about the future market si</w:t>
      </w:r>
      <w:r>
        <w:rPr>
          <w:noProof/>
        </w:rPr>
        <w:t>ze for LEV/ZEV. A strong and stable home market for LEV/ZEV will be a key support for the competitiveness of the European industry. It will allow the European industry to benefit from a fast learning curve and economies of scale. Such a strong and large ho</w:t>
      </w:r>
      <w:r>
        <w:rPr>
          <w:noProof/>
        </w:rPr>
        <w:t>me market will be particularly important in view of the regulatory incentives set in other key export markets (e.g. China, California).</w:t>
      </w:r>
    </w:p>
    <w:p w:rsidR="001A26B0" w:rsidRDefault="00E33A99">
      <w:pPr>
        <w:pStyle w:val="Heading3"/>
        <w:rPr>
          <w:noProof/>
        </w:rPr>
      </w:pPr>
      <w:bookmarkStart w:id="714" w:name="_Toc496635669"/>
      <w:r>
        <w:rPr>
          <w:noProof/>
        </w:rPr>
        <w:t>ZEV/LEV incentives for vans</w:t>
      </w:r>
      <w:bookmarkEnd w:id="714"/>
    </w:p>
    <w:p w:rsidR="001A26B0" w:rsidRDefault="00E33A99">
      <w:pPr>
        <w:spacing w:after="120"/>
        <w:rPr>
          <w:noProof/>
          <w:szCs w:val="24"/>
        </w:rPr>
      </w:pPr>
      <w:r>
        <w:rPr>
          <w:noProof/>
          <w:szCs w:val="24"/>
        </w:rPr>
        <w:t>The results for vans are quite different than for passenger cars in terms of overall efficie</w:t>
      </w:r>
      <w:r>
        <w:rPr>
          <w:noProof/>
          <w:szCs w:val="24"/>
        </w:rPr>
        <w:t xml:space="preserve">ncy. Section 6 shows that for vans the option without specific ZEV/LEV incentives provides higher net economic savings than the other options. For the other assessment criteria, the same scoring applies as for cars. </w:t>
      </w:r>
    </w:p>
    <w:p w:rsidR="001A26B0" w:rsidRDefault="00E33A99">
      <w:pPr>
        <w:spacing w:after="120"/>
        <w:rPr>
          <w:b/>
          <w:noProof/>
          <w:szCs w:val="24"/>
        </w:rPr>
      </w:pPr>
      <w:r>
        <w:rPr>
          <w:b/>
          <w:noProof/>
          <w:szCs w:val="24"/>
        </w:rPr>
        <w:t>The preferred option is thus not to est</w:t>
      </w:r>
      <w:r>
        <w:rPr>
          <w:b/>
          <w:noProof/>
          <w:szCs w:val="24"/>
        </w:rPr>
        <w:t>ablish an additional ZEV/LEV incentive mechanism for vans.</w:t>
      </w:r>
    </w:p>
    <w:p w:rsidR="001A26B0" w:rsidRDefault="00E33A99">
      <w:pPr>
        <w:pStyle w:val="Heading2"/>
        <w:rPr>
          <w:noProof/>
        </w:rPr>
      </w:pPr>
      <w:bookmarkStart w:id="715" w:name="_Toc496635670"/>
      <w:r>
        <w:rPr>
          <w:noProof/>
        </w:rPr>
        <w:t>Elements supporting cost-effective implementation</w:t>
      </w:r>
      <w:bookmarkEnd w:id="715"/>
    </w:p>
    <w:p w:rsidR="001A26B0" w:rsidRDefault="00E33A99">
      <w:pPr>
        <w:pStyle w:val="Heading3"/>
        <w:rPr>
          <w:noProof/>
        </w:rPr>
      </w:pPr>
      <w:bookmarkStart w:id="716" w:name="_Toc496635671"/>
      <w:r>
        <w:rPr>
          <w:noProof/>
        </w:rPr>
        <w:t>Eco-innovations</w:t>
      </w:r>
      <w:bookmarkEnd w:id="716"/>
    </w:p>
    <w:p w:rsidR="001A26B0" w:rsidRDefault="00E33A99">
      <w:pPr>
        <w:tabs>
          <w:tab w:val="left" w:pos="4560"/>
        </w:tabs>
        <w:spacing w:after="120"/>
        <w:rPr>
          <w:noProof/>
        </w:rPr>
      </w:pPr>
      <w:r>
        <w:rPr>
          <w:noProof/>
        </w:rPr>
        <w:t xml:space="preserve">Both options to further develop the eco-innovation scheme score positively on all criteria. The main distinction is in the effectiveness of the options. </w:t>
      </w:r>
    </w:p>
    <w:p w:rsidR="001A26B0" w:rsidRDefault="00E33A99">
      <w:pPr>
        <w:tabs>
          <w:tab w:val="left" w:pos="4560"/>
        </w:tabs>
        <w:spacing w:after="120"/>
        <w:rPr>
          <w:noProof/>
        </w:rPr>
      </w:pPr>
      <w:r>
        <w:rPr>
          <w:noProof/>
        </w:rPr>
        <w:t>Extending the scope to mobile air conditioning (MAC) systems – in addition to a future review and poss</w:t>
      </w:r>
      <w:r>
        <w:rPr>
          <w:noProof/>
        </w:rPr>
        <w:t>ible cap adjustments – would further increase the effectiveness of the policy since MAC systems have become standard equipment in practically all vehicles. They have a significant cost efficient CO</w:t>
      </w:r>
      <w:r>
        <w:rPr>
          <w:noProof/>
          <w:vertAlign w:val="subscript"/>
        </w:rPr>
        <w:t xml:space="preserve">2 </w:t>
      </w:r>
      <w:r>
        <w:rPr>
          <w:noProof/>
        </w:rPr>
        <w:t>emission reduction potential but have so far not been tak</w:t>
      </w:r>
      <w:r>
        <w:rPr>
          <w:noProof/>
        </w:rPr>
        <w:t>en into account for reaching the CO</w:t>
      </w:r>
      <w:r>
        <w:rPr>
          <w:noProof/>
          <w:vertAlign w:val="subscript"/>
        </w:rPr>
        <w:t>2</w:t>
      </w:r>
      <w:r>
        <w:rPr>
          <w:noProof/>
        </w:rPr>
        <w:t xml:space="preserve"> target. Thus potential efficiency improvements have been neglected. The extension to MAC would provide an important incentive to improve the efficiency of this widely used technology. In addition, it would increase the </w:t>
      </w:r>
      <w:r>
        <w:rPr>
          <w:noProof/>
        </w:rPr>
        <w:t>technology options available to manufacturers to cost-effectively reduce CO</w:t>
      </w:r>
      <w:r>
        <w:rPr>
          <w:noProof/>
          <w:vertAlign w:val="subscript"/>
        </w:rPr>
        <w:t>2</w:t>
      </w:r>
      <w:r>
        <w:rPr>
          <w:noProof/>
        </w:rPr>
        <w:t xml:space="preserve"> emissions, and thereby improve the overall efficiency of the policy. </w:t>
      </w:r>
    </w:p>
    <w:p w:rsidR="001A26B0" w:rsidRDefault="00E33A99">
      <w:pPr>
        <w:spacing w:after="120"/>
        <w:rPr>
          <w:noProof/>
        </w:rPr>
      </w:pPr>
      <w:r>
        <w:rPr>
          <w:b/>
          <w:noProof/>
          <w:szCs w:val="24"/>
        </w:rPr>
        <w:t>The preferred option is thus to maintain the eco-innovation provisions, while extending the scope to mobile a</w:t>
      </w:r>
      <w:r>
        <w:rPr>
          <w:b/>
          <w:noProof/>
          <w:szCs w:val="24"/>
        </w:rPr>
        <w:t>ir conditioning and allowing for a revision of the 7 g/km cap.</w:t>
      </w:r>
    </w:p>
    <w:p w:rsidR="001A26B0" w:rsidRDefault="00E33A99">
      <w:pPr>
        <w:pStyle w:val="Heading3"/>
        <w:rPr>
          <w:noProof/>
        </w:rPr>
      </w:pPr>
      <w:bookmarkStart w:id="717" w:name="_Toc496635672"/>
      <w:r>
        <w:rPr>
          <w:noProof/>
        </w:rPr>
        <w:t>Pooling</w:t>
      </w:r>
      <w:bookmarkEnd w:id="717"/>
    </w:p>
    <w:p w:rsidR="001A26B0" w:rsidRDefault="00E33A99">
      <w:pPr>
        <w:tabs>
          <w:tab w:val="left" w:pos="4560"/>
        </w:tabs>
        <w:spacing w:after="120"/>
        <w:rPr>
          <w:noProof/>
        </w:rPr>
      </w:pPr>
      <w:r>
        <w:rPr>
          <w:noProof/>
        </w:rPr>
        <w:t>Enhanced pooling would increase the efficiency of the policy in that independent manufacturers would benefit from legal certainty on the possibility to form a pool. This would help inde</w:t>
      </w:r>
      <w:r>
        <w:rPr>
          <w:noProof/>
        </w:rPr>
        <w:t>pendent manufacturers to reach their specific emissions target at lower costs. In terms of coherence it is assessed positively with respect to the single market because it ensures a level playing field among all manufacturers.</w:t>
      </w:r>
    </w:p>
    <w:p w:rsidR="001A26B0" w:rsidRDefault="00E33A99">
      <w:pPr>
        <w:spacing w:after="120"/>
        <w:rPr>
          <w:noProof/>
        </w:rPr>
      </w:pPr>
      <w:r>
        <w:rPr>
          <w:b/>
          <w:noProof/>
          <w:szCs w:val="24"/>
        </w:rPr>
        <w:t xml:space="preserve">The preferred option is thus </w:t>
      </w:r>
      <w:r>
        <w:rPr>
          <w:b/>
          <w:noProof/>
          <w:szCs w:val="24"/>
        </w:rPr>
        <w:t>to maintain the pooling provisions, while clarifying how manufacturers may form open pools.</w:t>
      </w:r>
    </w:p>
    <w:p w:rsidR="001A26B0" w:rsidRDefault="00E33A99">
      <w:pPr>
        <w:pStyle w:val="Heading3"/>
        <w:rPr>
          <w:noProof/>
        </w:rPr>
      </w:pPr>
      <w:bookmarkStart w:id="718" w:name="_Toc496635673"/>
      <w:r>
        <w:rPr>
          <w:noProof/>
        </w:rPr>
        <w:t>Trading</w:t>
      </w:r>
      <w:bookmarkEnd w:id="718"/>
      <w:r>
        <w:rPr>
          <w:noProof/>
        </w:rPr>
        <w:t xml:space="preserve"> </w:t>
      </w:r>
    </w:p>
    <w:p w:rsidR="001A26B0" w:rsidRDefault="00E33A99">
      <w:pPr>
        <w:tabs>
          <w:tab w:val="left" w:pos="4560"/>
        </w:tabs>
        <w:spacing w:after="120"/>
        <w:rPr>
          <w:noProof/>
        </w:rPr>
      </w:pPr>
      <w:r>
        <w:rPr>
          <w:noProof/>
        </w:rPr>
        <w:t>Trading – in addition to pooling – could slightly positively affect the policy in terms of efficiency. By providing additional flexibility to manufacturers</w:t>
      </w:r>
      <w:r>
        <w:rPr>
          <w:noProof/>
        </w:rPr>
        <w:t xml:space="preserve"> it could reduce overall compliance costs and generate an additional potential revenue stream for progressive manufacturers. In terms of coherence it is also assessed positively because it ensures a level playing field among all manufacturers. However, whe</w:t>
      </w:r>
      <w:r>
        <w:rPr>
          <w:noProof/>
        </w:rPr>
        <w:t>re it has been introduced it had very limited take-up but setting it up and running it would still add a significant administrative burden.</w:t>
      </w:r>
    </w:p>
    <w:p w:rsidR="001A26B0" w:rsidRDefault="00E33A99">
      <w:pPr>
        <w:spacing w:after="120"/>
        <w:rPr>
          <w:noProof/>
        </w:rPr>
      </w:pPr>
      <w:r>
        <w:rPr>
          <w:b/>
          <w:noProof/>
          <w:szCs w:val="24"/>
        </w:rPr>
        <w:t>The preferred option is thus not to introduce the possibility for trading of CO</w:t>
      </w:r>
      <w:r>
        <w:rPr>
          <w:b/>
          <w:noProof/>
          <w:szCs w:val="24"/>
          <w:vertAlign w:val="subscript"/>
        </w:rPr>
        <w:t>2</w:t>
      </w:r>
      <w:r>
        <w:rPr>
          <w:b/>
          <w:noProof/>
          <w:szCs w:val="24"/>
        </w:rPr>
        <w:t xml:space="preserve"> credits.</w:t>
      </w:r>
    </w:p>
    <w:p w:rsidR="001A26B0" w:rsidRDefault="00E33A99">
      <w:pPr>
        <w:pStyle w:val="Heading3"/>
        <w:rPr>
          <w:noProof/>
        </w:rPr>
      </w:pPr>
      <w:bookmarkStart w:id="719" w:name="_Toc496635674"/>
      <w:r>
        <w:rPr>
          <w:noProof/>
        </w:rPr>
        <w:t>Banking and borrowing</w:t>
      </w:r>
      <w:bookmarkEnd w:id="719"/>
    </w:p>
    <w:p w:rsidR="001A26B0" w:rsidRDefault="00E33A99">
      <w:pPr>
        <w:tabs>
          <w:tab w:val="left" w:pos="4560"/>
        </w:tabs>
        <w:spacing w:after="120"/>
        <w:rPr>
          <w:noProof/>
        </w:rPr>
      </w:pPr>
      <w:r>
        <w:rPr>
          <w:noProof/>
        </w:rPr>
        <w:t>Bank</w:t>
      </w:r>
      <w:r>
        <w:rPr>
          <w:noProof/>
        </w:rPr>
        <w:t xml:space="preserve">ing only as well as banking and borrowing could potentially increase the efficiency by providing more flexibility and hence reducing overall compliance costs for manufacturers. </w:t>
      </w:r>
    </w:p>
    <w:p w:rsidR="001A26B0" w:rsidRDefault="00E33A99">
      <w:pPr>
        <w:tabs>
          <w:tab w:val="left" w:pos="4560"/>
        </w:tabs>
        <w:spacing w:after="120"/>
        <w:rPr>
          <w:noProof/>
        </w:rPr>
      </w:pPr>
      <w:r>
        <w:rPr>
          <w:noProof/>
        </w:rPr>
        <w:t>However, allowing for borrowing creates the risk that manufacturers may not be</w:t>
      </w:r>
      <w:r>
        <w:rPr>
          <w:noProof/>
        </w:rPr>
        <w:t xml:space="preserve"> able to balance out a negative amount of credits. It also raises concerns of liability and environmental integrity in case a manufacturer that has been borrowing credits to be used in future compliance periods would stop its activities. </w:t>
      </w:r>
    </w:p>
    <w:p w:rsidR="001A26B0" w:rsidRDefault="00E33A99">
      <w:pPr>
        <w:tabs>
          <w:tab w:val="left" w:pos="4560"/>
        </w:tabs>
        <w:spacing w:after="120"/>
        <w:rPr>
          <w:noProof/>
        </w:rPr>
      </w:pPr>
      <w:r>
        <w:rPr>
          <w:noProof/>
        </w:rPr>
        <w:t>Both options also</w:t>
      </w:r>
      <w:r>
        <w:rPr>
          <w:noProof/>
        </w:rPr>
        <w:t xml:space="preserve"> add some additional administrative burden especially by the necessity to adding quite complex design elements.</w:t>
      </w:r>
    </w:p>
    <w:p w:rsidR="001A26B0" w:rsidRDefault="00E33A99">
      <w:pPr>
        <w:spacing w:after="120"/>
        <w:rPr>
          <w:noProof/>
        </w:rPr>
      </w:pPr>
      <w:r>
        <w:rPr>
          <w:b/>
          <w:noProof/>
          <w:szCs w:val="24"/>
        </w:rPr>
        <w:t>The preferred option is thus not to introduce the possibility for banking or borrowing of CO</w:t>
      </w:r>
      <w:r>
        <w:rPr>
          <w:b/>
          <w:noProof/>
          <w:szCs w:val="24"/>
          <w:vertAlign w:val="subscript"/>
        </w:rPr>
        <w:t>2</w:t>
      </w:r>
      <w:r>
        <w:rPr>
          <w:b/>
          <w:noProof/>
          <w:szCs w:val="24"/>
        </w:rPr>
        <w:t xml:space="preserve"> credits.</w:t>
      </w:r>
    </w:p>
    <w:p w:rsidR="001A26B0" w:rsidRDefault="00E33A99">
      <w:pPr>
        <w:pStyle w:val="Heading3"/>
        <w:rPr>
          <w:noProof/>
        </w:rPr>
      </w:pPr>
      <w:bookmarkStart w:id="720" w:name="_Toc496635675"/>
      <w:r>
        <w:rPr>
          <w:noProof/>
        </w:rPr>
        <w:t>Niche derogations for car manufacturers</w:t>
      </w:r>
      <w:bookmarkEnd w:id="720"/>
    </w:p>
    <w:p w:rsidR="001A26B0" w:rsidRDefault="00E33A99">
      <w:pPr>
        <w:tabs>
          <w:tab w:val="left" w:pos="4560"/>
        </w:tabs>
        <w:spacing w:after="120"/>
        <w:rPr>
          <w:noProof/>
        </w:rPr>
      </w:pPr>
      <w:r>
        <w:rPr>
          <w:noProof/>
        </w:rPr>
        <w:t>C</w:t>
      </w:r>
      <w:r>
        <w:rPr>
          <w:noProof/>
        </w:rPr>
        <w:t>omparing the two options on derogations for niche manufacturers shows that removing the derogation scheme would have strong positive effects on effectiveness and coherence. It would help to better achieve the specific policy objectives because it would inc</w:t>
      </w:r>
      <w:r>
        <w:rPr>
          <w:noProof/>
        </w:rPr>
        <w:t xml:space="preserve">entivise lower average specific emissions of the new car fleet of niche manufacturers instead of possibly weakening future targets by more extensive use of this type of derogation. </w:t>
      </w:r>
    </w:p>
    <w:p w:rsidR="001A26B0" w:rsidRDefault="00E33A99">
      <w:pPr>
        <w:tabs>
          <w:tab w:val="left" w:pos="4560"/>
        </w:tabs>
        <w:spacing w:after="120"/>
        <w:rPr>
          <w:noProof/>
        </w:rPr>
      </w:pPr>
      <w:r>
        <w:rPr>
          <w:noProof/>
        </w:rPr>
        <w:t>Coherence would be improved by removing a possibly market distorting eleme</w:t>
      </w:r>
      <w:r>
        <w:rPr>
          <w:noProof/>
        </w:rPr>
        <w:t>nt in the current Regulation. However, a new derogation target for niche manufacturers scores better with regards to proportionality as it would allow niche manufacturers to continue benefitting from a derogation and hence reduce their compliance costs.</w:t>
      </w:r>
    </w:p>
    <w:p w:rsidR="001A26B0" w:rsidRDefault="00E33A99">
      <w:pPr>
        <w:spacing w:after="120"/>
        <w:rPr>
          <w:noProof/>
        </w:rPr>
      </w:pPr>
      <w:r>
        <w:rPr>
          <w:b/>
          <w:noProof/>
          <w:szCs w:val="24"/>
        </w:rPr>
        <w:t>Th</w:t>
      </w:r>
      <w:r>
        <w:rPr>
          <w:b/>
          <w:noProof/>
          <w:szCs w:val="24"/>
        </w:rPr>
        <w:t>e preferred option is thus to remove the possibility for car manufacturers to be granted a "niche" derogation.</w:t>
      </w:r>
    </w:p>
    <w:p w:rsidR="001A26B0" w:rsidRDefault="00E33A99">
      <w:pPr>
        <w:pStyle w:val="Heading3"/>
        <w:spacing w:before="0"/>
        <w:rPr>
          <w:noProof/>
        </w:rPr>
      </w:pPr>
      <w:bookmarkStart w:id="721" w:name="_Toc496635676"/>
      <w:r>
        <w:rPr>
          <w:noProof/>
        </w:rPr>
        <w:t>Simplification (REFIT aspects)</w:t>
      </w:r>
      <w:bookmarkEnd w:id="721"/>
    </w:p>
    <w:p w:rsidR="001A26B0" w:rsidRDefault="00E33A99">
      <w:pPr>
        <w:spacing w:after="120"/>
        <w:rPr>
          <w:noProof/>
        </w:rPr>
      </w:pPr>
      <w:r>
        <w:rPr>
          <w:noProof/>
        </w:rPr>
        <w:t>Compared to the current Regulations, the abovementioned preferred policy options, including on the ZEV/LEV incenti</w:t>
      </w:r>
      <w:r>
        <w:rPr>
          <w:noProof/>
        </w:rPr>
        <w:t>ves mechanism, are not expected to significantly affect the administrative costs caused by the legislation. In addition, they are not increasing the complexity of the legal framework.</w:t>
      </w:r>
    </w:p>
    <w:p w:rsidR="001A26B0" w:rsidRDefault="00E33A99">
      <w:pPr>
        <w:spacing w:after="120"/>
        <w:rPr>
          <w:noProof/>
        </w:rPr>
      </w:pPr>
      <w:r>
        <w:rPr>
          <w:noProof/>
        </w:rPr>
        <w:t xml:space="preserve">In line with the findings of the Evaluation study, no changes in the compliance regime or in the level of the excess emissions premium are foreseen. </w:t>
      </w:r>
    </w:p>
    <w:p w:rsidR="001A26B0" w:rsidRDefault="00E33A99">
      <w:pPr>
        <w:tabs>
          <w:tab w:val="left" w:pos="4560"/>
        </w:tabs>
        <w:spacing w:after="120"/>
        <w:rPr>
          <w:noProof/>
        </w:rPr>
      </w:pPr>
      <w:r>
        <w:rPr>
          <w:noProof/>
        </w:rPr>
        <w:t>Under the preferred options, a number of existing flexibilities, such as super-credits and the 'niche' der</w:t>
      </w:r>
      <w:r>
        <w:rPr>
          <w:noProof/>
        </w:rPr>
        <w:t xml:space="preserve">ogation, would be removed. The regulatory system will continue to provide for flexibilities to meet the regulatory requirements. These are intended to lower the compliance cost and most of them are offered to the regulated entities on a voluntary basis. </w:t>
      </w:r>
    </w:p>
    <w:p w:rsidR="001A26B0" w:rsidRDefault="00E33A99">
      <w:pPr>
        <w:tabs>
          <w:tab w:val="left" w:pos="4560"/>
        </w:tabs>
        <w:spacing w:after="120"/>
        <w:rPr>
          <w:noProof/>
        </w:rPr>
      </w:pPr>
      <w:r>
        <w:rPr>
          <w:noProof/>
        </w:rPr>
        <w:t>N</w:t>
      </w:r>
      <w:r>
        <w:rPr>
          <w:noProof/>
        </w:rPr>
        <w:t>ext to the ZEV/LEV incentives, where a crediting system would allow compliance checking to be limited to the CO</w:t>
      </w:r>
      <w:r>
        <w:rPr>
          <w:noProof/>
          <w:vertAlign w:val="subscript"/>
        </w:rPr>
        <w:t>2</w:t>
      </w:r>
      <w:r>
        <w:rPr>
          <w:noProof/>
        </w:rPr>
        <w:t xml:space="preserve"> emissions target, the main new elements considered are the governance related aspects. The preferred options for these elements are aimed to ta</w:t>
      </w:r>
      <w:r>
        <w:rPr>
          <w:noProof/>
        </w:rPr>
        <w:t>ckle the main weakness of the current Regulations identified by the Evaluation study and to follow-up on the call for closing the real-world gap from the Scientific Advice Mechanism and the European Parliament. The details of how these mechanisms will oper</w:t>
      </w:r>
      <w:r>
        <w:rPr>
          <w:noProof/>
        </w:rPr>
        <w:t>ate in practice will have to be elaborated later, and care should be taken at that stage to limit any administrative burden or complexity.</w:t>
      </w:r>
    </w:p>
    <w:p w:rsidR="001A26B0" w:rsidRDefault="00E33A99">
      <w:pPr>
        <w:pStyle w:val="Heading2"/>
        <w:spacing w:before="0"/>
        <w:rPr>
          <w:noProof/>
        </w:rPr>
      </w:pPr>
      <w:bookmarkStart w:id="722" w:name="_Toc496635677"/>
      <w:r>
        <w:rPr>
          <w:noProof/>
        </w:rPr>
        <w:t>Governance: real-world emissions – market surveillance</w:t>
      </w:r>
      <w:bookmarkEnd w:id="722"/>
    </w:p>
    <w:p w:rsidR="001A26B0" w:rsidRDefault="00E33A99">
      <w:pPr>
        <w:tabs>
          <w:tab w:val="left" w:pos="4560"/>
        </w:tabs>
        <w:spacing w:after="120"/>
        <w:rPr>
          <w:noProof/>
        </w:rPr>
      </w:pPr>
      <w:r>
        <w:rPr>
          <w:noProof/>
        </w:rPr>
        <w:t xml:space="preserve">The collection, publication and monitoring of real world fuel </w:t>
      </w:r>
      <w:r>
        <w:rPr>
          <w:noProof/>
        </w:rPr>
        <w:t xml:space="preserve">consumption data as well as an obligation to report deviations linked to a correction mechanisms would strongly increase the effectiveness of the regulatory framework. </w:t>
      </w:r>
    </w:p>
    <w:p w:rsidR="001A26B0" w:rsidRDefault="00E33A99">
      <w:pPr>
        <w:tabs>
          <w:tab w:val="left" w:pos="4560"/>
        </w:tabs>
        <w:spacing w:after="120"/>
        <w:rPr>
          <w:noProof/>
        </w:rPr>
      </w:pPr>
      <w:r>
        <w:rPr>
          <w:noProof/>
        </w:rPr>
        <w:t>Real world fuel consumption data would allow the verification of the assumptions made o</w:t>
      </w:r>
      <w:r>
        <w:rPr>
          <w:noProof/>
        </w:rPr>
        <w:t>n the gap between test procedure values and the average real world emissions. In case significant divergences are reported, corrective actions could be taken to ensure the overall integrity and robustness of the regulatory framework. In addition, the publi</w:t>
      </w:r>
      <w:r>
        <w:rPr>
          <w:noProof/>
        </w:rPr>
        <w:t xml:space="preserve">cation of real world fuel consumption data would strongly improve transparency for consumers and may influence car purchase decisions towards more efficient vehicles. </w:t>
      </w:r>
    </w:p>
    <w:p w:rsidR="001A26B0" w:rsidRDefault="00E33A99">
      <w:pPr>
        <w:tabs>
          <w:tab w:val="left" w:pos="4560"/>
        </w:tabs>
        <w:spacing w:after="120"/>
        <w:rPr>
          <w:noProof/>
        </w:rPr>
      </w:pPr>
      <w:r>
        <w:rPr>
          <w:noProof/>
        </w:rPr>
        <w:t xml:space="preserve">The obligation to report deviations detected through improved market surveillance would </w:t>
      </w:r>
      <w:r>
        <w:rPr>
          <w:noProof/>
        </w:rPr>
        <w:t>complement real world data reporting by ensuring that CO</w:t>
      </w:r>
      <w:r>
        <w:rPr>
          <w:noProof/>
          <w:vertAlign w:val="subscript"/>
        </w:rPr>
        <w:t>2</w:t>
      </w:r>
      <w:r>
        <w:rPr>
          <w:noProof/>
        </w:rPr>
        <w:t xml:space="preserve"> emissions of vehicles, as type-approved, are correct or that these are swiftly corrected in case of deviations. Since type-approved CO</w:t>
      </w:r>
      <w:r>
        <w:rPr>
          <w:noProof/>
          <w:vertAlign w:val="subscript"/>
        </w:rPr>
        <w:t>2</w:t>
      </w:r>
      <w:r>
        <w:rPr>
          <w:noProof/>
        </w:rPr>
        <w:t xml:space="preserve"> emission values are used for assessing CO</w:t>
      </w:r>
      <w:r>
        <w:rPr>
          <w:noProof/>
          <w:vertAlign w:val="subscript"/>
        </w:rPr>
        <w:t>2</w:t>
      </w:r>
      <w:r>
        <w:rPr>
          <w:noProof/>
        </w:rPr>
        <w:t xml:space="preserve"> target compliance i</w:t>
      </w:r>
      <w:r>
        <w:rPr>
          <w:noProof/>
        </w:rPr>
        <w:t>ntroducing such a verification and correction procedure is critical to ensure that the CO</w:t>
      </w:r>
      <w:r>
        <w:rPr>
          <w:noProof/>
          <w:vertAlign w:val="subscript"/>
        </w:rPr>
        <w:t>2</w:t>
      </w:r>
      <w:r>
        <w:rPr>
          <w:noProof/>
        </w:rPr>
        <w:t xml:space="preserve"> emission reductions objectives are actually achieved. </w:t>
      </w:r>
    </w:p>
    <w:p w:rsidR="001A26B0" w:rsidRDefault="00E33A99">
      <w:pPr>
        <w:tabs>
          <w:tab w:val="left" w:pos="4560"/>
        </w:tabs>
        <w:spacing w:after="120"/>
        <w:rPr>
          <w:noProof/>
        </w:rPr>
      </w:pPr>
      <w:r>
        <w:rPr>
          <w:noProof/>
        </w:rPr>
        <w:t>Both options would help consumers to benefit from higher fuel cost savings and they would be coherent with the</w:t>
      </w:r>
      <w:r>
        <w:rPr>
          <w:noProof/>
        </w:rPr>
        <w:t xml:space="preserve"> overall objectives of EU policies in other areas such as vehicle type-approval and consumer protection.  </w:t>
      </w:r>
    </w:p>
    <w:p w:rsidR="001A26B0" w:rsidRDefault="00E33A99">
      <w:pPr>
        <w:spacing w:after="120"/>
        <w:rPr>
          <w:b/>
          <w:noProof/>
          <w:szCs w:val="24"/>
        </w:rPr>
      </w:pPr>
      <w:r>
        <w:rPr>
          <w:b/>
          <w:noProof/>
          <w:szCs w:val="24"/>
        </w:rPr>
        <w:t>The preferred option is thus to establish an empowerment for the Commission to allow (i) the collection, publication and monitoring of real world fue</w:t>
      </w:r>
      <w:r>
        <w:rPr>
          <w:b/>
          <w:noProof/>
          <w:szCs w:val="24"/>
        </w:rPr>
        <w:t>l consumption data and creating an obligation to report deviations linked to a correction mechanisms and (ii) to correct reported CO</w:t>
      </w:r>
      <w:r>
        <w:rPr>
          <w:b/>
          <w:noProof/>
          <w:szCs w:val="24"/>
          <w:vertAlign w:val="subscript"/>
        </w:rPr>
        <w:t>2</w:t>
      </w:r>
      <w:r>
        <w:rPr>
          <w:b/>
          <w:noProof/>
          <w:szCs w:val="24"/>
        </w:rPr>
        <w:t xml:space="preserve"> emission values in case of deviations detected through improved market surveillance.</w:t>
      </w:r>
    </w:p>
    <w:p w:rsidR="001A26B0" w:rsidRDefault="00E33A99">
      <w:pPr>
        <w:spacing w:after="200" w:line="276" w:lineRule="auto"/>
        <w:jc w:val="left"/>
        <w:rPr>
          <w:rFonts w:asciiTheme="minorHAnsi" w:hAnsiTheme="minorHAnsi"/>
          <w:noProof/>
          <w:szCs w:val="24"/>
        </w:rPr>
      </w:pPr>
      <w:r>
        <w:rPr>
          <w:rFonts w:asciiTheme="minorHAnsi" w:hAnsiTheme="minorHAnsi"/>
          <w:noProof/>
          <w:szCs w:val="24"/>
        </w:rPr>
        <w:br w:type="page"/>
      </w:r>
    </w:p>
    <w:p w:rsidR="001A26B0" w:rsidRDefault="00E33A99">
      <w:pPr>
        <w:pStyle w:val="Heading1"/>
        <w:rPr>
          <w:noProof/>
        </w:rPr>
      </w:pPr>
      <w:bookmarkStart w:id="723" w:name="_Toc496635678"/>
      <w:r>
        <w:rPr>
          <w:noProof/>
        </w:rPr>
        <w:t xml:space="preserve">How would impacts be monitored and </w:t>
      </w:r>
      <w:r>
        <w:rPr>
          <w:noProof/>
        </w:rPr>
        <w:t>evaluated?</w:t>
      </w:r>
      <w:bookmarkEnd w:id="723"/>
    </w:p>
    <w:p w:rsidR="001A26B0" w:rsidRDefault="00E33A99">
      <w:pPr>
        <w:spacing w:after="120"/>
        <w:rPr>
          <w:noProof/>
        </w:rPr>
      </w:pPr>
      <w:r>
        <w:rPr>
          <w:noProof/>
        </w:rPr>
        <w:t xml:space="preserve">The actual impacts of the legislation will be monitored and evaluated against a set of indicators tailored to the specific policy objectives to be achieved with the legislation. A mid-term review of the legislation would allow the Commission to </w:t>
      </w:r>
      <w:r>
        <w:rPr>
          <w:noProof/>
        </w:rPr>
        <w:t>assess the effectiveness of the legislation and, where appropriate, propose changes.</w:t>
      </w:r>
    </w:p>
    <w:p w:rsidR="001A26B0" w:rsidRDefault="00E33A99">
      <w:pPr>
        <w:spacing w:after="120"/>
        <w:rPr>
          <w:noProof/>
        </w:rPr>
      </w:pPr>
      <w:r>
        <w:rPr>
          <w:noProof/>
        </w:rPr>
        <w:t xml:space="preserve">Under the existing Cars and Vans Regulations on </w:t>
      </w:r>
      <w:r>
        <w:rPr>
          <w:rFonts w:eastAsiaTheme="minorHAnsi"/>
          <w:noProof/>
          <w:szCs w:val="24"/>
        </w:rPr>
        <w:t>CO</w:t>
      </w:r>
      <w:r>
        <w:rPr>
          <w:rFonts w:eastAsiaTheme="minorHAnsi"/>
          <w:noProof/>
          <w:szCs w:val="24"/>
          <w:vertAlign w:val="subscript"/>
        </w:rPr>
        <w:t>2</w:t>
      </w:r>
      <w:r>
        <w:rPr>
          <w:noProof/>
        </w:rPr>
        <w:t xml:space="preserve"> emission standards, an annual reporting and monitoring procedure has been established. In order to assess the complianc</w:t>
      </w:r>
      <w:r>
        <w:rPr>
          <w:noProof/>
        </w:rPr>
        <w:t xml:space="preserve">e of manufacturers with their annual specific emissions targets, Member States report every year data for all newly registered cars and vans to the Commission. In addition to the type-approved </w:t>
      </w:r>
      <w:r>
        <w:rPr>
          <w:rFonts w:eastAsiaTheme="minorHAnsi"/>
          <w:noProof/>
          <w:szCs w:val="24"/>
        </w:rPr>
        <w:t>CO</w:t>
      </w:r>
      <w:r>
        <w:rPr>
          <w:rFonts w:eastAsiaTheme="minorHAnsi"/>
          <w:noProof/>
          <w:szCs w:val="24"/>
          <w:vertAlign w:val="subscript"/>
        </w:rPr>
        <w:t>2</w:t>
      </w:r>
      <w:r>
        <w:rPr>
          <w:noProof/>
        </w:rPr>
        <w:t xml:space="preserve"> emission and mass values, a number of other relevant data e</w:t>
      </w:r>
      <w:r>
        <w:rPr>
          <w:noProof/>
        </w:rPr>
        <w:t xml:space="preserve">ntries are monitored, including fuel type and </w:t>
      </w:r>
      <w:r>
        <w:rPr>
          <w:rFonts w:eastAsiaTheme="minorHAnsi"/>
          <w:noProof/>
          <w:szCs w:val="24"/>
        </w:rPr>
        <w:t>CO</w:t>
      </w:r>
      <w:r>
        <w:rPr>
          <w:rFonts w:eastAsiaTheme="minorHAnsi"/>
          <w:noProof/>
          <w:szCs w:val="24"/>
          <w:vertAlign w:val="subscript"/>
        </w:rPr>
        <w:t>2</w:t>
      </w:r>
      <w:r>
        <w:rPr>
          <w:noProof/>
        </w:rPr>
        <w:t xml:space="preserve"> emission savings from eco-innovations. </w:t>
      </w:r>
    </w:p>
    <w:p w:rsidR="001A26B0" w:rsidRDefault="00E33A99">
      <w:pPr>
        <w:spacing w:after="120"/>
        <w:rPr>
          <w:noProof/>
        </w:rPr>
      </w:pPr>
      <w:r>
        <w:rPr>
          <w:noProof/>
        </w:rPr>
        <w:t>The Commission, supported by the European Environment Agency (EEA), publishes every year the monitoring data of the preceding calendar year including manufacturer spe</w:t>
      </w:r>
      <w:r>
        <w:rPr>
          <w:noProof/>
        </w:rPr>
        <w:t>cific CO</w:t>
      </w:r>
      <w:r>
        <w:rPr>
          <w:noProof/>
          <w:vertAlign w:val="subscript"/>
        </w:rPr>
        <w:t>2</w:t>
      </w:r>
      <w:r>
        <w:rPr>
          <w:noProof/>
        </w:rPr>
        <w:t xml:space="preserve"> performance calculations. Manufacturers have the opportunity to notify errors in the provisional data, as submitted by Member States. This well-established monitoring system constitutes an important basis for monitoring the impacts of the legisla</w:t>
      </w:r>
      <w:r>
        <w:rPr>
          <w:noProof/>
        </w:rPr>
        <w:t>tion.</w:t>
      </w:r>
    </w:p>
    <w:p w:rsidR="001A26B0" w:rsidRDefault="00E33A99">
      <w:pPr>
        <w:spacing w:after="120"/>
        <w:rPr>
          <w:noProof/>
        </w:rPr>
      </w:pPr>
      <w:r>
        <w:rPr>
          <w:noProof/>
        </w:rPr>
        <w:t>The legislation will be based on this well-established monitoring and compliance framework. No essential elements are changed in the current framework that would add complexity. It will therefore neither increase administrative costs for manufacturer</w:t>
      </w:r>
      <w:r>
        <w:rPr>
          <w:noProof/>
        </w:rPr>
        <w:t>s and competent national authorities nor enforcement costs for the Commission. A crediting system would be integrated in the existing compliance mechanism by merely adding another step in the methodology for calculating the performance of individual manufa</w:t>
      </w:r>
      <w:r>
        <w:rPr>
          <w:noProof/>
        </w:rPr>
        <w:t xml:space="preserve">cturers/pools. No additional monitoring or reporting is required. </w:t>
      </w:r>
    </w:p>
    <w:p w:rsidR="001A26B0" w:rsidRDefault="00E33A99">
      <w:pPr>
        <w:spacing w:after="120"/>
        <w:rPr>
          <w:noProof/>
        </w:rPr>
      </w:pPr>
      <w:r>
        <w:rPr>
          <w:noProof/>
        </w:rPr>
        <w:t xml:space="preserve">Additional administrative costs are linked to the new governance framework, i.e. the collection, publication and monitoring of real world fuel consumption data as well as the obligation to </w:t>
      </w:r>
      <w:r>
        <w:rPr>
          <w:noProof/>
        </w:rPr>
        <w:t>report deviations and use these for correcting the emissions data. However, in light of the importance to ensure transparency to consumers and representativeness of monitored CO</w:t>
      </w:r>
      <w:r>
        <w:rPr>
          <w:noProof/>
          <w:vertAlign w:val="subscript"/>
        </w:rPr>
        <w:t>2</w:t>
      </w:r>
      <w:r>
        <w:rPr>
          <w:noProof/>
        </w:rPr>
        <w:t xml:space="preserve"> emission values, these costs appear well justified.  </w:t>
      </w:r>
    </w:p>
    <w:p w:rsidR="001A26B0" w:rsidRDefault="00E33A99">
      <w:pPr>
        <w:pStyle w:val="Heading2"/>
        <w:rPr>
          <w:rFonts w:eastAsiaTheme="minorHAnsi"/>
          <w:noProof/>
        </w:rPr>
      </w:pPr>
      <w:bookmarkStart w:id="724" w:name="_Toc496635679"/>
      <w:r>
        <w:rPr>
          <w:rFonts w:eastAsiaTheme="minorHAnsi"/>
          <w:noProof/>
        </w:rPr>
        <w:t>Indicators</w:t>
      </w:r>
      <w:bookmarkEnd w:id="724"/>
    </w:p>
    <w:p w:rsidR="001A26B0" w:rsidRDefault="00E33A99">
      <w:pPr>
        <w:pStyle w:val="Text2"/>
        <w:spacing w:after="120"/>
        <w:ind w:left="0"/>
        <w:rPr>
          <w:rFonts w:eastAsiaTheme="minorHAnsi"/>
          <w:noProof/>
        </w:rPr>
      </w:pPr>
      <w:r>
        <w:rPr>
          <w:rFonts w:eastAsiaTheme="minorHAnsi"/>
          <w:noProof/>
        </w:rPr>
        <w:t>For the spec</w:t>
      </w:r>
      <w:r>
        <w:rPr>
          <w:rFonts w:eastAsiaTheme="minorHAnsi"/>
          <w:noProof/>
        </w:rPr>
        <w:t>ific policy objectives the following core monitoring indicators have been identified:</w:t>
      </w:r>
    </w:p>
    <w:p w:rsidR="001A26B0" w:rsidRDefault="00E33A99">
      <w:pPr>
        <w:pStyle w:val="ListParagraph"/>
        <w:numPr>
          <w:ilvl w:val="0"/>
          <w:numId w:val="101"/>
        </w:numPr>
        <w:autoSpaceDE w:val="0"/>
        <w:autoSpaceDN w:val="0"/>
        <w:adjustRightInd w:val="0"/>
        <w:spacing w:after="120"/>
        <w:contextualSpacing w:val="0"/>
        <w:rPr>
          <w:rFonts w:eastAsiaTheme="minorHAnsi"/>
          <w:noProof/>
          <w:szCs w:val="24"/>
        </w:rPr>
      </w:pPr>
      <w:r>
        <w:rPr>
          <w:rFonts w:eastAsiaTheme="minorHAnsi"/>
          <w:noProof/>
          <w:szCs w:val="24"/>
        </w:rPr>
        <w:t xml:space="preserve">Contribute to the achievement of the EU's commitments under the </w:t>
      </w:r>
      <w:r>
        <w:rPr>
          <w:rFonts w:eastAsiaTheme="minorHAnsi"/>
          <w:b/>
          <w:noProof/>
          <w:szCs w:val="24"/>
        </w:rPr>
        <w:t xml:space="preserve">Paris Agreement </w:t>
      </w:r>
      <w:r>
        <w:rPr>
          <w:rFonts w:eastAsiaTheme="minorHAnsi"/>
          <w:noProof/>
          <w:szCs w:val="24"/>
        </w:rPr>
        <w:t>by reducing CO</w:t>
      </w:r>
      <w:r>
        <w:rPr>
          <w:rFonts w:eastAsiaTheme="minorHAnsi"/>
          <w:noProof/>
          <w:szCs w:val="24"/>
          <w:vertAlign w:val="subscript"/>
        </w:rPr>
        <w:t>2</w:t>
      </w:r>
      <w:r>
        <w:rPr>
          <w:rFonts w:eastAsiaTheme="minorHAnsi"/>
          <w:noProof/>
          <w:szCs w:val="24"/>
        </w:rPr>
        <w:t xml:space="preserve"> emissions from cars and vans cost-effectively:</w:t>
      </w:r>
    </w:p>
    <w:p w:rsidR="001A26B0" w:rsidRDefault="00E33A99">
      <w:pPr>
        <w:pStyle w:val="ListParagraph"/>
        <w:numPr>
          <w:ilvl w:val="1"/>
          <w:numId w:val="101"/>
        </w:numPr>
        <w:autoSpaceDE w:val="0"/>
        <w:autoSpaceDN w:val="0"/>
        <w:adjustRightInd w:val="0"/>
        <w:spacing w:after="120"/>
        <w:contextualSpacing w:val="0"/>
        <w:rPr>
          <w:rFonts w:eastAsiaTheme="minorHAnsi"/>
          <w:noProof/>
          <w:szCs w:val="24"/>
        </w:rPr>
      </w:pPr>
      <w:r>
        <w:rPr>
          <w:rFonts w:eastAsiaTheme="minorHAnsi"/>
          <w:noProof/>
          <w:szCs w:val="24"/>
        </w:rPr>
        <w:t>The EU-wide fleet average C</w:t>
      </w:r>
      <w:r>
        <w:rPr>
          <w:rFonts w:eastAsiaTheme="minorHAnsi"/>
          <w:noProof/>
          <w:szCs w:val="24"/>
        </w:rPr>
        <w:t>O</w:t>
      </w:r>
      <w:r>
        <w:rPr>
          <w:rFonts w:eastAsiaTheme="minorHAnsi"/>
          <w:noProof/>
          <w:szCs w:val="24"/>
          <w:vertAlign w:val="subscript"/>
        </w:rPr>
        <w:t>2</w:t>
      </w:r>
      <w:r>
        <w:rPr>
          <w:rFonts w:eastAsiaTheme="minorHAnsi"/>
          <w:noProof/>
          <w:szCs w:val="24"/>
        </w:rPr>
        <w:t xml:space="preserve"> emissions measured at type approval will be monitored annually on the basis of the monitoring data against the target level set in the legislation. </w:t>
      </w:r>
    </w:p>
    <w:p w:rsidR="001A26B0" w:rsidRDefault="00E33A99">
      <w:pPr>
        <w:pStyle w:val="ListParagraph"/>
        <w:numPr>
          <w:ilvl w:val="1"/>
          <w:numId w:val="101"/>
        </w:numPr>
        <w:autoSpaceDE w:val="0"/>
        <w:autoSpaceDN w:val="0"/>
        <w:adjustRightInd w:val="0"/>
        <w:spacing w:after="120"/>
        <w:contextualSpacing w:val="0"/>
        <w:rPr>
          <w:rFonts w:eastAsiaTheme="minorHAnsi"/>
          <w:noProof/>
          <w:szCs w:val="24"/>
        </w:rPr>
      </w:pPr>
      <w:r>
        <w:rPr>
          <w:rFonts w:eastAsiaTheme="minorHAnsi"/>
          <w:noProof/>
          <w:szCs w:val="24"/>
        </w:rPr>
        <w:t>The gap between the type-approved CO</w:t>
      </w:r>
      <w:r>
        <w:rPr>
          <w:rFonts w:eastAsiaTheme="minorHAnsi"/>
          <w:noProof/>
          <w:szCs w:val="24"/>
          <w:vertAlign w:val="subscript"/>
        </w:rPr>
        <w:t>2</w:t>
      </w:r>
      <w:r>
        <w:rPr>
          <w:rFonts w:eastAsiaTheme="minorHAnsi"/>
          <w:noProof/>
          <w:szCs w:val="24"/>
        </w:rPr>
        <w:t xml:space="preserve"> emissions data and real world CO</w:t>
      </w:r>
      <w:r>
        <w:rPr>
          <w:rFonts w:eastAsiaTheme="minorHAnsi"/>
          <w:noProof/>
          <w:szCs w:val="24"/>
          <w:vertAlign w:val="subscript"/>
        </w:rPr>
        <w:t>2</w:t>
      </w:r>
      <w:r>
        <w:rPr>
          <w:rFonts w:eastAsiaTheme="minorHAnsi"/>
          <w:noProof/>
          <w:szCs w:val="24"/>
        </w:rPr>
        <w:t xml:space="preserve"> emissions data will be monitored</w:t>
      </w:r>
      <w:r>
        <w:rPr>
          <w:rFonts w:eastAsiaTheme="minorHAnsi"/>
          <w:noProof/>
          <w:szCs w:val="24"/>
        </w:rPr>
        <w:t xml:space="preserve"> through the collection and publication of real world fuel consumption data as well as reporting of deviations from the type approved CO</w:t>
      </w:r>
      <w:r>
        <w:rPr>
          <w:rFonts w:eastAsiaTheme="minorHAnsi"/>
          <w:noProof/>
          <w:szCs w:val="24"/>
          <w:vertAlign w:val="subscript"/>
        </w:rPr>
        <w:t>2</w:t>
      </w:r>
      <w:r>
        <w:rPr>
          <w:rFonts w:eastAsiaTheme="minorHAnsi"/>
          <w:noProof/>
          <w:szCs w:val="24"/>
        </w:rPr>
        <w:t xml:space="preserve"> emissions and corrections to the CO</w:t>
      </w:r>
      <w:r>
        <w:rPr>
          <w:rFonts w:eastAsiaTheme="minorHAnsi"/>
          <w:noProof/>
          <w:szCs w:val="24"/>
          <w:vertAlign w:val="subscript"/>
        </w:rPr>
        <w:t>2</w:t>
      </w:r>
      <w:r>
        <w:rPr>
          <w:rFonts w:eastAsiaTheme="minorHAnsi"/>
          <w:noProof/>
          <w:szCs w:val="24"/>
        </w:rPr>
        <w:t xml:space="preserve"> emissions data as initially reported by Member States and corrected by manufactur</w:t>
      </w:r>
      <w:r>
        <w:rPr>
          <w:rFonts w:eastAsiaTheme="minorHAnsi"/>
          <w:noProof/>
          <w:szCs w:val="24"/>
        </w:rPr>
        <w:t xml:space="preserve">ers. </w:t>
      </w:r>
    </w:p>
    <w:p w:rsidR="001A26B0" w:rsidRDefault="00E33A99">
      <w:pPr>
        <w:pStyle w:val="ListParagraph"/>
        <w:numPr>
          <w:ilvl w:val="1"/>
          <w:numId w:val="101"/>
        </w:numPr>
        <w:autoSpaceDE w:val="0"/>
        <w:autoSpaceDN w:val="0"/>
        <w:adjustRightInd w:val="0"/>
        <w:spacing w:after="120"/>
        <w:contextualSpacing w:val="0"/>
        <w:rPr>
          <w:rFonts w:eastAsiaTheme="minorHAnsi"/>
          <w:noProof/>
          <w:szCs w:val="24"/>
        </w:rPr>
      </w:pPr>
      <w:r>
        <w:rPr>
          <w:rFonts w:eastAsiaTheme="minorHAnsi"/>
          <w:noProof/>
          <w:szCs w:val="24"/>
        </w:rPr>
        <w:t>Cars and vans GHG emissions will be monitored through Member States' annual GHG emissions inventories.</w:t>
      </w:r>
    </w:p>
    <w:p w:rsidR="001A26B0" w:rsidRDefault="00E33A99">
      <w:pPr>
        <w:pStyle w:val="ListParagraph"/>
        <w:numPr>
          <w:ilvl w:val="1"/>
          <w:numId w:val="101"/>
        </w:numPr>
        <w:autoSpaceDE w:val="0"/>
        <w:autoSpaceDN w:val="0"/>
        <w:adjustRightInd w:val="0"/>
        <w:spacing w:after="120"/>
        <w:contextualSpacing w:val="0"/>
        <w:rPr>
          <w:rFonts w:eastAsiaTheme="minorHAnsi"/>
          <w:noProof/>
          <w:szCs w:val="24"/>
        </w:rPr>
      </w:pPr>
      <w:r>
        <w:rPr>
          <w:rFonts w:eastAsiaTheme="minorHAnsi"/>
          <w:noProof/>
          <w:szCs w:val="24"/>
        </w:rPr>
        <w:t xml:space="preserve">The costs of technologies used in the vehicles and the fuel savings will be monitored on the basis of data to be collected from manufacturers, suppliers and experts. </w:t>
      </w:r>
    </w:p>
    <w:p w:rsidR="001A26B0" w:rsidRDefault="00E33A99">
      <w:pPr>
        <w:pStyle w:val="ListParagraph"/>
        <w:numPr>
          <w:ilvl w:val="1"/>
          <w:numId w:val="101"/>
        </w:numPr>
        <w:autoSpaceDE w:val="0"/>
        <w:autoSpaceDN w:val="0"/>
        <w:adjustRightInd w:val="0"/>
        <w:spacing w:after="120"/>
        <w:contextualSpacing w:val="0"/>
        <w:rPr>
          <w:rFonts w:eastAsiaTheme="minorHAnsi"/>
          <w:noProof/>
          <w:szCs w:val="24"/>
        </w:rPr>
      </w:pPr>
      <w:r>
        <w:rPr>
          <w:rFonts w:eastAsiaTheme="minorHAnsi"/>
          <w:noProof/>
          <w:szCs w:val="24"/>
        </w:rPr>
        <w:t>The number and share of newly registered zero/low emission vehicles will be monitored thr</w:t>
      </w:r>
      <w:r>
        <w:rPr>
          <w:rFonts w:eastAsiaTheme="minorHAnsi"/>
          <w:noProof/>
          <w:szCs w:val="24"/>
        </w:rPr>
        <w:t>ough the annual monitoring data submitted by Member States against the benchmarks set in the legislation .</w:t>
      </w:r>
    </w:p>
    <w:p w:rsidR="001A26B0" w:rsidRDefault="00E33A99">
      <w:pPr>
        <w:pStyle w:val="ListParagraph"/>
        <w:numPr>
          <w:ilvl w:val="0"/>
          <w:numId w:val="101"/>
        </w:numPr>
        <w:autoSpaceDE w:val="0"/>
        <w:autoSpaceDN w:val="0"/>
        <w:adjustRightInd w:val="0"/>
        <w:spacing w:after="120"/>
        <w:contextualSpacing w:val="0"/>
        <w:rPr>
          <w:rFonts w:eastAsiaTheme="minorHAnsi"/>
          <w:noProof/>
          <w:szCs w:val="24"/>
        </w:rPr>
      </w:pPr>
      <w:r>
        <w:rPr>
          <w:noProof/>
          <w:szCs w:val="24"/>
        </w:rPr>
        <w:t xml:space="preserve">Reduce fuel consumption costs for </w:t>
      </w:r>
      <w:r>
        <w:rPr>
          <w:b/>
          <w:noProof/>
          <w:szCs w:val="24"/>
        </w:rPr>
        <w:t>consumers</w:t>
      </w:r>
      <w:r>
        <w:rPr>
          <w:rFonts w:eastAsiaTheme="minorHAnsi"/>
          <w:noProof/>
          <w:szCs w:val="24"/>
        </w:rPr>
        <w:t>:</w:t>
      </w:r>
    </w:p>
    <w:p w:rsidR="001A26B0" w:rsidRDefault="00E33A99">
      <w:pPr>
        <w:pStyle w:val="ListParagraph"/>
        <w:numPr>
          <w:ilvl w:val="1"/>
          <w:numId w:val="101"/>
        </w:numPr>
        <w:autoSpaceDE w:val="0"/>
        <w:autoSpaceDN w:val="0"/>
        <w:adjustRightInd w:val="0"/>
        <w:spacing w:after="120"/>
        <w:contextualSpacing w:val="0"/>
        <w:rPr>
          <w:rFonts w:eastAsiaTheme="minorHAnsi"/>
          <w:noProof/>
          <w:szCs w:val="24"/>
        </w:rPr>
      </w:pPr>
      <w:r>
        <w:rPr>
          <w:rFonts w:eastAsiaTheme="minorHAnsi"/>
          <w:noProof/>
          <w:szCs w:val="24"/>
        </w:rPr>
        <w:t>Development in fuel cost savings will be monitored through the EU-wide fleet average emissions as well a</w:t>
      </w:r>
      <w:r>
        <w:rPr>
          <w:rFonts w:eastAsiaTheme="minorHAnsi"/>
          <w:noProof/>
          <w:szCs w:val="24"/>
        </w:rPr>
        <w:t>s the collection of real world fuel consumption data and in-service conformity checks, if available.</w:t>
      </w:r>
    </w:p>
    <w:p w:rsidR="001A26B0" w:rsidRDefault="00E33A99">
      <w:pPr>
        <w:pStyle w:val="ListParagraph"/>
        <w:numPr>
          <w:ilvl w:val="1"/>
          <w:numId w:val="101"/>
        </w:numPr>
        <w:autoSpaceDE w:val="0"/>
        <w:autoSpaceDN w:val="0"/>
        <w:adjustRightInd w:val="0"/>
        <w:spacing w:after="120"/>
        <w:contextualSpacing w:val="0"/>
        <w:rPr>
          <w:rFonts w:eastAsiaTheme="minorHAnsi"/>
          <w:noProof/>
          <w:szCs w:val="24"/>
        </w:rPr>
      </w:pPr>
      <w:r>
        <w:rPr>
          <w:rFonts w:eastAsiaTheme="minorHAnsi"/>
          <w:noProof/>
          <w:szCs w:val="24"/>
        </w:rPr>
        <w:t xml:space="preserve">The number of zero/low-emission vehicle models available on the market and development of purchase costs over time will be monitored through publicly </w:t>
      </w:r>
      <w:r>
        <w:rPr>
          <w:rFonts w:eastAsiaTheme="minorHAnsi"/>
          <w:noProof/>
          <w:szCs w:val="24"/>
        </w:rPr>
        <w:t>available databases.</w:t>
      </w:r>
    </w:p>
    <w:p w:rsidR="001A26B0" w:rsidRDefault="00E33A99">
      <w:pPr>
        <w:pStyle w:val="ListParagraph"/>
        <w:numPr>
          <w:ilvl w:val="0"/>
          <w:numId w:val="101"/>
        </w:numPr>
        <w:autoSpaceDE w:val="0"/>
        <w:autoSpaceDN w:val="0"/>
        <w:adjustRightInd w:val="0"/>
        <w:spacing w:after="120"/>
        <w:contextualSpacing w:val="0"/>
        <w:rPr>
          <w:rFonts w:eastAsiaTheme="minorHAnsi"/>
          <w:noProof/>
          <w:szCs w:val="24"/>
        </w:rPr>
      </w:pPr>
      <w:r>
        <w:rPr>
          <w:noProof/>
        </w:rPr>
        <w:t xml:space="preserve">Strengthen the </w:t>
      </w:r>
      <w:r>
        <w:rPr>
          <w:b/>
          <w:noProof/>
        </w:rPr>
        <w:t>competitiveness</w:t>
      </w:r>
      <w:r>
        <w:rPr>
          <w:noProof/>
        </w:rPr>
        <w:t xml:space="preserve"> </w:t>
      </w:r>
      <w:r>
        <w:rPr>
          <w:rFonts w:eastAsiaTheme="minorHAnsi"/>
          <w:noProof/>
          <w:szCs w:val="24"/>
        </w:rPr>
        <w:t>of EU automotive industry and stimulate employment:</w:t>
      </w:r>
    </w:p>
    <w:p w:rsidR="001A26B0" w:rsidRDefault="00E33A99">
      <w:pPr>
        <w:pStyle w:val="ListParagraph"/>
        <w:numPr>
          <w:ilvl w:val="1"/>
          <w:numId w:val="101"/>
        </w:numPr>
        <w:autoSpaceDE w:val="0"/>
        <w:autoSpaceDN w:val="0"/>
        <w:adjustRightInd w:val="0"/>
        <w:spacing w:after="120"/>
        <w:contextualSpacing w:val="0"/>
        <w:rPr>
          <w:rFonts w:eastAsiaTheme="minorHAnsi"/>
          <w:noProof/>
          <w:szCs w:val="24"/>
        </w:rPr>
      </w:pPr>
      <w:r>
        <w:rPr>
          <w:rFonts w:eastAsiaTheme="minorHAnsi"/>
          <w:noProof/>
          <w:szCs w:val="24"/>
        </w:rPr>
        <w:t xml:space="preserve">The level of innovation will be measured in terms of new patents by European car manufacturers related to zero/low-emission vehicles and fuel-efficient </w:t>
      </w:r>
      <w:r>
        <w:rPr>
          <w:rFonts w:eastAsiaTheme="minorHAnsi"/>
          <w:noProof/>
          <w:szCs w:val="24"/>
        </w:rPr>
        <w:t>technologies through publicly available patents databases. Data will be compared to past performance, both in terms of absolute numbers and relative share against main competitors form other world regions.</w:t>
      </w:r>
    </w:p>
    <w:p w:rsidR="001A26B0" w:rsidRDefault="00E33A99">
      <w:pPr>
        <w:pStyle w:val="ListParagraph"/>
        <w:numPr>
          <w:ilvl w:val="1"/>
          <w:numId w:val="101"/>
        </w:numPr>
        <w:autoSpaceDE w:val="0"/>
        <w:autoSpaceDN w:val="0"/>
        <w:adjustRightInd w:val="0"/>
        <w:spacing w:after="120"/>
        <w:contextualSpacing w:val="0"/>
        <w:rPr>
          <w:rFonts w:eastAsiaTheme="minorHAnsi"/>
          <w:noProof/>
          <w:szCs w:val="24"/>
        </w:rPr>
      </w:pPr>
      <w:r>
        <w:rPr>
          <w:rFonts w:eastAsiaTheme="minorHAnsi"/>
          <w:noProof/>
          <w:szCs w:val="24"/>
        </w:rPr>
        <w:t>In addition to innovation activity, the competitiv</w:t>
      </w:r>
      <w:r>
        <w:rPr>
          <w:rFonts w:eastAsiaTheme="minorHAnsi"/>
          <w:noProof/>
          <w:szCs w:val="24"/>
        </w:rPr>
        <w:t>eness of the automotive sector will be monitored in terms of global market share of European car manufacturers in terms of new vehicle sales on the basis of publicly available data including from car manufacturer associations.</w:t>
      </w:r>
    </w:p>
    <w:p w:rsidR="001A26B0" w:rsidRDefault="00E33A99">
      <w:pPr>
        <w:pStyle w:val="ListParagraph"/>
        <w:numPr>
          <w:ilvl w:val="1"/>
          <w:numId w:val="101"/>
        </w:numPr>
        <w:autoSpaceDE w:val="0"/>
        <w:autoSpaceDN w:val="0"/>
        <w:adjustRightInd w:val="0"/>
        <w:spacing w:after="120"/>
        <w:contextualSpacing w:val="0"/>
        <w:rPr>
          <w:rFonts w:eastAsiaTheme="minorHAnsi"/>
          <w:noProof/>
          <w:szCs w:val="24"/>
        </w:rPr>
      </w:pPr>
      <w:r>
        <w:rPr>
          <w:rFonts w:eastAsiaTheme="minorHAnsi"/>
          <w:noProof/>
          <w:szCs w:val="24"/>
        </w:rPr>
        <w:t xml:space="preserve">The level of employment will </w:t>
      </w:r>
      <w:r>
        <w:rPr>
          <w:rFonts w:eastAsiaTheme="minorHAnsi"/>
          <w:noProof/>
          <w:szCs w:val="24"/>
        </w:rPr>
        <w:t xml:space="preserve">be monitored on the basis of publicly available Eurostat statistics on sectoral employment data for the EU. </w:t>
      </w:r>
    </w:p>
    <w:p w:rsidR="001A26B0" w:rsidRDefault="00E33A99">
      <w:pPr>
        <w:rPr>
          <w:bCs/>
          <w:noProof/>
        </w:rPr>
      </w:pPr>
      <w:r>
        <w:rPr>
          <w:bCs/>
          <w:noProof/>
        </w:rPr>
        <w:t>The methodology for an evaluation of the legislation will put particular emphasis in ensuring that causality between the observed outcomes, based o</w:t>
      </w:r>
      <w:r>
        <w:rPr>
          <w:bCs/>
          <w:noProof/>
        </w:rPr>
        <w:t>n the above indicators, and the legislation can be established. In this context, methodological elements will include the establishment of a robust baseline/counterfactual scenario and the use of regression analysis/empirical research.</w:t>
      </w:r>
    </w:p>
    <w:p w:rsidR="001A26B0" w:rsidRDefault="00E33A99">
      <w:pPr>
        <w:pStyle w:val="Heading2"/>
        <w:rPr>
          <w:rFonts w:eastAsiaTheme="minorHAnsi"/>
          <w:noProof/>
        </w:rPr>
      </w:pPr>
      <w:bookmarkStart w:id="725" w:name="_Toc496635680"/>
      <w:r>
        <w:rPr>
          <w:rFonts w:eastAsiaTheme="minorHAnsi"/>
          <w:noProof/>
        </w:rPr>
        <w:t>Operational objectiv</w:t>
      </w:r>
      <w:r>
        <w:rPr>
          <w:rFonts w:eastAsiaTheme="minorHAnsi"/>
          <w:noProof/>
        </w:rPr>
        <w:t>es</w:t>
      </w:r>
      <w:bookmarkEnd w:id="725"/>
    </w:p>
    <w:p w:rsidR="001A26B0" w:rsidRDefault="00E33A99">
      <w:pPr>
        <w:autoSpaceDE w:val="0"/>
        <w:autoSpaceDN w:val="0"/>
        <w:adjustRightInd w:val="0"/>
        <w:spacing w:after="120"/>
        <w:jc w:val="left"/>
        <w:rPr>
          <w:rFonts w:eastAsiaTheme="minorHAnsi"/>
          <w:noProof/>
          <w:szCs w:val="24"/>
        </w:rPr>
      </w:pPr>
      <w:r>
        <w:rPr>
          <w:rFonts w:eastAsiaTheme="minorHAnsi"/>
          <w:noProof/>
          <w:szCs w:val="24"/>
        </w:rPr>
        <w:t>Based on the policy options, the following operational objectives have been identified:</w:t>
      </w:r>
    </w:p>
    <w:tbl>
      <w:tblPr>
        <w:tblStyle w:val="TableGrid"/>
        <w:tblW w:w="0" w:type="auto"/>
        <w:tblLook w:val="04A0" w:firstRow="1" w:lastRow="0" w:firstColumn="1" w:lastColumn="0" w:noHBand="0" w:noVBand="1"/>
      </w:tblPr>
      <w:tblGrid>
        <w:gridCol w:w="4548"/>
        <w:gridCol w:w="4281"/>
      </w:tblGrid>
      <w:tr w:rsidR="001A26B0">
        <w:tc>
          <w:tcPr>
            <w:tcW w:w="4548" w:type="dxa"/>
          </w:tcPr>
          <w:p w:rsidR="001A26B0" w:rsidRDefault="00E33A99">
            <w:pPr>
              <w:autoSpaceDE w:val="0"/>
              <w:autoSpaceDN w:val="0"/>
              <w:adjustRightInd w:val="0"/>
              <w:spacing w:after="120"/>
              <w:jc w:val="left"/>
              <w:rPr>
                <w:rFonts w:eastAsiaTheme="minorHAnsi"/>
                <w:b/>
                <w:noProof/>
                <w:szCs w:val="24"/>
              </w:rPr>
            </w:pPr>
            <w:r>
              <w:rPr>
                <w:rFonts w:eastAsiaTheme="minorHAnsi"/>
                <w:b/>
                <w:noProof/>
                <w:szCs w:val="24"/>
              </w:rPr>
              <w:t>Operational objectives</w:t>
            </w:r>
          </w:p>
        </w:tc>
        <w:tc>
          <w:tcPr>
            <w:tcW w:w="4281" w:type="dxa"/>
          </w:tcPr>
          <w:p w:rsidR="001A26B0" w:rsidRDefault="00E33A99">
            <w:pPr>
              <w:autoSpaceDE w:val="0"/>
              <w:autoSpaceDN w:val="0"/>
              <w:adjustRightInd w:val="0"/>
              <w:spacing w:after="120"/>
              <w:jc w:val="left"/>
              <w:rPr>
                <w:rFonts w:eastAsiaTheme="minorHAnsi"/>
                <w:b/>
                <w:noProof/>
                <w:szCs w:val="24"/>
              </w:rPr>
            </w:pPr>
            <w:r>
              <w:rPr>
                <w:rFonts w:eastAsiaTheme="minorHAnsi"/>
                <w:b/>
                <w:noProof/>
                <w:szCs w:val="24"/>
              </w:rPr>
              <w:t>Indicators</w:t>
            </w:r>
          </w:p>
        </w:tc>
      </w:tr>
      <w:tr w:rsidR="001A26B0">
        <w:tc>
          <w:tcPr>
            <w:tcW w:w="4548" w:type="dxa"/>
          </w:tcPr>
          <w:p w:rsidR="001A26B0" w:rsidRDefault="00E33A99">
            <w:pPr>
              <w:autoSpaceDE w:val="0"/>
              <w:autoSpaceDN w:val="0"/>
              <w:adjustRightInd w:val="0"/>
              <w:spacing w:after="120"/>
              <w:jc w:val="left"/>
              <w:rPr>
                <w:rFonts w:eastAsiaTheme="minorHAnsi"/>
                <w:noProof/>
                <w:szCs w:val="24"/>
              </w:rPr>
            </w:pPr>
            <w:r>
              <w:rPr>
                <w:rFonts w:eastAsiaTheme="minorHAnsi"/>
                <w:noProof/>
                <w:szCs w:val="24"/>
              </w:rPr>
              <w:t>Reach a specific CO</w:t>
            </w:r>
            <w:r>
              <w:rPr>
                <w:rFonts w:eastAsiaTheme="minorHAnsi"/>
                <w:noProof/>
                <w:szCs w:val="24"/>
                <w:vertAlign w:val="subscript"/>
              </w:rPr>
              <w:t>2</w:t>
            </w:r>
            <w:r>
              <w:rPr>
                <w:rFonts w:eastAsiaTheme="minorHAnsi"/>
                <w:noProof/>
                <w:szCs w:val="24"/>
              </w:rPr>
              <w:t xml:space="preserve"> emissions target level by the target year(s)</w:t>
            </w:r>
          </w:p>
        </w:tc>
        <w:tc>
          <w:tcPr>
            <w:tcW w:w="4281" w:type="dxa"/>
          </w:tcPr>
          <w:p w:rsidR="001A26B0" w:rsidRDefault="00E33A99">
            <w:pPr>
              <w:autoSpaceDE w:val="0"/>
              <w:autoSpaceDN w:val="0"/>
              <w:adjustRightInd w:val="0"/>
              <w:spacing w:after="120"/>
              <w:jc w:val="left"/>
              <w:rPr>
                <w:rFonts w:eastAsiaTheme="minorHAnsi"/>
                <w:noProof/>
                <w:szCs w:val="24"/>
              </w:rPr>
            </w:pPr>
            <w:r>
              <w:rPr>
                <w:rFonts w:eastAsiaTheme="minorHAnsi"/>
                <w:noProof/>
                <w:szCs w:val="24"/>
              </w:rPr>
              <w:t>Compliance of manufacturers with their specific emissions target</w:t>
            </w:r>
            <w:r>
              <w:rPr>
                <w:rFonts w:eastAsiaTheme="minorHAnsi"/>
                <w:noProof/>
                <w:szCs w:val="24"/>
              </w:rPr>
              <w:t xml:space="preserve"> in the target year(s) </w:t>
            </w:r>
          </w:p>
        </w:tc>
      </w:tr>
      <w:tr w:rsidR="001A26B0">
        <w:tc>
          <w:tcPr>
            <w:tcW w:w="4548" w:type="dxa"/>
          </w:tcPr>
          <w:p w:rsidR="001A26B0" w:rsidRDefault="00E33A99">
            <w:pPr>
              <w:autoSpaceDE w:val="0"/>
              <w:autoSpaceDN w:val="0"/>
              <w:adjustRightInd w:val="0"/>
              <w:spacing w:after="120"/>
              <w:jc w:val="left"/>
              <w:rPr>
                <w:rFonts w:eastAsiaTheme="minorHAnsi"/>
                <w:noProof/>
                <w:szCs w:val="24"/>
              </w:rPr>
            </w:pPr>
            <w:r>
              <w:rPr>
                <w:rFonts w:eastAsiaTheme="minorHAnsi"/>
                <w:noProof/>
                <w:szCs w:val="24"/>
              </w:rPr>
              <w:t>Achieve a certain level of deployment of zero/low emission vehicles in a specific year</w:t>
            </w:r>
          </w:p>
        </w:tc>
        <w:tc>
          <w:tcPr>
            <w:tcW w:w="4281" w:type="dxa"/>
          </w:tcPr>
          <w:p w:rsidR="001A26B0" w:rsidRDefault="00E33A99">
            <w:pPr>
              <w:autoSpaceDE w:val="0"/>
              <w:autoSpaceDN w:val="0"/>
              <w:adjustRightInd w:val="0"/>
              <w:spacing w:after="120"/>
              <w:jc w:val="left"/>
              <w:rPr>
                <w:rFonts w:eastAsiaTheme="minorHAnsi"/>
                <w:noProof/>
                <w:szCs w:val="24"/>
              </w:rPr>
            </w:pPr>
            <w:r>
              <w:rPr>
                <w:rFonts w:eastAsiaTheme="minorHAnsi"/>
                <w:noProof/>
                <w:szCs w:val="24"/>
              </w:rPr>
              <w:t>Share of zero/low emission vehicles in that year</w:t>
            </w:r>
          </w:p>
        </w:tc>
      </w:tr>
      <w:tr w:rsidR="001A26B0">
        <w:tc>
          <w:tcPr>
            <w:tcW w:w="4548" w:type="dxa"/>
          </w:tcPr>
          <w:p w:rsidR="001A26B0" w:rsidRDefault="001A26B0">
            <w:pPr>
              <w:autoSpaceDE w:val="0"/>
              <w:autoSpaceDN w:val="0"/>
              <w:adjustRightInd w:val="0"/>
              <w:spacing w:after="120"/>
              <w:jc w:val="left"/>
              <w:rPr>
                <w:rFonts w:eastAsiaTheme="minorHAnsi"/>
                <w:noProof/>
                <w:szCs w:val="24"/>
              </w:rPr>
            </w:pPr>
          </w:p>
        </w:tc>
        <w:tc>
          <w:tcPr>
            <w:tcW w:w="4281" w:type="dxa"/>
          </w:tcPr>
          <w:p w:rsidR="001A26B0" w:rsidRDefault="001A26B0">
            <w:pPr>
              <w:autoSpaceDE w:val="0"/>
              <w:autoSpaceDN w:val="0"/>
              <w:adjustRightInd w:val="0"/>
              <w:spacing w:after="120"/>
              <w:jc w:val="left"/>
              <w:rPr>
                <w:rFonts w:eastAsiaTheme="minorHAnsi"/>
                <w:noProof/>
                <w:szCs w:val="24"/>
              </w:rPr>
            </w:pPr>
          </w:p>
        </w:tc>
      </w:tr>
      <w:tr w:rsidR="001A26B0">
        <w:tc>
          <w:tcPr>
            <w:tcW w:w="4548" w:type="dxa"/>
          </w:tcPr>
          <w:p w:rsidR="001A26B0" w:rsidRDefault="00E33A99">
            <w:pPr>
              <w:autoSpaceDE w:val="0"/>
              <w:autoSpaceDN w:val="0"/>
              <w:adjustRightInd w:val="0"/>
              <w:spacing w:after="120"/>
              <w:jc w:val="left"/>
              <w:rPr>
                <w:rFonts w:eastAsiaTheme="minorHAnsi"/>
                <w:noProof/>
                <w:szCs w:val="24"/>
              </w:rPr>
            </w:pPr>
            <w:r>
              <w:rPr>
                <w:rFonts w:eastAsiaTheme="minorHAnsi"/>
                <w:noProof/>
                <w:szCs w:val="24"/>
              </w:rPr>
              <w:t>Achieve actual CO</w:t>
            </w:r>
            <w:r>
              <w:rPr>
                <w:rFonts w:eastAsiaTheme="minorHAnsi"/>
                <w:noProof/>
                <w:szCs w:val="24"/>
                <w:vertAlign w:val="subscript"/>
              </w:rPr>
              <w:t>2</w:t>
            </w:r>
            <w:r>
              <w:rPr>
                <w:rFonts w:eastAsiaTheme="minorHAnsi"/>
                <w:noProof/>
                <w:szCs w:val="24"/>
              </w:rPr>
              <w:t xml:space="preserve"> emissions reductions without an increase in the "emissions gap"</w:t>
            </w:r>
          </w:p>
        </w:tc>
        <w:tc>
          <w:tcPr>
            <w:tcW w:w="4281" w:type="dxa"/>
          </w:tcPr>
          <w:p w:rsidR="001A26B0" w:rsidRDefault="00E33A99">
            <w:pPr>
              <w:autoSpaceDE w:val="0"/>
              <w:autoSpaceDN w:val="0"/>
              <w:adjustRightInd w:val="0"/>
              <w:spacing w:after="120"/>
              <w:jc w:val="left"/>
              <w:rPr>
                <w:rFonts w:eastAsiaTheme="minorHAnsi"/>
                <w:noProof/>
                <w:szCs w:val="24"/>
              </w:rPr>
            </w:pPr>
            <w:r>
              <w:rPr>
                <w:rFonts w:eastAsiaTheme="minorHAnsi"/>
                <w:noProof/>
                <w:szCs w:val="24"/>
              </w:rPr>
              <w:t>Divergence between real-world emissions and type-approved/reported CO</w:t>
            </w:r>
            <w:r>
              <w:rPr>
                <w:rFonts w:eastAsiaTheme="minorHAnsi"/>
                <w:noProof/>
                <w:szCs w:val="24"/>
                <w:vertAlign w:val="subscript"/>
              </w:rPr>
              <w:t xml:space="preserve">2 </w:t>
            </w:r>
            <w:r>
              <w:rPr>
                <w:rFonts w:eastAsiaTheme="minorHAnsi"/>
                <w:noProof/>
                <w:szCs w:val="24"/>
              </w:rPr>
              <w:t>emissions data</w:t>
            </w:r>
          </w:p>
          <w:p w:rsidR="001A26B0" w:rsidRDefault="00E33A99">
            <w:pPr>
              <w:autoSpaceDE w:val="0"/>
              <w:autoSpaceDN w:val="0"/>
              <w:adjustRightInd w:val="0"/>
              <w:spacing w:after="120"/>
              <w:jc w:val="left"/>
              <w:rPr>
                <w:rFonts w:eastAsiaTheme="minorHAnsi"/>
                <w:noProof/>
                <w:szCs w:val="24"/>
              </w:rPr>
            </w:pPr>
            <w:r>
              <w:rPr>
                <w:rFonts w:eastAsiaTheme="minorHAnsi"/>
                <w:noProof/>
                <w:szCs w:val="24"/>
              </w:rPr>
              <w:t>Deviation between in-service conformity results and type-approved/reported CO</w:t>
            </w:r>
            <w:r>
              <w:rPr>
                <w:rFonts w:eastAsiaTheme="minorHAnsi"/>
                <w:noProof/>
                <w:szCs w:val="24"/>
                <w:vertAlign w:val="subscript"/>
              </w:rPr>
              <w:t>2</w:t>
            </w:r>
            <w:r>
              <w:rPr>
                <w:rFonts w:eastAsiaTheme="minorHAnsi"/>
                <w:noProof/>
                <w:szCs w:val="24"/>
              </w:rPr>
              <w:t xml:space="preserve"> emissions data</w:t>
            </w:r>
          </w:p>
        </w:tc>
      </w:tr>
    </w:tbl>
    <w:p w:rsidR="001A26B0" w:rsidRDefault="001A26B0">
      <w:pPr>
        <w:spacing w:after="120"/>
        <w:rPr>
          <w:rFonts w:asciiTheme="minorHAnsi" w:hAnsiTheme="minorHAnsi"/>
          <w:noProof/>
          <w:szCs w:val="24"/>
        </w:rPr>
      </w:pPr>
    </w:p>
    <w:sectPr w:rsidR="001A26B0">
      <w:headerReference w:type="even" r:id="rId88"/>
      <w:headerReference w:type="default" r:id="rId89"/>
      <w:footerReference w:type="even" r:id="rId90"/>
      <w:footerReference w:type="default" r:id="rId91"/>
      <w:headerReference w:type="first" r:id="rId92"/>
      <w:footerReference w:type="first" r:id="rId93"/>
      <w:pgSz w:w="11906" w:h="16838"/>
      <w:pgMar w:top="1020" w:right="1706" w:bottom="1020" w:left="1587" w:header="601" w:footer="107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26B0" w:rsidRDefault="00E33A99">
      <w:pPr>
        <w:spacing w:after="0"/>
      </w:pPr>
      <w:r>
        <w:separator/>
      </w:r>
    </w:p>
  </w:endnote>
  <w:endnote w:type="continuationSeparator" w:id="0">
    <w:p w:rsidR="001A26B0" w:rsidRDefault="00E33A9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6B0" w:rsidRDefault="001A26B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6B0" w:rsidRDefault="001A26B0">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328905079"/>
      <w:docPartObj>
        <w:docPartGallery w:val="Page Numbers (Bottom of Page)"/>
        <w:docPartUnique/>
      </w:docPartObj>
    </w:sdtPr>
    <w:sdtEndPr>
      <w:rPr>
        <w:noProof/>
      </w:rPr>
    </w:sdtEndPr>
    <w:sdtContent>
      <w:p w:rsidR="001A26B0" w:rsidRDefault="001A26B0">
        <w:pPr>
          <w:pStyle w:val="Footer"/>
          <w:jc w:val="center"/>
          <w:rPr>
            <w:sz w:val="20"/>
          </w:rPr>
        </w:pPr>
      </w:p>
      <w:p w:rsidR="001A26B0" w:rsidRDefault="00E33A99">
        <w:pPr>
          <w:pStyle w:val="Footer"/>
          <w:tabs>
            <w:tab w:val="center" w:pos="4320"/>
            <w:tab w:val="right" w:pos="8640"/>
          </w:tabs>
          <w:ind w:right="-27"/>
          <w:jc w:val="center"/>
          <w:rPr>
            <w:sz w:val="20"/>
          </w:rPr>
        </w:pPr>
        <w:r>
          <w:rPr>
            <w:sz w:val="20"/>
          </w:rPr>
          <w:tab/>
        </w:r>
        <w:r>
          <w:rPr>
            <w:sz w:val="20"/>
          </w:rPr>
          <w:fldChar w:fldCharType="begin"/>
        </w:r>
        <w:r>
          <w:rPr>
            <w:sz w:val="20"/>
          </w:rPr>
          <w:instrText xml:space="preserve"> PAGE   \* MERGEFORMAT </w:instrText>
        </w:r>
        <w:r>
          <w:rPr>
            <w:sz w:val="20"/>
          </w:rPr>
          <w:fldChar w:fldCharType="separate"/>
        </w:r>
        <w:r>
          <w:rPr>
            <w:noProof/>
            <w:sz w:val="20"/>
          </w:rPr>
          <w:t>17</w:t>
        </w:r>
        <w:r>
          <w:rPr>
            <w:noProof/>
            <w:sz w:val="20"/>
          </w:rPr>
          <w:fldChar w:fldCharType="end"/>
        </w:r>
        <w:r>
          <w:rPr>
            <w:noProof/>
            <w:sz w:val="20"/>
          </w:rPr>
          <w:tab/>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6B0" w:rsidRDefault="001A26B0">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6B0" w:rsidRDefault="001A26B0">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547678884"/>
      <w:docPartObj>
        <w:docPartGallery w:val="Page Numbers (Bottom of Page)"/>
        <w:docPartUnique/>
      </w:docPartObj>
    </w:sdtPr>
    <w:sdtEndPr>
      <w:rPr>
        <w:noProof/>
      </w:rPr>
    </w:sdtEndPr>
    <w:sdtContent>
      <w:p w:rsidR="001A26B0" w:rsidRDefault="001A26B0">
        <w:pPr>
          <w:pStyle w:val="Footer"/>
          <w:jc w:val="center"/>
          <w:rPr>
            <w:sz w:val="20"/>
          </w:rPr>
        </w:pPr>
      </w:p>
      <w:p w:rsidR="001A26B0" w:rsidRDefault="00E33A99">
        <w:pPr>
          <w:pStyle w:val="Footer"/>
          <w:tabs>
            <w:tab w:val="right" w:pos="14760"/>
          </w:tabs>
          <w:ind w:right="38"/>
          <w:jc w:val="center"/>
          <w:rPr>
            <w:sz w:val="20"/>
          </w:rPr>
        </w:pPr>
        <w:r>
          <w:rPr>
            <w:sz w:val="20"/>
          </w:rPr>
          <w:fldChar w:fldCharType="begin"/>
        </w:r>
        <w:r>
          <w:rPr>
            <w:sz w:val="20"/>
          </w:rPr>
          <w:instrText xml:space="preserve"> PAGE   \* MERGEFORMAT </w:instrText>
        </w:r>
        <w:r>
          <w:rPr>
            <w:sz w:val="20"/>
          </w:rPr>
          <w:fldChar w:fldCharType="separate"/>
        </w:r>
        <w:r>
          <w:rPr>
            <w:noProof/>
            <w:sz w:val="20"/>
          </w:rPr>
          <w:t>18</w:t>
        </w:r>
        <w:r>
          <w:rPr>
            <w:noProof/>
            <w:sz w:val="20"/>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6B0" w:rsidRDefault="001A26B0">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6B0" w:rsidRDefault="001A26B0">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242998189"/>
      <w:docPartObj>
        <w:docPartGallery w:val="Page Numbers (Bottom of Page)"/>
        <w:docPartUnique/>
      </w:docPartObj>
    </w:sdtPr>
    <w:sdtEndPr>
      <w:rPr>
        <w:noProof/>
      </w:rPr>
    </w:sdtEndPr>
    <w:sdtContent>
      <w:p w:rsidR="001A26B0" w:rsidRDefault="001A26B0">
        <w:pPr>
          <w:pStyle w:val="Footer"/>
          <w:tabs>
            <w:tab w:val="center" w:pos="4320"/>
          </w:tabs>
          <w:jc w:val="center"/>
          <w:rPr>
            <w:sz w:val="20"/>
          </w:rPr>
        </w:pPr>
      </w:p>
      <w:p w:rsidR="001A26B0" w:rsidRDefault="00E33A99">
        <w:pPr>
          <w:pStyle w:val="Footer"/>
          <w:tabs>
            <w:tab w:val="center" w:pos="4320"/>
            <w:tab w:val="right" w:pos="8520"/>
          </w:tabs>
          <w:ind w:right="38"/>
          <w:jc w:val="center"/>
          <w:rPr>
            <w:sz w:val="20"/>
          </w:rPr>
        </w:pPr>
        <w:r>
          <w:rPr>
            <w:sz w:val="20"/>
          </w:rPr>
          <w:tab/>
        </w:r>
        <w:r>
          <w:rPr>
            <w:sz w:val="20"/>
          </w:rPr>
          <w:fldChar w:fldCharType="begin"/>
        </w:r>
        <w:r>
          <w:rPr>
            <w:sz w:val="20"/>
          </w:rPr>
          <w:instrText xml:space="preserve"> PAGE   \* MERGEFORMAT </w:instrText>
        </w:r>
        <w:r>
          <w:rPr>
            <w:sz w:val="20"/>
          </w:rPr>
          <w:fldChar w:fldCharType="separate"/>
        </w:r>
        <w:r>
          <w:rPr>
            <w:noProof/>
            <w:sz w:val="20"/>
          </w:rPr>
          <w:t>169</w:t>
        </w:r>
        <w:r>
          <w:rPr>
            <w:noProof/>
            <w:sz w:val="20"/>
          </w:rPr>
          <w:fldChar w:fldCharType="end"/>
        </w:r>
        <w:r>
          <w:rPr>
            <w:noProof/>
            <w:sz w:val="20"/>
          </w:rPr>
          <w:tab/>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6B0" w:rsidRDefault="001A26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6B0" w:rsidRDefault="00E33A99">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6B0" w:rsidRDefault="001A26B0">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6B0" w:rsidRDefault="001A26B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102173255"/>
      <w:docPartObj>
        <w:docPartGallery w:val="Page Numbers (Bottom of Page)"/>
        <w:docPartUnique/>
      </w:docPartObj>
    </w:sdtPr>
    <w:sdtEndPr>
      <w:rPr>
        <w:noProof/>
      </w:rPr>
    </w:sdtEndPr>
    <w:sdtContent>
      <w:p w:rsidR="001A26B0" w:rsidRDefault="001A26B0">
        <w:pPr>
          <w:pStyle w:val="Footer"/>
          <w:jc w:val="center"/>
          <w:rPr>
            <w:sz w:val="20"/>
          </w:rPr>
        </w:pPr>
      </w:p>
      <w:p w:rsidR="001A26B0" w:rsidRDefault="00E33A99">
        <w:pPr>
          <w:pStyle w:val="Footer"/>
          <w:tabs>
            <w:tab w:val="center" w:pos="4320"/>
            <w:tab w:val="right" w:pos="8640"/>
          </w:tabs>
          <w:ind w:right="-27"/>
          <w:jc w:val="center"/>
          <w:rPr>
            <w:sz w:val="20"/>
          </w:rPr>
        </w:pPr>
        <w:r>
          <w:rPr>
            <w:sz w:val="20"/>
          </w:rPr>
          <w:tab/>
        </w:r>
        <w:r>
          <w:rPr>
            <w:sz w:val="20"/>
          </w:rPr>
          <w:fldChar w:fldCharType="begin"/>
        </w:r>
        <w:r>
          <w:rPr>
            <w:sz w:val="20"/>
          </w:rPr>
          <w:instrText xml:space="preserve"> PAGE   \* MERGEFORMAT </w:instrText>
        </w:r>
        <w:r>
          <w:rPr>
            <w:sz w:val="20"/>
          </w:rPr>
          <w:fldChar w:fldCharType="separate"/>
        </w:r>
        <w:r>
          <w:rPr>
            <w:noProof/>
            <w:sz w:val="20"/>
          </w:rPr>
          <w:t>10</w:t>
        </w:r>
        <w:r>
          <w:rPr>
            <w:noProof/>
            <w:sz w:val="20"/>
          </w:rPr>
          <w:fldChar w:fldCharType="end"/>
        </w:r>
        <w:r>
          <w:rPr>
            <w:noProof/>
            <w:sz w:val="20"/>
          </w:rPr>
          <w:tab/>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6B0" w:rsidRDefault="001A26B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6B0" w:rsidRDefault="001A26B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717389334"/>
      <w:docPartObj>
        <w:docPartGallery w:val="Page Numbers (Bottom of Page)"/>
        <w:docPartUnique/>
      </w:docPartObj>
    </w:sdtPr>
    <w:sdtEndPr>
      <w:rPr>
        <w:noProof/>
      </w:rPr>
    </w:sdtEndPr>
    <w:sdtContent>
      <w:p w:rsidR="001A26B0" w:rsidRDefault="001A26B0">
        <w:pPr>
          <w:pStyle w:val="Footer"/>
          <w:jc w:val="center"/>
          <w:rPr>
            <w:sz w:val="20"/>
          </w:rPr>
        </w:pPr>
      </w:p>
      <w:p w:rsidR="001A26B0" w:rsidRDefault="00E33A99">
        <w:pPr>
          <w:pStyle w:val="Footer"/>
          <w:tabs>
            <w:tab w:val="center" w:pos="4320"/>
            <w:tab w:val="right" w:pos="8640"/>
          </w:tabs>
          <w:ind w:right="-27"/>
          <w:jc w:val="center"/>
          <w:rPr>
            <w:sz w:val="20"/>
          </w:rPr>
        </w:pPr>
        <w:r>
          <w:rPr>
            <w:sz w:val="20"/>
          </w:rPr>
          <w:tab/>
        </w:r>
        <w:r>
          <w:rPr>
            <w:sz w:val="20"/>
          </w:rPr>
          <w:fldChar w:fldCharType="begin"/>
        </w:r>
        <w:r>
          <w:rPr>
            <w:sz w:val="20"/>
          </w:rPr>
          <w:instrText xml:space="preserve"> PAGE   \* MERGEFORMAT </w:instrText>
        </w:r>
        <w:r>
          <w:rPr>
            <w:sz w:val="20"/>
          </w:rPr>
          <w:fldChar w:fldCharType="separate"/>
        </w:r>
        <w:r>
          <w:rPr>
            <w:noProof/>
            <w:sz w:val="20"/>
          </w:rPr>
          <w:t>12</w:t>
        </w:r>
        <w:r>
          <w:rPr>
            <w:noProof/>
            <w:sz w:val="20"/>
          </w:rPr>
          <w:fldChar w:fldCharType="end"/>
        </w:r>
        <w:r>
          <w:rPr>
            <w:noProof/>
            <w:sz w:val="20"/>
          </w:rPr>
          <w:tab/>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6B0" w:rsidRDefault="001A26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26B0" w:rsidRDefault="00E33A99">
      <w:pPr>
        <w:spacing w:after="0"/>
      </w:pPr>
      <w:r>
        <w:separator/>
      </w:r>
    </w:p>
  </w:footnote>
  <w:footnote w:type="continuationSeparator" w:id="0">
    <w:p w:rsidR="001A26B0" w:rsidRDefault="00E33A99">
      <w:pPr>
        <w:spacing w:after="0"/>
      </w:pPr>
      <w:r>
        <w:continuationSeparator/>
      </w:r>
    </w:p>
  </w:footnote>
  <w:footnote w:id="1">
    <w:p w:rsidR="001A26B0" w:rsidRDefault="00E33A99">
      <w:pPr>
        <w:pStyle w:val="FootnoteText"/>
        <w:spacing w:after="120"/>
        <w:rPr>
          <w:lang w:val="en"/>
        </w:rPr>
      </w:pPr>
      <w:r>
        <w:rPr>
          <w:rStyle w:val="FootnoteReference"/>
        </w:rPr>
        <w:footnoteRef/>
      </w:r>
      <w:r>
        <w:t xml:space="preserve"> President Jean-Claude Juncker's State of the Union Address 2017, </w:t>
      </w:r>
      <w:hyperlink r:id="rId1" w:history="1">
        <w:r>
          <w:rPr>
            <w:rStyle w:val="Hyperlink"/>
          </w:rPr>
          <w:t>http://europa.eu/rapid/press-release_SPEECH-17-3165_en.htm</w:t>
        </w:r>
      </w:hyperlink>
      <w:r>
        <w:t xml:space="preserve"> </w:t>
      </w:r>
    </w:p>
  </w:footnote>
  <w:footnote w:id="2">
    <w:p w:rsidR="001A26B0" w:rsidRDefault="00E33A99">
      <w:pPr>
        <w:pStyle w:val="FootnoteText"/>
        <w:spacing w:after="120"/>
      </w:pPr>
      <w:r>
        <w:rPr>
          <w:rStyle w:val="FootnoteReference"/>
        </w:rPr>
        <w:footnoteRef/>
      </w:r>
      <w:r>
        <w:t xml:space="preserve"> </w:t>
      </w:r>
      <w:hyperlink r:id="rId2" w:history="1">
        <w:r>
          <w:rPr>
            <w:rStyle w:val="Hyperlink"/>
          </w:rPr>
          <w:t>https://ec.europa.eu/growth/sectors/automotive_en</w:t>
        </w:r>
      </w:hyperlink>
      <w:r>
        <w:t xml:space="preserve"> </w:t>
      </w:r>
    </w:p>
  </w:footnote>
  <w:footnote w:id="3">
    <w:p w:rsidR="001A26B0" w:rsidRDefault="00E33A99">
      <w:pPr>
        <w:pStyle w:val="FootnoteText"/>
        <w:spacing w:after="120"/>
      </w:pPr>
      <w:r>
        <w:rPr>
          <w:rStyle w:val="FootnoteReference"/>
        </w:rPr>
        <w:footnoteRef/>
      </w:r>
      <w:r>
        <w:t xml:space="preserve"> </w:t>
      </w:r>
      <w:hyperlink r:id="rId3" w:history="1">
        <w:r>
          <w:rPr>
            <w:rStyle w:val="Hyperlink"/>
          </w:rPr>
          <w:t>http://unfccc.int/paris_agreement/items/9485.php</w:t>
        </w:r>
      </w:hyperlink>
      <w:r>
        <w:t xml:space="preserve"> </w:t>
      </w:r>
    </w:p>
  </w:footnote>
  <w:footnote w:id="4">
    <w:p w:rsidR="001A26B0" w:rsidRDefault="00E33A99">
      <w:pPr>
        <w:pStyle w:val="FootnoteText"/>
        <w:spacing w:after="120"/>
      </w:pPr>
      <w:r>
        <w:rPr>
          <w:rStyle w:val="FootnoteReference"/>
        </w:rPr>
        <w:footnoteRef/>
      </w:r>
      <w:r>
        <w:t xml:space="preserve"> Proposal for a Regulation on binding annual greenhouse gas emission reduc</w:t>
      </w:r>
      <w:r>
        <w:t>tions by Member States from 2021 to 2030 for a resilient Energy Union and to meet commitments under the Paris Agreement and amending Regulation No 525/2013 of the European Parliament and the Council on a mechanism for monitoring and reporting greenhouse ga</w:t>
      </w:r>
      <w:r>
        <w:t>s emissions and other information relevant to climate change, COM(2016) 482 final</w:t>
      </w:r>
    </w:p>
  </w:footnote>
  <w:footnote w:id="5">
    <w:p w:rsidR="001A26B0" w:rsidRDefault="00E33A99">
      <w:pPr>
        <w:pStyle w:val="FootnoteText"/>
        <w:spacing w:after="120"/>
      </w:pPr>
      <w:r>
        <w:rPr>
          <w:rStyle w:val="FootnoteReference"/>
        </w:rPr>
        <w:footnoteRef/>
      </w:r>
      <w:r>
        <w:t xml:space="preserve"> Proposal for a Directive of the European Parliament and of the Council amending Directive 2012/27/EU on energy efficiency, COM(2016) 761 final – In this, the Commission has</w:t>
      </w:r>
      <w:r>
        <w:t xml:space="preserve"> proposed an energy efficiency target of 30% for 2030.</w:t>
      </w:r>
    </w:p>
  </w:footnote>
  <w:footnote w:id="6">
    <w:p w:rsidR="001A26B0" w:rsidRDefault="00E33A99">
      <w:pPr>
        <w:pStyle w:val="FootnoteText"/>
        <w:spacing w:after="120"/>
        <w:rPr>
          <w:lang w:val="pt-PT"/>
        </w:rPr>
      </w:pPr>
      <w:r>
        <w:rPr>
          <w:rStyle w:val="FootnoteReference"/>
        </w:rPr>
        <w:footnoteRef/>
      </w:r>
      <w:r>
        <w:rPr>
          <w:lang w:val="pt-PT"/>
        </w:rPr>
        <w:t xml:space="preserve"> COM(2017) 479 final</w:t>
      </w:r>
    </w:p>
  </w:footnote>
  <w:footnote w:id="7">
    <w:p w:rsidR="001A26B0" w:rsidRDefault="00E33A99">
      <w:pPr>
        <w:pStyle w:val="FootnoteText"/>
        <w:spacing w:after="120"/>
        <w:rPr>
          <w:lang w:val="pt-PT"/>
        </w:rPr>
      </w:pPr>
      <w:r>
        <w:rPr>
          <w:rStyle w:val="FootnoteReference"/>
        </w:rPr>
        <w:footnoteRef/>
      </w:r>
      <w:r>
        <w:rPr>
          <w:lang w:val="pt-PT"/>
        </w:rPr>
        <w:t xml:space="preserve"> COM(2017) 283 final</w:t>
      </w:r>
    </w:p>
  </w:footnote>
  <w:footnote w:id="8">
    <w:p w:rsidR="001A26B0" w:rsidRDefault="00E33A99">
      <w:pPr>
        <w:pStyle w:val="FootnoteText"/>
        <w:spacing w:after="120"/>
        <w:rPr>
          <w:lang w:val="pt-PT"/>
        </w:rPr>
      </w:pPr>
      <w:r>
        <w:rPr>
          <w:rStyle w:val="FootnoteReference"/>
        </w:rPr>
        <w:footnoteRef/>
      </w:r>
      <w:r>
        <w:rPr>
          <w:lang w:val="pt-PT"/>
        </w:rPr>
        <w:t xml:space="preserve"> COM(2016) 501 final</w:t>
      </w:r>
    </w:p>
  </w:footnote>
  <w:footnote w:id="9">
    <w:p w:rsidR="001A26B0" w:rsidRDefault="00E33A99">
      <w:pPr>
        <w:pStyle w:val="FootnoteText"/>
        <w:spacing w:after="120"/>
      </w:pPr>
      <w:r>
        <w:rPr>
          <w:rStyle w:val="FootnoteReference"/>
        </w:rPr>
        <w:footnoteRef/>
      </w:r>
      <w:r>
        <w:t xml:space="preserve"> Germany aims to become lead market for electric mobility and has set an objective of 1 million electric vehicles on the road by 2020;</w:t>
      </w:r>
      <w:r>
        <w:t xml:space="preserve"> France aims for 2.4 million electric vehicles on the road by 2023; Poland aims to have 1 million electric vehicles on the road by 2025.</w:t>
      </w:r>
    </w:p>
  </w:footnote>
  <w:footnote w:id="10">
    <w:p w:rsidR="001A26B0" w:rsidRDefault="00E33A99">
      <w:pPr>
        <w:pStyle w:val="FootnoteText"/>
        <w:spacing w:after="120"/>
      </w:pPr>
      <w:r>
        <w:rPr>
          <w:rStyle w:val="FootnoteReference"/>
        </w:rPr>
        <w:footnoteRef/>
      </w:r>
      <w:r>
        <w:t xml:space="preserve"> Commission Staff Working Document (2017), Detailed Assessment of National Policy Frameworks under Directive 2014/94/E</w:t>
      </w:r>
      <w:r>
        <w:t>U. Greece, Malta, Romania, Slovenia, and the UK had not submitted their NPF by the cut-off date of 1 August 2017; data may include electric buses, LDVs and HDVs</w:t>
      </w:r>
    </w:p>
  </w:footnote>
  <w:footnote w:id="11">
    <w:p w:rsidR="001A26B0" w:rsidRDefault="00E33A99">
      <w:pPr>
        <w:pStyle w:val="FootnoteText"/>
        <w:spacing w:after="120"/>
        <w:rPr>
          <w:lang w:val="fr-FR"/>
        </w:rPr>
      </w:pPr>
      <w:r>
        <w:rPr>
          <w:rStyle w:val="FootnoteReference"/>
        </w:rPr>
        <w:footnoteRef/>
      </w:r>
      <w:r>
        <w:rPr>
          <w:lang w:val="fr-FR"/>
        </w:rPr>
        <w:t xml:space="preserve"> Ministère de la Transition écologique et solidaire (2017): Plan Climat, https://www.ecologiqu</w:t>
      </w:r>
      <w:r>
        <w:rPr>
          <w:lang w:val="fr-FR"/>
        </w:rPr>
        <w:t>e-solidaire.gouv.fr/sites/default/files/2017.07.06 - Plan Climat.pdf</w:t>
      </w:r>
    </w:p>
  </w:footnote>
  <w:footnote w:id="12">
    <w:p w:rsidR="001A26B0" w:rsidRDefault="00E33A99">
      <w:pPr>
        <w:pStyle w:val="FootnoteText"/>
        <w:spacing w:after="120"/>
      </w:pPr>
      <w:r>
        <w:rPr>
          <w:rStyle w:val="FootnoteReference"/>
        </w:rPr>
        <w:footnoteRef/>
      </w:r>
      <w:r>
        <w:t xml:space="preserve"> Coalition agreement of the new Dutch government, </w:t>
      </w:r>
      <w:hyperlink r:id="rId4" w:history="1">
        <w:r>
          <w:rPr>
            <w:rStyle w:val="Hyperlink"/>
          </w:rPr>
          <w:t>https://nltimes.nl/2017/10/10/new-dutch-governments-plans-coming-years</w:t>
        </w:r>
      </w:hyperlink>
      <w:r>
        <w:t xml:space="preserve"> </w:t>
      </w:r>
    </w:p>
  </w:footnote>
  <w:footnote w:id="13">
    <w:p w:rsidR="001A26B0" w:rsidRDefault="00E33A99">
      <w:pPr>
        <w:pStyle w:val="FootnoteText"/>
        <w:spacing w:after="120"/>
      </w:pPr>
      <w:r>
        <w:rPr>
          <w:rStyle w:val="FootnoteReference"/>
        </w:rPr>
        <w:footnoteRef/>
      </w:r>
      <w:r>
        <w:t xml:space="preserve"> UK Department for Environment Food &amp; Rural Affairs (2017): UK plan for tackling roadside nitrogen dioxide concentrations, An overview, July 2017, </w:t>
      </w:r>
      <w:hyperlink r:id="rId5" w:history="1">
        <w:r>
          <w:rPr>
            <w:rStyle w:val="Hyperlink"/>
          </w:rPr>
          <w:t>https://www.gov.uk/government/uploads/system/uploads/attachment_data/file/633269/air-quality-plan-overview.pdf</w:t>
        </w:r>
      </w:hyperlink>
      <w:r>
        <w:t xml:space="preserve"> </w:t>
      </w:r>
    </w:p>
  </w:footnote>
  <w:footnote w:id="14">
    <w:p w:rsidR="001A26B0" w:rsidRDefault="00E33A99">
      <w:pPr>
        <w:pStyle w:val="FootnoteText"/>
        <w:spacing w:after="120"/>
        <w:rPr>
          <w:lang w:val="fr-FR"/>
        </w:rPr>
      </w:pPr>
      <w:r>
        <w:rPr>
          <w:rStyle w:val="FootnoteReference"/>
        </w:rPr>
        <w:footnoteRef/>
      </w:r>
      <w:r>
        <w:rPr>
          <w:lang w:val="fr-FR"/>
        </w:rPr>
        <w:t xml:space="preserve"> Mairie de Paris (2017): </w:t>
      </w:r>
      <w:r>
        <w:rPr>
          <w:bCs/>
          <w:lang w:val="fr-FR"/>
        </w:rPr>
        <w:t>Fin des véhicules diesel et</w:t>
      </w:r>
      <w:r>
        <w:rPr>
          <w:bCs/>
          <w:lang w:val="fr-FR"/>
        </w:rPr>
        <w:t xml:space="preserve"> essence: réaction de la Ville de Paris, Communiqué de presse, 12/10/2017, </w:t>
      </w:r>
      <w:hyperlink r:id="rId6" w:history="1">
        <w:r>
          <w:rPr>
            <w:rStyle w:val="Hyperlink"/>
            <w:bCs/>
            <w:lang w:val="fr-FR"/>
          </w:rPr>
          <w:t>https://presse.paris.fr/wp-content</w:t>
        </w:r>
        <w:r>
          <w:rPr>
            <w:rStyle w:val="Hyperlink"/>
            <w:bCs/>
            <w:lang w:val="fr-FR"/>
          </w:rPr>
          <w:t>/uploads/2017/10/Fin-des-v%C3%A9hicules-diesel-et-essence-r%C3%A9action-de-la-Ville-de-Paris.pdf</w:t>
        </w:r>
      </w:hyperlink>
      <w:r>
        <w:rPr>
          <w:bCs/>
          <w:lang w:val="fr-FR"/>
        </w:rPr>
        <w:t xml:space="preserve"> </w:t>
      </w:r>
    </w:p>
  </w:footnote>
  <w:footnote w:id="15">
    <w:p w:rsidR="001A26B0" w:rsidRDefault="00E33A99">
      <w:pPr>
        <w:pStyle w:val="FootnoteText"/>
        <w:spacing w:after="120"/>
      </w:pPr>
      <w:r>
        <w:rPr>
          <w:rStyle w:val="FootnoteReference"/>
        </w:rPr>
        <w:footnoteRef/>
      </w:r>
      <w:r>
        <w:t xml:space="preserve"> BBC (2017): Four major cities move to ban diesel vehicles by 2025, http://www.bbc.com/news/science-environment-38170794</w:t>
      </w:r>
    </w:p>
  </w:footnote>
  <w:footnote w:id="16">
    <w:p w:rsidR="001A26B0" w:rsidRDefault="00E33A99">
      <w:pPr>
        <w:pStyle w:val="FootnoteText"/>
        <w:spacing w:after="120"/>
        <w:rPr>
          <w:lang w:val="en"/>
        </w:rPr>
      </w:pPr>
      <w:r>
        <w:rPr>
          <w:rStyle w:val="FootnoteReference"/>
        </w:rPr>
        <w:footnoteRef/>
      </w:r>
      <w:r>
        <w:t xml:space="preserve"> Reuters (2017): Oxford to become f</w:t>
      </w:r>
      <w:r>
        <w:t xml:space="preserve">irst UK city to ban petrol and diesel cars from center, </w:t>
      </w:r>
      <w:hyperlink r:id="rId7" w:history="1">
        <w:r>
          <w:rPr>
            <w:rStyle w:val="Hyperlink"/>
          </w:rPr>
          <w:t>http:/</w:t>
        </w:r>
        <w:r>
          <w:rPr>
            <w:rStyle w:val="Hyperlink"/>
          </w:rPr>
          <w:t>/www.reuters.com/article/us-britain-autos-oxford/oxford-to-become-first-uk-city-to-ban-petrol-and-diesel-cars-from-center-idUSKBN1CH1IQ?utm_source=34553&amp;utm_medium=partner</w:t>
        </w:r>
      </w:hyperlink>
      <w:r>
        <w:t xml:space="preserve"> </w:t>
      </w:r>
    </w:p>
  </w:footnote>
  <w:footnote w:id="17">
    <w:p w:rsidR="001A26B0" w:rsidRDefault="00E33A99">
      <w:pPr>
        <w:pStyle w:val="FootnoteText"/>
        <w:spacing w:after="120"/>
      </w:pPr>
      <w:r>
        <w:rPr>
          <w:rStyle w:val="FootnoteReference"/>
        </w:rPr>
        <w:footnoteRef/>
      </w:r>
      <w:r>
        <w:t xml:space="preserve"> Commission Regulation (EU) 2017/1151 of 1 June 2017 </w:t>
      </w:r>
    </w:p>
  </w:footnote>
  <w:footnote w:id="18">
    <w:p w:rsidR="001A26B0" w:rsidRDefault="00E33A99">
      <w:pPr>
        <w:pStyle w:val="FootnoteText"/>
        <w:spacing w:after="120"/>
      </w:pPr>
      <w:r>
        <w:rPr>
          <w:rStyle w:val="FootnoteReference"/>
        </w:rPr>
        <w:footnoteRef/>
      </w:r>
      <w:r>
        <w:t xml:space="preserve"> Commission Recommendation </w:t>
      </w:r>
      <w:r>
        <w:t>(EU) 2017/948 of 31 May 2017 on the use of fuel consumption and CO2 emission values type-approved and measured in accordance with the World Harmonised Light Vehicles Test Procedure when making information available for consumers pursuant to Directive 1999/</w:t>
      </w:r>
      <w:r>
        <w:t>94/EC</w:t>
      </w:r>
    </w:p>
  </w:footnote>
  <w:footnote w:id="19">
    <w:p w:rsidR="001A26B0" w:rsidRDefault="00E33A99">
      <w:pPr>
        <w:pStyle w:val="FootnoteText"/>
        <w:spacing w:after="120"/>
      </w:pPr>
      <w:r>
        <w:rPr>
          <w:rStyle w:val="FootnoteReference"/>
        </w:rPr>
        <w:footnoteRef/>
      </w:r>
      <w:r>
        <w:t xml:space="preserve"> Ricardo-AEA and TEPR (2015), Evaluation of Regulations 443/2009 and 510/2011 on the reduction of CO</w:t>
      </w:r>
      <w:r>
        <w:rPr>
          <w:vertAlign w:val="subscript"/>
        </w:rPr>
        <w:t>2</w:t>
      </w:r>
      <w:r>
        <w:t xml:space="preserve"> emissions from light-duty vehicles, available at: </w:t>
      </w:r>
      <w:hyperlink r:id="rId8" w:history="1">
        <w:r>
          <w:rPr>
            <w:rStyle w:val="Hyperlink"/>
          </w:rPr>
          <w:t>https://ec.europa.eu/clima/sites/clima/files/transport/vehicles/docs/evaluation_ldv_co2_regs_en.pdf</w:t>
        </w:r>
      </w:hyperlink>
      <w:r>
        <w:t xml:space="preserve"> </w:t>
      </w:r>
    </w:p>
  </w:footnote>
  <w:footnote w:id="20">
    <w:p w:rsidR="001A26B0" w:rsidRDefault="00E33A99">
      <w:pPr>
        <w:pStyle w:val="FootnoteText"/>
        <w:spacing w:after="120"/>
      </w:pPr>
      <w:r>
        <w:rPr>
          <w:rStyle w:val="FootnoteReference"/>
        </w:rPr>
        <w:footnoteRef/>
      </w:r>
      <w:r>
        <w:t xml:space="preserve"> </w:t>
      </w:r>
      <w:r>
        <w:rPr>
          <w:rFonts w:eastAsiaTheme="minorHAnsi"/>
          <w:szCs w:val="24"/>
        </w:rPr>
        <w:t>COM(2016) 501 final</w:t>
      </w:r>
    </w:p>
  </w:footnote>
  <w:footnote w:id="21">
    <w:p w:rsidR="001A26B0" w:rsidRDefault="00E33A99">
      <w:pPr>
        <w:pStyle w:val="FootnoteText"/>
        <w:spacing w:after="120"/>
      </w:pPr>
      <w:r>
        <w:rPr>
          <w:rStyle w:val="FootnoteReference"/>
        </w:rPr>
        <w:footnoteRef/>
      </w:r>
      <w:r>
        <w:t xml:space="preserve"> Final CO</w:t>
      </w:r>
      <w:r>
        <w:rPr>
          <w:vertAlign w:val="subscript"/>
        </w:rPr>
        <w:t>2</w:t>
      </w:r>
      <w:r>
        <w:t xml:space="preserve"> monitoring data for 2015 (cars), </w:t>
      </w:r>
      <w:hyperlink r:id="rId9" w:history="1">
        <w:r>
          <w:rPr>
            <w:rStyle w:val="Hyperlink"/>
          </w:rPr>
          <w:t>http://www.eea.europa.eu/data-and-maps/data/co2-cars-emission-11</w:t>
        </w:r>
      </w:hyperlink>
      <w:r>
        <w:t xml:space="preserve"> </w:t>
      </w:r>
    </w:p>
  </w:footnote>
  <w:footnote w:id="22">
    <w:p w:rsidR="001A26B0" w:rsidRDefault="00E33A99">
      <w:pPr>
        <w:pStyle w:val="FootnoteText"/>
        <w:spacing w:after="120"/>
      </w:pPr>
      <w:r>
        <w:rPr>
          <w:rStyle w:val="FootnoteReference"/>
        </w:rPr>
        <w:footnoteRef/>
      </w:r>
      <w:r>
        <w:t xml:space="preserve"> This share does not cover the emissions from international shipping, which are not part of the 2020 and 2030 climate and energy targets. </w:t>
      </w:r>
    </w:p>
  </w:footnote>
  <w:footnote w:id="23">
    <w:p w:rsidR="001A26B0" w:rsidRDefault="00E33A99">
      <w:pPr>
        <w:pStyle w:val="FootnoteText"/>
        <w:spacing w:after="120"/>
      </w:pPr>
      <w:r>
        <w:rPr>
          <w:rStyle w:val="FootnoteReference"/>
        </w:rPr>
        <w:footnoteRef/>
      </w:r>
      <w:r>
        <w:t xml:space="preserve"> EEA GHG data viewer (http://www.eea.</w:t>
      </w:r>
      <w:r>
        <w:t>europa.eu/data-and-maps/data/data-viewers/greenhouse-gases-viewer), extracted on 01/09/2017</w:t>
      </w:r>
    </w:p>
  </w:footnote>
  <w:footnote w:id="24">
    <w:p w:rsidR="001A26B0" w:rsidRDefault="00E33A99">
      <w:pPr>
        <w:pStyle w:val="FootnoteText"/>
        <w:spacing w:after="120"/>
      </w:pPr>
      <w:r>
        <w:rPr>
          <w:rStyle w:val="FootnoteReference"/>
        </w:rPr>
        <w:footnoteRef/>
      </w:r>
      <w:r>
        <w:t xml:space="preserve"> EEA (2016): Air quality in Europe - 2016 report. EEA Report No 28/2016, </w:t>
      </w:r>
    </w:p>
  </w:footnote>
  <w:footnote w:id="25">
    <w:p w:rsidR="001A26B0" w:rsidRDefault="00E33A99">
      <w:pPr>
        <w:pStyle w:val="FootnoteText"/>
        <w:spacing w:after="120"/>
      </w:pPr>
      <w:r>
        <w:rPr>
          <w:rStyle w:val="FootnoteReference"/>
        </w:rPr>
        <w:footnoteRef/>
      </w:r>
      <w:r>
        <w:t xml:space="preserve"> Directive 2008/50/EC of the European Parliament and of the Council of 21 May 2008 on am</w:t>
      </w:r>
      <w:r>
        <w:t>bient air quality and cleaner air for Europe, OJ L 152, 11.6.2008, p. 1.</w:t>
      </w:r>
      <w:r>
        <w:rPr>
          <w:color w:val="1F497D"/>
        </w:rPr>
        <w:t xml:space="preserve"> </w:t>
      </w:r>
    </w:p>
  </w:footnote>
  <w:footnote w:id="26">
    <w:p w:rsidR="001A26B0" w:rsidRDefault="00E33A99">
      <w:pPr>
        <w:pStyle w:val="FootnoteText"/>
        <w:spacing w:after="120"/>
      </w:pPr>
      <w:r>
        <w:rPr>
          <w:rStyle w:val="FootnoteReference"/>
        </w:rPr>
        <w:footnoteRef/>
      </w:r>
      <w:r>
        <w:t xml:space="preserve"> </w:t>
      </w:r>
      <w:r>
        <w:rPr>
          <w:rFonts w:eastAsiaTheme="minorHAnsi"/>
        </w:rPr>
        <w:t xml:space="preserve">ICCT (2017): Cities driving diesel out of the European car market, </w:t>
      </w:r>
      <w:hyperlink r:id="rId10" w:history="1">
        <w:r>
          <w:rPr>
            <w:rFonts w:eastAsiaTheme="minorHAnsi"/>
            <w:color w:val="0000FF" w:themeColor="hyperlink"/>
            <w:u w:val="single"/>
          </w:rPr>
          <w:t>http://www.theicct.org/blogs/staff/cities-driving-diesel-out-european-car-market</w:t>
        </w:r>
      </w:hyperlink>
    </w:p>
  </w:footnote>
  <w:footnote w:id="27">
    <w:p w:rsidR="001A26B0" w:rsidRDefault="00E33A99">
      <w:pPr>
        <w:pStyle w:val="FootnoteText"/>
        <w:spacing w:after="120"/>
      </w:pPr>
      <w:r>
        <w:rPr>
          <w:rStyle w:val="FootnoteReference"/>
        </w:rPr>
        <w:footnoteRef/>
      </w:r>
      <w:r>
        <w:t xml:space="preserve"> Monitoring of CO</w:t>
      </w:r>
      <w:r>
        <w:rPr>
          <w:vertAlign w:val="subscript"/>
        </w:rPr>
        <w:t>2</w:t>
      </w:r>
      <w:r>
        <w:t xml:space="preserve"> emissions from passenger cars – Regulation 443/2009: https://www.eea.europa.eu/data-and-maps/data/co2-cars-emission-12/#parentfieldname-title</w:t>
      </w:r>
    </w:p>
  </w:footnote>
  <w:footnote w:id="28">
    <w:p w:rsidR="001A26B0" w:rsidRDefault="00E33A99">
      <w:pPr>
        <w:pStyle w:val="FootnoteText"/>
        <w:spacing w:after="120"/>
      </w:pPr>
      <w:r>
        <w:rPr>
          <w:rStyle w:val="FootnoteReference"/>
        </w:rPr>
        <w:footnoteRef/>
      </w:r>
      <w:r>
        <w:t xml:space="preserve"> European Al</w:t>
      </w:r>
      <w:r>
        <w:t>ternative Fuels Observatory, http://www.eafo.eu/eu#eu_pev_mark_shr_graph_anchor</w:t>
      </w:r>
    </w:p>
  </w:footnote>
  <w:footnote w:id="29">
    <w:p w:rsidR="001A26B0" w:rsidRDefault="00E33A99">
      <w:pPr>
        <w:pStyle w:val="CommentText"/>
        <w:spacing w:after="120"/>
        <w:ind w:left="360" w:hanging="360"/>
      </w:pPr>
      <w:r>
        <w:rPr>
          <w:rStyle w:val="FootnoteReference"/>
        </w:rPr>
        <w:footnoteRef/>
      </w:r>
      <w:r>
        <w:t xml:space="preserve"> Ricardo-AEA (2015): Improvements to the definition of lifetime mileage of light duty vehicles, (</w:t>
      </w:r>
      <w:hyperlink r:id="rId11" w:history="1">
        <w:r>
          <w:rPr>
            <w:rStyle w:val="Hyperlink"/>
          </w:rPr>
          <w:t>https://ec.europa.eu/clima/sites/clima/files/transport/vehicles/docs/ldv_mileage_improvement_en.pdf</w:t>
        </w:r>
      </w:hyperlink>
      <w:r>
        <w:t>)</w:t>
      </w:r>
      <w:r>
        <w:rPr>
          <w:rStyle w:val="Hyperlink"/>
          <w:u w:val="none"/>
        </w:rPr>
        <w:t xml:space="preserve">. </w:t>
      </w:r>
      <w:r>
        <w:t xml:space="preserve">Cars in the European Union are on average 9.7 years old: </w:t>
      </w:r>
      <w:hyperlink r:id="rId12" w:history="1">
        <w:r>
          <w:rPr>
            <w:rStyle w:val="Hyperlink"/>
          </w:rPr>
          <w:t>http://www.acea.be/statistics/tag/category/average-vehicle-age</w:t>
        </w:r>
      </w:hyperlink>
      <w:r>
        <w:rPr>
          <w:rStyle w:val="Hyperlink"/>
        </w:rPr>
        <w:t xml:space="preserve"> </w:t>
      </w:r>
      <w:r>
        <w:t xml:space="preserve"> </w:t>
      </w:r>
    </w:p>
  </w:footnote>
  <w:footnote w:id="30">
    <w:p w:rsidR="001A26B0" w:rsidRDefault="00E33A99">
      <w:pPr>
        <w:pStyle w:val="FootnoteText"/>
        <w:spacing w:after="120"/>
      </w:pPr>
      <w:r>
        <w:rPr>
          <w:rStyle w:val="FootnoteReference"/>
        </w:rPr>
        <w:footnoteRef/>
      </w:r>
      <w:r>
        <w:t xml:space="preserve"> Eurobarometer survey on climate change in 2017 shows that fewer than one in ten citizens (9%) have bought a new car partly for its low fuel consumption, down from 13% in</w:t>
      </w:r>
      <w:r>
        <w:t xml:space="preserve"> 2015. (</w:t>
      </w:r>
      <w:hyperlink r:id="rId13" w:history="1">
        <w:r>
          <w:rPr>
            <w:rStyle w:val="Hyperlink"/>
          </w:rPr>
          <w:t>https://ec.europa.eu/clima/news/eu-citizens-increasingly-concerned-about-climate-change-and-see-econo</w:t>
        </w:r>
        <w:r>
          <w:rPr>
            <w:rStyle w:val="Hyperlink"/>
          </w:rPr>
          <w:t>mic-benefits-taking-action_en</w:t>
        </w:r>
      </w:hyperlink>
      <w:r>
        <w:t>)</w:t>
      </w:r>
    </w:p>
  </w:footnote>
  <w:footnote w:id="31">
    <w:p w:rsidR="001A26B0" w:rsidRDefault="00E33A99">
      <w:pPr>
        <w:pStyle w:val="FootnoteText"/>
        <w:spacing w:after="120"/>
      </w:pPr>
      <w:r>
        <w:rPr>
          <w:rStyle w:val="FootnoteReference"/>
        </w:rPr>
        <w:footnoteRef/>
      </w:r>
      <w:r>
        <w:t xml:space="preserve"> TM Leuven (2016): Data gathering and analysis to improve the understanding of 2nd hand car and LDV markets and implications for the cost effectiveness and social equity of LDV CO</w:t>
      </w:r>
      <w:r>
        <w:rPr>
          <w:vertAlign w:val="subscript"/>
        </w:rPr>
        <w:t>2</w:t>
      </w:r>
      <w:r>
        <w:t xml:space="preserve"> regulations. Final Report, </w:t>
      </w:r>
      <w:hyperlink r:id="rId14" w:history="1">
        <w:r>
          <w:rPr>
            <w:rStyle w:val="Hyperlink"/>
          </w:rPr>
          <w:t>https://ec.europa.eu/clima/sites/clima/files/transport/vehicles/docs/2nd_hand_cars_en.pdf</w:t>
        </w:r>
      </w:hyperlink>
    </w:p>
  </w:footnote>
  <w:footnote w:id="32">
    <w:p w:rsidR="001A26B0" w:rsidRDefault="00E33A99">
      <w:pPr>
        <w:pStyle w:val="FootnoteText"/>
        <w:spacing w:after="120"/>
        <w:ind w:left="426" w:hanging="426"/>
      </w:pPr>
      <w:r>
        <w:rPr>
          <w:rStyle w:val="FootnoteReference"/>
        </w:rPr>
        <w:footnoteRef/>
      </w:r>
      <w:r>
        <w:t xml:space="preserve"> ACEA (2017): Imports of Motor Vehicles, </w:t>
      </w:r>
      <w:hyperlink r:id="rId15" w:history="1">
        <w:r>
          <w:rPr>
            <w:rStyle w:val="Hyperlink"/>
          </w:rPr>
          <w:t>http://www.acea.be/statistics/tag/category/imports-of-motor-vehicles</w:t>
        </w:r>
      </w:hyperlink>
      <w:r>
        <w:t xml:space="preserve"> (accessed 23 June 2017)</w:t>
      </w:r>
    </w:p>
  </w:footnote>
  <w:footnote w:id="33">
    <w:p w:rsidR="001A26B0" w:rsidRDefault="00E33A99">
      <w:pPr>
        <w:pStyle w:val="FootnoteText"/>
        <w:spacing w:after="120"/>
        <w:ind w:left="426" w:hanging="426"/>
      </w:pPr>
      <w:r>
        <w:rPr>
          <w:rStyle w:val="FootnoteReference"/>
        </w:rPr>
        <w:footnoteRef/>
      </w:r>
      <w:r>
        <w:t xml:space="preserve"> Ricardo-AEA and TEPR (2015), Evaluation of Regulations 443/2009 and 510/2011 on the reduction of CO</w:t>
      </w:r>
      <w:r>
        <w:rPr>
          <w:vertAlign w:val="subscript"/>
        </w:rPr>
        <w:t>2</w:t>
      </w:r>
      <w:r>
        <w:t xml:space="preserve"> emissions</w:t>
      </w:r>
      <w:r>
        <w:t xml:space="preserve"> from light-duty vehicles </w:t>
      </w:r>
    </w:p>
  </w:footnote>
  <w:footnote w:id="34">
    <w:p w:rsidR="001A26B0" w:rsidRDefault="00E33A99">
      <w:pPr>
        <w:pStyle w:val="FootnoteText"/>
        <w:spacing w:after="120"/>
        <w:ind w:left="426" w:hanging="426"/>
      </w:pPr>
      <w:r>
        <w:rPr>
          <w:rStyle w:val="FootnoteReference"/>
        </w:rPr>
        <w:footnoteRef/>
      </w:r>
      <w:r>
        <w:t xml:space="preserve"> ACEA (2017): Exports of Motor Vehicles, </w:t>
      </w:r>
      <w:hyperlink r:id="rId16" w:history="1">
        <w:r>
          <w:rPr>
            <w:rStyle w:val="Hyperlink"/>
          </w:rPr>
          <w:t>http://www.acea.be/statistics/tag/category/exports-of-motor-vehicles</w:t>
        </w:r>
      </w:hyperlink>
      <w:r>
        <w:t xml:space="preserve">  (accessed 23 June 2017)</w:t>
      </w:r>
    </w:p>
  </w:footnote>
  <w:footnote w:id="35">
    <w:p w:rsidR="001A26B0" w:rsidRDefault="00E33A99">
      <w:pPr>
        <w:pStyle w:val="FootnoteText"/>
        <w:spacing w:after="120"/>
      </w:pPr>
      <w:r>
        <w:rPr>
          <w:rStyle w:val="FootnoteReference"/>
        </w:rPr>
        <w:footnoteRef/>
      </w:r>
      <w:r>
        <w:t xml:space="preserve"> ICCT (</w:t>
      </w:r>
      <w:r>
        <w:t xml:space="preserve">2017): 2017 Global update light-duty vehicle greenhouse gas and fuel economy standards, </w:t>
      </w:r>
      <w:hyperlink r:id="rId17" w:history="1">
        <w:r>
          <w:rPr>
            <w:rStyle w:val="Hyperlink"/>
          </w:rPr>
          <w:t>http://www.theicct.org/sites/defaul</w:t>
        </w:r>
        <w:r>
          <w:rPr>
            <w:rStyle w:val="Hyperlink"/>
          </w:rPr>
          <w:t>t/files/publications/2017-Global-LDV-Standards-Update_ICCT-Report_23062017_vF.pdf</w:t>
        </w:r>
      </w:hyperlink>
      <w:r>
        <w:t xml:space="preserve">, p. 10 </w:t>
      </w:r>
    </w:p>
  </w:footnote>
  <w:footnote w:id="36">
    <w:p w:rsidR="001A26B0" w:rsidRDefault="00E33A99">
      <w:pPr>
        <w:pStyle w:val="FootnoteText"/>
        <w:spacing w:after="120"/>
      </w:pPr>
      <w:r>
        <w:rPr>
          <w:rStyle w:val="FootnoteReference"/>
        </w:rPr>
        <w:footnoteRef/>
      </w:r>
      <w:r>
        <w:t xml:space="preserve"> CARB (2017): California’s Advanced Clean Cars Midterm Review - Summary Report for the Technical Analysis of the Light Duty Vehicle Standards, </w:t>
      </w:r>
      <w:hyperlink r:id="rId18" w:history="1">
        <w:r>
          <w:rPr>
            <w:rStyle w:val="Hyperlink"/>
          </w:rPr>
          <w:t>https://www.arb.ca.gov/msprog/acc/mtr/acc_mtr_summaryreport.pdf</w:t>
        </w:r>
      </w:hyperlink>
      <w:r>
        <w:t xml:space="preserve"> </w:t>
      </w:r>
    </w:p>
  </w:footnote>
  <w:footnote w:id="37">
    <w:p w:rsidR="001A26B0" w:rsidRDefault="00E33A99">
      <w:pPr>
        <w:pStyle w:val="FootnoteText"/>
        <w:spacing w:after="120"/>
      </w:pPr>
      <w:r>
        <w:rPr>
          <w:rStyle w:val="FootnoteReference"/>
        </w:rPr>
        <w:footnoteRef/>
      </w:r>
      <w:r>
        <w:t xml:space="preserve"> </w:t>
      </w:r>
      <w:hyperlink r:id="rId19" w:history="1">
        <w:r>
          <w:rPr>
            <w:rStyle w:val="Hyperlink"/>
          </w:rPr>
          <w:t>https://www.zevstates.us/</w:t>
        </w:r>
      </w:hyperlink>
      <w:r>
        <w:t xml:space="preserve"> </w:t>
      </w:r>
    </w:p>
  </w:footnote>
  <w:footnote w:id="38">
    <w:p w:rsidR="001A26B0" w:rsidRDefault="00E33A99">
      <w:pPr>
        <w:pStyle w:val="FootnoteText"/>
        <w:spacing w:after="120"/>
      </w:pPr>
      <w:r>
        <w:rPr>
          <w:rStyle w:val="FootnoteReference"/>
        </w:rPr>
        <w:footnoteRef/>
      </w:r>
      <w:r>
        <w:t xml:space="preserve"> </w:t>
      </w:r>
      <w:hyperlink r:id="rId20" w:history="1">
        <w:r>
          <w:rPr>
            <w:rStyle w:val="Hyperlink"/>
          </w:rPr>
          <w:t>http://www.miit.gov.cn/n1146295/n1146557/n1146624/c5824932/content.html</w:t>
        </w:r>
      </w:hyperlink>
      <w:r>
        <w:t xml:space="preserve"> </w:t>
      </w:r>
    </w:p>
  </w:footnote>
  <w:footnote w:id="39">
    <w:p w:rsidR="001A26B0" w:rsidRDefault="00E33A99">
      <w:pPr>
        <w:pStyle w:val="FootnoteText"/>
        <w:spacing w:after="120"/>
        <w:rPr>
          <w:lang w:val="de-DE"/>
        </w:rPr>
      </w:pPr>
      <w:r>
        <w:rPr>
          <w:rStyle w:val="FootnoteReference"/>
        </w:rPr>
        <w:footnoteRef/>
      </w:r>
      <w:r>
        <w:rPr>
          <w:lang w:val="de-DE"/>
        </w:rPr>
        <w:t xml:space="preserve"> EY (2017): Der Pkw-Absatzmarkt China 2009 bis 2016, </w:t>
      </w:r>
      <w:hyperlink r:id="rId21" w:history="1">
        <w:r>
          <w:rPr>
            <w:rStyle w:val="Hyperlink"/>
            <w:lang w:val="de-DE"/>
          </w:rPr>
          <w:t>http://www.ey.com/Publication/vwLUAssets/ey-auto-absatzmarkt-china-2017/$FILE/ey-auto-absatzmarkt-china-2017.pdf</w:t>
        </w:r>
      </w:hyperlink>
      <w:r>
        <w:rPr>
          <w:lang w:val="de-DE"/>
        </w:rPr>
        <w:t xml:space="preserve"> </w:t>
      </w:r>
    </w:p>
  </w:footnote>
  <w:footnote w:id="40">
    <w:p w:rsidR="001A26B0" w:rsidRDefault="00E33A99">
      <w:pPr>
        <w:pStyle w:val="FootnoteText"/>
        <w:spacing w:after="120"/>
        <w:rPr>
          <w:lang w:val="fr-FR"/>
        </w:rPr>
      </w:pPr>
      <w:r>
        <w:rPr>
          <w:rStyle w:val="FootnoteReference"/>
        </w:rPr>
        <w:footnoteRef/>
      </w:r>
      <w:r>
        <w:rPr>
          <w:lang w:val="fr-FR"/>
        </w:rPr>
        <w:t xml:space="preserve"> PSA Group (2017): Chine et Asie du Sud-Est, https://ww</w:t>
      </w:r>
      <w:r>
        <w:rPr>
          <w:lang w:val="fr-FR"/>
        </w:rPr>
        <w:t>w.groupe-psa.com/fr/groupe-automobile/presence-internationale/chine-asie-sud-est/</w:t>
      </w:r>
    </w:p>
  </w:footnote>
  <w:footnote w:id="41">
    <w:p w:rsidR="001A26B0" w:rsidRDefault="00E33A99">
      <w:pPr>
        <w:pStyle w:val="FootnoteText"/>
        <w:spacing w:after="120"/>
        <w:rPr>
          <w:lang w:val="fr-FR"/>
        </w:rPr>
      </w:pPr>
      <w:r>
        <w:rPr>
          <w:rStyle w:val="FootnoteReference"/>
        </w:rPr>
        <w:footnoteRef/>
      </w:r>
      <w:r>
        <w:rPr>
          <w:lang w:val="fr-FR"/>
        </w:rPr>
        <w:t xml:space="preserve"> Roland Berger, Forschungsgesellschaft Kraftfahrwesen mbH Aachen (2017): Study E-mobility Index Q2 2017, June 2017, </w:t>
      </w:r>
      <w:hyperlink r:id="rId22" w:history="1">
        <w:r>
          <w:rPr>
            <w:rStyle w:val="Hyperlink"/>
            <w:lang w:val="fr-FR"/>
          </w:rPr>
          <w:t>https://www.fka.de/consulting/studien/e-mobility-index-2017-q2-e.pdf</w:t>
        </w:r>
      </w:hyperlink>
      <w:r>
        <w:rPr>
          <w:lang w:val="fr-FR"/>
        </w:rPr>
        <w:t xml:space="preserve">  (accessed 18/06/2017)</w:t>
      </w:r>
    </w:p>
  </w:footnote>
  <w:footnote w:id="42">
    <w:p w:rsidR="001A26B0" w:rsidRDefault="00E33A99">
      <w:pPr>
        <w:pStyle w:val="FootnoteText"/>
        <w:spacing w:after="120"/>
      </w:pPr>
      <w:r>
        <w:rPr>
          <w:rStyle w:val="FootnoteReference"/>
        </w:rPr>
        <w:footnoteRef/>
      </w:r>
      <w:r>
        <w:t xml:space="preserve"> ACEA (2017): Decarbonisation of transport – impact on jobs. Stakeholder Meeting organised by the European Commission, DG CLIMA, 26 Jun</w:t>
      </w:r>
      <w:r>
        <w:t>e 2017, Brussels.</w:t>
      </w:r>
    </w:p>
  </w:footnote>
  <w:footnote w:id="43">
    <w:p w:rsidR="001A26B0" w:rsidRDefault="00E33A99">
      <w:pPr>
        <w:pStyle w:val="FootnoteText"/>
        <w:spacing w:after="120"/>
        <w:rPr>
          <w:lang w:val="de-DE"/>
        </w:rPr>
      </w:pPr>
      <w:r>
        <w:rPr>
          <w:rStyle w:val="FootnoteReference"/>
        </w:rPr>
        <w:footnoteRef/>
      </w:r>
      <w:r>
        <w:rPr>
          <w:lang w:val="de-DE"/>
        </w:rPr>
        <w:t xml:space="preserve"> Falck, O. et al. (2017): "Auswirkungen eines Zulassungsverbots für Personenkraftwagen und leichte Nutzfahrzeuge mit Verbrennungsmotoren" ifo Institut, </w:t>
      </w:r>
      <w:hyperlink r:id="rId23" w:history="1">
        <w:r>
          <w:rPr>
            <w:rStyle w:val="Hyperlink"/>
            <w:lang w:val="de-DE"/>
          </w:rPr>
          <w:t>http://www.cesifo-group.de/portal/page/portal/DocBase_Service/studien/Studie-2017-Falck-etal-Zulassungsverbot-Verbrennungsmotoren.pdf</w:t>
        </w:r>
      </w:hyperlink>
      <w:r>
        <w:rPr>
          <w:lang w:val="de-DE"/>
        </w:rPr>
        <w:t xml:space="preserve"> </w:t>
      </w:r>
    </w:p>
  </w:footnote>
  <w:footnote w:id="44">
    <w:p w:rsidR="001A26B0" w:rsidRDefault="00E33A99">
      <w:pPr>
        <w:pStyle w:val="FootnoteText"/>
        <w:spacing w:after="120"/>
        <w:rPr>
          <w:lang w:val="de-DE"/>
        </w:rPr>
      </w:pPr>
      <w:r>
        <w:rPr>
          <w:rStyle w:val="FootnoteReference"/>
        </w:rPr>
        <w:footnoteRef/>
      </w:r>
      <w:r>
        <w:rPr>
          <w:lang w:val="de-DE"/>
        </w:rPr>
        <w:t xml:space="preserve"> See e.g.: 'Mind the Gap, Quantifying Principle-Agent P</w:t>
      </w:r>
      <w:r>
        <w:rPr>
          <w:lang w:val="de-DE"/>
        </w:rPr>
        <w:t xml:space="preserve">roblems in Energy Efficiency', IEA, </w:t>
      </w:r>
      <w:hyperlink r:id="rId24" w:history="1">
        <w:r>
          <w:rPr>
            <w:rStyle w:val="Hyperlink"/>
            <w:lang w:val="de-DE"/>
          </w:rPr>
          <w:t>https://www.iea.org/publications/freepublications/publication/mind_the_gap.pdf</w:t>
        </w:r>
      </w:hyperlink>
      <w:r>
        <w:rPr>
          <w:lang w:val="de-DE"/>
        </w:rPr>
        <w:t>'; 'Market failures and barriers as a basis for</w:t>
      </w:r>
      <w:r>
        <w:rPr>
          <w:lang w:val="de-DE"/>
        </w:rPr>
        <w:t xml:space="preserve"> clean energy policies', Marilyn A Brown, Energy Policy volume 29, issue 14, Nov 2001, pp 1197-1207; Greene, David (2010) Why the market for new passenger cars generally undervalues fuel economy, OECD/ITF Joint Transport Research Centre Discussion Paper, N</w:t>
      </w:r>
      <w:r>
        <w:rPr>
          <w:lang w:val="de-DE"/>
        </w:rPr>
        <w:t>o. 2010-6 (</w:t>
      </w:r>
      <w:hyperlink r:id="rId25" w:history="1">
        <w:r>
          <w:rPr>
            <w:rStyle w:val="Hyperlink"/>
            <w:lang w:val="de-DE"/>
          </w:rPr>
          <w:t>http://dx.doi.org/10.1787/5kmjp68qtm6f-en</w:t>
        </w:r>
      </w:hyperlink>
      <w:r>
        <w:rPr>
          <w:lang w:val="de-DE"/>
        </w:rPr>
        <w:t>)</w:t>
      </w:r>
    </w:p>
  </w:footnote>
  <w:footnote w:id="45">
    <w:p w:rsidR="001A26B0" w:rsidRDefault="00E33A99">
      <w:pPr>
        <w:pStyle w:val="FootnoteText"/>
        <w:spacing w:after="120"/>
      </w:pPr>
      <w:r>
        <w:rPr>
          <w:rStyle w:val="FootnoteReference"/>
        </w:rPr>
        <w:footnoteRef/>
      </w:r>
      <w:r>
        <w:t xml:space="preserve"> CAP HPI Consulting (2016): A study into the fitment and pricing of optional extras onto new motor vehicles in the UK and their resale in the u</w:t>
      </w:r>
      <w:r>
        <w:t xml:space="preserve">sed market. </w:t>
      </w:r>
      <w:hyperlink r:id="rId26" w:history="1">
        <w:r>
          <w:rPr>
            <w:rStyle w:val="Hyperlink"/>
          </w:rPr>
          <w:t>https://ec.europa.eu/clima/sites/clima/files/transport/vehicles/docs/uk_automotive_study_en.pdf</w:t>
        </w:r>
      </w:hyperlink>
    </w:p>
  </w:footnote>
  <w:footnote w:id="46">
    <w:p w:rsidR="001A26B0" w:rsidRDefault="00E33A99">
      <w:pPr>
        <w:pStyle w:val="FootnoteText"/>
        <w:spacing w:after="120"/>
      </w:pPr>
      <w:r>
        <w:rPr>
          <w:rStyle w:val="FootnoteReference"/>
        </w:rPr>
        <w:footnoteRef/>
      </w:r>
      <w:r>
        <w:t xml:space="preserve"> Ricardo Energy &amp; Environment (2016</w:t>
      </w:r>
      <w:r>
        <w:t>): Consideration of light duty vehicle leasing in relation to the cost effectiveness of LDV CO</w:t>
      </w:r>
      <w:r>
        <w:rPr>
          <w:vertAlign w:val="subscript"/>
        </w:rPr>
        <w:t>2</w:t>
      </w:r>
      <w:r>
        <w:t xml:space="preserve"> regulation. (</w:t>
      </w:r>
      <w:hyperlink r:id="rId27" w:history="1">
        <w:r>
          <w:rPr>
            <w:rStyle w:val="Hyperlink"/>
          </w:rPr>
          <w:t>https://ec.europa.eu/clima/sites/clima/file</w:t>
        </w:r>
        <w:r>
          <w:rPr>
            <w:rStyle w:val="Hyperlink"/>
          </w:rPr>
          <w:t>s/transport/vehicles/docs/ldv_leasing_en.pdf</w:t>
        </w:r>
      </w:hyperlink>
      <w:r>
        <w:t>):  "In France and the UK, leased vehicles across most segments and fuel types have significantly lower CO</w:t>
      </w:r>
      <w:r>
        <w:rPr>
          <w:vertAlign w:val="subscript"/>
        </w:rPr>
        <w:t xml:space="preserve">2 </w:t>
      </w:r>
      <w:r>
        <w:t>emissions ratings than the average new vehicle.  However, it is not clear how non-leased company cars pe</w:t>
      </w:r>
      <w:r>
        <w:t>rform in comparison and so it is difficult to draw conclusions. "</w:t>
      </w:r>
    </w:p>
  </w:footnote>
  <w:footnote w:id="47">
    <w:p w:rsidR="001A26B0" w:rsidRDefault="00E33A99">
      <w:pPr>
        <w:pStyle w:val="FootnoteText"/>
        <w:spacing w:after="120"/>
      </w:pPr>
      <w:r>
        <w:rPr>
          <w:rStyle w:val="FootnoteReference"/>
        </w:rPr>
        <w:footnoteRef/>
      </w:r>
      <w:r>
        <w:t xml:space="preserve"> ICCT (2016): Electric vehicles: Literature review of technology costs and carbon emissions, Working Paper 2016-14, </w:t>
      </w:r>
      <w:hyperlink r:id="rId28" w:history="1">
        <w:r>
          <w:rPr>
            <w:rStyle w:val="Hyperlink"/>
          </w:rPr>
          <w:t>http://www.theicct.org/sites/default/files/publications/ICCT_LitRvw_EV-tech-costs_201607.pdf</w:t>
        </w:r>
      </w:hyperlink>
      <w:r>
        <w:t xml:space="preserve"> </w:t>
      </w:r>
    </w:p>
  </w:footnote>
  <w:footnote w:id="48">
    <w:p w:rsidR="001A26B0" w:rsidRDefault="00E33A99">
      <w:pPr>
        <w:pStyle w:val="FootnoteText"/>
        <w:spacing w:after="120"/>
      </w:pPr>
      <w:r>
        <w:rPr>
          <w:rStyle w:val="FootnoteReference"/>
        </w:rPr>
        <w:footnoteRef/>
      </w:r>
      <w:r>
        <w:t xml:space="preserve"> Some studies have suggested that convergence of total cost of ownership for some ZEV may occur by 2020, see, for example</w:t>
      </w:r>
      <w:r>
        <w:rPr>
          <w:u w:val="single"/>
        </w:rPr>
        <w:t xml:space="preserve"> </w:t>
      </w:r>
      <w:r>
        <w:t xml:space="preserve">Element Energy (2016): Low carbon cars in the 2020s. </w:t>
      </w:r>
      <w:r>
        <w:rPr>
          <w:iCs/>
        </w:rPr>
        <w:t xml:space="preserve">Consumer impacts and EU policy implications, </w:t>
      </w:r>
      <w:hyperlink r:id="rId29" w:history="1">
        <w:r>
          <w:rPr>
            <w:rStyle w:val="Hyperlink"/>
            <w:iCs/>
          </w:rPr>
          <w:t>http://www.beuc.eu/publications/beuc-x-2016-121_low_ca</w:t>
        </w:r>
        <w:r>
          <w:rPr>
            <w:rStyle w:val="Hyperlink"/>
            <w:iCs/>
          </w:rPr>
          <w:t>rbon_cars_in_the_2020s-report.pdf</w:t>
        </w:r>
      </w:hyperlink>
      <w:r>
        <w:rPr>
          <w:iCs/>
        </w:rPr>
        <w:t xml:space="preserve"> (04/05/2017)</w:t>
      </w:r>
    </w:p>
  </w:footnote>
  <w:footnote w:id="49">
    <w:p w:rsidR="001A26B0" w:rsidRDefault="00E33A99">
      <w:pPr>
        <w:pStyle w:val="FootnoteText"/>
        <w:spacing w:after="120"/>
      </w:pPr>
      <w:r>
        <w:rPr>
          <w:rStyle w:val="FootnoteReference"/>
        </w:rPr>
        <w:footnoteRef/>
      </w:r>
      <w:r>
        <w:t xml:space="preserve"> Egbue, O.l Long, S. (2012): Barriers to wide spread adoption of electric vehicles: An analysis of consumer attitudes and perceptions, Energy Policy, Vol. 48, p. 717–729, </w:t>
      </w:r>
      <w:hyperlink r:id="rId30" w:history="1">
        <w:r>
          <w:rPr>
            <w:rStyle w:val="Hyperlink"/>
          </w:rPr>
          <w:t>http://dx.doi.org/10.1016/j.enpol.2012.06.009</w:t>
        </w:r>
      </w:hyperlink>
      <w:r>
        <w:t xml:space="preserve"> </w:t>
      </w:r>
    </w:p>
  </w:footnote>
  <w:footnote w:id="50">
    <w:p w:rsidR="001A26B0" w:rsidRDefault="00E33A99">
      <w:pPr>
        <w:pStyle w:val="FootnoteText"/>
        <w:spacing w:after="120"/>
      </w:pPr>
      <w:r>
        <w:rPr>
          <w:rStyle w:val="FootnoteReference"/>
        </w:rPr>
        <w:footnoteRef/>
      </w:r>
      <w:r>
        <w:t xml:space="preserve"> Commission Staff Working Document (2017), Detailed Assessment of National Policy Frameworks under Directive 2014/94/EU.</w:t>
      </w:r>
    </w:p>
  </w:footnote>
  <w:footnote w:id="51">
    <w:p w:rsidR="001A26B0" w:rsidRDefault="00E33A99">
      <w:pPr>
        <w:pStyle w:val="FootnoteText"/>
        <w:spacing w:after="120"/>
      </w:pPr>
      <w:r>
        <w:rPr>
          <w:rStyle w:val="FootnoteReference"/>
        </w:rPr>
        <w:footnoteRef/>
      </w:r>
      <w:r>
        <w:t xml:space="preserve"> Communication from the Commission to the European Parliament</w:t>
      </w:r>
      <w:r>
        <w:t>, the Council, the European Economic and Social Committee and the Committee of the Regions. Towards the broadest use of alternative fuels – an Action Plan on Alternative Fuels Infrastructure under Article 10(6) of Directive 2014/94/EU, including the assess</w:t>
      </w:r>
      <w:r>
        <w:t>ment of national policy frameworks unde rARticle 10(2) of Directive 2014/94/EU.</w:t>
      </w:r>
    </w:p>
  </w:footnote>
  <w:footnote w:id="52">
    <w:p w:rsidR="001A26B0" w:rsidRDefault="00E33A99">
      <w:pPr>
        <w:pStyle w:val="FootnoteText"/>
        <w:spacing w:after="120"/>
      </w:pPr>
      <w:r>
        <w:rPr>
          <w:rStyle w:val="FootnoteReference"/>
        </w:rPr>
        <w:footnoteRef/>
      </w:r>
      <w:r>
        <w:t xml:space="preserve"> European Environment Agency (2016): Electric vehicles in Europe, EEA Report No 20/2016 </w:t>
      </w:r>
    </w:p>
  </w:footnote>
  <w:footnote w:id="53">
    <w:p w:rsidR="001A26B0" w:rsidRDefault="00E33A99">
      <w:pPr>
        <w:pStyle w:val="FootnoteText"/>
        <w:spacing w:after="120"/>
      </w:pPr>
      <w:r>
        <w:rPr>
          <w:rStyle w:val="FootnoteReference"/>
        </w:rPr>
        <w:footnoteRef/>
      </w:r>
      <w:r>
        <w:t xml:space="preserve"> The new Opel Ampera-e has an electric range of 380 km (WLTP) and 520 km (NEDC), source: </w:t>
      </w:r>
      <w:hyperlink r:id="rId31" w:history="1">
        <w:r>
          <w:rPr>
            <w:rStyle w:val="Hyperlink"/>
          </w:rPr>
          <w:t>http://media.opel.com/media/intl/en/opel/vehicles/ampera-e/2017.detail.html/content/Pages/presskits/intl/en/2017/opel/04-21-ampera-e-new-way-of-driving.html</w:t>
        </w:r>
      </w:hyperlink>
      <w:r>
        <w:t xml:space="preserve"> </w:t>
      </w:r>
    </w:p>
  </w:footnote>
  <w:footnote w:id="54">
    <w:p w:rsidR="001A26B0" w:rsidRDefault="00E33A99">
      <w:pPr>
        <w:pStyle w:val="FootnoteText"/>
        <w:spacing w:after="120"/>
      </w:pPr>
      <w:r>
        <w:rPr>
          <w:rStyle w:val="FootnoteReference"/>
        </w:rPr>
        <w:footnoteRef/>
      </w:r>
      <w:r>
        <w:t xml:space="preserve"> Renault offers the new ZOE with a lease contract for the battery, source: </w:t>
      </w:r>
      <w:hyperlink r:id="rId32" w:history="1">
        <w:r>
          <w:rPr>
            <w:rStyle w:val="Hyperlink"/>
          </w:rPr>
          <w:t>https://fr.renault.be/vehicules/vehicules-electriques/zoe.html</w:t>
        </w:r>
      </w:hyperlink>
      <w:r>
        <w:t>.</w:t>
      </w:r>
    </w:p>
  </w:footnote>
  <w:footnote w:id="55">
    <w:p w:rsidR="001A26B0" w:rsidRDefault="00E33A99">
      <w:pPr>
        <w:pStyle w:val="FootnoteText"/>
        <w:spacing w:after="120"/>
      </w:pPr>
      <w:r>
        <w:rPr>
          <w:rStyle w:val="FootnoteReference"/>
        </w:rPr>
        <w:footnoteRef/>
      </w:r>
      <w:r>
        <w:t xml:space="preserve"> </w:t>
      </w:r>
      <w:r>
        <w:tab/>
        <w:t>McKinsey&amp;Company (2017) Electrifying insights: How automakers can drive electrified vehicle sales and profitability  (</w:t>
      </w:r>
      <w:hyperlink r:id="rId33" w:history="1">
        <w:r>
          <w:rPr>
            <w:rStyle w:val="Hyperlink"/>
          </w:rPr>
          <w:t>http://www.mckinsey.com/industries/automotive-and-assembly/our-insights/electrifying-</w:t>
        </w:r>
        <w:r>
          <w:rPr>
            <w:rStyle w:val="Hyperlink"/>
          </w:rPr>
          <w:t>insights-how-automakers-can-drive-electrified-vehicle-sales-and-profitability</w:t>
        </w:r>
      </w:hyperlink>
      <w:r>
        <w:t>)</w:t>
      </w:r>
    </w:p>
  </w:footnote>
  <w:footnote w:id="56">
    <w:p w:rsidR="001A26B0" w:rsidRDefault="00E33A99">
      <w:pPr>
        <w:pStyle w:val="FootnoteText"/>
        <w:spacing w:after="120"/>
      </w:pPr>
      <w:r>
        <w:rPr>
          <w:rStyle w:val="FootnoteReference"/>
        </w:rPr>
        <w:footnoteRef/>
      </w:r>
      <w:r>
        <w:t xml:space="preserve"> France, Germany, Italy, Poland, Spain, United Kingdom</w:t>
      </w:r>
    </w:p>
  </w:footnote>
  <w:footnote w:id="57">
    <w:p w:rsidR="001A26B0" w:rsidRDefault="00E33A99">
      <w:pPr>
        <w:pStyle w:val="FootnoteText"/>
        <w:spacing w:after="120"/>
      </w:pPr>
      <w:r>
        <w:rPr>
          <w:rStyle w:val="FootnoteReference"/>
        </w:rPr>
        <w:footnoteRef/>
      </w:r>
      <w:r>
        <w:t xml:space="preserve"> Thiel, C., Alemanno, A., Scarcella, G, Zubaryeva, A., Pasaoglu, K. (2012): Attitude of European car drivers towards ele</w:t>
      </w:r>
      <w:r>
        <w:t xml:space="preserve">ctric vehicles: a survey, </w:t>
      </w:r>
      <w:hyperlink r:id="rId34" w:history="1">
        <w:r>
          <w:rPr>
            <w:rStyle w:val="Hyperlink"/>
          </w:rPr>
          <w:t>http://publications.jrc.ec.europa.eu/repository/handle/JRC76867</w:t>
        </w:r>
      </w:hyperlink>
    </w:p>
  </w:footnote>
  <w:footnote w:id="58">
    <w:p w:rsidR="001A26B0" w:rsidRDefault="00E33A99">
      <w:pPr>
        <w:pStyle w:val="FootnoteText"/>
      </w:pPr>
      <w:r>
        <w:rPr>
          <w:rStyle w:val="FootnoteReference"/>
        </w:rPr>
        <w:footnoteRef/>
      </w:r>
      <w:r>
        <w:t xml:space="preserve"> Scientific Advice Mechanism (SAM) (2016): Closing the gap between light-duty vehicle</w:t>
      </w:r>
      <w:r>
        <w:t xml:space="preserve"> real-world CO2 emissions and laboratory testing, High Level Group of Scientific Advisors, Scientific Opinion 01, Brussels, 11 November 2016; Zacharof, N., Fontaras, G., Ciuffo, B., Tsiakmakis, S. et al. (2016) Review of in use factors affecting the fuel c</w:t>
      </w:r>
      <w:r>
        <w:t>onsumption and CO</w:t>
      </w:r>
      <w:r>
        <w:rPr>
          <w:vertAlign w:val="subscript"/>
        </w:rPr>
        <w:t>2</w:t>
      </w:r>
      <w:r>
        <w:t xml:space="preserve"> emissions of passenger cars (EUR 27819 EN; doi:10.2790/140640)</w:t>
      </w:r>
    </w:p>
  </w:footnote>
  <w:footnote w:id="59">
    <w:p w:rsidR="001A26B0" w:rsidRDefault="00E33A99">
      <w:pPr>
        <w:pStyle w:val="FootnoteText"/>
        <w:spacing w:after="120"/>
      </w:pPr>
      <w:r>
        <w:rPr>
          <w:rStyle w:val="FootnoteReference"/>
        </w:rPr>
        <w:footnoteRef/>
      </w:r>
      <w:r>
        <w:t xml:space="preserve"> Impact Assessment accompanying the Proposal for a Directive of the European Parliament and of the Council amending Directive 1999/62/EC on the charging of heavy goods vehic</w:t>
      </w:r>
      <w:r>
        <w:t>les for the use of certain infrastructures and Proposal for a Council Directive amending Directive 1999/62/EC on the charging of heavy goods vehicles for the use of certain infrastructures, as regards certain provisions on vehicle taxation, Commission Staf</w:t>
      </w:r>
      <w:r>
        <w:t>f Working Document, SWD(2017) 180 final.</w:t>
      </w:r>
    </w:p>
  </w:footnote>
  <w:footnote w:id="60">
    <w:p w:rsidR="001A26B0" w:rsidRDefault="00E33A99">
      <w:pPr>
        <w:pStyle w:val="FootnoteText"/>
        <w:spacing w:after="120"/>
      </w:pPr>
      <w:r>
        <w:rPr>
          <w:rStyle w:val="FootnoteReference"/>
        </w:rPr>
        <w:footnoteRef/>
      </w:r>
      <w:r>
        <w:t xml:space="preserve">  Commission Regulation (EU) 2017/1151 of 1 June 2017 supplementing Regulation (EC) No 715/2007 </w:t>
      </w:r>
    </w:p>
  </w:footnote>
  <w:footnote w:id="61">
    <w:p w:rsidR="001A26B0" w:rsidRDefault="00E33A99">
      <w:pPr>
        <w:pStyle w:val="FootnoteText"/>
        <w:spacing w:after="120"/>
      </w:pPr>
      <w:r>
        <w:rPr>
          <w:rStyle w:val="FootnoteReference"/>
        </w:rPr>
        <w:footnoteRef/>
      </w:r>
      <w:r>
        <w:t xml:space="preserve"> Commission Implementing Regulation (EU) 2017/1153; Commission Implementing Regulation (EU) 2017/1152 </w:t>
      </w:r>
    </w:p>
  </w:footnote>
  <w:footnote w:id="62">
    <w:p w:rsidR="001A26B0" w:rsidRDefault="00E33A99">
      <w:pPr>
        <w:pStyle w:val="FootnoteText"/>
        <w:spacing w:after="120"/>
      </w:pPr>
      <w:r>
        <w:rPr>
          <w:rStyle w:val="FootnoteReference"/>
        </w:rPr>
        <w:footnoteRef/>
      </w:r>
      <w:r>
        <w:t xml:space="preserve"> Commission </w:t>
      </w:r>
      <w:r>
        <w:t>Delegated Regulation (EU) 2017/1502 of 2 June 2017 amending Annexes I and II to Regulation (EC) No 443/2009, OJ L 221, 26.8.2017, p. 4 and Commission Delegated Regulation (EU) 2017/1499 of 2 June 2017 amending Annexes I and II to Regulation (EU) No 510/201</w:t>
      </w:r>
      <w:r>
        <w:t>1, OJ L 219, 25.8.2017, p. 1</w:t>
      </w:r>
    </w:p>
  </w:footnote>
  <w:footnote w:id="63">
    <w:p w:rsidR="001A26B0" w:rsidRDefault="00E33A99">
      <w:pPr>
        <w:pStyle w:val="FootnoteText"/>
        <w:spacing w:after="120"/>
        <w:ind w:left="284" w:hanging="284"/>
        <w:rPr>
          <w:sz w:val="16"/>
        </w:rPr>
      </w:pPr>
      <w:r>
        <w:rPr>
          <w:rStyle w:val="FootnoteReference"/>
        </w:rPr>
        <w:footnoteRef/>
      </w:r>
      <w:r>
        <w:t xml:space="preserve"> "In carrying out its impact assessment of a 2025 target the Commission will consider the appropriateness of a range of ambition levels/rates of reduction, coherent with the long term climate goals of the EU and the emission r</w:t>
      </w:r>
      <w:r>
        <w:t>eduction trajectory referred to in recital 7 of Regulation (EU) No. xxx/2013. This assessment will cover the range of ambition sought by the European Parliament for a 2025 target in the range of 68g to 78g CO</w:t>
      </w:r>
      <w:r>
        <w:rPr>
          <w:vertAlign w:val="subscript"/>
        </w:rPr>
        <w:t>2</w:t>
      </w:r>
      <w:r>
        <w:t>/km, equivalent to 4-6% reduction per year in r</w:t>
      </w:r>
      <w:r>
        <w:t>elation to the 2020 target." (</w:t>
      </w:r>
      <w:hyperlink r:id="rId35" w:history="1">
        <w:r>
          <w:rPr>
            <w:rStyle w:val="Hyperlink"/>
          </w:rPr>
          <w:t>http://register.consilium.europa.eu/doc/srv?l=EN&amp;f=ST%206642%202014%20ADD%201%20REV%201</w:t>
        </w:r>
      </w:hyperlink>
      <w:r>
        <w:t>)</w:t>
      </w:r>
    </w:p>
  </w:footnote>
  <w:footnote w:id="64">
    <w:p w:rsidR="001A26B0" w:rsidRDefault="00E33A99">
      <w:pPr>
        <w:pStyle w:val="FootnoteText"/>
        <w:spacing w:after="120"/>
      </w:pPr>
      <w:r>
        <w:rPr>
          <w:rStyle w:val="FootnoteReference"/>
        </w:rPr>
        <w:footnoteRef/>
      </w:r>
      <w:r>
        <w:t xml:space="preserve"> The figure shows the evolution over time, relative to the target of 95 g CO</w:t>
      </w:r>
      <w:r>
        <w:rPr>
          <w:vertAlign w:val="subscript"/>
        </w:rPr>
        <w:t>2</w:t>
      </w:r>
      <w:r>
        <w:t>/km NEDC, which applies in 2021 (100%). The future targets will be set in g CO</w:t>
      </w:r>
      <w:r>
        <w:rPr>
          <w:vertAlign w:val="subscript"/>
        </w:rPr>
        <w:t>2</w:t>
      </w:r>
      <w:r>
        <w:t>/km WLTP.</w:t>
      </w:r>
    </w:p>
  </w:footnote>
  <w:footnote w:id="65">
    <w:p w:rsidR="001A26B0" w:rsidRDefault="00E33A99">
      <w:pPr>
        <w:pStyle w:val="FootnoteText"/>
        <w:spacing w:after="120"/>
      </w:pPr>
      <w:r>
        <w:rPr>
          <w:rStyle w:val="FootnoteReference"/>
        </w:rPr>
        <w:footnoteRef/>
      </w:r>
      <w:r>
        <w:t xml:space="preserve"> "In carrying out its impact assessment of a 2025 target, the Commission will consider th</w:t>
      </w:r>
      <w:r>
        <w:t xml:space="preserve">e appropriateness of a range of ambition levels/rates of reduction, coherent with the long term climate goals of the EU and the necessary emission reduction trajectory. This assessment will cover the range of ambition sought by the European Parliament for </w:t>
      </w:r>
      <w:r>
        <w:t>a 2025 target in the range of 105 g to 120 g CO</w:t>
      </w:r>
      <w:r>
        <w:rPr>
          <w:vertAlign w:val="subscript"/>
        </w:rPr>
        <w:t>2</w:t>
      </w:r>
      <w:r>
        <w:t>/km, equivalent to 3-4 % reduction per year in relation to the average 2012 emissions from new light commercial vehicles." (</w:t>
      </w:r>
      <w:hyperlink r:id="rId36" w:history="1">
        <w:r>
          <w:rPr>
            <w:rStyle w:val="Hyperlink"/>
          </w:rPr>
          <w:t>http://register.consilium.europa.eu/doc/srv?l=EN&amp;f=ST%205584%202014%20ADD%201</w:t>
        </w:r>
      </w:hyperlink>
      <w:r>
        <w:t>) The average 2012 emissions from new light commercial vehicles were 180 g CO</w:t>
      </w:r>
      <w:r>
        <w:rPr>
          <w:vertAlign w:val="subscript"/>
        </w:rPr>
        <w:t>2</w:t>
      </w:r>
      <w:r>
        <w:t>/km.</w:t>
      </w:r>
    </w:p>
  </w:footnote>
  <w:footnote w:id="66">
    <w:p w:rsidR="001A26B0" w:rsidRDefault="00E33A99">
      <w:pPr>
        <w:pStyle w:val="FootnoteText"/>
        <w:spacing w:after="120"/>
      </w:pPr>
      <w:r>
        <w:rPr>
          <w:rStyle w:val="FootnoteReference"/>
        </w:rPr>
        <w:footnoteRef/>
      </w:r>
      <w:r>
        <w:t xml:space="preserve"> The figure shows the evolution over time, relative to the target of 147 gCO</w:t>
      </w:r>
      <w:r>
        <w:rPr>
          <w:vertAlign w:val="subscript"/>
        </w:rPr>
        <w:t>2</w:t>
      </w:r>
      <w:r>
        <w:t>/km NEDC</w:t>
      </w:r>
      <w:r>
        <w:t xml:space="preserve"> which applies in 2020-2021 (100%). The future targets will be set in g CO</w:t>
      </w:r>
      <w:r>
        <w:rPr>
          <w:vertAlign w:val="subscript"/>
        </w:rPr>
        <w:t>2</w:t>
      </w:r>
      <w:r>
        <w:t>/km WLTP.</w:t>
      </w:r>
    </w:p>
  </w:footnote>
  <w:footnote w:id="67">
    <w:p w:rsidR="001A26B0" w:rsidRDefault="00E33A99">
      <w:pPr>
        <w:pStyle w:val="FootnoteText"/>
      </w:pPr>
      <w:r>
        <w:rPr>
          <w:rStyle w:val="FootnoteReference"/>
        </w:rPr>
        <w:footnoteRef/>
      </w:r>
      <w:r>
        <w:t xml:space="preserve"> This is defined as "mass of the vehicle, with its fuel tank(s) filled to at least 90 % of its or their capacity/ies, including the mass of the driver, of the fuel and li</w:t>
      </w:r>
      <w:r>
        <w:t>quids, fitted with the standard equipment in accordance with the manufacturer’s specifications and, when they are fitted, the mass of the bodywork, the cabin, the coupling and the spare wheel(s) as well as the tools" (Article 2(4)) of Commission Regulation</w:t>
      </w:r>
      <w:r>
        <w:t xml:space="preserve"> (EU) No 1230/2012 of 12 December 2012 implementing Regulation (EC) No 661/2009 of the European Parliament and of the Council with regard to type-approval requirements for masses and dimensions of motor vehicles and their trailers and amending Directive 20</w:t>
      </w:r>
      <w:r>
        <w:t>07/46/EC of the European Parliament and of the Council)</w:t>
      </w:r>
    </w:p>
  </w:footnote>
  <w:footnote w:id="68">
    <w:p w:rsidR="001A26B0" w:rsidRDefault="00E33A99">
      <w:pPr>
        <w:pStyle w:val="FootnoteText"/>
        <w:spacing w:after="120"/>
      </w:pPr>
      <w:r>
        <w:rPr>
          <w:rStyle w:val="FootnoteReference"/>
        </w:rPr>
        <w:footnoteRef/>
      </w:r>
      <w:r>
        <w:t xml:space="preserve"> In particular, the Commission is requested to review whether "a utility parameter is still needed and whether mass or footprint is the more sustainable utility parameter, in order to establish the C</w:t>
      </w:r>
      <w:r>
        <w:t>O</w:t>
      </w:r>
      <w:r>
        <w:rPr>
          <w:vertAlign w:val="subscript"/>
        </w:rPr>
        <w:t>2</w:t>
      </w:r>
      <w:r>
        <w:t xml:space="preserve"> emissions targets for new passenger cars for the period beyond 2020."</w:t>
      </w:r>
    </w:p>
  </w:footnote>
  <w:footnote w:id="69">
    <w:p w:rsidR="001A26B0" w:rsidRDefault="00E33A99">
      <w:pPr>
        <w:pStyle w:val="FootnoteText"/>
        <w:spacing w:after="120"/>
      </w:pPr>
      <w:r>
        <w:rPr>
          <w:rStyle w:val="FootnoteReference"/>
        </w:rPr>
        <w:footnoteRef/>
      </w:r>
      <w:r>
        <w:t xml:space="preserve"> In this context, the "footprint" of a vehicle is defined as the product of its wheelbase and track width, measured in m².</w:t>
      </w:r>
    </w:p>
  </w:footnote>
  <w:footnote w:id="70">
    <w:p w:rsidR="001A26B0" w:rsidRDefault="00E33A99">
      <w:pPr>
        <w:pStyle w:val="FootnoteText"/>
      </w:pPr>
      <w:r>
        <w:rPr>
          <w:rStyle w:val="FootnoteReference"/>
        </w:rPr>
        <w:footnoteRef/>
      </w:r>
      <w:r>
        <w:t xml:space="preserve"> The WLTP test mass includes the mass in running order as </w:t>
      </w:r>
      <w:r>
        <w:t xml:space="preserve">well as the mass of optional equipment fitted to individual vehicles and the vehicle. By contrast, NEDC tests are based on the reference mass. The WLTP test mass is expected to better reflect the actual mass of the vehicles put on the road. While the test </w:t>
      </w:r>
      <w:r>
        <w:t xml:space="preserve">mass is not yet monitored or reported, this will be the case once the WLTP is being implemented (from 2018 onwards). See also TNO (2016): NEDC – WLTP comparative testing, TNO 2016 R11285,  </w:t>
      </w:r>
      <w:hyperlink r:id="rId37" w:history="1">
        <w:r>
          <w:rPr>
            <w:rStyle w:val="Hyperlink"/>
          </w:rPr>
          <w:t>http://publications.tno.nl/publication/34622355/ZCzWY2/TNO-2016-R11285.pdf</w:t>
        </w:r>
      </w:hyperlink>
    </w:p>
  </w:footnote>
  <w:footnote w:id="71">
    <w:p w:rsidR="001A26B0" w:rsidRDefault="00E33A99">
      <w:pPr>
        <w:pStyle w:val="FootnoteText"/>
        <w:spacing w:after="120"/>
      </w:pPr>
      <w:r>
        <w:rPr>
          <w:rStyle w:val="FootnoteReference"/>
        </w:rPr>
        <w:footnoteRef/>
      </w:r>
      <w:r>
        <w:t xml:space="preserve"> The limit value line is constructed by firstly plotting the (WLTP equivalent of the) CO</w:t>
      </w:r>
      <w:r>
        <w:rPr>
          <w:vertAlign w:val="subscript"/>
        </w:rPr>
        <w:t>2</w:t>
      </w:r>
      <w:r>
        <w:t xml:space="preserve"> emission values for the reference year for all vehicles registered</w:t>
      </w:r>
      <w:r>
        <w:t xml:space="preserve"> in that year as a function of their mass. The slope of the line representing the sales-weighted least squares fit of the plotted points is the "reference slope". For a given target year, the ratio between the average EU-wide fleet emissions in the referen</w:t>
      </w:r>
      <w:r>
        <w:t>ce year and the EU-wide fleet target level in that year is determined. Multiplying the reference slope by that ratio gives the slope of the new limit value curve for the given year and target level. This line reflects an equal reduction effort for all manu</w:t>
      </w:r>
      <w:r>
        <w:t>facturers according to the given utility value.</w:t>
      </w:r>
    </w:p>
  </w:footnote>
  <w:footnote w:id="72">
    <w:p w:rsidR="001A26B0" w:rsidRDefault="00E33A99">
      <w:pPr>
        <w:pStyle w:val="FootnoteText"/>
        <w:spacing w:after="120"/>
      </w:pPr>
      <w:r>
        <w:rPr>
          <w:rStyle w:val="FootnoteReference"/>
        </w:rPr>
        <w:footnoteRef/>
      </w:r>
      <w:r>
        <w:t xml:space="preserve"> Another way of looking at this is that the slope of the limit value function becomes zero (flat limit value curve).</w:t>
      </w:r>
    </w:p>
  </w:footnote>
  <w:footnote w:id="73">
    <w:p w:rsidR="001A26B0" w:rsidRDefault="00E33A99">
      <w:pPr>
        <w:pStyle w:val="FootnoteText"/>
        <w:spacing w:after="120"/>
      </w:pPr>
      <w:r>
        <w:rPr>
          <w:rStyle w:val="FootnoteReference"/>
        </w:rPr>
        <w:footnoteRef/>
      </w:r>
      <w:r>
        <w:t xml:space="preserve"> Those WLTP targets will be derived from the NEDC targets, which will differ between manu</w:t>
      </w:r>
      <w:r>
        <w:t xml:space="preserve">facturers according to the limit value curves defined in the current Regulations (Commission Delegated Regulations (EU) 2017/1502 and (EU) 2017/1499). </w:t>
      </w:r>
    </w:p>
  </w:footnote>
  <w:footnote w:id="74">
    <w:p w:rsidR="001A26B0" w:rsidRDefault="00E33A99">
      <w:pPr>
        <w:pStyle w:val="FootnoteText"/>
        <w:spacing w:after="120"/>
      </w:pPr>
      <w:r>
        <w:rPr>
          <w:rStyle w:val="FootnoteReference"/>
        </w:rPr>
        <w:footnoteRef/>
      </w:r>
      <w:r>
        <w:t xml:space="preserve"> Informal meeting of the Environment and Transport Ministers, 14-15 April 2016 – Information note of th</w:t>
      </w:r>
      <w:r>
        <w:t>e Presidency  (</w:t>
      </w:r>
      <w:hyperlink r:id="rId38" w:history="1">
        <w:r>
          <w:rPr>
            <w:rStyle w:val="Hyperlink"/>
          </w:rPr>
          <w:t>http://data.consilium.europa.eu/doc/document/ST-10203-2016-INIT/en/pdf</w:t>
        </w:r>
      </w:hyperlink>
      <w:r>
        <w:t>)</w:t>
      </w:r>
    </w:p>
  </w:footnote>
  <w:footnote w:id="75">
    <w:p w:rsidR="001A26B0" w:rsidRDefault="00E33A99">
      <w:pPr>
        <w:pStyle w:val="FootnoteText"/>
        <w:spacing w:after="120"/>
        <w:rPr>
          <w:lang w:val="pt-PT"/>
        </w:rPr>
      </w:pPr>
      <w:r>
        <w:rPr>
          <w:rStyle w:val="FootnoteReference"/>
        </w:rPr>
        <w:footnoteRef/>
      </w:r>
      <w:r>
        <w:rPr>
          <w:lang w:val="pt-PT"/>
        </w:rPr>
        <w:t xml:space="preserve"> COM(2017) 283 final</w:t>
      </w:r>
    </w:p>
  </w:footnote>
  <w:footnote w:id="76">
    <w:p w:rsidR="001A26B0" w:rsidRDefault="00E33A99">
      <w:pPr>
        <w:pStyle w:val="FootnoteText"/>
        <w:spacing w:after="120"/>
        <w:rPr>
          <w:lang w:val="pt-PT"/>
        </w:rPr>
      </w:pPr>
      <w:r>
        <w:rPr>
          <w:rStyle w:val="FootnoteReference"/>
        </w:rPr>
        <w:footnoteRef/>
      </w:r>
      <w:r>
        <w:rPr>
          <w:lang w:val="pt-PT"/>
        </w:rPr>
        <w:t xml:space="preserve">  </w:t>
      </w:r>
      <w:r>
        <w:rPr>
          <w:rStyle w:val="Hyperlink"/>
          <w:lang w:val="pt-PT"/>
        </w:rPr>
        <w:t>https://ec.europa.eu/transparency/regdoc/rep/1/2016/EN/1-</w:t>
      </w:r>
      <w:r>
        <w:rPr>
          <w:rStyle w:val="Hyperlink"/>
          <w:lang w:val="pt-PT"/>
        </w:rPr>
        <w:t>2016-501-EN-F1-1.PDF</w:t>
      </w:r>
    </w:p>
  </w:footnote>
  <w:footnote w:id="77">
    <w:p w:rsidR="001A26B0" w:rsidRDefault="00E33A99">
      <w:pPr>
        <w:pStyle w:val="FootnoteText"/>
        <w:spacing w:after="120"/>
      </w:pPr>
      <w:r>
        <w:rPr>
          <w:rStyle w:val="FootnoteReference"/>
        </w:rPr>
        <w:footnoteRef/>
      </w:r>
      <w:r>
        <w:t xml:space="preserve"> </w:t>
      </w:r>
      <w:r>
        <w:tab/>
        <w:t xml:space="preserve">N. Soulopoulos, (2017) When Will Electric Vehicles be Cheaper than Conventional Vehicles? (Bloomberg New Energy Finance) - </w:t>
      </w:r>
      <w:hyperlink r:id="rId39" w:history="1">
        <w:r>
          <w:rPr>
            <w:rStyle w:val="Hyperlink"/>
          </w:rPr>
          <w:t>https://data.bloomberglp.com/bnef/sites/14/2017/06/BNEF_2017_04_12_EV-Price-Parity-Report.pdf</w:t>
        </w:r>
      </w:hyperlink>
    </w:p>
  </w:footnote>
  <w:footnote w:id="78">
    <w:p w:rsidR="001A26B0" w:rsidRDefault="00E33A99">
      <w:pPr>
        <w:pStyle w:val="FootnoteText"/>
        <w:spacing w:after="120"/>
      </w:pPr>
      <w:r>
        <w:rPr>
          <w:rStyle w:val="FootnoteReference"/>
        </w:rPr>
        <w:footnoteRef/>
      </w:r>
      <w:r>
        <w:t xml:space="preserve"> </w:t>
      </w:r>
      <w:r>
        <w:tab/>
        <w:t>OECD/IEA (2017) Global EV Outlook 2017 (</w:t>
      </w:r>
      <w:hyperlink r:id="rId40" w:history="1">
        <w:r>
          <w:rPr>
            <w:rStyle w:val="Hyperlink"/>
          </w:rPr>
          <w:t>https://www.iea.</w:t>
        </w:r>
        <w:r>
          <w:rPr>
            <w:rStyle w:val="Hyperlink"/>
          </w:rPr>
          <w:t>org/publications/freepublications/publication/GlobalEVOutlook2017.pdf</w:t>
        </w:r>
      </w:hyperlink>
      <w:r>
        <w:t>)</w:t>
      </w:r>
    </w:p>
  </w:footnote>
  <w:footnote w:id="79">
    <w:p w:rsidR="001A26B0" w:rsidRDefault="00E33A99">
      <w:pPr>
        <w:pStyle w:val="FootnoteText"/>
        <w:spacing w:after="120"/>
      </w:pPr>
      <w:r>
        <w:rPr>
          <w:rStyle w:val="FootnoteReference"/>
        </w:rPr>
        <w:footnoteRef/>
      </w:r>
      <w:r>
        <w:t xml:space="preserve"> </w:t>
      </w:r>
      <w:r>
        <w:tab/>
      </w:r>
      <w:r>
        <w:t xml:space="preserve">ICCT project that 2015 and 2030 PHEVs will achieve about a 50% cost reduction, BEVs 60% and FCEVs 70% ('Electric Vehicles: Literature review of technology costs and carbon emissions', 2016, </w:t>
      </w:r>
      <w:hyperlink r:id="rId41" w:history="1">
        <w:r>
          <w:rPr>
            <w:rStyle w:val="Hyperlink"/>
          </w:rPr>
          <w:t>http://www.theicct.org/lit-review-ev-tech-costs-co2-emissions-2016</w:t>
        </w:r>
      </w:hyperlink>
      <w:r>
        <w:t xml:space="preserve">). </w:t>
      </w:r>
      <w:r>
        <w:br/>
        <w:t>Bloomberg estimates that battery costs are reducing by 19% per cumulative doubling of manufactured capacity, which means that battery cell prices could more than halve b</w:t>
      </w:r>
      <w:r>
        <w:t xml:space="preserve">etween 2015 and 2025. (When Will Electric Vehicles be Cheaper than Conventional Vehicles? (N. Soulopoulos, Bloomberg New Energy Finance, 2017) </w:t>
      </w:r>
      <w:hyperlink r:id="rId42" w:history="1">
        <w:r>
          <w:rPr>
            <w:rStyle w:val="Hyperlink"/>
          </w:rPr>
          <w:t>htt</w:t>
        </w:r>
        <w:r>
          <w:rPr>
            <w:rStyle w:val="Hyperlink"/>
          </w:rPr>
          <w:t>ps://data.bloomberglp.com/bnef/sites/14/2017/06/BNEF_2017_04_12_EV-Price-Parity-Report.pdf</w:t>
        </w:r>
      </w:hyperlink>
      <w:r>
        <w:t xml:space="preserve"> </w:t>
      </w:r>
    </w:p>
  </w:footnote>
  <w:footnote w:id="80">
    <w:p w:rsidR="001A26B0" w:rsidRDefault="00E33A99">
      <w:pPr>
        <w:pStyle w:val="FootnoteText"/>
        <w:spacing w:after="120"/>
      </w:pPr>
      <w:r>
        <w:rPr>
          <w:rStyle w:val="FootnoteReference"/>
        </w:rPr>
        <w:footnoteRef/>
      </w:r>
      <w:r>
        <w:t xml:space="preserve"> </w:t>
      </w:r>
      <w:r>
        <w:tab/>
        <w:t>N. Soulopoulos, (2017) When Will Electric Vehicles be Cheaper than Conventional Vehicles? (Bloomberg New Energy Finance)</w:t>
      </w:r>
    </w:p>
  </w:footnote>
  <w:footnote w:id="81">
    <w:p w:rsidR="001A26B0" w:rsidRDefault="00E33A99">
      <w:pPr>
        <w:pStyle w:val="FootnoteText"/>
        <w:spacing w:after="120"/>
      </w:pPr>
      <w:r>
        <w:rPr>
          <w:rStyle w:val="FootnoteReference"/>
        </w:rPr>
        <w:footnoteRef/>
      </w:r>
      <w:r>
        <w:t xml:space="preserve"> </w:t>
      </w:r>
      <w:r>
        <w:tab/>
        <w:t>OECD/IEA (2017) Global EV Outlook 201</w:t>
      </w:r>
      <w:r>
        <w:t>7</w:t>
      </w:r>
    </w:p>
  </w:footnote>
  <w:footnote w:id="82">
    <w:p w:rsidR="001A26B0" w:rsidRDefault="00E33A99">
      <w:pPr>
        <w:pStyle w:val="FootnoteText"/>
        <w:spacing w:after="120"/>
      </w:pPr>
      <w:r>
        <w:rPr>
          <w:rStyle w:val="FootnoteReference"/>
        </w:rPr>
        <w:footnoteRef/>
      </w:r>
      <w:r>
        <w:t xml:space="preserve"> </w:t>
      </w:r>
      <w:r>
        <w:tab/>
        <w:t>Bloomberg New Energy Finance (2017) (presentation by Michael Liebreich at the Bloomberg New Energy Finance Global Summit, New York, April 2017) (</w:t>
      </w:r>
      <w:hyperlink r:id="rId43" w:history="1">
        <w:r>
          <w:rPr>
            <w:rStyle w:val="Hyperlink"/>
          </w:rPr>
          <w:t>http</w:t>
        </w:r>
        <w:r>
          <w:rPr>
            <w:rStyle w:val="Hyperlink"/>
          </w:rPr>
          <w:t>s://about.bnef.com/blog/liebreich-state-industry-keynote-bnef-global-summit-2017/</w:t>
        </w:r>
      </w:hyperlink>
      <w:r>
        <w:t>)</w:t>
      </w:r>
    </w:p>
  </w:footnote>
  <w:footnote w:id="83">
    <w:p w:rsidR="001A26B0" w:rsidRDefault="00E33A99">
      <w:pPr>
        <w:pStyle w:val="FootnoteText"/>
        <w:spacing w:after="120"/>
      </w:pPr>
      <w:r>
        <w:rPr>
          <w:rStyle w:val="FootnoteReference"/>
        </w:rPr>
        <w:footnoteRef/>
      </w:r>
      <w:r>
        <w:t xml:space="preserve"> </w:t>
      </w:r>
      <w:r>
        <w:tab/>
        <w:t>Bloomberg New Energy Finance (2017): "Global Trends in Clean Energy and Electric Mobility" (presentation by Michael Liebreich, Berlin, 10 May 2017) (</w:t>
      </w:r>
      <w:hyperlink r:id="rId44" w:history="1">
        <w:r>
          <w:rPr>
            <w:rStyle w:val="Hyperlink"/>
          </w:rPr>
          <w:t>https://www.agora-energiewende.de/fileadmin/Projekte/2017/VAs_sonstige/Clean_Energy_Electric_Mobility/Liebreich_Glob</w:t>
        </w:r>
        <w:r>
          <w:rPr>
            <w:rStyle w:val="Hyperlink"/>
          </w:rPr>
          <w:t>al_Trends_Event_10052017.pdf</w:t>
        </w:r>
      </w:hyperlink>
      <w:r>
        <w:t xml:space="preserve"> ) </w:t>
      </w:r>
    </w:p>
  </w:footnote>
  <w:footnote w:id="84">
    <w:p w:rsidR="001A26B0" w:rsidRDefault="00E33A99">
      <w:pPr>
        <w:pStyle w:val="FootnoteText"/>
        <w:spacing w:after="120"/>
      </w:pPr>
      <w:r>
        <w:rPr>
          <w:rStyle w:val="FootnoteReference"/>
        </w:rPr>
        <w:footnoteRef/>
      </w:r>
      <w:r>
        <w:t xml:space="preserve"> </w:t>
      </w:r>
      <w:r>
        <w:tab/>
        <w:t>Global EV Outlook 2017 (OECD/IEA, 2017) (</w:t>
      </w:r>
      <w:hyperlink r:id="rId45" w:history="1">
        <w:r>
          <w:rPr>
            <w:rStyle w:val="Hyperlink"/>
          </w:rPr>
          <w:t>https://www.iea.org/publications/freepublications/publication/global-ev-ou</w:t>
        </w:r>
        <w:r>
          <w:rPr>
            <w:rStyle w:val="Hyperlink"/>
          </w:rPr>
          <w:t>tlook-2017.html</w:t>
        </w:r>
      </w:hyperlink>
      <w:r>
        <w:t xml:space="preserve"> </w:t>
      </w:r>
    </w:p>
  </w:footnote>
  <w:footnote w:id="85">
    <w:p w:rsidR="001A26B0" w:rsidRDefault="00E33A99">
      <w:pPr>
        <w:pStyle w:val="FootnoteText"/>
        <w:spacing w:after="120"/>
      </w:pPr>
      <w:r>
        <w:rPr>
          <w:rStyle w:val="FootnoteReference"/>
        </w:rPr>
        <w:footnoteRef/>
      </w:r>
      <w:r>
        <w:t xml:space="preserve"> ACEA (2017) Decarbonisation of transport – impact on jobs, stakeholder meeting, Brussels, 26 June 2017 </w:t>
      </w:r>
    </w:p>
  </w:footnote>
  <w:footnote w:id="86">
    <w:p w:rsidR="001A26B0" w:rsidRDefault="00E33A99">
      <w:pPr>
        <w:pStyle w:val="FootnoteText"/>
        <w:spacing w:after="120"/>
      </w:pPr>
      <w:r>
        <w:rPr>
          <w:rStyle w:val="FootnoteReference"/>
        </w:rPr>
        <w:footnoteRef/>
      </w:r>
      <w:r>
        <w:t xml:space="preserve"> </w:t>
      </w:r>
      <w:r>
        <w:tab/>
        <w:t>OECD/IEA (2017), 'Global EV outlook 2017' (Table 2)</w:t>
      </w:r>
    </w:p>
  </w:footnote>
  <w:footnote w:id="87">
    <w:p w:rsidR="001A26B0" w:rsidRDefault="00E33A99">
      <w:pPr>
        <w:pStyle w:val="FootnoteText"/>
        <w:spacing w:after="120"/>
      </w:pPr>
      <w:r>
        <w:rPr>
          <w:rStyle w:val="FootnoteReference"/>
        </w:rPr>
        <w:footnoteRef/>
      </w:r>
      <w:r>
        <w:t xml:space="preserve"> </w:t>
      </w:r>
      <w:hyperlink r:id="rId46" w:history="1">
        <w:r>
          <w:rPr>
            <w:rStyle w:val="Hyperlink"/>
          </w:rPr>
          <w:t>https://www.press.bmwgroup.com/global/article/detail/T0273122EN/bmw-group-announces-next-step-in-electrification-strategy?language=en</w:t>
        </w:r>
      </w:hyperlink>
      <w:r>
        <w:t xml:space="preserve"> </w:t>
      </w:r>
    </w:p>
  </w:footnote>
  <w:footnote w:id="88">
    <w:p w:rsidR="001A26B0" w:rsidRDefault="00E33A99">
      <w:pPr>
        <w:pStyle w:val="FootnoteText"/>
        <w:spacing w:after="120"/>
      </w:pPr>
      <w:r>
        <w:rPr>
          <w:rStyle w:val="FootnoteReference"/>
        </w:rPr>
        <w:footnoteRef/>
      </w:r>
      <w:r>
        <w:t xml:space="preserve"> </w:t>
      </w:r>
      <w:hyperlink r:id="rId47" w:history="1">
        <w:r>
          <w:rPr>
            <w:rStyle w:val="Hyperlink"/>
          </w:rPr>
          <w:t>http://www.manager-magazin.de/unternehmen/autoindustrie/daimler-mehr-als-eine-milliarde-euro-pro-jahr-fuer-elektroautos-a-1117695.html</w:t>
        </w:r>
      </w:hyperlink>
      <w:r>
        <w:t xml:space="preserve"> </w:t>
      </w:r>
    </w:p>
  </w:footnote>
  <w:footnote w:id="89">
    <w:p w:rsidR="001A26B0" w:rsidRDefault="00E33A99">
      <w:pPr>
        <w:pStyle w:val="FootnoteText"/>
        <w:spacing w:after="120"/>
      </w:pPr>
      <w:r>
        <w:rPr>
          <w:rStyle w:val="FootnoteReference"/>
        </w:rPr>
        <w:footnoteRef/>
      </w:r>
      <w:r>
        <w:t xml:space="preserve"> </w:t>
      </w:r>
      <w:r>
        <w:rPr>
          <w:color w:val="548DD4" w:themeColor="text2" w:themeTint="99"/>
          <w:sz w:val="24"/>
        </w:rPr>
        <w:t xml:space="preserve"> </w:t>
      </w:r>
      <w:hyperlink r:id="rId48" w:history="1">
        <w:r>
          <w:rPr>
            <w:rStyle w:val="Hyperlink"/>
          </w:rPr>
          <w:t>http://www.france24.com/en/20170915-renault-nissan-launch-12-zero-emission-models</w:t>
        </w:r>
      </w:hyperlink>
      <w:r>
        <w:rPr>
          <w:color w:val="548DD4" w:themeColor="text2" w:themeTint="99"/>
          <w:sz w:val="24"/>
        </w:rPr>
        <w:t xml:space="preserve"> </w:t>
      </w:r>
    </w:p>
  </w:footnote>
  <w:footnote w:id="90">
    <w:p w:rsidR="001A26B0" w:rsidRDefault="00E33A99">
      <w:pPr>
        <w:pStyle w:val="FootnoteText"/>
        <w:spacing w:after="120"/>
      </w:pPr>
      <w:r>
        <w:rPr>
          <w:rStyle w:val="FootnoteReference"/>
        </w:rPr>
        <w:footnoteRef/>
      </w:r>
      <w:r>
        <w:t xml:space="preserve"> </w:t>
      </w:r>
      <w:hyperlink r:id="rId49" w:history="1">
        <w:r>
          <w:rPr>
            <w:rStyle w:val="Hyperlink"/>
          </w:rPr>
          <w:t>https://www.volkswagen-media-services.com/en/detailpage/-/detail/New-Group-strategy-adopted-Volkswagen-Group-t</w:t>
        </w:r>
        <w:r>
          <w:rPr>
            <w:rStyle w:val="Hyperlink"/>
          </w:rPr>
          <w:t>o-become-a-world-leading-provider-of-sustainable-mobility/view/3681833/7a5bbec13158edd433c6630f5ac445da</w:t>
        </w:r>
      </w:hyperlink>
      <w:r>
        <w:t xml:space="preserve"> </w:t>
      </w:r>
    </w:p>
  </w:footnote>
  <w:footnote w:id="91">
    <w:p w:rsidR="001A26B0" w:rsidRDefault="00E33A99">
      <w:pPr>
        <w:pStyle w:val="FootnoteText"/>
        <w:spacing w:after="120"/>
        <w:rPr>
          <w:lang w:val="en"/>
        </w:rPr>
      </w:pPr>
      <w:r>
        <w:rPr>
          <w:rStyle w:val="FootnoteReference"/>
        </w:rPr>
        <w:footnoteRef/>
      </w:r>
      <w:r>
        <w:t xml:space="preserve"> Volvo Car Group (2017): Volvo Cars to go all electric, (</w:t>
      </w:r>
      <w:hyperlink r:id="rId50" w:history="1">
        <w:r>
          <w:rPr>
            <w:rStyle w:val="Hyperlink"/>
          </w:rPr>
          <w:t>https://www.media.volvocars.com/global/en-gb/media/pressreleases/210058/volvo-cars-to-go-all-electric</w:t>
        </w:r>
      </w:hyperlink>
      <w:r>
        <w:t xml:space="preserve">) </w:t>
      </w:r>
    </w:p>
  </w:footnote>
  <w:footnote w:id="92">
    <w:p w:rsidR="001A26B0" w:rsidRDefault="00E33A99">
      <w:pPr>
        <w:pStyle w:val="FootnoteText"/>
        <w:spacing w:after="120"/>
      </w:pPr>
      <w:r>
        <w:rPr>
          <w:rStyle w:val="FootnoteReference"/>
        </w:rPr>
        <w:footnoteRef/>
      </w:r>
      <w:r>
        <w:t xml:space="preserve"> </w:t>
      </w:r>
      <w:r>
        <w:tab/>
        <w:t>OECD/IEA (2017), 'Global EV outlook 2017'</w:t>
      </w:r>
    </w:p>
  </w:footnote>
  <w:footnote w:id="93">
    <w:p w:rsidR="001A26B0" w:rsidRDefault="00E33A99">
      <w:pPr>
        <w:pStyle w:val="FootnoteText"/>
        <w:spacing w:after="120"/>
      </w:pPr>
      <w:r>
        <w:rPr>
          <w:rStyle w:val="FootnoteReference"/>
        </w:rPr>
        <w:footnoteRef/>
      </w:r>
      <w:r>
        <w:t xml:space="preserve"> European Parliament Recommendation of 4 April 2017 to the Council and the Commission following the inquiry into emission measurements in the automotive sector (</w:t>
      </w:r>
      <w:hyperlink r:id="rId51" w:history="1">
        <w:r>
          <w:rPr>
            <w:rStyle w:val="Hyperlink"/>
          </w:rPr>
          <w:t>http://www.europarl.europa.eu/sides/getDoc.do?pubRef=-//EP//NONSGML+TA+P8-TA-2017-0100+0+DOC+PDF+V0//EN</w:t>
        </w:r>
      </w:hyperlink>
      <w:r>
        <w:t>)</w:t>
      </w:r>
    </w:p>
  </w:footnote>
  <w:footnote w:id="94">
    <w:p w:rsidR="001A26B0" w:rsidRDefault="00E33A99">
      <w:pPr>
        <w:pStyle w:val="FootnoteText"/>
        <w:spacing w:after="120"/>
      </w:pPr>
      <w:r>
        <w:rPr>
          <w:rStyle w:val="FootnoteReference"/>
        </w:rPr>
        <w:footnoteRef/>
      </w:r>
      <w:r>
        <w:t xml:space="preserve"> </w:t>
      </w:r>
      <w:r>
        <w:tab/>
      </w:r>
      <w:hyperlink r:id="rId52" w:history="1">
        <w:r>
          <w:rPr>
            <w:rStyle w:val="Hyperlink"/>
          </w:rPr>
          <w:t>https://www.arb.ca.gov/msprog/zevprog/zevprog.htm</w:t>
        </w:r>
      </w:hyperlink>
      <w:r>
        <w:t xml:space="preserve"> </w:t>
      </w:r>
    </w:p>
  </w:footnote>
  <w:footnote w:id="95">
    <w:p w:rsidR="001A26B0" w:rsidRDefault="00E33A99">
      <w:pPr>
        <w:pStyle w:val="FootnoteText"/>
        <w:spacing w:after="120"/>
      </w:pPr>
      <w:r>
        <w:rPr>
          <w:rStyle w:val="FootnoteReference"/>
        </w:rPr>
        <w:footnoteRef/>
      </w:r>
      <w:r>
        <w:t xml:space="preserve"> </w:t>
      </w:r>
      <w:r>
        <w:tab/>
        <w:t>Con</w:t>
      </w:r>
      <w:r>
        <w:t>necticut, Maine, Maryland, Massachusetts, New Jersey, New York, Oregon, Rhode Island and Vermont.</w:t>
      </w:r>
    </w:p>
  </w:footnote>
  <w:footnote w:id="96">
    <w:p w:rsidR="001A26B0" w:rsidRDefault="00E33A99">
      <w:pPr>
        <w:pStyle w:val="FootnoteText"/>
        <w:spacing w:after="120"/>
      </w:pPr>
      <w:r>
        <w:rPr>
          <w:rStyle w:val="FootnoteReference"/>
        </w:rPr>
        <w:footnoteRef/>
      </w:r>
      <w:r>
        <w:t xml:space="preserve"> </w:t>
      </w:r>
      <w:r>
        <w:tab/>
        <w:t>The mandated new ZEV market shares, which are modelled after California’s approach, are 3.4% in 2018, 6.9% in 2020 and 15.5% in 2025.</w:t>
      </w:r>
    </w:p>
  </w:footnote>
  <w:footnote w:id="97">
    <w:p w:rsidR="001A26B0" w:rsidRDefault="00E33A99">
      <w:pPr>
        <w:pStyle w:val="FootnoteText"/>
        <w:spacing w:after="120"/>
      </w:pPr>
      <w:r>
        <w:rPr>
          <w:rStyle w:val="FootnoteReference"/>
        </w:rPr>
        <w:footnoteRef/>
      </w:r>
      <w:r>
        <w:t xml:space="preserve"> </w:t>
      </w:r>
      <w:hyperlink r:id="rId53" w:history="1">
        <w:r>
          <w:rPr>
            <w:rStyle w:val="Hyperlink"/>
          </w:rPr>
          <w:t>https://www.arb.ca.gov/msprog/zevprog/zevprog.htm</w:t>
        </w:r>
      </w:hyperlink>
    </w:p>
  </w:footnote>
  <w:footnote w:id="98">
    <w:p w:rsidR="001A26B0" w:rsidRDefault="00E33A99">
      <w:pPr>
        <w:pStyle w:val="FootnoteText"/>
        <w:spacing w:after="120"/>
      </w:pPr>
      <w:r>
        <w:rPr>
          <w:rStyle w:val="FootnoteReference"/>
        </w:rPr>
        <w:footnoteRef/>
      </w:r>
      <w:r>
        <w:t xml:space="preserve"> Vergis, S. and Mehta, V. (2012): Technology innovation and policy: a case study of the California ZEV mandate, in: Nillsson, M., Hillman, K., Ricken, A., Mag</w:t>
      </w:r>
      <w:r>
        <w:t>nusson, T.: Paving the road to sustainable transport: governance and innovation in low-carbon vehicles. Abingdon: Routledge</w:t>
      </w:r>
    </w:p>
  </w:footnote>
  <w:footnote w:id="99">
    <w:p w:rsidR="001A26B0" w:rsidRDefault="00E33A99">
      <w:pPr>
        <w:pStyle w:val="FootnoteText"/>
        <w:spacing w:after="120"/>
      </w:pPr>
      <w:r>
        <w:rPr>
          <w:rStyle w:val="FootnoteReference"/>
        </w:rPr>
        <w:footnoteRef/>
      </w:r>
      <w:r>
        <w:t xml:space="preserve"> CARB (2017): California’s Advanced Clean Cars Midterm Review - Summary Report for the Technical Analysis of the Light Duty Vehicle</w:t>
      </w:r>
      <w:r>
        <w:t xml:space="preserve"> Standards, </w:t>
      </w:r>
      <w:hyperlink r:id="rId54" w:history="1">
        <w:r>
          <w:rPr>
            <w:rStyle w:val="Hyperlink"/>
          </w:rPr>
          <w:t>https://www.arb.ca.gov/msprog/acc/mtr/acc_mtr_summaryreport.pdf</w:t>
        </w:r>
      </w:hyperlink>
      <w:r>
        <w:t xml:space="preserve"> </w:t>
      </w:r>
    </w:p>
  </w:footnote>
  <w:footnote w:id="100">
    <w:p w:rsidR="001A26B0" w:rsidRDefault="00E33A99">
      <w:pPr>
        <w:pStyle w:val="FootnoteText"/>
        <w:spacing w:after="120"/>
      </w:pPr>
      <w:r>
        <w:rPr>
          <w:rStyle w:val="FootnoteReference"/>
        </w:rPr>
        <w:footnoteRef/>
      </w:r>
      <w:r>
        <w:t xml:space="preserve"> Reuters (2017): Zero-emission vehicle sales in the U.S., </w:t>
      </w:r>
      <w:hyperlink r:id="rId55" w:history="1">
        <w:r>
          <w:rPr>
            <w:rStyle w:val="Hyperlink"/>
          </w:rPr>
          <w:t>http://fingfx.thomsonreuters.com/gfx/rngs/california-electriccars/010021FJ3JD/index.html</w:t>
        </w:r>
      </w:hyperlink>
      <w:r>
        <w:t xml:space="preserve"> </w:t>
      </w:r>
    </w:p>
  </w:footnote>
  <w:footnote w:id="101">
    <w:p w:rsidR="001A26B0" w:rsidRDefault="00E33A99">
      <w:pPr>
        <w:pStyle w:val="FootnoteText"/>
        <w:spacing w:after="120"/>
      </w:pPr>
      <w:r>
        <w:rPr>
          <w:rStyle w:val="FootnoteReference"/>
        </w:rPr>
        <w:footnoteRef/>
      </w:r>
      <w:r>
        <w:t xml:space="preserve"> EIU (2017): China's new NEV rules, </w:t>
      </w:r>
      <w:hyperlink r:id="rId56" w:history="1">
        <w:r>
          <w:rPr>
            <w:rStyle w:val="Hyperlink"/>
          </w:rPr>
          <w:t>http://www.eiu.com/industry/article/1185390902/chinas-new-nev-rules/2017-05-03</w:t>
        </w:r>
      </w:hyperlink>
    </w:p>
  </w:footnote>
  <w:footnote w:id="102">
    <w:p w:rsidR="001A26B0" w:rsidRDefault="00E33A99">
      <w:pPr>
        <w:pStyle w:val="FootnoteText"/>
      </w:pPr>
      <w:r>
        <w:rPr>
          <w:rStyle w:val="FootnoteReference"/>
        </w:rPr>
        <w:footnoteRef/>
      </w:r>
      <w:r>
        <w:t xml:space="preserve"> </w:t>
      </w:r>
      <w:hyperlink r:id="rId57" w:history="1">
        <w:r>
          <w:rPr>
            <w:rStyle w:val="Hyperlink"/>
          </w:rPr>
          <w:t>http://www.miit.gov.cn/n1146295/n1146557/n1146624/c58249</w:t>
        </w:r>
        <w:r>
          <w:rPr>
            <w:rStyle w:val="Hyperlink"/>
          </w:rPr>
          <w:t>32/content.html</w:t>
        </w:r>
      </w:hyperlink>
      <w:r>
        <w:t xml:space="preserve"> </w:t>
      </w:r>
    </w:p>
  </w:footnote>
  <w:footnote w:id="103">
    <w:p w:rsidR="001A26B0" w:rsidRDefault="00E33A99">
      <w:pPr>
        <w:pStyle w:val="FootnoteText"/>
        <w:spacing w:after="120"/>
        <w:ind w:left="0" w:firstLine="0"/>
      </w:pPr>
      <w:r>
        <w:rPr>
          <w:rStyle w:val="FootnoteReference"/>
        </w:rPr>
        <w:footnoteRef/>
      </w:r>
      <w:r>
        <w:t xml:space="preserve"> SWD (2012)213final</w:t>
      </w:r>
    </w:p>
  </w:footnote>
  <w:footnote w:id="104">
    <w:p w:rsidR="001A26B0" w:rsidRDefault="00E33A99">
      <w:pPr>
        <w:pStyle w:val="FootnoteText"/>
        <w:spacing w:after="120"/>
      </w:pPr>
      <w:r>
        <w:rPr>
          <w:rStyle w:val="FootnoteReference"/>
        </w:rPr>
        <w:footnoteRef/>
      </w:r>
      <w:r>
        <w:t xml:space="preserve"> Element Energy (2016) Towards a European Market for Electro-Mobility (report for Transport &amp; Environment) - </w:t>
      </w:r>
      <w:hyperlink r:id="rId58" w:history="1">
        <w:r>
          <w:rPr>
            <w:rStyle w:val="Hyperlink"/>
          </w:rPr>
          <w:t>https://www.transportenvironment.org/sites/te/files/Towards%20a%20European%20Market%20for%20Electro-Mobility%20report%20by%20Element%20Energy.pdf</w:t>
        </w:r>
      </w:hyperlink>
    </w:p>
  </w:footnote>
  <w:footnote w:id="105">
    <w:p w:rsidR="001A26B0" w:rsidRDefault="00E33A99">
      <w:pPr>
        <w:pStyle w:val="FootnoteText"/>
        <w:spacing w:after="120"/>
      </w:pPr>
      <w:r>
        <w:rPr>
          <w:rStyle w:val="FootnoteReference"/>
        </w:rPr>
        <w:footnoteRef/>
      </w:r>
      <w:r>
        <w:t xml:space="preserve"> N. Lutsey (2017) Integrating electric vehicles within </w:t>
      </w:r>
      <w:r>
        <w:t>U.S. and European efficiency regulations (ICCT Working Paper 2017-07) (</w:t>
      </w:r>
      <w:hyperlink r:id="rId59" w:history="1">
        <w:r>
          <w:rPr>
            <w:rStyle w:val="Hyperlink"/>
          </w:rPr>
          <w:t>http://www.theicct.org/sites/default/files/publications/</w:t>
        </w:r>
        <w:r>
          <w:rPr>
            <w:rStyle w:val="Hyperlink"/>
          </w:rPr>
          <w:t>Integrating-EVs-US-EU_ICCT_Working-Paper_22062017_vF.pdf</w:t>
        </w:r>
      </w:hyperlink>
      <w:r>
        <w:t>)</w:t>
      </w:r>
    </w:p>
  </w:footnote>
  <w:footnote w:id="106">
    <w:p w:rsidR="001A26B0" w:rsidRDefault="00E33A99">
      <w:pPr>
        <w:pStyle w:val="FootnoteText"/>
        <w:spacing w:after="120"/>
      </w:pPr>
      <w:r>
        <w:rPr>
          <w:rStyle w:val="FootnoteReference"/>
        </w:rPr>
        <w:footnoteRef/>
      </w:r>
      <w:r>
        <w:t xml:space="preserve"> This criterion also applies in relation to vans.</w:t>
      </w:r>
    </w:p>
  </w:footnote>
  <w:footnote w:id="107">
    <w:p w:rsidR="001A26B0" w:rsidRDefault="00E33A99">
      <w:pPr>
        <w:pStyle w:val="FootnoteText"/>
        <w:spacing w:after="120"/>
        <w:rPr>
          <w:lang w:val="pt-PT"/>
        </w:rPr>
      </w:pPr>
      <w:r>
        <w:rPr>
          <w:rStyle w:val="FootnoteReference"/>
        </w:rPr>
        <w:footnoteRef/>
      </w:r>
      <w:r>
        <w:rPr>
          <w:lang w:val="pt-PT"/>
        </w:rPr>
        <w:t xml:space="preserve"> </w:t>
      </w:r>
      <w:r>
        <w:rPr>
          <w:szCs w:val="24"/>
          <w:lang w:val="pt-PT"/>
        </w:rPr>
        <w:t>SWD(2012) 213 final</w:t>
      </w:r>
    </w:p>
  </w:footnote>
  <w:footnote w:id="108">
    <w:p w:rsidR="001A26B0" w:rsidRDefault="00E33A99">
      <w:pPr>
        <w:pStyle w:val="FootnoteText"/>
        <w:rPr>
          <w:lang w:val="pt-PT"/>
        </w:rPr>
      </w:pPr>
      <w:r>
        <w:rPr>
          <w:rStyle w:val="FootnoteReference"/>
        </w:rPr>
        <w:footnoteRef/>
      </w:r>
      <w:r>
        <w:rPr>
          <w:lang w:val="pt-PT"/>
        </w:rPr>
        <w:t xml:space="preserve"> Implementing Regulations (EU) No 725/2011 and (EU) No 427/2014.</w:t>
      </w:r>
    </w:p>
  </w:footnote>
  <w:footnote w:id="109">
    <w:p w:rsidR="001A26B0" w:rsidRDefault="00E33A99">
      <w:pPr>
        <w:pStyle w:val="FootnoteText"/>
        <w:spacing w:after="120"/>
      </w:pPr>
      <w:r>
        <w:rPr>
          <w:rStyle w:val="FootnoteReference"/>
        </w:rPr>
        <w:footnoteRef/>
      </w:r>
      <w:r>
        <w:t xml:space="preserve"> COM(2007) 22 final. </w:t>
      </w:r>
      <w:r>
        <w:rPr>
          <w:color w:val="000000" w:themeColor="text1"/>
        </w:rPr>
        <w:t xml:space="preserve">The measures listed under the </w:t>
      </w:r>
      <w:r>
        <w:rPr>
          <w:color w:val="000000" w:themeColor="text1"/>
        </w:rPr>
        <w:t>"integrated approach" should represent an additional 10 g CO</w:t>
      </w:r>
      <w:r>
        <w:rPr>
          <w:color w:val="000000" w:themeColor="text1"/>
          <w:vertAlign w:val="subscript"/>
        </w:rPr>
        <w:t>2</w:t>
      </w:r>
      <w:r>
        <w:rPr>
          <w:color w:val="000000" w:themeColor="text1"/>
        </w:rPr>
        <w:t>/km reduction with a view to bringing the EU fleet average emissions to a level of 120g CO</w:t>
      </w:r>
      <w:r>
        <w:rPr>
          <w:color w:val="000000" w:themeColor="text1"/>
          <w:vertAlign w:val="subscript"/>
        </w:rPr>
        <w:t xml:space="preserve">2 </w:t>
      </w:r>
      <w:r>
        <w:rPr>
          <w:color w:val="000000" w:themeColor="text1"/>
        </w:rPr>
        <w:t>/km.</w:t>
      </w:r>
    </w:p>
  </w:footnote>
  <w:footnote w:id="110">
    <w:p w:rsidR="001A26B0" w:rsidRDefault="00E33A99">
      <w:pPr>
        <w:pStyle w:val="FootnoteText"/>
        <w:spacing w:after="120"/>
      </w:pPr>
      <w:r>
        <w:rPr>
          <w:rStyle w:val="FootnoteReference"/>
        </w:rPr>
        <w:footnoteRef/>
      </w:r>
      <w:r>
        <w:t xml:space="preserve"> </w:t>
      </w:r>
      <w:r>
        <w:rPr>
          <w:color w:val="000000" w:themeColor="text1"/>
        </w:rPr>
        <w:t>Article 1 and Article 12(2)(c) of the Cars and Vans Regulations</w:t>
      </w:r>
    </w:p>
  </w:footnote>
  <w:footnote w:id="111">
    <w:p w:rsidR="001A26B0" w:rsidRDefault="00E33A99">
      <w:pPr>
        <w:pStyle w:val="FootnoteText"/>
        <w:spacing w:after="120"/>
      </w:pPr>
      <w:r>
        <w:rPr>
          <w:rStyle w:val="FootnoteReference"/>
        </w:rPr>
        <w:footnoteRef/>
      </w:r>
      <w:r>
        <w:t xml:space="preserve"> Ricardo-AEA and TEPR (2015), E</w:t>
      </w:r>
      <w:r>
        <w:t>valuation of Regulations 443/2009 and 510/2011 on the reduction of CO</w:t>
      </w:r>
      <w:r>
        <w:rPr>
          <w:vertAlign w:val="subscript"/>
        </w:rPr>
        <w:t>2</w:t>
      </w:r>
      <w:r>
        <w:t xml:space="preserve"> emissions from light-duty vehicles; CE Delft and TNO (2017) Assessment of the Modalities for LDV CO</w:t>
      </w:r>
      <w:r>
        <w:rPr>
          <w:vertAlign w:val="subscript"/>
        </w:rPr>
        <w:t>2</w:t>
      </w:r>
      <w:r>
        <w:t xml:space="preserve"> Regulations beyond 2020, report for the European Commission (DG CLIMA)</w:t>
      </w:r>
    </w:p>
  </w:footnote>
  <w:footnote w:id="112">
    <w:p w:rsidR="001A26B0" w:rsidRDefault="00E33A99">
      <w:pPr>
        <w:pStyle w:val="FootnoteText"/>
        <w:spacing w:after="120"/>
      </w:pPr>
      <w:r>
        <w:rPr>
          <w:rStyle w:val="FootnoteReference"/>
        </w:rPr>
        <w:footnoteRef/>
      </w:r>
      <w:r>
        <w:t xml:space="preserve"> JRC (2016):</w:t>
      </w:r>
      <w:r>
        <w:t xml:space="preserve"> Review of in use factors affecting the fuel consumption and CO</w:t>
      </w:r>
      <w:r>
        <w:rPr>
          <w:vertAlign w:val="subscript"/>
        </w:rPr>
        <w:t>2</w:t>
      </w:r>
      <w:r>
        <w:t xml:space="preserve"> emissions of passenger cars, </w:t>
      </w:r>
      <w:hyperlink r:id="rId60" w:history="1">
        <w:r>
          <w:rPr>
            <w:rStyle w:val="Hyperlink"/>
          </w:rPr>
          <w:t>https://ec.europa.eu/jrc/en/publication/eur-scientific-and-technical-research-reports/review-use-factors-affecting-fuel-consumption-and-co2-emissions-passenger-cars</w:t>
        </w:r>
      </w:hyperlink>
      <w:r>
        <w:t xml:space="preserve"> </w:t>
      </w:r>
    </w:p>
  </w:footnote>
  <w:footnote w:id="113">
    <w:p w:rsidR="001A26B0" w:rsidRDefault="00E33A99">
      <w:pPr>
        <w:pStyle w:val="FootnoteText"/>
        <w:spacing w:after="120"/>
      </w:pPr>
      <w:r>
        <w:rPr>
          <w:rStyle w:val="FootnoteReference"/>
        </w:rPr>
        <w:footnoteRef/>
      </w:r>
      <w:r>
        <w:t xml:space="preserve"> Hill, N., Walker, E., Beevor, J., James, K. (2011), ‘2011 Guidelines </w:t>
      </w:r>
      <w:r>
        <w:t>to Defra/DECC’s GHG Conversion Factors for Company Reporting, Defra PB13625, UK.</w:t>
      </w:r>
    </w:p>
  </w:footnote>
  <w:footnote w:id="114">
    <w:p w:rsidR="001A26B0" w:rsidRDefault="00E33A99">
      <w:pPr>
        <w:pStyle w:val="FootnoteText"/>
        <w:spacing w:after="120"/>
      </w:pPr>
      <w:r>
        <w:rPr>
          <w:rStyle w:val="FootnoteReference"/>
        </w:rPr>
        <w:footnoteRef/>
      </w:r>
      <w:r>
        <w:t xml:space="preserve"> JRC (2016): Review of in use factors affecting the fuel consumption and CO</w:t>
      </w:r>
      <w:r>
        <w:rPr>
          <w:vertAlign w:val="subscript"/>
        </w:rPr>
        <w:t>2</w:t>
      </w:r>
      <w:r>
        <w:t xml:space="preserve"> emissions of passenger cars, </w:t>
      </w:r>
      <w:hyperlink r:id="rId61" w:history="1">
        <w:r>
          <w:rPr>
            <w:rStyle w:val="Hyperlink"/>
          </w:rPr>
          <w:t>https://ec.europa.eu/jrc/en/publication/eur-scientific-and-technical-research-reports/review-use-factors-affecting-fuel-consumption-and-co2-emi</w:t>
        </w:r>
        <w:r>
          <w:rPr>
            <w:rStyle w:val="Hyperlink"/>
          </w:rPr>
          <w:t>ssions-passenger-cars</w:t>
        </w:r>
      </w:hyperlink>
      <w:r>
        <w:t xml:space="preserve"> </w:t>
      </w:r>
    </w:p>
  </w:footnote>
  <w:footnote w:id="115">
    <w:p w:rsidR="001A26B0" w:rsidRDefault="00E33A99">
      <w:pPr>
        <w:pStyle w:val="FootnoteText"/>
      </w:pPr>
      <w:r>
        <w:rPr>
          <w:rStyle w:val="FootnoteReference"/>
        </w:rPr>
        <w:footnoteRef/>
      </w:r>
      <w:r>
        <w:t xml:space="preserve"> See Commission Implementing Decision (EU) 2016/2319 of 16 December 2016 confirming or amending the provisional calculation of the average specific emission of CO</w:t>
      </w:r>
      <w:r>
        <w:rPr>
          <w:vertAlign w:val="subscript"/>
        </w:rPr>
        <w:t>2</w:t>
      </w:r>
      <w:r>
        <w:t xml:space="preserve"> and specific emissions targets for manufacturers of passenger cars f</w:t>
      </w:r>
      <w:r>
        <w:t>or the calendar year 2015 pursuant to Regulation (EC) No 443/2009, OJ L 345, 20.12.2016, p. 74; Commission Implementing Decision (EU) 2016/2320 of 16 December 2016 confirming or amending the provisional calculation of the average specific emissions of CO</w:t>
      </w:r>
      <w:r>
        <w:rPr>
          <w:vertAlign w:val="subscript"/>
        </w:rPr>
        <w:t>2</w:t>
      </w:r>
      <w:r>
        <w:t xml:space="preserve"> </w:t>
      </w:r>
      <w:r>
        <w:t>and specific emissions targets for manufacturers of new light commercial vehicles for the calendar year 2015 pursuant to Regulation (EU) No 510/2011, OJ L 345, 20.12.2016, p. 96</w:t>
      </w:r>
    </w:p>
  </w:footnote>
  <w:footnote w:id="116">
    <w:p w:rsidR="001A26B0" w:rsidRDefault="00E33A99">
      <w:pPr>
        <w:pStyle w:val="FootnoteText"/>
      </w:pPr>
      <w:r>
        <w:rPr>
          <w:rStyle w:val="FootnoteReference"/>
        </w:rPr>
        <w:footnoteRef/>
      </w:r>
      <w:r>
        <w:t xml:space="preserve"> Element Energy (2016): "Towards a European Market for Electro-Mobility" (rep</w:t>
      </w:r>
      <w:r>
        <w:t>ort for Transport &amp; Environment)</w:t>
      </w:r>
    </w:p>
  </w:footnote>
  <w:footnote w:id="117">
    <w:p w:rsidR="001A26B0" w:rsidRDefault="00E33A99">
      <w:pPr>
        <w:pStyle w:val="FootnoteText"/>
        <w:spacing w:after="120"/>
      </w:pPr>
      <w:r>
        <w:rPr>
          <w:rStyle w:val="FootnoteReference"/>
        </w:rPr>
        <w:footnoteRef/>
      </w:r>
      <w:r>
        <w:t xml:space="preserve"> The three manufacturers with more than 1,000 van registrations were Jaguar Land Rover (18460 vans in 2015 and 7435 in 2016), Mitsubishi (pool) (16,167 vans in 2015 – and 17,431 in 2016), and Piaggio &amp; C SPA (2,621 vans in</w:t>
      </w:r>
      <w:r>
        <w:t xml:space="preserve"> 2015 and 2,966 in 2016),</w:t>
      </w:r>
    </w:p>
  </w:footnote>
  <w:footnote w:id="118">
    <w:p w:rsidR="001A26B0" w:rsidRDefault="00E33A99">
      <w:pPr>
        <w:pStyle w:val="FootnoteText"/>
        <w:spacing w:after="120"/>
      </w:pPr>
      <w:r>
        <w:rPr>
          <w:rStyle w:val="FootnoteReference"/>
        </w:rPr>
        <w:footnoteRef/>
      </w:r>
      <w:r>
        <w:t xml:space="preserve"> Commission Regulation (EU) No 63/2011 and Commission delegated Regulation (EU) No 114/2013.</w:t>
      </w:r>
    </w:p>
  </w:footnote>
  <w:footnote w:id="119">
    <w:p w:rsidR="001A26B0" w:rsidRDefault="00E33A99">
      <w:pPr>
        <w:pStyle w:val="FootnoteText"/>
        <w:spacing w:after="120"/>
      </w:pPr>
      <w:r>
        <w:rPr>
          <w:rStyle w:val="FootnoteReference"/>
        </w:rPr>
        <w:footnoteRef/>
      </w:r>
      <w:r>
        <w:t xml:space="preserve"> Volvo Corporation, Mitsubishi Motors Pool, Honda Motor Europe Pool (2015 and 2016) and, Tata Jaguar Land Rover Pool (2016 only)</w:t>
      </w:r>
    </w:p>
  </w:footnote>
  <w:footnote w:id="120">
    <w:p w:rsidR="001A26B0" w:rsidRDefault="00E33A99">
      <w:pPr>
        <w:pStyle w:val="FootnoteText"/>
        <w:spacing w:after="120"/>
      </w:pPr>
      <w:r>
        <w:rPr>
          <w:rStyle w:val="FootnoteReference"/>
        </w:rPr>
        <w:footnoteRef/>
      </w:r>
      <w:r>
        <w:t xml:space="preserve"> The </w:t>
      </w:r>
      <w:r>
        <w:t>evaluation study referred to the situation in 2013, where manufacturers that applied for the niche derogation had registered a total of 439,000 new cars.</w:t>
      </w:r>
    </w:p>
  </w:footnote>
  <w:footnote w:id="121">
    <w:p w:rsidR="001A26B0" w:rsidRDefault="00E33A99">
      <w:pPr>
        <w:pStyle w:val="FootnoteText"/>
        <w:spacing w:after="120"/>
      </w:pPr>
      <w:r>
        <w:rPr>
          <w:rStyle w:val="FootnoteReference"/>
        </w:rPr>
        <w:footnoteRef/>
      </w:r>
      <w:r>
        <w:t xml:space="preserve"> Scientific Advice Mechanism (SAM): Closing the gap between light-duty vehicle real-world CO</w:t>
      </w:r>
      <w:r>
        <w:rPr>
          <w:vertAlign w:val="subscript"/>
        </w:rPr>
        <w:t>2</w:t>
      </w:r>
      <w:r>
        <w:t xml:space="preserve"> emissio</w:t>
      </w:r>
      <w:r>
        <w:t xml:space="preserve">ns and laboratory testing. High Level Group of Scientific Advisors, Scientific Opinion No. 1/2016, </w:t>
      </w:r>
      <w:hyperlink r:id="rId62" w:anchor="view=fit&amp;pagemode=none" w:history="1">
        <w:r>
          <w:rPr>
            <w:rStyle w:val="Hyperlink"/>
          </w:rPr>
          <w:t>https://ec.europa.eu/research/sam/pdf/sam_co2_</w:t>
        </w:r>
        <w:r>
          <w:rPr>
            <w:rStyle w:val="Hyperlink"/>
          </w:rPr>
          <w:t>emissions_report.pdf#view=fit&amp;pagemode=none</w:t>
        </w:r>
      </w:hyperlink>
    </w:p>
  </w:footnote>
  <w:footnote w:id="122">
    <w:p w:rsidR="001A26B0" w:rsidRDefault="00E33A99">
      <w:pPr>
        <w:pStyle w:val="FootnoteText"/>
        <w:spacing w:after="120"/>
      </w:pPr>
      <w:r>
        <w:rPr>
          <w:rStyle w:val="FootnoteReference"/>
        </w:rPr>
        <w:footnoteRef/>
      </w:r>
      <w:r>
        <w:t xml:space="preserve"> ICCT (2016): From laboratory to road – a 2016 update of official and 'real-world' fuel consumption and CO</w:t>
      </w:r>
      <w:r>
        <w:rPr>
          <w:vertAlign w:val="subscript"/>
        </w:rPr>
        <w:t>2</w:t>
      </w:r>
      <w:r>
        <w:t xml:space="preserve"> value for passenger cars in Europe, </w:t>
      </w:r>
      <w:hyperlink r:id="rId63" w:history="1">
        <w:r>
          <w:rPr>
            <w:rStyle w:val="Hyperlink"/>
          </w:rPr>
          <w:t>http://www.theicct.org/sites/default/files/publications/ICCT_LaboratoryToRoad_2016.pdf</w:t>
        </w:r>
      </w:hyperlink>
      <w:r>
        <w:t xml:space="preserve"> </w:t>
      </w:r>
    </w:p>
  </w:footnote>
  <w:footnote w:id="123">
    <w:p w:rsidR="001A26B0" w:rsidRDefault="00E33A99">
      <w:pPr>
        <w:pStyle w:val="FootnoteText"/>
        <w:spacing w:after="120"/>
      </w:pPr>
      <w:r>
        <w:rPr>
          <w:rStyle w:val="FootnoteReference"/>
        </w:rPr>
        <w:footnoteRef/>
      </w:r>
      <w:r>
        <w:t xml:space="preserve"> JRC (2016): Review of in use factors affecting the fuel consumpti</w:t>
      </w:r>
      <w:r>
        <w:t>on and CO</w:t>
      </w:r>
      <w:r>
        <w:rPr>
          <w:vertAlign w:val="subscript"/>
        </w:rPr>
        <w:t>2</w:t>
      </w:r>
      <w:r>
        <w:t xml:space="preserve"> emissions of passenger cars, </w:t>
      </w:r>
      <w:hyperlink r:id="rId64" w:history="1">
        <w:r>
          <w:rPr>
            <w:rStyle w:val="Hyperlink"/>
          </w:rPr>
          <w:t>https://ec.europa.eu/jrc/en/publica</w:t>
        </w:r>
        <w:r>
          <w:rPr>
            <w:rStyle w:val="Hyperlink"/>
          </w:rPr>
          <w:t>tion/eur-scientific-and-technical-research-reports/review-use-factors-affecting-fuel-consumption-and-co2-emissions-passenger-cars</w:t>
        </w:r>
      </w:hyperlink>
      <w:r>
        <w:t xml:space="preserve"> </w:t>
      </w:r>
    </w:p>
  </w:footnote>
  <w:footnote w:id="124">
    <w:p w:rsidR="001A26B0" w:rsidRDefault="00E33A99">
      <w:pPr>
        <w:pStyle w:val="FootnoteText"/>
        <w:jc w:val="left"/>
      </w:pPr>
      <w:r>
        <w:rPr>
          <w:rStyle w:val="FootnoteReference"/>
        </w:rPr>
        <w:footnoteRef/>
      </w:r>
      <w:r>
        <w:t xml:space="preserve"> CARB 2015, Staff Report: Technical Status and Proposed Revisions to On-Board Diagnostic System Requirements and Associated </w:t>
      </w:r>
      <w:r>
        <w:t>Enforcement Provisions for Passenger Cars, Light-Duty Trucks, and Medium-Duty Vehicles and Engines (OBD II) (</w:t>
      </w:r>
      <w:hyperlink r:id="rId65" w:history="1">
        <w:r>
          <w:rPr>
            <w:rStyle w:val="Hyperlink"/>
          </w:rPr>
          <w:t>https://www.arb.ca.gov/regact/2015/obdii2015/obdii2015isor.pdf</w:t>
        </w:r>
      </w:hyperlink>
      <w:r>
        <w:t>)</w:t>
      </w:r>
    </w:p>
  </w:footnote>
  <w:footnote w:id="125">
    <w:p w:rsidR="001A26B0" w:rsidRDefault="00E33A99">
      <w:pPr>
        <w:pStyle w:val="FootnoteText"/>
      </w:pPr>
      <w:r>
        <w:rPr>
          <w:rStyle w:val="FootnoteReference"/>
        </w:rPr>
        <w:footnoteRef/>
      </w:r>
      <w:r>
        <w:t xml:space="preserve"> Eu</w:t>
      </w:r>
      <w:r>
        <w:t>ropean Commission, 2016: Proposal for a Regulation of the European Parliament and of the Council on the approval and market surveillance of motor vehicles and their trailers, and of systems, components and separate technical units intended for such vehicle</w:t>
      </w:r>
      <w:r>
        <w:t>s, COM(2016) 031 final</w:t>
      </w:r>
    </w:p>
  </w:footnote>
  <w:footnote w:id="126">
    <w:p w:rsidR="001A26B0" w:rsidRDefault="00E33A99">
      <w:pPr>
        <w:pStyle w:val="FootnoteText"/>
        <w:spacing w:after="120"/>
      </w:pPr>
      <w:r>
        <w:rPr>
          <w:rStyle w:val="FootnoteReference"/>
        </w:rPr>
        <w:footnoteRef/>
      </w:r>
      <w:r>
        <w:t xml:space="preserve"> </w:t>
      </w:r>
      <w:r>
        <w:rPr>
          <w:bCs/>
        </w:rPr>
        <w:t>CARB (2015) Staff Report: Technical Status and Proposed Revisions to On-Board Diagnostic System Requirements and Associated Enforcement Provisions for Passenger Cars, Light-Duty Trucks, and Medium-Duty Vehicles and Engines (OBD II)</w:t>
      </w:r>
      <w:r>
        <w:rPr>
          <w:bCs/>
        </w:rPr>
        <w:t xml:space="preserve">, </w:t>
      </w:r>
      <w:hyperlink r:id="rId66" w:history="1">
        <w:r>
          <w:rPr>
            <w:rStyle w:val="Hyperlink"/>
            <w:bCs/>
          </w:rPr>
          <w:t>https://www.arb.ca.gov/regact/2015/obdii2015/obdii2015isor.pdf</w:t>
        </w:r>
      </w:hyperlink>
    </w:p>
  </w:footnote>
  <w:footnote w:id="127">
    <w:p w:rsidR="001A26B0" w:rsidRDefault="00E33A99">
      <w:pPr>
        <w:pStyle w:val="FootnoteText"/>
        <w:spacing w:after="120"/>
      </w:pPr>
      <w:r>
        <w:rPr>
          <w:rStyle w:val="FootnoteReference"/>
        </w:rPr>
        <w:footnoteRef/>
      </w:r>
      <w:r>
        <w:t xml:space="preserve"> </w:t>
      </w:r>
      <w:r>
        <w:rPr>
          <w:bCs/>
        </w:rPr>
        <w:t>TNO (2010) Effects of a gear-shift indicator and a fuel economy meter on fuel consumption</w:t>
      </w:r>
      <w:r>
        <w:rPr>
          <w:bCs/>
        </w:rPr>
        <w:br/>
      </w:r>
      <w:hyperlink r:id="rId67" w:history="1">
        <w:r>
          <w:rPr>
            <w:rStyle w:val="Hyperlink"/>
            <w:bCs/>
          </w:rPr>
          <w:t>https://circabc.europa.eu/webdav/CircaBC/GROW/wltp/Library/WLTP/consumption_meter/121018_legislation/FCM%20-%20GSI%20eff</w:t>
        </w:r>
        <w:r>
          <w:rPr>
            <w:rStyle w:val="Hyperlink"/>
            <w:bCs/>
          </w:rPr>
          <w:t>iciency%20(TNO).pdf</w:t>
        </w:r>
      </w:hyperlink>
    </w:p>
  </w:footnote>
  <w:footnote w:id="128">
    <w:p w:rsidR="001A26B0" w:rsidRDefault="00E33A99">
      <w:pPr>
        <w:pStyle w:val="FootnoteText"/>
        <w:spacing w:after="120"/>
      </w:pPr>
      <w:r>
        <w:rPr>
          <w:rStyle w:val="FootnoteReference"/>
        </w:rPr>
        <w:footnoteRef/>
      </w:r>
      <w:r>
        <w:t xml:space="preserve"> </w:t>
      </w:r>
      <w:r>
        <w:rPr>
          <w:bCs/>
        </w:rPr>
        <w:t>TNO (2013) Fuel consumption meter requirements for light-duty vehicles – Final report</w:t>
      </w:r>
      <w:r>
        <w:rPr>
          <w:bCs/>
        </w:rPr>
        <w:br/>
      </w:r>
      <w:hyperlink r:id="rId68" w:history="1">
        <w:r>
          <w:rPr>
            <w:rStyle w:val="Hyperlink"/>
            <w:bCs/>
          </w:rPr>
          <w:t>https://publications.europa.</w:t>
        </w:r>
        <w:r>
          <w:rPr>
            <w:rStyle w:val="Hyperlink"/>
            <w:bCs/>
          </w:rPr>
          <w:t>eu/en/publication-detail/-/publication/ffa5ab82-0bc2-472f-af0c-9d0d82a6b91f</w:t>
        </w:r>
      </w:hyperlink>
    </w:p>
  </w:footnote>
  <w:footnote w:id="129">
    <w:p w:rsidR="001A26B0" w:rsidRDefault="00E33A99">
      <w:pPr>
        <w:pStyle w:val="FootnoteText"/>
        <w:spacing w:after="120"/>
      </w:pPr>
      <w:r>
        <w:rPr>
          <w:rStyle w:val="FootnoteReference"/>
        </w:rPr>
        <w:footnoteRef/>
      </w:r>
      <w:r>
        <w:t xml:space="preserve"> </w:t>
      </w:r>
      <w:r>
        <w:rPr>
          <w:bCs/>
        </w:rPr>
        <w:t xml:space="preserve">CARB (2016) OBD II regulation, section 1968.2 of title 13, California Code of Regulations, as approved by OAL on July 25, 2016. </w:t>
      </w:r>
      <w:hyperlink r:id="rId69" w:history="1">
        <w:r>
          <w:rPr>
            <w:rStyle w:val="Hyperlink"/>
            <w:bCs/>
          </w:rPr>
          <w:t>https://www.arb.ca.gov/msprog/obdprog/section1968_2_clean2016.pdf</w:t>
        </w:r>
      </w:hyperlink>
    </w:p>
  </w:footnote>
  <w:footnote w:id="130">
    <w:p w:rsidR="001A26B0" w:rsidRDefault="00E33A99">
      <w:pPr>
        <w:pStyle w:val="FootnoteText"/>
        <w:spacing w:after="120"/>
      </w:pPr>
      <w:r>
        <w:rPr>
          <w:rStyle w:val="FootnoteReference"/>
        </w:rPr>
        <w:footnoteRef/>
      </w:r>
      <w:r>
        <w:t xml:space="preserve"> European Parliament recommendation of 4 April 2017 to the Council and the Commission following the inquiry into emission measurements in the automotive sect</w:t>
      </w:r>
      <w:r>
        <w:t>or (2016/2908(RSP)) (</w:t>
      </w:r>
      <w:hyperlink r:id="rId70" w:history="1">
        <w:r>
          <w:rPr>
            <w:rStyle w:val="Hyperlink"/>
          </w:rPr>
          <w:t>http://www.europarl.europa.eu/sides/getDoc.do?type=TA&amp;reference=P8-TA-2017-0100&amp;language=EN&amp;ring=B8-2017-0177</w:t>
        </w:r>
      </w:hyperlink>
      <w:r>
        <w:t>)</w:t>
      </w:r>
    </w:p>
  </w:footnote>
  <w:footnote w:id="131">
    <w:p w:rsidR="001A26B0" w:rsidRDefault="00E33A99">
      <w:pPr>
        <w:pStyle w:val="FootnoteText"/>
        <w:spacing w:after="120"/>
      </w:pPr>
      <w:r>
        <w:rPr>
          <w:rStyle w:val="FootnoteReference"/>
        </w:rPr>
        <w:footnoteRef/>
      </w:r>
      <w:r>
        <w:t xml:space="preserve"> Scientific Advice Mechanism (SAM)(2016) Closing the gap between light-duty vehicle real-world CO</w:t>
      </w:r>
      <w:r>
        <w:rPr>
          <w:vertAlign w:val="subscript"/>
        </w:rPr>
        <w:t>2</w:t>
      </w:r>
      <w:r>
        <w:t xml:space="preserve"> emissions and laboratory testing. High Level Group of Scientific Advisors, Scientific Opinion No. 1/2016, </w:t>
      </w:r>
      <w:hyperlink r:id="rId71" w:anchor="view=fit&amp;pagemode=none" w:history="1">
        <w:r>
          <w:rPr>
            <w:rStyle w:val="Hyperlink"/>
          </w:rPr>
          <w:t>https://ec.europa.eu/research/sam/pdf/sam_co2_emissions_report.pdf#view=fit&amp;pagemode=none</w:t>
        </w:r>
      </w:hyperlink>
    </w:p>
  </w:footnote>
  <w:footnote w:id="132">
    <w:p w:rsidR="001A26B0" w:rsidRDefault="00E33A99">
      <w:pPr>
        <w:pStyle w:val="FootnoteText"/>
        <w:spacing w:after="120"/>
      </w:pPr>
      <w:r>
        <w:rPr>
          <w:rStyle w:val="FootnoteReference"/>
        </w:rPr>
        <w:footnoteRef/>
      </w:r>
      <w:r>
        <w:t xml:space="preserve"> Tietge U. et al (2016), From Laboratory To Road - A 2016 Update Of Official And ‘Real-World’ Fuel Con</w:t>
      </w:r>
      <w:r>
        <w:t>sumption And CO</w:t>
      </w:r>
      <w:r>
        <w:rPr>
          <w:vertAlign w:val="subscript"/>
        </w:rPr>
        <w:t>2</w:t>
      </w:r>
      <w:r>
        <w:t xml:space="preserve"> Values For Passenger Cars In Europe (ICCT)</w:t>
      </w:r>
    </w:p>
  </w:footnote>
  <w:footnote w:id="133">
    <w:p w:rsidR="001A26B0" w:rsidRDefault="00E33A99">
      <w:pPr>
        <w:pStyle w:val="FootnoteText"/>
        <w:spacing w:after="120"/>
      </w:pPr>
      <w:r>
        <w:rPr>
          <w:rStyle w:val="FootnoteReference"/>
        </w:rPr>
        <w:footnoteRef/>
      </w:r>
      <w:r>
        <w:t xml:space="preserve"> Greene D.L. et al (2015), How Do Motorists' Own Fuel Economy Estimates, How Do Motorists' Own Fuel Economy Estimates Compare with Official Government Ratings? A Statistical Analysis, Baker Repor</w:t>
      </w:r>
      <w:r>
        <w:t xml:space="preserve">ts </w:t>
      </w:r>
    </w:p>
  </w:footnote>
  <w:footnote w:id="134">
    <w:p w:rsidR="001A26B0" w:rsidRDefault="00E33A99">
      <w:pPr>
        <w:pStyle w:val="FootnoteText"/>
        <w:spacing w:after="120"/>
      </w:pPr>
      <w:r>
        <w:rPr>
          <w:rStyle w:val="FootnoteReference"/>
        </w:rPr>
        <w:footnoteRef/>
      </w:r>
      <w:r>
        <w:t xml:space="preserve"> </w:t>
      </w:r>
      <w:hyperlink r:id="rId72" w:history="1">
        <w:r>
          <w:rPr>
            <w:rStyle w:val="Hyperlink"/>
          </w:rPr>
          <w:t>https://green-driving.jrc.ec.europa.eu</w:t>
        </w:r>
      </w:hyperlink>
    </w:p>
  </w:footnote>
  <w:footnote w:id="135">
    <w:p w:rsidR="001A26B0" w:rsidRDefault="00E33A99">
      <w:pPr>
        <w:pStyle w:val="FootnoteText"/>
        <w:spacing w:after="120"/>
        <w:rPr>
          <w:lang w:val="fr-BE"/>
        </w:rPr>
      </w:pPr>
      <w:r>
        <w:rPr>
          <w:rStyle w:val="FootnoteReference"/>
        </w:rPr>
        <w:footnoteRef/>
      </w:r>
      <w:r>
        <w:t xml:space="preserve"> Zacharof N-G, Fontaras G., Ciuffo B., Tsiakmakis S., Anagnostopoulos K., Marotta A., Pavlovic J. (2016). Review of in use factors affecting the fuel consumption and CO</w:t>
      </w:r>
      <w:r>
        <w:rPr>
          <w:vertAlign w:val="subscript"/>
        </w:rPr>
        <w:t>2</w:t>
      </w:r>
      <w:r>
        <w:t xml:space="preserve"> emissions of passenger cars. </w:t>
      </w:r>
      <w:r>
        <w:rPr>
          <w:lang w:val="fr-BE"/>
        </w:rPr>
        <w:t>JRC100150.</w:t>
      </w:r>
    </w:p>
  </w:footnote>
  <w:footnote w:id="136">
    <w:p w:rsidR="001A26B0" w:rsidRDefault="00E33A99">
      <w:pPr>
        <w:pStyle w:val="FootnoteText"/>
        <w:spacing w:after="120"/>
        <w:jc w:val="left"/>
        <w:rPr>
          <w:lang w:val="fr-BE"/>
        </w:rPr>
      </w:pPr>
      <w:r>
        <w:rPr>
          <w:rStyle w:val="FootnoteReference"/>
        </w:rPr>
        <w:footnoteRef/>
      </w:r>
      <w:r>
        <w:rPr>
          <w:lang w:val="fr-BE"/>
        </w:rPr>
        <w:t xml:space="preserve"> Commission Regulation (EU) 2017/1154, </w:t>
      </w:r>
      <w:r>
        <w:rPr>
          <w:lang w:val="fr-BE"/>
        </w:rPr>
        <w:br/>
      </w:r>
      <w:hyperlink r:id="rId73" w:history="1">
        <w:r>
          <w:rPr>
            <w:rStyle w:val="Hyperlink"/>
            <w:lang w:val="fr-BE"/>
          </w:rPr>
          <w:t>http://eur-lex.europa.eu/legal-content/EN/TXT/?uri=CELEX:32017R1154</w:t>
        </w:r>
      </w:hyperlink>
    </w:p>
  </w:footnote>
  <w:footnote w:id="137">
    <w:p w:rsidR="001A26B0" w:rsidRDefault="00E33A99">
      <w:pPr>
        <w:pStyle w:val="FootnoteText"/>
        <w:spacing w:after="120"/>
      </w:pPr>
      <w:r>
        <w:rPr>
          <w:rStyle w:val="FootnoteReference"/>
        </w:rPr>
        <w:footnoteRef/>
      </w:r>
      <w:r>
        <w:t xml:space="preserve"> Scientific Advice Mechanism (SAM): Closing the gap between light-duty vehicle real-world CO</w:t>
      </w:r>
      <w:r>
        <w:rPr>
          <w:vertAlign w:val="subscript"/>
        </w:rPr>
        <w:t>2</w:t>
      </w:r>
      <w:r>
        <w:t xml:space="preserve"> emissions and </w:t>
      </w:r>
      <w:r>
        <w:t xml:space="preserve">laboratory testing. High Level Group of Scientific Advisors, Scientific Opinion No. 1/2016, </w:t>
      </w:r>
      <w:hyperlink r:id="rId74" w:anchor="view=fit&amp;pagemode=none" w:history="1">
        <w:r>
          <w:rPr>
            <w:rStyle w:val="Hyperlink"/>
          </w:rPr>
          <w:t>https://ec.europa.eu/research/sam/pdf/sam_co2_emissio</w:t>
        </w:r>
        <w:r>
          <w:rPr>
            <w:rStyle w:val="Hyperlink"/>
          </w:rPr>
          <w:t>ns_report.pdf#view=fit&amp;pagemode=none</w:t>
        </w:r>
      </w:hyperlink>
      <w:r>
        <w:t xml:space="preserve"> </w:t>
      </w:r>
    </w:p>
  </w:footnote>
  <w:footnote w:id="138">
    <w:p w:rsidR="001A26B0" w:rsidRDefault="00E33A99">
      <w:pPr>
        <w:pStyle w:val="FootnoteText"/>
        <w:spacing w:after="120"/>
      </w:pPr>
      <w:r>
        <w:rPr>
          <w:rStyle w:val="FootnoteReference"/>
        </w:rPr>
        <w:footnoteRef/>
      </w:r>
      <w:r>
        <w:t xml:space="preserve"> European Parliament recommendation of 4 April 2017 to the Council and the Commission following the inquiry into emission measurements in the automotive sector (2016/2908(RSP))</w:t>
      </w:r>
    </w:p>
  </w:footnote>
  <w:footnote w:id="139">
    <w:p w:rsidR="001A26B0" w:rsidRDefault="00E33A99">
      <w:pPr>
        <w:pStyle w:val="FootnoteText"/>
        <w:spacing w:after="120"/>
      </w:pPr>
      <w:r>
        <w:rPr>
          <w:rStyle w:val="FootnoteReference"/>
        </w:rPr>
        <w:footnoteRef/>
      </w:r>
      <w:r>
        <w:t xml:space="preserve"> BEUC (2016): Urgent need for better ov</w:t>
      </w:r>
      <w:r>
        <w:t xml:space="preserve">ersight of cars – A consumer view on the Commission proposal on type approval and market surveillance, </w:t>
      </w:r>
      <w:hyperlink r:id="rId75" w:history="1">
        <w:r>
          <w:rPr>
            <w:rStyle w:val="Hyperlink"/>
          </w:rPr>
          <w:t>http://www.beuc.eu/pu</w:t>
        </w:r>
        <w:r>
          <w:rPr>
            <w:rStyle w:val="Hyperlink"/>
          </w:rPr>
          <w:t>blications/beuc-x-2016-052_smacca_beuc_typeapproval_marketsurveillance_positionpaper_final.pdf</w:t>
        </w:r>
      </w:hyperlink>
      <w:r>
        <w:t xml:space="preserve">; </w:t>
      </w:r>
      <w:r>
        <w:br/>
        <w:t>ICCT (2017): Market surveillance of vehicle emissions: Best-practice examples with respect to the European Commission's proposed type-approval framework regula</w:t>
      </w:r>
      <w:r>
        <w:t xml:space="preserve">tion, </w:t>
      </w:r>
      <w:hyperlink r:id="rId76" w:history="1">
        <w:r>
          <w:rPr>
            <w:rStyle w:val="Hyperlink"/>
          </w:rPr>
          <w:t>http://www.theicct.org/sites/default/files/publications/PV-in-use-surveillance_ICCT-position-brief_13072017_vF.pdf</w:t>
        </w:r>
      </w:hyperlink>
    </w:p>
  </w:footnote>
  <w:footnote w:id="140">
    <w:p w:rsidR="001A26B0" w:rsidRDefault="00E33A99">
      <w:pPr>
        <w:pStyle w:val="FootnoteText"/>
        <w:spacing w:after="120"/>
        <w:rPr>
          <w:lang w:val="fr-FR"/>
        </w:rPr>
      </w:pPr>
      <w:r>
        <w:rPr>
          <w:rStyle w:val="FootnoteReference"/>
        </w:rPr>
        <w:footnoteRef/>
      </w:r>
      <w:r>
        <w:rPr>
          <w:lang w:val="fr-FR"/>
        </w:rPr>
        <w:t xml:space="preserve"> Mi</w:t>
      </w:r>
      <w:r>
        <w:rPr>
          <w:lang w:val="fr-FR"/>
        </w:rPr>
        <w:t xml:space="preserve">nistère de l'Environnement, de l'Énergie et de la Mer (2016): Rapport final de la commission indépendante mise en place par la Ministre Ségolène Royal après la révélation de l’affaire Volkswagen, </w:t>
      </w:r>
      <w:hyperlink r:id="rId77" w:history="1">
        <w:r>
          <w:rPr>
            <w:rStyle w:val="Hyperlink"/>
            <w:lang w:val="fr-FR"/>
          </w:rPr>
          <w:t>http://www.ladocumentationfrancaise.fr/var/storage/rapports-publics/164000480.pdf</w:t>
        </w:r>
      </w:hyperlink>
      <w:r>
        <w:rPr>
          <w:lang w:val="fr-FR"/>
        </w:rPr>
        <w:t xml:space="preserve">; </w:t>
      </w:r>
      <w:r>
        <w:rPr>
          <w:lang w:val="fr-FR"/>
        </w:rPr>
        <w:br/>
        <w:t xml:space="preserve">TNO (2016): NEDC – WLTP comparative testing, TNO 2016 R11285,  </w:t>
      </w:r>
      <w:hyperlink r:id="rId78" w:history="1">
        <w:r>
          <w:rPr>
            <w:rStyle w:val="Hyperlink"/>
            <w:lang w:val="fr-FR"/>
          </w:rPr>
          <w:t>http://publications.tno.nl/publication/34622355/ZCzWY2/TNO-2016-R11285.pdf</w:t>
        </w:r>
      </w:hyperlink>
    </w:p>
  </w:footnote>
  <w:footnote w:id="141">
    <w:p w:rsidR="001A26B0" w:rsidRDefault="00E33A99">
      <w:pPr>
        <w:pStyle w:val="FootnoteText"/>
        <w:spacing w:after="120"/>
      </w:pPr>
      <w:r>
        <w:rPr>
          <w:rStyle w:val="FootnoteReference"/>
        </w:rPr>
        <w:footnoteRef/>
      </w:r>
      <w:r>
        <w:t xml:space="preserve"> European Commission (2016): Proposal for a Regulation of the European Parliament and of the Council on the approval and market surveillance of motor vehicles a</w:t>
      </w:r>
      <w:r>
        <w:t>nd their trailers, and of systems, components and separate technical units intended for such vehicles, COM(2016)031 final.</w:t>
      </w:r>
    </w:p>
  </w:footnote>
  <w:footnote w:id="142">
    <w:p w:rsidR="001A26B0" w:rsidRDefault="00E33A99">
      <w:pPr>
        <w:pStyle w:val="FootnoteText"/>
      </w:pPr>
      <w:r>
        <w:rPr>
          <w:rStyle w:val="FootnoteReference"/>
        </w:rPr>
        <w:footnoteRef/>
      </w:r>
      <w:r>
        <w:t xml:space="preserve"> Article 8 of the Cars and Vans Regulations</w:t>
      </w:r>
    </w:p>
  </w:footnote>
  <w:footnote w:id="143">
    <w:p w:rsidR="001A26B0" w:rsidRDefault="00E33A99">
      <w:pPr>
        <w:pStyle w:val="FootnoteText"/>
      </w:pPr>
      <w:r>
        <w:rPr>
          <w:rStyle w:val="FootnoteReference"/>
        </w:rPr>
        <w:footnoteRef/>
      </w:r>
      <w:r>
        <w:t xml:space="preserve"> See Article 8(5) of Regulation (EC) No 443/2009 and Article 8(6) of Regulation (EU) No</w:t>
      </w:r>
      <w:r>
        <w:t xml:space="preserve"> 510/2011</w:t>
      </w:r>
    </w:p>
  </w:footnote>
  <w:footnote w:id="144">
    <w:p w:rsidR="001A26B0" w:rsidRDefault="00E33A99">
      <w:pPr>
        <w:pStyle w:val="FootnoteText"/>
        <w:spacing w:after="120"/>
      </w:pPr>
      <w:r>
        <w:rPr>
          <w:rStyle w:val="FootnoteReference"/>
        </w:rPr>
        <w:footnoteRef/>
      </w:r>
      <w:r>
        <w:t xml:space="preserve"> Ricardo Energy and Environment (2016) Improving understanding of technology and costs for CO</w:t>
      </w:r>
      <w:r>
        <w:rPr>
          <w:vertAlign w:val="subscript"/>
        </w:rPr>
        <w:t>2</w:t>
      </w:r>
      <w:r>
        <w:t xml:space="preserve"> reductions from cars and LCVs in the period to 2030 and development of cost curves (report for the European Commission, DG CLIMA)</w:t>
      </w:r>
    </w:p>
  </w:footnote>
  <w:footnote w:id="145">
    <w:p w:rsidR="001A26B0" w:rsidRDefault="00E33A99">
      <w:pPr>
        <w:pStyle w:val="FootnoteText"/>
        <w:spacing w:after="120"/>
      </w:pPr>
      <w:r>
        <w:rPr>
          <w:rStyle w:val="FootnoteReference"/>
        </w:rPr>
        <w:footnoteRef/>
      </w:r>
      <w:r>
        <w:t xml:space="preserve"> European Commissio</w:t>
      </w:r>
      <w:r>
        <w:t>n (2016) EU Reference Scenario 2016 - Energy, transport and GHG emissions : trends to 2050 (</w:t>
      </w:r>
      <w:hyperlink r:id="rId79" w:history="1">
        <w:r>
          <w:rPr>
            <w:rStyle w:val="Hyperlink"/>
          </w:rPr>
          <w:t>https://publications.europa.eu/en/publicatio</w:t>
        </w:r>
        <w:r>
          <w:rPr>
            <w:rStyle w:val="Hyperlink"/>
          </w:rPr>
          <w:t>n-detail/-/publication/aed45f8e-63e3-47fb-9440-a0a14370f243</w:t>
        </w:r>
      </w:hyperlink>
      <w:r>
        <w:t>)</w:t>
      </w:r>
    </w:p>
  </w:footnote>
  <w:footnote w:id="146">
    <w:p w:rsidR="001A26B0" w:rsidRDefault="00E33A99">
      <w:pPr>
        <w:pStyle w:val="FootnoteText"/>
        <w:spacing w:after="120"/>
      </w:pPr>
      <w:r>
        <w:rPr>
          <w:rStyle w:val="FootnoteReference"/>
        </w:rPr>
        <w:footnoteRef/>
      </w:r>
      <w:r>
        <w:t xml:space="preserve"> Zacharof N-G, Fontaras G., Ciuffo B., Tsiakmakis S., Anagnostopoulos K., Marotta A., Pavlovic J. (2016) Review of in use factors affecting the fuel consumption and CO</w:t>
      </w:r>
      <w:r>
        <w:rPr>
          <w:vertAlign w:val="subscript"/>
        </w:rPr>
        <w:t>2</w:t>
      </w:r>
      <w:r>
        <w:t xml:space="preserve"> emissions of passenger ca</w:t>
      </w:r>
      <w:r>
        <w:t xml:space="preserve">rs. JRC100150.  </w:t>
      </w:r>
    </w:p>
  </w:footnote>
  <w:footnote w:id="147">
    <w:p w:rsidR="001A26B0" w:rsidRDefault="00E33A99">
      <w:pPr>
        <w:pStyle w:val="FootnoteText"/>
        <w:spacing w:after="120"/>
      </w:pPr>
      <w:r>
        <w:rPr>
          <w:rStyle w:val="FootnoteReference"/>
        </w:rPr>
        <w:footnoteRef/>
      </w:r>
      <w:r>
        <w:t xml:space="preserve"> Taking into account the correlation factors applied between WLTP and NEDC, the average remaining gap between the WLTP emissions and the real driving emissions is about 13% for cars and about 3% for vans (specific values depend on the seg</w:t>
      </w:r>
      <w:r>
        <w:t xml:space="preserve">ments and powertrains). </w:t>
      </w:r>
    </w:p>
  </w:footnote>
  <w:footnote w:id="148">
    <w:p w:rsidR="001A26B0" w:rsidRDefault="00E33A99">
      <w:pPr>
        <w:pStyle w:val="FootnoteText"/>
        <w:spacing w:after="120"/>
      </w:pPr>
      <w:r>
        <w:rPr>
          <w:rStyle w:val="FootnoteReference"/>
          <w:rFonts w:cs="Arial"/>
          <w:szCs w:val="14"/>
        </w:rPr>
        <w:footnoteRef/>
      </w:r>
      <w:r>
        <w:rPr>
          <w:rFonts w:cs="Arial"/>
          <w:szCs w:val="14"/>
        </w:rPr>
        <w:t xml:space="preserve"> The </w:t>
      </w:r>
      <w:r>
        <w:rPr>
          <w:rFonts w:cs="Arial"/>
          <w:i/>
          <w:szCs w:val="14"/>
        </w:rPr>
        <w:t>EUCO30</w:t>
      </w:r>
      <w:r>
        <w:rPr>
          <w:rFonts w:cs="Arial"/>
          <w:szCs w:val="14"/>
        </w:rPr>
        <w:t xml:space="preserve"> scenario is a key input to several Commission documents adopted in 2016: Impact Assessment underpinning the Proposal for the Effort Sharing Regulation, Staff Working Document accompanying the Communication on the low-emission mobility strategy, Impact Ass</w:t>
      </w:r>
      <w:r>
        <w:rPr>
          <w:rFonts w:cs="Arial"/>
          <w:szCs w:val="14"/>
        </w:rPr>
        <w:t>essment accompanying the proposal for recast of the Directive on the promotion of energy from renewable sources, Impact Assessment accompanying the proposal for a revised Energy Efficiency Directive. (</w:t>
      </w:r>
      <w:hyperlink r:id="rId80" w:history="1">
        <w:r>
          <w:rPr>
            <w:rStyle w:val="Hyperlink"/>
            <w:rFonts w:cs="Arial"/>
            <w:szCs w:val="14"/>
          </w:rPr>
          <w:t>https://ec.europa.eu/energy/sites/ener/files/documents/20170125_-_technical_report_on_euco_scenarios_primes_corrected.pdf</w:t>
        </w:r>
      </w:hyperlink>
      <w:r>
        <w:rPr>
          <w:rFonts w:cs="Arial"/>
          <w:szCs w:val="14"/>
        </w:rPr>
        <w:t>)</w:t>
      </w:r>
      <w:r>
        <w:t xml:space="preserve"> </w:t>
      </w:r>
    </w:p>
  </w:footnote>
  <w:footnote w:id="149">
    <w:p w:rsidR="001A26B0" w:rsidRDefault="00E33A99">
      <w:pPr>
        <w:pStyle w:val="FootnoteText"/>
        <w:spacing w:after="120"/>
        <w:rPr>
          <w:lang w:val="pt-PT"/>
        </w:rPr>
      </w:pPr>
      <w:r>
        <w:rPr>
          <w:rStyle w:val="FootnoteReference"/>
        </w:rPr>
        <w:footnoteRef/>
      </w:r>
      <w:r>
        <w:rPr>
          <w:lang w:val="pt-PT"/>
        </w:rPr>
        <w:t xml:space="preserve"> COM (2016) 767 final</w:t>
      </w:r>
    </w:p>
  </w:footnote>
  <w:footnote w:id="150">
    <w:p w:rsidR="001A26B0" w:rsidRDefault="00E33A99">
      <w:pPr>
        <w:pStyle w:val="FootnoteText"/>
        <w:spacing w:after="120"/>
        <w:rPr>
          <w:lang w:val="pt-PT"/>
        </w:rPr>
      </w:pPr>
      <w:r>
        <w:rPr>
          <w:rStyle w:val="FootnoteReference"/>
        </w:rPr>
        <w:footnoteRef/>
      </w:r>
      <w:r>
        <w:rPr>
          <w:lang w:val="pt-PT"/>
        </w:rPr>
        <w:t xml:space="preserve"> </w:t>
      </w:r>
      <w:hyperlink r:id="rId81" w:history="1">
        <w:r>
          <w:rPr>
            <w:rStyle w:val="Hyperlink"/>
            <w:lang w:val="pt-PT"/>
          </w:rPr>
          <w:t>https://ec.europa.eu/energy/sites/ener/files/documents/20160713%20draft_publication_ref2016_v13.pdf</w:t>
        </w:r>
      </w:hyperlink>
    </w:p>
  </w:footnote>
  <w:footnote w:id="151">
    <w:p w:rsidR="001A26B0" w:rsidRDefault="00E33A99">
      <w:pPr>
        <w:pStyle w:val="FootnoteText"/>
        <w:spacing w:after="120"/>
        <w:rPr>
          <w:lang w:val="pt-PT"/>
        </w:rPr>
      </w:pPr>
      <w:r>
        <w:rPr>
          <w:rStyle w:val="FootnoteReference"/>
        </w:rPr>
        <w:footnoteRef/>
      </w:r>
      <w:r>
        <w:rPr>
          <w:lang w:val="pt-PT"/>
        </w:rPr>
        <w:t xml:space="preserve"> </w:t>
      </w:r>
      <w:hyperlink r:id="rId82" w:history="1">
        <w:r>
          <w:rPr>
            <w:rStyle w:val="Hyperlink"/>
            <w:lang w:val="pt-PT"/>
          </w:rPr>
          <w:t>https://ec.europa.eu/energy/sites/ener/files/documents/20170125_-_technical_report_on_euco_scenarios_primes_corrected.pdf</w:t>
        </w:r>
      </w:hyperlink>
    </w:p>
  </w:footnote>
  <w:footnote w:id="152">
    <w:p w:rsidR="001A26B0" w:rsidRDefault="00E33A99">
      <w:pPr>
        <w:pStyle w:val="FootnoteText"/>
        <w:spacing w:after="120"/>
      </w:pPr>
      <w:r>
        <w:rPr>
          <w:rStyle w:val="FootnoteReference"/>
        </w:rPr>
        <w:footnoteRef/>
      </w:r>
      <w:r>
        <w:t xml:space="preserve"> See e.g. the reports published by the JEC research colla</w:t>
      </w:r>
      <w:r>
        <w:t xml:space="preserve">boration between the Commission's Joint Research Centre , EUCAR (European Council for Automotive R&amp;D) and CONCAWE (the Oil Companies’ European Organisation for Environment, Health and Safety) - </w:t>
      </w:r>
      <w:hyperlink r:id="rId83" w:history="1">
        <w:r>
          <w:rPr>
            <w:rStyle w:val="Hyperlink"/>
          </w:rPr>
          <w:t>http://iet.jrc.ec.europa.eu/about-jec/downloads</w:t>
        </w:r>
      </w:hyperlink>
    </w:p>
  </w:footnote>
  <w:footnote w:id="153">
    <w:p w:rsidR="001A26B0" w:rsidRDefault="00E33A99">
      <w:pPr>
        <w:pStyle w:val="FootnoteText"/>
        <w:spacing w:after="120"/>
      </w:pPr>
      <w:r>
        <w:rPr>
          <w:rStyle w:val="FootnoteReference"/>
        </w:rPr>
        <w:footnoteRef/>
      </w:r>
      <w:r>
        <w:t xml:space="preserve"> Ricardo-AEA and TEPR (2015), Evaluation of Regulations 443/2009 and 510/2011 on the reduction of CO</w:t>
      </w:r>
      <w:r>
        <w:rPr>
          <w:vertAlign w:val="subscript"/>
        </w:rPr>
        <w:t>2</w:t>
      </w:r>
      <w:r>
        <w:t xml:space="preserve"> emissions from light-duty vehicles, </w:t>
      </w:r>
      <w:hyperlink r:id="rId84" w:history="1">
        <w:r>
          <w:rPr>
            <w:rStyle w:val="Hyperlink"/>
          </w:rPr>
          <w:t>https://ec.europa.eu/clima/sites/clima/files/transport/vehicles/docs/evaluation_ldv_co2_regs_en.pdf</w:t>
        </w:r>
      </w:hyperlink>
      <w:r>
        <w:t xml:space="preserve">; TNO (2015): Energie- en milieu-aspecten van elektrische personenvoertuigen, TNO 2015 R10386, </w:t>
      </w:r>
      <w:hyperlink r:id="rId85" w:history="1">
        <w:r>
          <w:rPr>
            <w:rStyle w:val="Hyperlink"/>
          </w:rPr>
          <w:t>http://publications.tno.nl/publication/34616575/gS20vf/TNO-2015-R10386.pdf</w:t>
        </w:r>
      </w:hyperlink>
      <w:r>
        <w:t xml:space="preserve">; EEA (2016) Electric vehicles in Europe, </w:t>
      </w:r>
      <w:hyperlink r:id="rId86" w:history="1">
        <w:r>
          <w:rPr>
            <w:rStyle w:val="Hyperlink"/>
          </w:rPr>
          <w:t>https://www.eea.europa.eu/publications/electric-vehicles-in-europe</w:t>
        </w:r>
      </w:hyperlink>
      <w:r>
        <w:t>; studyCE Delft and TNO (2017) Assessment of the Modalities for LDV CO</w:t>
      </w:r>
      <w:r>
        <w:rPr>
          <w:vertAlign w:val="subscript"/>
        </w:rPr>
        <w:t>2</w:t>
      </w:r>
      <w:r>
        <w:t xml:space="preserve"> Regulations beyond 2020, report for the European Commission (DG CLIMA)</w:t>
      </w:r>
    </w:p>
  </w:footnote>
  <w:footnote w:id="154">
    <w:p w:rsidR="001A26B0" w:rsidRDefault="00E33A99">
      <w:pPr>
        <w:pStyle w:val="FootnoteText"/>
        <w:spacing w:after="120"/>
      </w:pPr>
      <w:r>
        <w:rPr>
          <w:rStyle w:val="FootnoteReference"/>
        </w:rPr>
        <w:footnoteRef/>
      </w:r>
      <w:r>
        <w:t xml:space="preserve"> For example: M. Romare &amp;</w:t>
      </w:r>
      <w:r>
        <w:t xml:space="preserve"> L. Dahllöf IVL) (2017) The Life Cycle Energy Consumption and Greenhouse Gas Emissions from Lithium-Ion Batteries; L. A.-W. Ellingsen et al. (2017) Identifying key assumptions and differences in life cycle assessment studies of lithium-ion traction batteri</w:t>
      </w:r>
      <w:r>
        <w:t>es with focus on greenhouse gas emissions (Transportation Research Part D 55 (2017) 82–90); H.C. Kim et al. (2016) Cradle-to-Gate Emissions from a Commercial Electric Vehicle Li-Ion Battery: A Comparative Analysis (Environ. Sci. Technol. 2016, 50, 7715−772</w:t>
      </w:r>
      <w:r>
        <w:t>2)</w:t>
      </w:r>
    </w:p>
  </w:footnote>
  <w:footnote w:id="155">
    <w:p w:rsidR="001A26B0" w:rsidRDefault="00E33A99">
      <w:pPr>
        <w:pStyle w:val="FootnoteText"/>
      </w:pPr>
      <w:r>
        <w:rPr>
          <w:rStyle w:val="FootnoteReference"/>
        </w:rPr>
        <w:footnoteRef/>
      </w:r>
      <w:r>
        <w:t xml:space="preserve"> CE Delft and TNO (2017) Assessment of the Modalities for LDV CO</w:t>
      </w:r>
      <w:r>
        <w:rPr>
          <w:vertAlign w:val="subscript"/>
        </w:rPr>
        <w:t>2</w:t>
      </w:r>
      <w:r>
        <w:t xml:space="preserve"> Regulations beyond 2020, report for the European Commission (DG CLIMA)</w:t>
      </w:r>
    </w:p>
  </w:footnote>
  <w:footnote w:id="156">
    <w:p w:rsidR="001A26B0" w:rsidRDefault="00E33A99">
      <w:pPr>
        <w:pStyle w:val="FootnoteText"/>
      </w:pPr>
      <w:r>
        <w:rPr>
          <w:rStyle w:val="FootnoteReference"/>
        </w:rPr>
        <w:footnoteRef/>
      </w:r>
      <w:r>
        <w:t xml:space="preserve"> Data gathering and analysis to assess the impact of mileage on the cost effectiveness of the LDV CO2 Regulations.</w:t>
      </w:r>
      <w:r>
        <w:t xml:space="preserve"> (Ricardo-AEA, report for the European Commission (2014)) </w:t>
      </w:r>
    </w:p>
  </w:footnote>
  <w:footnote w:id="157">
    <w:p w:rsidR="001A26B0" w:rsidRDefault="00E33A99">
      <w:pPr>
        <w:pStyle w:val="FootnoteText"/>
      </w:pPr>
      <w:r>
        <w:rPr>
          <w:rStyle w:val="FootnoteReference"/>
        </w:rPr>
        <w:footnoteRef/>
      </w:r>
      <w:r>
        <w:t xml:space="preserve"> Improvements to the definition of lifetime mileage of light duty vehicles (Ricardo-AEA, report for the European Commission (2015))</w:t>
      </w:r>
    </w:p>
  </w:footnote>
  <w:footnote w:id="158">
    <w:p w:rsidR="001A26B0" w:rsidRDefault="00E33A99">
      <w:pPr>
        <w:pStyle w:val="FootnoteText"/>
      </w:pPr>
      <w:r>
        <w:rPr>
          <w:rStyle w:val="FootnoteReference"/>
        </w:rPr>
        <w:footnoteRef/>
      </w:r>
      <w:r>
        <w:t xml:space="preserve"> CE Delft and TNO (2017) Assessment of the Modalities for LDV C</w:t>
      </w:r>
      <w:r>
        <w:t>O</w:t>
      </w:r>
      <w:r>
        <w:rPr>
          <w:vertAlign w:val="subscript"/>
        </w:rPr>
        <w:t>2</w:t>
      </w:r>
      <w:r>
        <w:t xml:space="preserve"> Regulations beyond 2020, report for the European Commission (DG CLIMA)</w:t>
      </w:r>
    </w:p>
  </w:footnote>
  <w:footnote w:id="159">
    <w:p w:rsidR="001A26B0" w:rsidRDefault="00E33A99">
      <w:pPr>
        <w:pStyle w:val="FootnoteText"/>
      </w:pPr>
      <w:r>
        <w:rPr>
          <w:rStyle w:val="FootnoteReference"/>
        </w:rPr>
        <w:footnoteRef/>
      </w:r>
      <w:r>
        <w:t xml:space="preserve"> The fuel costs are calculated taking into account the cost of electricity consumed in the electrically rechargeable vehicles. Both for the baseline and the different policy options</w:t>
      </w:r>
      <w:r>
        <w:t xml:space="preserve"> the electricity prices as projected in the Reference Scenario 2016 are used.</w:t>
      </w:r>
    </w:p>
  </w:footnote>
  <w:footnote w:id="160">
    <w:p w:rsidR="001A26B0" w:rsidRDefault="00E33A99">
      <w:pPr>
        <w:pStyle w:val="FootnoteText"/>
      </w:pPr>
      <w:r>
        <w:rPr>
          <w:rStyle w:val="FootnoteReference"/>
        </w:rPr>
        <w:footnoteRef/>
      </w:r>
      <w:r>
        <w:t xml:space="preserve"> </w:t>
      </w:r>
      <w:hyperlink r:id="rId87" w:history="1">
        <w:r>
          <w:rPr>
            <w:rStyle w:val="Hyperlink"/>
          </w:rPr>
          <w:t>https://ec.europa.eu/energy/sites/ener/files/documents/20160713%20draft_publication_ref2016_v13.pdf</w:t>
        </w:r>
      </w:hyperlink>
    </w:p>
  </w:footnote>
  <w:footnote w:id="161">
    <w:p w:rsidR="001A26B0" w:rsidRDefault="00E33A99">
      <w:pPr>
        <w:pStyle w:val="FootnoteText"/>
      </w:pPr>
      <w:r>
        <w:rPr>
          <w:rStyle w:val="FootnoteReference"/>
        </w:rPr>
        <w:footnoteRef/>
      </w:r>
      <w:r>
        <w:t xml:space="preserve"> The avoided CO</w:t>
      </w:r>
      <w:r>
        <w:rPr>
          <w:vertAlign w:val="subscript"/>
        </w:rPr>
        <w:t>2</w:t>
      </w:r>
      <w:r>
        <w:t xml:space="preserve"> cost is based on the Update of the External Costs of Transport, with a value of 70 €/tonCO</w:t>
      </w:r>
      <w:r>
        <w:rPr>
          <w:vertAlign w:val="subscript"/>
        </w:rPr>
        <w:t xml:space="preserve">2 </w:t>
      </w:r>
      <w:r>
        <w:t>for external costs of climate change, averaged</w:t>
      </w:r>
      <w:r>
        <w:t xml:space="preserve"> over the period 2030-2045 (</w:t>
      </w:r>
      <w:hyperlink r:id="rId88" w:history="1">
        <w:r>
          <w:rPr>
            <w:rStyle w:val="Hyperlink"/>
          </w:rPr>
          <w:t>https://ec.europa.eu/transport/sites/transport/files/themes/sustainable/studies/doc/2</w:t>
        </w:r>
        <w:r>
          <w:rPr>
            <w:rStyle w:val="Hyperlink"/>
          </w:rPr>
          <w:t>014-handbook-external-costs-transport.pdf</w:t>
        </w:r>
      </w:hyperlink>
      <w:r>
        <w:t>)</w:t>
      </w:r>
    </w:p>
  </w:footnote>
  <w:footnote w:id="162">
    <w:p w:rsidR="001A26B0" w:rsidRDefault="00E33A99">
      <w:pPr>
        <w:pStyle w:val="FootnoteText"/>
      </w:pPr>
      <w:r>
        <w:rPr>
          <w:rStyle w:val="FootnoteReference"/>
        </w:rPr>
        <w:footnoteRef/>
      </w:r>
      <w:r>
        <w:t xml:space="preserve"> ICCT (2017): Cities driving diesel out of the European car market, </w:t>
      </w:r>
      <w:hyperlink r:id="rId89" w:history="1">
        <w:r>
          <w:rPr>
            <w:rStyle w:val="Hyperlink"/>
          </w:rPr>
          <w:t>http://www.theicct.org/blogs/staff/cities-driving-diesel-out-european-car-market</w:t>
        </w:r>
      </w:hyperlink>
    </w:p>
  </w:footnote>
  <w:footnote w:id="163">
    <w:p w:rsidR="001A26B0" w:rsidRDefault="00E33A99">
      <w:pPr>
        <w:pStyle w:val="FootnoteText"/>
      </w:pPr>
      <w:r>
        <w:rPr>
          <w:rStyle w:val="FootnoteReference"/>
        </w:rPr>
        <w:footnoteRef/>
      </w:r>
      <w:r>
        <w:t xml:space="preserve"> The avoided CO</w:t>
      </w:r>
      <w:r>
        <w:rPr>
          <w:vertAlign w:val="subscript"/>
        </w:rPr>
        <w:t>2</w:t>
      </w:r>
      <w:r>
        <w:t xml:space="preserve"> cost is based on the Update of the External Costs of Transport, with a value of 70 €/tonCO</w:t>
      </w:r>
      <w:r>
        <w:rPr>
          <w:vertAlign w:val="subscript"/>
        </w:rPr>
        <w:t xml:space="preserve">2 </w:t>
      </w:r>
      <w:r>
        <w:t>for external costs of climate change, averaged over the period 20</w:t>
      </w:r>
      <w:r>
        <w:t>30-2045 (</w:t>
      </w:r>
      <w:hyperlink r:id="rId90" w:history="1">
        <w:r>
          <w:rPr>
            <w:rStyle w:val="Hyperlink"/>
          </w:rPr>
          <w:t>https://ec.europa.eu/transport/sites/transport/files/themes/sustainable/studies/doc/2014-handbook-extern</w:t>
        </w:r>
        <w:r>
          <w:rPr>
            <w:rStyle w:val="Hyperlink"/>
          </w:rPr>
          <w:t>al-costs-transport.pdf</w:t>
        </w:r>
      </w:hyperlink>
      <w:r>
        <w:t>)</w:t>
      </w:r>
    </w:p>
  </w:footnote>
  <w:footnote w:id="164">
    <w:p w:rsidR="001A26B0" w:rsidRDefault="00E33A99">
      <w:pPr>
        <w:pStyle w:val="FootnoteText"/>
      </w:pPr>
      <w:r>
        <w:rPr>
          <w:rStyle w:val="FootnoteReference"/>
        </w:rPr>
        <w:footnoteRef/>
      </w:r>
      <w:r>
        <w:t xml:space="preserve"> In the present version of GEM-E3 the manufacturing of batteries is not represented as a separate sector but it is assumed to be part of the electrical equipment sector.</w:t>
      </w:r>
    </w:p>
  </w:footnote>
  <w:footnote w:id="165">
    <w:p w:rsidR="001A26B0" w:rsidRDefault="00E33A99">
      <w:pPr>
        <w:pStyle w:val="FootnoteText"/>
        <w:spacing w:after="120"/>
        <w:rPr>
          <w:lang w:val="it-IT"/>
        </w:rPr>
      </w:pPr>
      <w:r>
        <w:rPr>
          <w:rStyle w:val="FootnoteReference"/>
        </w:rPr>
        <w:footnoteRef/>
      </w:r>
      <w:r>
        <w:rPr>
          <w:lang w:val="it-IT"/>
        </w:rPr>
        <w:t xml:space="preserve"> Fuelling Europe’s Future, </w:t>
      </w:r>
      <w:hyperlink r:id="rId91" w:history="1">
        <w:r>
          <w:rPr>
            <w:rStyle w:val="Hyperlink"/>
            <w:lang w:val="it-IT"/>
          </w:rPr>
          <w:t>https://www.camecon.com/how/our-work/fuelling-europes-future/</w:t>
        </w:r>
      </w:hyperlink>
    </w:p>
  </w:footnote>
  <w:footnote w:id="166">
    <w:p w:rsidR="001A26B0" w:rsidRDefault="00E33A99">
      <w:pPr>
        <w:pStyle w:val="FootnoteText"/>
        <w:spacing w:after="120"/>
      </w:pPr>
      <w:r>
        <w:rPr>
          <w:rStyle w:val="FootnoteReference"/>
        </w:rPr>
        <w:footnoteRef/>
      </w:r>
      <w:r>
        <w:t xml:space="preserve"> Fuelling France / En route pour un transport durable, 2015, </w:t>
      </w:r>
      <w:hyperlink r:id="rId92" w:history="1">
        <w:r>
          <w:rPr>
            <w:rStyle w:val="Hyperlink"/>
          </w:rPr>
          <w:t>https://www.camecon.com/how/our-work/en-route-pour-un-transport-durable/</w:t>
        </w:r>
      </w:hyperlink>
      <w:r>
        <w:t xml:space="preserve">; Fuelling Britain's Future (FBF), 2015, </w:t>
      </w:r>
      <w:hyperlink r:id="rId93" w:history="1">
        <w:r>
          <w:rPr>
            <w:rStyle w:val="Hyperlink"/>
          </w:rPr>
          <w:t>https://www.camecon.com/how/our-work/fuelling-britains-future/</w:t>
        </w:r>
      </w:hyperlink>
      <w:r>
        <w:t xml:space="preserve">; Low Carbon Mobility in Germany: Challenges and Economic Opportunities, 2017, </w:t>
      </w:r>
      <w:hyperlink r:id="rId94" w:history="1">
        <w:r>
          <w:rPr>
            <w:rStyle w:val="Hyperlink"/>
          </w:rPr>
          <w:t>https://europeanclimate.org/low-carbon-mobility-in-germany-cha</w:t>
        </w:r>
        <w:r>
          <w:rPr>
            <w:rStyle w:val="Hyperlink"/>
          </w:rPr>
          <w:t>llenges-and-economic-opportunities./</w:t>
        </w:r>
      </w:hyperlink>
    </w:p>
  </w:footnote>
  <w:footnote w:id="167">
    <w:p w:rsidR="001A26B0" w:rsidRDefault="00E33A99">
      <w:pPr>
        <w:pStyle w:val="FootnoteText"/>
        <w:spacing w:after="120"/>
      </w:pPr>
      <w:r>
        <w:rPr>
          <w:rStyle w:val="FootnoteReference"/>
        </w:rPr>
        <w:footnoteRef/>
      </w:r>
      <w:r>
        <w:t xml:space="preserve"> FTI Consulting (2017): The impact of Electrically Chargeable Vehicles on the EU economy, A literature review and assessment. Study prepared for ACEA: </w:t>
      </w:r>
      <w:hyperlink r:id="rId95" w:history="1">
        <w:r>
          <w:rPr>
            <w:rStyle w:val="Hyperlink"/>
          </w:rPr>
          <w:t>http://www.fticonsulting.com/~/media/Files/emea--files/insights/reports/impact-electrically-chargeable-vehicles-eu-economy.pdf</w:t>
        </w:r>
      </w:hyperlink>
      <w:r>
        <w:t xml:space="preserve"> </w:t>
      </w:r>
    </w:p>
  </w:footnote>
  <w:footnote w:id="168">
    <w:p w:rsidR="001A26B0" w:rsidRDefault="00E33A99">
      <w:pPr>
        <w:pStyle w:val="FootnoteText"/>
        <w:spacing w:after="120"/>
      </w:pPr>
      <w:r>
        <w:rPr>
          <w:rStyle w:val="FootnoteReference"/>
        </w:rPr>
        <w:footnoteRef/>
      </w:r>
      <w:r>
        <w:t xml:space="preserve"> Stakeholder meeting "Revision of the Regulations o</w:t>
      </w:r>
      <w:r>
        <w:t>n CO</w:t>
      </w:r>
      <w:r>
        <w:rPr>
          <w:vertAlign w:val="subscript"/>
        </w:rPr>
        <w:t>2</w:t>
      </w:r>
      <w:r>
        <w:t xml:space="preserve"> emissions from light-duty vehicles (post-2020) – Impact on jobs and skills in the automotive sector", Brussels, 26 June 2017.</w:t>
      </w:r>
    </w:p>
  </w:footnote>
  <w:footnote w:id="169">
    <w:p w:rsidR="001A26B0" w:rsidRDefault="00E33A99">
      <w:pPr>
        <w:pStyle w:val="FootnoteText"/>
        <w:spacing w:after="120"/>
      </w:pPr>
      <w:r>
        <w:rPr>
          <w:rStyle w:val="FootnoteReference"/>
        </w:rPr>
        <w:footnoteRef/>
      </w:r>
      <w:r>
        <w:rPr>
          <w:lang w:val="de-DE"/>
        </w:rPr>
        <w:t xml:space="preserve"> Fraunhofer IAO (2012): Elektromobilität und Beschäftigung – Wirkungen der Elektrifizierung des Antriebsstrangs auf Beschäf</w:t>
      </w:r>
      <w:r>
        <w:rPr>
          <w:lang w:val="de-DE"/>
        </w:rPr>
        <w:t xml:space="preserve">tigung und Standortumgebung (ELAB), </w:t>
      </w:r>
      <w:hyperlink r:id="rId96" w:history="1">
        <w:r>
          <w:rPr>
            <w:rStyle w:val="Hyperlink"/>
            <w:lang w:val="de-DE"/>
          </w:rPr>
          <w:t>http://www.muse.iao.fraunhofer.de/content/dam/iao/muse/de/documents/AbgeschlosseneProje</w:t>
        </w:r>
        <w:r>
          <w:rPr>
            <w:rStyle w:val="Hyperlink"/>
            <w:lang w:val="de-DE"/>
          </w:rPr>
          <w:t>kte/elab-abschlussbericht.pdf</w:t>
        </w:r>
      </w:hyperlink>
      <w:r>
        <w:rPr>
          <w:lang w:val="de-DE"/>
        </w:rPr>
        <w:t xml:space="preserve"> . </w:t>
      </w:r>
      <w:r>
        <w:t xml:space="preserve">The study does not consider how much the workforce is affected along the value chain, e.g. component suppliers, not does it look at labour structures. These issues are assessed in a follow-up study "ELAB2". Results were not </w:t>
      </w:r>
      <w:r>
        <w:t>available yet at the time of writing.</w:t>
      </w:r>
    </w:p>
  </w:footnote>
  <w:footnote w:id="170">
    <w:p w:rsidR="001A26B0" w:rsidRDefault="00E33A99">
      <w:pPr>
        <w:pStyle w:val="FootnoteText"/>
        <w:spacing w:after="120"/>
      </w:pPr>
      <w:r>
        <w:rPr>
          <w:rStyle w:val="FootnoteReference"/>
        </w:rPr>
        <w:footnoteRef/>
      </w:r>
      <w:r>
        <w:t xml:space="preserve"> Deloitte: The Future of the Automotive Value Chain – 2025 and beyond, </w:t>
      </w:r>
      <w:hyperlink r:id="rId97" w:history="1">
        <w:r>
          <w:rPr>
            <w:rStyle w:val="Hyperlink"/>
          </w:rPr>
          <w:t>https://www2.deloitte.</w:t>
        </w:r>
        <w:r>
          <w:rPr>
            <w:rStyle w:val="Hyperlink"/>
          </w:rPr>
          <w:t>com/de/de/pages/consumer-industrial-products/articles/automotiv-value-chain-2025.html</w:t>
        </w:r>
      </w:hyperlink>
      <w:r>
        <w:t xml:space="preserve"> </w:t>
      </w:r>
    </w:p>
  </w:footnote>
  <w:footnote w:id="171">
    <w:p w:rsidR="001A26B0" w:rsidRDefault="00E33A99">
      <w:pPr>
        <w:pStyle w:val="FootnoteText"/>
        <w:spacing w:after="120"/>
      </w:pPr>
      <w:r>
        <w:rPr>
          <w:rStyle w:val="FootnoteReference"/>
        </w:rPr>
        <w:footnoteRef/>
      </w:r>
      <w:r>
        <w:t xml:space="preserve"> European Commission (2014): The 2015 Ageing Report: Underlying Assumptions and Projection Methodologies, </w:t>
      </w:r>
      <w:hyperlink r:id="rId98" w:history="1">
        <w:r>
          <w:rPr>
            <w:rStyle w:val="Hyperlink"/>
          </w:rPr>
          <w:t>http://ec.europa.eu/economy_finance/publications/european_economy/2014/pdf/ee8_en.pdf</w:t>
        </w:r>
      </w:hyperlink>
      <w:r>
        <w:t xml:space="preserve"> </w:t>
      </w:r>
    </w:p>
  </w:footnote>
  <w:footnote w:id="172">
    <w:p w:rsidR="001A26B0" w:rsidRDefault="00E33A99">
      <w:pPr>
        <w:pStyle w:val="FootnoteText"/>
        <w:spacing w:after="120"/>
      </w:pPr>
      <w:r>
        <w:rPr>
          <w:rStyle w:val="FootnoteReference"/>
        </w:rPr>
        <w:footnoteRef/>
      </w:r>
      <w:r>
        <w:t xml:space="preserve"> FTI Consulting (2017): The impact of Electrically Chargeable Vehicles on the EU economy, A literature review and assessment. St</w:t>
      </w:r>
      <w:r>
        <w:t xml:space="preserve">udy prepared for ACEA: </w:t>
      </w:r>
      <w:hyperlink r:id="rId99" w:history="1">
        <w:r>
          <w:rPr>
            <w:rStyle w:val="Hyperlink"/>
          </w:rPr>
          <w:t>http://www.fticonsulting.com/~/media/Files/emea--files/insights/reports/impact-electricall</w:t>
        </w:r>
        <w:r>
          <w:rPr>
            <w:rStyle w:val="Hyperlink"/>
          </w:rPr>
          <w:t>y-chargeable-vehicles-eu-economy.pdf</w:t>
        </w:r>
      </w:hyperlink>
      <w:r>
        <w:t xml:space="preserve"> </w:t>
      </w:r>
    </w:p>
  </w:footnote>
  <w:footnote w:id="173">
    <w:p w:rsidR="001A26B0" w:rsidRDefault="00E33A99">
      <w:pPr>
        <w:pStyle w:val="FootnoteText"/>
        <w:spacing w:after="120"/>
      </w:pPr>
      <w:r>
        <w:rPr>
          <w:rStyle w:val="FootnoteReference"/>
        </w:rPr>
        <w:footnoteRef/>
      </w:r>
      <w:r>
        <w:t xml:space="preserve"> InudstriAll (2017): Structural change in the automotive industry – How to deal with the social consequences? Presentation by Guido Nelissen, Brussels, 26 June 2017.</w:t>
      </w:r>
    </w:p>
  </w:footnote>
  <w:footnote w:id="174">
    <w:p w:rsidR="001A26B0" w:rsidRDefault="00E33A99">
      <w:pPr>
        <w:pStyle w:val="FootnoteText"/>
        <w:spacing w:after="120"/>
      </w:pPr>
      <w:r>
        <w:rPr>
          <w:rStyle w:val="FootnoteReference"/>
        </w:rPr>
        <w:footnoteRef/>
      </w:r>
      <w:r>
        <w:t xml:space="preserve"> </w:t>
      </w:r>
      <w:hyperlink r:id="rId100" w:history="1">
        <w:r>
          <w:rPr>
            <w:rStyle w:val="Hyperlink"/>
          </w:rPr>
          <w:t>http://ec.europa.eu/growth/tools-databases/newsroom/cf/itemdetail.cfm?item_id=8640</w:t>
        </w:r>
      </w:hyperlink>
      <w:r>
        <w:t xml:space="preserve"> </w:t>
      </w:r>
    </w:p>
  </w:footnote>
  <w:footnote w:id="175">
    <w:p w:rsidR="001A26B0" w:rsidRDefault="00E33A99">
      <w:pPr>
        <w:pStyle w:val="FootnoteText"/>
        <w:spacing w:after="120"/>
      </w:pPr>
      <w:r>
        <w:rPr>
          <w:rStyle w:val="FootnoteReference"/>
        </w:rPr>
        <w:footnoteRef/>
      </w:r>
      <w:r>
        <w:t xml:space="preserve"> </w:t>
      </w:r>
      <w:hyperlink r:id="rId101" w:history="1">
        <w:r>
          <w:rPr>
            <w:rStyle w:val="Hyperlink"/>
          </w:rPr>
          <w:t>http://ec.europa.eu/g</w:t>
        </w:r>
        <w:r>
          <w:rPr>
            <w:rStyle w:val="Hyperlink"/>
          </w:rPr>
          <w:t>rowth/tools-databases/newsroom/cf/itemdetail.cfm?item_id=8848</w:t>
        </w:r>
      </w:hyperlink>
      <w:r>
        <w:t xml:space="preserve"> </w:t>
      </w:r>
    </w:p>
  </w:footnote>
  <w:footnote w:id="176">
    <w:p w:rsidR="001A26B0" w:rsidRDefault="00E33A99">
      <w:pPr>
        <w:pStyle w:val="FootnoteText"/>
      </w:pPr>
      <w:r>
        <w:rPr>
          <w:rStyle w:val="FootnoteReference"/>
        </w:rPr>
        <w:footnoteRef/>
      </w:r>
      <w:r>
        <w:t xml:space="preserve"> Transport &amp; Mobility Leven (2016) - Data gathering and analysis to improve the understanding of 2nd hand car and LDV markets and implications for the cost effectiveness and social equity of L</w:t>
      </w:r>
      <w:r>
        <w:t>DV CO2 regulations (report for the European Commission, DG CLIMA)</w:t>
      </w:r>
    </w:p>
  </w:footnote>
  <w:footnote w:id="177">
    <w:p w:rsidR="001A26B0" w:rsidRDefault="00E33A99">
      <w:pPr>
        <w:pStyle w:val="FootnoteText"/>
        <w:spacing w:after="120"/>
      </w:pPr>
      <w:r>
        <w:rPr>
          <w:rStyle w:val="FootnoteReference"/>
        </w:rPr>
        <w:footnoteRef/>
      </w:r>
      <w:r>
        <w:t xml:space="preserve"> 2005 is the reference year for the emission reduction objectives established under the Effort Sharing Decision and the Commission's 2016 Proposal for an Effort Sharing Regulation</w:t>
      </w:r>
    </w:p>
  </w:footnote>
  <w:footnote w:id="178">
    <w:p w:rsidR="001A26B0" w:rsidRDefault="00E33A99">
      <w:pPr>
        <w:pStyle w:val="FootnoteText"/>
        <w:spacing w:after="120"/>
      </w:pPr>
      <w:r>
        <w:rPr>
          <w:rStyle w:val="FootnoteReference"/>
        </w:rPr>
        <w:footnoteRef/>
      </w:r>
      <w:r>
        <w:t xml:space="preserve"> In PRIM</w:t>
      </w:r>
      <w:r>
        <w:t>ES-TREMOVE, WTW emissions are defined as upstream emissions, due to fuel and electricity production, on EU territory only. These emissions change as the vehicle mix changes.</w:t>
      </w:r>
    </w:p>
  </w:footnote>
  <w:footnote w:id="179">
    <w:p w:rsidR="001A26B0" w:rsidRDefault="00E33A99">
      <w:pPr>
        <w:pStyle w:val="FootnoteText"/>
      </w:pPr>
      <w:r>
        <w:rPr>
          <w:rStyle w:val="FootnoteReference"/>
        </w:rPr>
        <w:footnoteRef/>
      </w:r>
      <w:hyperlink r:id="rId102" w:history="1">
        <w:r>
          <w:rPr>
            <w:rStyle w:val="Hyperlink"/>
          </w:rPr>
          <w:t>htt</w:t>
        </w:r>
        <w:r>
          <w:rPr>
            <w:rStyle w:val="Hyperlink"/>
          </w:rPr>
          <w:t>ps://ec.europa.eu/energy/en/data-analysis/energy-modelling</w:t>
        </w:r>
      </w:hyperlink>
      <w:r>
        <w:t xml:space="preserve"> </w:t>
      </w:r>
    </w:p>
  </w:footnote>
  <w:footnote w:id="180">
    <w:p w:rsidR="001A26B0" w:rsidRDefault="00E33A99">
      <w:pPr>
        <w:pStyle w:val="FootnoteText"/>
        <w:spacing w:after="120"/>
      </w:pPr>
      <w:r>
        <w:rPr>
          <w:rStyle w:val="FootnoteReference"/>
        </w:rPr>
        <w:footnoteRef/>
      </w:r>
      <w:r>
        <w:t xml:space="preserve"> COM(2016) 482 final</w:t>
      </w:r>
    </w:p>
  </w:footnote>
  <w:footnote w:id="181">
    <w:p w:rsidR="001A26B0" w:rsidRDefault="00E33A99">
      <w:pPr>
        <w:pStyle w:val="FootnoteText"/>
        <w:spacing w:after="120"/>
      </w:pPr>
      <w:r>
        <w:rPr>
          <w:rStyle w:val="FootnoteReference"/>
        </w:rPr>
        <w:footnoteRef/>
      </w:r>
      <w:r>
        <w:t xml:space="preserve"> Weighted average, according to the 2005 emissions for the non-ETS sectors under the Effort Sharing Decision</w:t>
      </w:r>
    </w:p>
  </w:footnote>
  <w:footnote w:id="182">
    <w:p w:rsidR="001A26B0" w:rsidRDefault="00E33A99">
      <w:pPr>
        <w:pStyle w:val="FootnoteText"/>
        <w:spacing w:after="120"/>
      </w:pPr>
      <w:r>
        <w:rPr>
          <w:rStyle w:val="FootnoteReference"/>
        </w:rPr>
        <w:footnoteRef/>
      </w:r>
      <w:r>
        <w:t xml:space="preserve"> Weighted average, according to the 2005 emissions for light-du</w:t>
      </w:r>
      <w:r>
        <w:t>ty vehicles</w:t>
      </w:r>
    </w:p>
  </w:footnote>
  <w:footnote w:id="183">
    <w:p w:rsidR="001A26B0" w:rsidRDefault="00E33A99">
      <w:pPr>
        <w:pStyle w:val="FootnoteText"/>
        <w:spacing w:after="120"/>
      </w:pPr>
      <w:r>
        <w:rPr>
          <w:rStyle w:val="FootnoteReference"/>
        </w:rPr>
        <w:footnoteRef/>
      </w:r>
      <w:r>
        <w:t xml:space="preserve"> The table illustrates that the results are not significantly impacted by the target levels, so similar conclusions would apply for other target level combinations.</w:t>
      </w:r>
    </w:p>
  </w:footnote>
  <w:footnote w:id="184">
    <w:p w:rsidR="001A26B0" w:rsidRDefault="00E33A99">
      <w:pPr>
        <w:pStyle w:val="FootnoteText"/>
        <w:spacing w:after="120"/>
      </w:pPr>
      <w:r>
        <w:rPr>
          <w:rStyle w:val="FootnoteReference"/>
        </w:rPr>
        <w:footnoteRef/>
      </w:r>
      <w:r>
        <w:t xml:space="preserve"> These policies concern eco-driving, Cooperative Intelligent Transport System</w:t>
      </w:r>
      <w:r>
        <w:t>s (C-ITS), internalisation of transport externalities, road infrastructure charges for Heavy Goods Vehicles, and the targets set in the Commission's 2016 proposal for a revision of the Renewable Energy Directive for the shares of renewable energy sources u</w:t>
      </w:r>
      <w:r>
        <w:t>sed in transport..</w:t>
      </w:r>
    </w:p>
  </w:footnote>
  <w:footnote w:id="185">
    <w:p w:rsidR="001A26B0" w:rsidRDefault="00E33A99">
      <w:pPr>
        <w:pStyle w:val="FootnoteText"/>
        <w:rPr>
          <w:lang w:val="de-DE"/>
        </w:rPr>
      </w:pPr>
      <w:r>
        <w:rPr>
          <w:rStyle w:val="FootnoteReference"/>
        </w:rPr>
        <w:footnoteRef/>
      </w:r>
      <w:r>
        <w:t xml:space="preserve"> For instance, based on patent data for combustion engines and alternative technologies for the period 1995-2015, the German automotive industry is among the leading automotive nation in the period 2010-2015. However, this technological</w:t>
      </w:r>
      <w:r>
        <w:t xml:space="preserve"> potential is not transformed into new products. One reason for industry to rather wait than investing in further development and marketing of these products are the higher costs and the expected economies of scale It is therefore necessary to stimulate th</w:t>
      </w:r>
      <w:r>
        <w:t xml:space="preserve">e market diffusion of these new technologies. </w:t>
      </w:r>
      <w:r>
        <w:rPr>
          <w:lang w:val="de-DE"/>
        </w:rPr>
        <w:t xml:space="preserve">See Falck, O. et al. (2017): "Auswirkungen eines Zulassungsverbots für Personenkraftwagen und leichte Nutzfahrzeuge mit Verbrennungsmotoren" ifo Institut, </w:t>
      </w:r>
      <w:hyperlink r:id="rId103" w:history="1">
        <w:r>
          <w:rPr>
            <w:rStyle w:val="Hyperlink"/>
            <w:lang w:val="de-DE"/>
          </w:rPr>
          <w:t>http://www.cesifo-group.de/portal/page/portal/DocBase_Service/studien/Studie-2017-Falck-etal-Zulassungsverbot-Verbrennungsmotoren.pdf</w:t>
        </w:r>
      </w:hyperlink>
      <w:r>
        <w:rPr>
          <w:lang w:val="de-DE"/>
        </w:rPr>
        <w:t xml:space="preserve"> </w:t>
      </w:r>
    </w:p>
  </w:footnote>
  <w:footnote w:id="186">
    <w:p w:rsidR="001A26B0" w:rsidRDefault="00E33A99">
      <w:pPr>
        <w:pStyle w:val="FootnoteText"/>
        <w:spacing w:after="120"/>
      </w:pPr>
      <w:r>
        <w:rPr>
          <w:rStyle w:val="FootnoteReference"/>
        </w:rPr>
        <w:footnoteRef/>
      </w:r>
      <w:r>
        <w:t xml:space="preserve"> Small volume manufacture</w:t>
      </w:r>
      <w:r>
        <w:t xml:space="preserve">rs (with &lt; 10,000 passenger car registrations or &lt;20,000 LCV registrations) and manufacturers below the </w:t>
      </w:r>
      <w:r>
        <w:rPr>
          <w:i/>
        </w:rPr>
        <w:t>de minimis</w:t>
      </w:r>
      <w:r>
        <w:t xml:space="preserve"> threshold (&lt;1,000 vehicles registered) are not considered in this quantitative analysis. </w:t>
      </w:r>
    </w:p>
  </w:footnote>
  <w:footnote w:id="187">
    <w:p w:rsidR="001A26B0" w:rsidRDefault="00E33A99">
      <w:pPr>
        <w:pStyle w:val="FootnoteText"/>
        <w:spacing w:after="120"/>
      </w:pPr>
      <w:r>
        <w:rPr>
          <w:rStyle w:val="FootnoteReference"/>
        </w:rPr>
        <w:footnoteRef/>
      </w:r>
      <w:r>
        <w:t xml:space="preserve"> "Small": &gt;75% A/B segment vehicles; "Large": &gt;</w:t>
      </w:r>
      <w:r>
        <w:t xml:space="preserve">10% large or &gt;50% upper medium+large vehicles; "Medium": other. </w:t>
      </w:r>
    </w:p>
  </w:footnote>
  <w:footnote w:id="188">
    <w:p w:rsidR="001A26B0" w:rsidRDefault="00E33A99">
      <w:pPr>
        <w:pStyle w:val="ListBullet"/>
        <w:numPr>
          <w:ilvl w:val="0"/>
          <w:numId w:val="0"/>
        </w:numPr>
        <w:spacing w:after="120"/>
        <w:ind w:left="283" w:hanging="283"/>
      </w:pPr>
      <w:r>
        <w:rPr>
          <w:rStyle w:val="FootnoteReference"/>
          <w:sz w:val="20"/>
        </w:rPr>
        <w:footnoteRef/>
      </w:r>
      <w:r>
        <w:rPr>
          <w:sz w:val="20"/>
        </w:rPr>
        <w:t xml:space="preserve"> "Early market leader": higher deployment/market share of EVs and/or hybrids; "Low": little/no deployment of EVs and hybrids.  </w:t>
      </w:r>
    </w:p>
  </w:footnote>
  <w:footnote w:id="189">
    <w:p w:rsidR="001A26B0" w:rsidRDefault="00E33A99">
      <w:pPr>
        <w:pStyle w:val="FootnoteText"/>
        <w:spacing w:after="120"/>
      </w:pPr>
      <w:r>
        <w:rPr>
          <w:rStyle w:val="FootnoteReference"/>
        </w:rPr>
        <w:footnoteRef/>
      </w:r>
      <w:r>
        <w:t xml:space="preserve"> "Small": &lt;50% large LCV or  &gt;</w:t>
      </w:r>
      <w:r>
        <w:t>15% small LCV or car-based sales; "Large" = other</w:t>
      </w:r>
    </w:p>
  </w:footnote>
  <w:footnote w:id="190">
    <w:p w:rsidR="001A26B0" w:rsidRDefault="00E33A99">
      <w:pPr>
        <w:pStyle w:val="FootnoteText"/>
      </w:pPr>
      <w:r>
        <w:rPr>
          <w:rStyle w:val="FootnoteReference"/>
        </w:rPr>
        <w:footnoteRef/>
      </w:r>
      <w:r>
        <w:t xml:space="preserve"> As PRIMES-TREMOVE does not model the fleet of individual manufacturers, the situation where the LEV level is "met by all manufacturers" in the model context means that the share of LEV in the EU-wide new </w:t>
      </w:r>
      <w:r>
        <w:t xml:space="preserve">vehicle fleet equals the LEV target/benchmark.  </w:t>
      </w:r>
    </w:p>
  </w:footnote>
  <w:footnote w:id="191">
    <w:p w:rsidR="001A26B0" w:rsidRDefault="00E33A99">
      <w:pPr>
        <w:pStyle w:val="FootnoteText"/>
        <w:spacing w:after="120"/>
      </w:pPr>
      <w:r>
        <w:rPr>
          <w:rStyle w:val="FootnoteReference"/>
        </w:rPr>
        <w:footnoteRef/>
      </w:r>
      <w:r>
        <w:t xml:space="preserve"> Communication from the Commission to the European Parliament, the Council, the European Economic and Social Committee and the Committee of the Regions. Towards the broadest use of alternative fuels – an Ac</w:t>
      </w:r>
      <w:r>
        <w:t>tion Plan on Alternative Fuels Infrastructure under Article 10(6) of Directive 2014/94/EU, including the assessment of national policy frameworks unde rARticle 10(2) of Directive 2014/94/EU.</w:t>
      </w:r>
    </w:p>
  </w:footnote>
  <w:footnote w:id="192">
    <w:p w:rsidR="001A26B0" w:rsidRDefault="00E33A99">
      <w:pPr>
        <w:pStyle w:val="FootnoteText"/>
        <w:spacing w:after="120"/>
      </w:pPr>
      <w:r>
        <w:rPr>
          <w:rStyle w:val="FootnoteReference"/>
        </w:rPr>
        <w:footnoteRef/>
      </w:r>
      <w:r>
        <w:t xml:space="preserve"> </w:t>
      </w:r>
      <w:hyperlink r:id="rId104" w:history="1">
        <w:r>
          <w:rPr>
            <w:rStyle w:val="Hyperlink"/>
          </w:rPr>
          <w:t>http://ec.europa.eu/transparency/regdoc/?fuseaction=ia</w:t>
        </w:r>
      </w:hyperlink>
    </w:p>
  </w:footnote>
  <w:footnote w:id="193">
    <w:p w:rsidR="001A26B0" w:rsidRDefault="00E33A99">
      <w:pPr>
        <w:pStyle w:val="FootnoteText"/>
        <w:spacing w:after="120"/>
      </w:pPr>
      <w:r>
        <w:rPr>
          <w:rStyle w:val="FootnoteReference"/>
        </w:rPr>
        <w:footnoteRef/>
      </w:r>
      <w:r>
        <w:t xml:space="preserve"> For option LEVD_50, the shares shown in Table 37 do not represent the actual market share of LEV because of the counting of LEV on the basis of their CO</w:t>
      </w:r>
      <w:r>
        <w:rPr>
          <w:vertAlign w:val="subscript"/>
        </w:rPr>
        <w:t>2</w:t>
      </w:r>
      <w:r>
        <w:t xml:space="preserve"> emissions, as explained in Section 5.</w:t>
      </w:r>
      <w:r>
        <w:t>3.2.1 (Table 5)</w:t>
      </w:r>
    </w:p>
  </w:footnote>
  <w:footnote w:id="194">
    <w:p w:rsidR="001A26B0" w:rsidRDefault="00E33A99">
      <w:pPr>
        <w:pStyle w:val="FootnoteText"/>
      </w:pPr>
      <w:r>
        <w:rPr>
          <w:rStyle w:val="FootnoteReference"/>
        </w:rPr>
        <w:footnoteRef/>
      </w:r>
      <w:r>
        <w:t xml:space="preserve"> This means a LEV benchmark of </w:t>
      </w:r>
      <w:r>
        <w:rPr>
          <w:szCs w:val="24"/>
        </w:rPr>
        <w:t>15% in case of LEVD_ZEV and 25% in case of LEVD_25 and LEVD_50 (</w:t>
      </w:r>
      <w:r>
        <w:rPr>
          <w:szCs w:val="24"/>
          <w:u w:val="single"/>
        </w:rPr>
        <w:t>green</w:t>
      </w:r>
      <w:r>
        <w:rPr>
          <w:szCs w:val="24"/>
        </w:rPr>
        <w:t xml:space="preserve"> lines in the figures)</w:t>
      </w:r>
    </w:p>
  </w:footnote>
  <w:footnote w:id="195">
    <w:p w:rsidR="001A26B0" w:rsidRDefault="00E33A99">
      <w:pPr>
        <w:pStyle w:val="FootnoteText"/>
      </w:pPr>
      <w:r>
        <w:rPr>
          <w:rStyle w:val="FootnoteReference"/>
        </w:rPr>
        <w:footnoteRef/>
      </w:r>
      <w:r>
        <w:t xml:space="preserve"> "corresponding" in the sense that the CO</w:t>
      </w:r>
      <w:r>
        <w:rPr>
          <w:vertAlign w:val="subscript"/>
        </w:rPr>
        <w:t>2</w:t>
      </w:r>
      <w:r>
        <w:t xml:space="preserve"> target would be the same in case the LEV benchmark is exactly met</w:t>
      </w:r>
    </w:p>
  </w:footnote>
  <w:footnote w:id="196">
    <w:p w:rsidR="001A26B0" w:rsidRDefault="00E33A99">
      <w:pPr>
        <w:pStyle w:val="FootnoteText"/>
        <w:spacing w:after="120"/>
      </w:pPr>
      <w:r>
        <w:rPr>
          <w:rStyle w:val="FootnoteReference"/>
        </w:rPr>
        <w:footnoteRef/>
      </w:r>
      <w:r>
        <w:t xml:space="preserve"> "cor</w:t>
      </w:r>
      <w:r>
        <w:t>responding" in the sense that the CO</w:t>
      </w:r>
      <w:r>
        <w:rPr>
          <w:vertAlign w:val="subscript"/>
        </w:rPr>
        <w:t>2</w:t>
      </w:r>
      <w:r>
        <w:t xml:space="preserve"> target would be the same in case the LEV benchmark is exactly met</w:t>
      </w:r>
    </w:p>
  </w:footnote>
  <w:footnote w:id="197">
    <w:p w:rsidR="001A26B0" w:rsidRDefault="00E33A99">
      <w:pPr>
        <w:pStyle w:val="FootnoteText"/>
        <w:spacing w:after="120"/>
      </w:pPr>
      <w:r>
        <w:rPr>
          <w:rStyle w:val="FootnoteReference"/>
        </w:rPr>
        <w:footnoteRef/>
      </w:r>
      <w:r>
        <w:rPr>
          <w:color w:val="000000"/>
          <w:szCs w:val="24"/>
        </w:rPr>
        <w:t xml:space="preserve"> Macro-economic impacts would be very similar when combining options TLC25 (cars) and TLV25 (vans).</w:t>
      </w:r>
    </w:p>
  </w:footnote>
  <w:footnote w:id="198">
    <w:p w:rsidR="001A26B0" w:rsidRDefault="00E33A99">
      <w:pPr>
        <w:pStyle w:val="FootnoteText"/>
        <w:rPr>
          <w:lang w:val="de-DE"/>
        </w:rPr>
      </w:pPr>
      <w:r>
        <w:rPr>
          <w:rStyle w:val="FootnoteReference"/>
        </w:rPr>
        <w:footnoteRef/>
      </w:r>
      <w:r>
        <w:rPr>
          <w:lang w:val="de-DE"/>
        </w:rPr>
        <w:t xml:space="preserve"> Falck, O. et al. (2017): "Auswirkungen eines Zula</w:t>
      </w:r>
      <w:r>
        <w:rPr>
          <w:lang w:val="de-DE"/>
        </w:rPr>
        <w:t xml:space="preserve">ssungsverbots für Personenkraftwagen und leichte Nutzfahrzeuge mit Verbrennungsmotoren" ifo institut, </w:t>
      </w:r>
      <w:hyperlink r:id="rId105" w:history="1">
        <w:r>
          <w:rPr>
            <w:rStyle w:val="Hyperlink"/>
            <w:lang w:val="de-DE"/>
          </w:rPr>
          <w:t>http</w:t>
        </w:r>
        <w:r>
          <w:rPr>
            <w:rStyle w:val="Hyperlink"/>
            <w:lang w:val="de-DE"/>
          </w:rPr>
          <w:t>://www.cesifo-group.de/portal/page/portal/DocBase_Service/studien/Studie-2017-Falck-etal-Zulassungsverbot-Verbrennungsmotoren.pdf</w:t>
        </w:r>
      </w:hyperlink>
      <w:r>
        <w:rPr>
          <w:lang w:val="de-DE"/>
        </w:rPr>
        <w:t xml:space="preserve"> </w:t>
      </w:r>
    </w:p>
  </w:footnote>
  <w:footnote w:id="199">
    <w:p w:rsidR="001A26B0" w:rsidRDefault="00E33A99">
      <w:pPr>
        <w:pStyle w:val="FootnoteText"/>
        <w:spacing w:after="120"/>
      </w:pPr>
      <w:r>
        <w:rPr>
          <w:rStyle w:val="FootnoteReference"/>
        </w:rPr>
        <w:footnoteRef/>
      </w:r>
      <w:r>
        <w:t xml:space="preserve"> Ricardo-AEA and TEPR (2015), Evaluation of Regulations 443/2009 and 510/2011 on the reduction of CO</w:t>
      </w:r>
      <w:r>
        <w:rPr>
          <w:vertAlign w:val="subscript"/>
        </w:rPr>
        <w:t>2</w:t>
      </w:r>
      <w:r>
        <w:t xml:space="preserve"> emissions from light-d</w:t>
      </w:r>
      <w:r>
        <w:t>uty vehicles, CE Delft and TNO (2017) Assessment of the Modalities for LDV CO</w:t>
      </w:r>
      <w:r>
        <w:rPr>
          <w:vertAlign w:val="subscript"/>
        </w:rPr>
        <w:t>2</w:t>
      </w:r>
      <w:r>
        <w:t xml:space="preserve"> Regulations beyond 2020, report for the European Commission (DG CLIMA)</w:t>
      </w:r>
    </w:p>
  </w:footnote>
  <w:footnote w:id="200">
    <w:p w:rsidR="001A26B0" w:rsidRDefault="00E33A99">
      <w:pPr>
        <w:pStyle w:val="FootnoteText"/>
        <w:spacing w:after="120"/>
      </w:pPr>
      <w:r>
        <w:rPr>
          <w:rStyle w:val="FootnoteReference"/>
        </w:rPr>
        <w:footnoteRef/>
      </w:r>
      <w:r>
        <w:t xml:space="preserve"> </w:t>
      </w:r>
      <w:r>
        <w:rPr>
          <w:szCs w:val="24"/>
        </w:rPr>
        <w:t>SWD(2012) 213 final</w:t>
      </w:r>
    </w:p>
  </w:footnote>
  <w:footnote w:id="201">
    <w:p w:rsidR="001A26B0" w:rsidRDefault="00E33A99">
      <w:pPr>
        <w:pStyle w:val="FootnoteText"/>
      </w:pPr>
      <w:r>
        <w:rPr>
          <w:rStyle w:val="FootnoteReference"/>
        </w:rPr>
        <w:footnoteRef/>
      </w:r>
      <w:r>
        <w:t xml:space="preserve"> Martin F. Weilenmann, Robert Alvarez, Mario Keller, (2010) Fuel Consumption and CO</w:t>
      </w:r>
      <w:r>
        <w:rPr>
          <w:vertAlign w:val="subscript"/>
        </w:rPr>
        <w:t>2</w:t>
      </w:r>
      <w:r>
        <w:t>/Pollutant Emissions of Mobile Air Conditioning at Fleet Level – New Data and Model Comparison, (Environmental Science and Technology, 2010, 44).</w:t>
      </w:r>
    </w:p>
  </w:footnote>
  <w:footnote w:id="202">
    <w:p w:rsidR="001A26B0" w:rsidRDefault="00E33A99">
      <w:pPr>
        <w:pStyle w:val="FootnoteText"/>
        <w:spacing w:after="120"/>
      </w:pPr>
      <w:r>
        <w:rPr>
          <w:rStyle w:val="FootnoteReference"/>
        </w:rPr>
        <w:footnoteRef/>
      </w:r>
      <w:r>
        <w:t xml:space="preserve"> Shulock, C. (2016): Manufacturer Sales Under the Zero Emission Vehicle Regulation (Prepared for Natural Res</w:t>
      </w:r>
      <w:r>
        <w:t xml:space="preserve">ources Defense Council), </w:t>
      </w:r>
      <w:hyperlink r:id="rId106" w:history="1">
        <w:r>
          <w:rPr>
            <w:rStyle w:val="Hyperlink"/>
          </w:rPr>
          <w:t>https://www.nrdc.org/sites/default/files/media-uploads/nrdc_commissioned_zev_report_july_2016_0.pdf</w:t>
        </w:r>
      </w:hyperlink>
      <w:r>
        <w:t xml:space="preserve"> </w:t>
      </w:r>
    </w:p>
  </w:footnote>
  <w:footnote w:id="203">
    <w:p w:rsidR="001A26B0" w:rsidRDefault="00E33A99">
      <w:pPr>
        <w:pStyle w:val="FootnoteText"/>
        <w:spacing w:after="120"/>
      </w:pPr>
      <w:r>
        <w:rPr>
          <w:rStyle w:val="FootnoteReference"/>
        </w:rPr>
        <w:footnoteRef/>
      </w:r>
      <w:r>
        <w:t xml:space="preserve"> Element Energy (2016): "Towards a European Market for Electro-Mobility"</w:t>
      </w:r>
    </w:p>
  </w:footnote>
  <w:footnote w:id="204">
    <w:p w:rsidR="001A26B0" w:rsidRDefault="00E33A99">
      <w:pPr>
        <w:autoSpaceDE w:val="0"/>
        <w:autoSpaceDN w:val="0"/>
        <w:adjustRightInd w:val="0"/>
        <w:spacing w:after="120"/>
        <w:ind w:left="284" w:hanging="284"/>
      </w:pPr>
      <w:r>
        <w:rPr>
          <w:rStyle w:val="FootnoteReference"/>
        </w:rPr>
        <w:footnoteRef/>
      </w:r>
      <w:r>
        <w:t xml:space="preserve"> </w:t>
      </w:r>
      <w:r>
        <w:rPr>
          <w:bCs/>
          <w:sz w:val="20"/>
          <w:lang w:eastAsia="en-GB"/>
        </w:rPr>
        <w:t>European Commission (2012) - Commission Staff Working Document  - Impact Assessment accompanying the documents "Proposal for a regulation of the European Parliament and of the Counc</w:t>
      </w:r>
      <w:r>
        <w:rPr>
          <w:bCs/>
          <w:sz w:val="20"/>
          <w:lang w:eastAsia="en-GB"/>
        </w:rPr>
        <w:t>il amending Regulation (EC) No 443/2009 to define the modalities for reaching the 2020 target to reduce CO</w:t>
      </w:r>
      <w:r>
        <w:rPr>
          <w:bCs/>
          <w:sz w:val="20"/>
          <w:vertAlign w:val="subscript"/>
          <w:lang w:eastAsia="en-GB"/>
        </w:rPr>
        <w:t>2</w:t>
      </w:r>
      <w:r>
        <w:rPr>
          <w:bCs/>
          <w:sz w:val="20"/>
          <w:lang w:eastAsia="en-GB"/>
        </w:rPr>
        <w:t xml:space="preserve"> emissions from new passenger cars" and "Proposal for a regulation of the European Parliament and of the Council amending Regulation (EU) No 510/2011</w:t>
      </w:r>
      <w:r>
        <w:rPr>
          <w:bCs/>
          <w:sz w:val="20"/>
          <w:lang w:eastAsia="en-GB"/>
        </w:rPr>
        <w:t xml:space="preserve"> to define the modalities for reaching the 2020 target to reduce CO</w:t>
      </w:r>
      <w:r>
        <w:rPr>
          <w:bCs/>
          <w:sz w:val="20"/>
          <w:vertAlign w:val="subscript"/>
          <w:lang w:eastAsia="en-GB"/>
        </w:rPr>
        <w:t>2</w:t>
      </w:r>
      <w:r>
        <w:rPr>
          <w:bCs/>
          <w:sz w:val="20"/>
          <w:lang w:eastAsia="en-GB"/>
        </w:rPr>
        <w:t xml:space="preserve"> emissions from new light commercial vehicles"</w:t>
      </w:r>
      <w:r>
        <w:rPr>
          <w:sz w:val="20"/>
        </w:rPr>
        <w:t xml:space="preserve"> (SWD (2012)213 final) (</w:t>
      </w:r>
      <w:hyperlink r:id="rId107" w:history="1">
        <w:r>
          <w:rPr>
            <w:rStyle w:val="Hyperlink"/>
            <w:sz w:val="20"/>
          </w:rPr>
          <w:t>http://eur-lex.europa.eu/resource.html?uri=cellar:70f46993-3c49-4b61-ba2f-77319c424cbd.0001.02/DOC_1&amp;format=PDF</w:t>
        </w:r>
      </w:hyperlink>
      <w:r>
        <w:rPr>
          <w:sz w:val="20"/>
        </w:rPr>
        <w:t>)</w:t>
      </w:r>
    </w:p>
  </w:footnote>
  <w:footnote w:id="205">
    <w:p w:rsidR="001A26B0" w:rsidRDefault="00E33A99">
      <w:pPr>
        <w:pStyle w:val="FootnoteText"/>
        <w:spacing w:after="120"/>
      </w:pPr>
      <w:r>
        <w:rPr>
          <w:rStyle w:val="FootnoteReference"/>
        </w:rPr>
        <w:footnoteRef/>
      </w:r>
      <w:r>
        <w:t xml:space="preserve"> CE Delft and TNO (2017) Assessment of the Modalities for LDV CO</w:t>
      </w:r>
      <w:r>
        <w:rPr>
          <w:vertAlign w:val="subscript"/>
        </w:rPr>
        <w:t>2</w:t>
      </w:r>
      <w:r>
        <w:t xml:space="preserve"> Regulations beyond 2020, report for the European Commission (DG CL</w:t>
      </w:r>
      <w:r>
        <w:t>IMA)</w:t>
      </w:r>
    </w:p>
  </w:footnote>
  <w:footnote w:id="206">
    <w:p w:rsidR="001A26B0" w:rsidRDefault="00E33A99">
      <w:pPr>
        <w:pStyle w:val="FootnoteText"/>
        <w:spacing w:after="120"/>
      </w:pPr>
      <w:r>
        <w:rPr>
          <w:rStyle w:val="FootnoteReference"/>
        </w:rPr>
        <w:footnoteRef/>
      </w:r>
      <w:r>
        <w:t xml:space="preserve"> Ricardo-AEA and TEPR, 2015: "Evaluation of Regulation 443/2009 and 510/2011 on the reduction of CO</w:t>
      </w:r>
      <w:r>
        <w:rPr>
          <w:vertAlign w:val="subscript"/>
        </w:rPr>
        <w:t>2</w:t>
      </w:r>
      <w:r>
        <w:t xml:space="preserve"> emissions from light-duty vehicles" (report for the European Commission, DG CLIMA)</w:t>
      </w:r>
    </w:p>
  </w:footnote>
  <w:footnote w:id="207">
    <w:p w:rsidR="001A26B0" w:rsidRDefault="00E33A99">
      <w:pPr>
        <w:pStyle w:val="FootnoteText"/>
        <w:spacing w:after="120"/>
      </w:pPr>
      <w:r>
        <w:rPr>
          <w:rStyle w:val="FootnoteReference"/>
        </w:rPr>
        <w:footnoteRef/>
      </w:r>
      <w:r>
        <w:t xml:space="preserve"> CE Delft and TNO (2017) Assessment of the Modalities for LDV CO</w:t>
      </w:r>
      <w:r>
        <w:rPr>
          <w:vertAlign w:val="subscript"/>
        </w:rPr>
        <w:t>2</w:t>
      </w:r>
      <w:r>
        <w:t xml:space="preserve"> Regulations beyond 2020, report for the European Commission (DG CLIMA)</w:t>
      </w:r>
    </w:p>
  </w:footnote>
  <w:footnote w:id="208">
    <w:p w:rsidR="001A26B0" w:rsidRDefault="00E33A99">
      <w:pPr>
        <w:pStyle w:val="FootnoteText"/>
        <w:spacing w:after="120"/>
      </w:pPr>
      <w:r>
        <w:rPr>
          <w:rStyle w:val="FootnoteReference"/>
        </w:rPr>
        <w:footnoteRef/>
      </w:r>
      <w:r>
        <w:t xml:space="preserve"> According to the 2015 and 2016 emissions monitoring data, 4 manufacturers out of the 5 having derogations would have missed their "default" specific emission target in those years. </w:t>
      </w:r>
    </w:p>
  </w:footnote>
  <w:footnote w:id="209">
    <w:p w:rsidR="001A26B0" w:rsidRDefault="00E33A99">
      <w:pPr>
        <w:pStyle w:val="FootnoteText"/>
        <w:spacing w:after="120"/>
      </w:pPr>
      <w:r>
        <w:rPr>
          <w:rStyle w:val="FootnoteReference"/>
        </w:rPr>
        <w:footnoteRef/>
      </w:r>
      <w:r>
        <w:t xml:space="preserve"> Midterm Evaluation of Light-Duty Vehicle Greenhouse Gas Emission Standards and Corporate Average Fuel Economy Standards for Model Years 2022-2025, EPA, CARB, NHTSA 2016</w:t>
      </w:r>
    </w:p>
  </w:footnote>
  <w:footnote w:id="210">
    <w:p w:rsidR="001A26B0" w:rsidRDefault="00E33A99">
      <w:pPr>
        <w:pStyle w:val="FootnoteText"/>
        <w:spacing w:after="120"/>
      </w:pPr>
      <w:r>
        <w:rPr>
          <w:rStyle w:val="FootnoteReference"/>
        </w:rPr>
        <w:footnoteRef/>
      </w:r>
      <w:r>
        <w:t xml:space="preserve"> Greene D.L. et al, How Do Motorists' Own Fuel Economy Estimates, How Do Motorists' </w:t>
      </w:r>
      <w:r>
        <w:t>Own Fuel Economy Estimates Compare with Official Government Ratings? A Statistical Analysis, Baker Reports 2015</w:t>
      </w:r>
    </w:p>
  </w:footnote>
  <w:footnote w:id="211">
    <w:p w:rsidR="001A26B0" w:rsidRDefault="00E33A99">
      <w:pPr>
        <w:pStyle w:val="FootnoteText"/>
        <w:spacing w:after="120"/>
      </w:pPr>
      <w:r>
        <w:rPr>
          <w:rStyle w:val="FootnoteReference"/>
        </w:rPr>
        <w:footnoteRef/>
      </w:r>
      <w:r>
        <w:t xml:space="preserve"> </w:t>
      </w:r>
      <w:hyperlink r:id="rId108" w:history="1">
        <w:r>
          <w:rPr>
            <w:rStyle w:val="Hyperlink"/>
          </w:rPr>
          <w:t>https://ec.europa.eu/research/sam/pdf/sam_co2_emissions_rep</w:t>
        </w:r>
        <w:r>
          <w:rPr>
            <w:rStyle w:val="Hyperlink"/>
          </w:rPr>
          <w:t>ort.pdf</w:t>
        </w:r>
      </w:hyperlink>
    </w:p>
  </w:footnote>
  <w:footnote w:id="212">
    <w:p w:rsidR="001A26B0" w:rsidRDefault="00E33A99">
      <w:pPr>
        <w:pStyle w:val="FootnoteText"/>
      </w:pPr>
      <w:r>
        <w:rPr>
          <w:rStyle w:val="FootnoteReference"/>
        </w:rPr>
        <w:footnoteRef/>
      </w:r>
      <w:r>
        <w:t xml:space="preserve"> The net savings observed are the result of differences in capital/manufacturing costs, fuel cost savings and operational &amp; maintenance costs.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6B0" w:rsidRDefault="001A26B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6B0" w:rsidRDefault="001A26B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6B0" w:rsidRDefault="00E33A99">
    <w:pPr>
      <w:pStyle w:val="Header"/>
      <w:tabs>
        <w:tab w:val="clear" w:pos="4153"/>
        <w:tab w:val="clear" w:pos="8306"/>
        <w:tab w:val="left" w:pos="5595"/>
      </w:tabs>
    </w:pPr>
    <w:sdt>
      <w:sdtPr>
        <w:id w:val="-246190926"/>
        <w:docPartObj>
          <w:docPartGallery w:val="Watermarks"/>
          <w:docPartUnique/>
        </w:docPartObj>
      </w:sdtPr>
      <w:sdtEndPr/>
      <w:sdtContent/>
    </w:sdt>
    <w: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6B0" w:rsidRDefault="001A26B0">
    <w:pPr>
      <w:pStyle w:val="Header"/>
      <w:spacing w:after="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6B0" w:rsidRDefault="001A26B0">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6B0" w:rsidRDefault="00E33A99">
    <w:pPr>
      <w:pStyle w:val="Header"/>
      <w:tabs>
        <w:tab w:val="clear" w:pos="4153"/>
        <w:tab w:val="clear" w:pos="8306"/>
        <w:tab w:val="left" w:pos="5595"/>
      </w:tabs>
    </w:pPr>
    <w:sdt>
      <w:sdtPr>
        <w:id w:val="1362157942"/>
        <w:docPartObj>
          <w:docPartGallery w:val="Watermarks"/>
          <w:docPartUnique/>
        </w:docPartObj>
      </w:sdtPr>
      <w:sdtEndPr/>
      <w:sdtContent/>
    </w:sdt>
    <w:r>
      <w:tab/>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6B0" w:rsidRDefault="001A26B0">
    <w:pPr>
      <w:pStyle w:val="Header"/>
      <w:spacing w:after="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6B0" w:rsidRDefault="001A26B0">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6B0" w:rsidRDefault="00E33A99">
    <w:pPr>
      <w:pStyle w:val="Header"/>
      <w:tabs>
        <w:tab w:val="clear" w:pos="4153"/>
        <w:tab w:val="clear" w:pos="8306"/>
        <w:tab w:val="left" w:pos="5595"/>
      </w:tabs>
    </w:pPr>
    <w:sdt>
      <w:sdtPr>
        <w:id w:val="595994791"/>
        <w:docPartObj>
          <w:docPartGallery w:val="Watermarks"/>
          <w:docPartUnique/>
        </w:docPartObj>
      </w:sdtPr>
      <w:sdtEndPr/>
      <w:sdtContent/>
    </w:sdt>
    <w:r>
      <w:tab/>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6B0" w:rsidRDefault="001A26B0">
    <w:pPr>
      <w:pStyle w:val="Header"/>
      <w:spacing w:after="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6B0" w:rsidRDefault="001A26B0">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6B0" w:rsidRDefault="001A26B0">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6B0" w:rsidRDefault="001A26B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6B0" w:rsidRDefault="00E33A99">
    <w:pPr>
      <w:pStyle w:val="Header"/>
      <w:tabs>
        <w:tab w:val="clear" w:pos="4153"/>
        <w:tab w:val="clear" w:pos="8306"/>
        <w:tab w:val="left" w:pos="5595"/>
      </w:tabs>
    </w:pPr>
    <w:sdt>
      <w:sdtPr>
        <w:id w:val="-1990703943"/>
        <w:docPartObj>
          <w:docPartGallery w:val="Watermarks"/>
          <w:docPartUnique/>
        </w:docPartObj>
      </w:sdtPr>
      <w:sdtEndPr/>
      <w:sdtContent/>
    </w:sdt>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6B0" w:rsidRDefault="001A26B0">
    <w:pPr>
      <w:pStyle w:val="Header"/>
      <w:spacing w:after="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6B0" w:rsidRDefault="001A26B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6B0" w:rsidRDefault="00E33A99">
    <w:pPr>
      <w:pStyle w:val="Header"/>
      <w:tabs>
        <w:tab w:val="clear" w:pos="4153"/>
        <w:tab w:val="clear" w:pos="8306"/>
        <w:tab w:val="left" w:pos="5595"/>
      </w:tabs>
    </w:pPr>
    <w:sdt>
      <w:sdtPr>
        <w:id w:val="-491335746"/>
        <w:docPartObj>
          <w:docPartGallery w:val="Watermarks"/>
          <w:docPartUnique/>
        </w:docPartObj>
      </w:sdtPr>
      <w:sdtEndPr/>
      <w:sdtContent/>
    </w:sdt>
    <w: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6B0" w:rsidRDefault="001A26B0">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01C6EE1"/>
    <w:multiLevelType w:val="hybridMultilevel"/>
    <w:tmpl w:val="8C32F29A"/>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0486D46"/>
    <w:multiLevelType w:val="hybridMultilevel"/>
    <w:tmpl w:val="A85E97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61E66AA"/>
    <w:multiLevelType w:val="hybridMultilevel"/>
    <w:tmpl w:val="9F368B2A"/>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BF728EF"/>
    <w:multiLevelType w:val="multilevel"/>
    <w:tmpl w:val="1FDE0AB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12EC2737"/>
    <w:multiLevelType w:val="hybridMultilevel"/>
    <w:tmpl w:val="575E430A"/>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48C706A"/>
    <w:multiLevelType w:val="hybridMultilevel"/>
    <w:tmpl w:val="C0B4587A"/>
    <w:lvl w:ilvl="0" w:tplc="64129A3E">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6712D16"/>
    <w:multiLevelType w:val="hybridMultilevel"/>
    <w:tmpl w:val="CA04A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8BD356F"/>
    <w:multiLevelType w:val="hybridMultilevel"/>
    <w:tmpl w:val="C0B4587A"/>
    <w:lvl w:ilvl="0" w:tplc="64129A3E">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90222EF"/>
    <w:multiLevelType w:val="multilevel"/>
    <w:tmpl w:val="7E0884D6"/>
    <w:lvl w:ilvl="0">
      <w:start w:val="1"/>
      <w:numFmt w:val="upperLetter"/>
      <w:pStyle w:val="ECHeading1"/>
      <w:lvlText w:val="%1"/>
      <w:lvlJc w:val="left"/>
      <w:pPr>
        <w:ind w:left="431" w:hanging="431"/>
      </w:pPr>
      <w:rPr>
        <w:rFonts w:ascii="Arial" w:hAnsi="Arial" w:hint="default"/>
        <w:b w:val="0"/>
        <w:i w:val="0"/>
        <w:color w:val="0070C0"/>
        <w:sz w:val="40"/>
      </w:rPr>
    </w:lvl>
    <w:lvl w:ilvl="1">
      <w:start w:val="1"/>
      <w:numFmt w:val="decimal"/>
      <w:pStyle w:val="ECHeading2"/>
      <w:lvlText w:val="%1.%2"/>
      <w:lvlJc w:val="left"/>
      <w:pPr>
        <w:ind w:left="851" w:hanging="851"/>
      </w:pPr>
      <w:rPr>
        <w:rFonts w:ascii="Arial" w:hAnsi="Arial" w:hint="default"/>
        <w:color w:val="0070C0"/>
        <w:sz w:val="36"/>
      </w:rPr>
    </w:lvl>
    <w:lvl w:ilvl="2">
      <w:start w:val="1"/>
      <w:numFmt w:val="decimal"/>
      <w:pStyle w:val="ECHeading3"/>
      <w:lvlText w:val="%1.%2.%3"/>
      <w:lvlJc w:val="left"/>
      <w:pPr>
        <w:ind w:left="851" w:hanging="851"/>
      </w:pPr>
      <w:rPr>
        <w:rFonts w:ascii="Arial" w:hAnsi="Arial" w:hint="default"/>
        <w:b w:val="0"/>
        <w:i w:val="0"/>
        <w:color w:val="0070C0"/>
        <w:sz w:val="32"/>
      </w:rPr>
    </w:lvl>
    <w:lvl w:ilvl="3">
      <w:start w:val="1"/>
      <w:numFmt w:val="decimal"/>
      <w:pStyle w:val="ECHeading4"/>
      <w:lvlText w:val="%1.%2.%3.%4"/>
      <w:lvlJc w:val="left"/>
      <w:pPr>
        <w:ind w:left="851" w:hanging="851"/>
      </w:pPr>
      <w:rPr>
        <w:rFonts w:ascii="Arial" w:hAnsi="Arial" w:hint="default"/>
        <w:b w:val="0"/>
        <w:i w:val="0"/>
        <w:color w:val="0070C0"/>
        <w:sz w:val="22"/>
        <w:u w:color="0070C0"/>
      </w:rPr>
    </w:lvl>
    <w:lvl w:ilvl="4">
      <w:start w:val="1"/>
      <w:numFmt w:val="decimal"/>
      <w:lvlText w:val="%1.%2.%3.%4.%5"/>
      <w:lvlJc w:val="left"/>
      <w:pPr>
        <w:ind w:left="1800" w:hanging="360"/>
      </w:pPr>
      <w:rPr>
        <w:rFonts w:ascii="Arial" w:hAnsi="Arial" w:hint="default"/>
        <w:b w:val="0"/>
        <w:i w:val="0"/>
        <w:color w:val="0070C0"/>
        <w:sz w:val="24"/>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CAA5165"/>
    <w:multiLevelType w:val="hybridMultilevel"/>
    <w:tmpl w:val="7D465B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1CD123E0"/>
    <w:multiLevelType w:val="hybridMultilevel"/>
    <w:tmpl w:val="EFEE1FDE"/>
    <w:lvl w:ilvl="0" w:tplc="64129A3E">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F6472F4"/>
    <w:multiLevelType w:val="hybridMultilevel"/>
    <w:tmpl w:val="773CA24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01622A8"/>
    <w:multiLevelType w:val="hybridMultilevel"/>
    <w:tmpl w:val="5BB6C6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20D40E55"/>
    <w:multiLevelType w:val="hybridMultilevel"/>
    <w:tmpl w:val="16C4AC72"/>
    <w:lvl w:ilvl="0" w:tplc="F0BE352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3330E5F"/>
    <w:multiLevelType w:val="hybridMultilevel"/>
    <w:tmpl w:val="F1FA8B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4F74266"/>
    <w:multiLevelType w:val="hybridMultilevel"/>
    <w:tmpl w:val="F70887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5974238"/>
    <w:multiLevelType w:val="hybridMultilevel"/>
    <w:tmpl w:val="20E43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7371773"/>
    <w:multiLevelType w:val="hybridMultilevel"/>
    <w:tmpl w:val="8416AC9A"/>
    <w:lvl w:ilvl="0" w:tplc="8B4C617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27632FFE"/>
    <w:multiLevelType w:val="hybridMultilevel"/>
    <w:tmpl w:val="AD90F1D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25">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2D625475"/>
    <w:multiLevelType w:val="hybridMultilevel"/>
    <w:tmpl w:val="96C80622"/>
    <w:lvl w:ilvl="0" w:tplc="23665892">
      <w:start w:val="1"/>
      <w:numFmt w:val="decimal"/>
      <w:pStyle w:val="Appendixhead"/>
      <w:lvlText w:val="Appendix %1 - "/>
      <w:lvlJc w:val="left"/>
      <w:pPr>
        <w:tabs>
          <w:tab w:val="num" w:pos="288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2E43066B"/>
    <w:multiLevelType w:val="hybridMultilevel"/>
    <w:tmpl w:val="AA400C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320701C2"/>
    <w:multiLevelType w:val="hybridMultilevel"/>
    <w:tmpl w:val="181C6EA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3341792"/>
    <w:multiLevelType w:val="hybridMultilevel"/>
    <w:tmpl w:val="5D141C0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B42A2D96">
      <w:numFmt w:val="bullet"/>
      <w:lvlText w:val="-"/>
      <w:lvlJc w:val="left"/>
      <w:pPr>
        <w:ind w:left="1800" w:hanging="360"/>
      </w:pPr>
      <w:rPr>
        <w:rFonts w:ascii="Times New Roman" w:eastAsia="Times New Roman" w:hAnsi="Times New Roman" w:cs="Times New Roman"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32">
    <w:nsid w:val="356B15EF"/>
    <w:multiLevelType w:val="hybridMultilevel"/>
    <w:tmpl w:val="31200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36977F7D"/>
    <w:multiLevelType w:val="hybridMultilevel"/>
    <w:tmpl w:val="1EEEE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36">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37">
    <w:nsid w:val="3F155C0C"/>
    <w:multiLevelType w:val="hybridMultilevel"/>
    <w:tmpl w:val="E69A469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3F350D3C"/>
    <w:multiLevelType w:val="hybridMultilevel"/>
    <w:tmpl w:val="9F3097DC"/>
    <w:lvl w:ilvl="0" w:tplc="8B4C617E">
      <w:start w:val="1"/>
      <w:numFmt w:val="lowerRoman"/>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3F3C2B08"/>
    <w:multiLevelType w:val="hybridMultilevel"/>
    <w:tmpl w:val="122A48BC"/>
    <w:lvl w:ilvl="0" w:tplc="08090001">
      <w:start w:val="1"/>
      <w:numFmt w:val="bullet"/>
      <w:lvlText w:val=""/>
      <w:lvlJc w:val="left"/>
      <w:pPr>
        <w:ind w:left="885" w:hanging="360"/>
      </w:pPr>
      <w:rPr>
        <w:rFonts w:ascii="Symbol" w:hAnsi="Symbol" w:hint="default"/>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40">
    <w:nsid w:val="418E19A1"/>
    <w:multiLevelType w:val="hybridMultilevel"/>
    <w:tmpl w:val="746E1758"/>
    <w:lvl w:ilvl="0" w:tplc="C6BA7720">
      <w:start w:val="1"/>
      <w:numFmt w:val="bullet"/>
      <w:pStyle w:val="AEACV-BulletGreenKeySkillssectiononly"/>
      <w:lvlText w:val=""/>
      <w:lvlJc w:val="left"/>
      <w:pPr>
        <w:ind w:left="567" w:hanging="360"/>
      </w:pPr>
      <w:rPr>
        <w:rFonts w:ascii="Symbol" w:hAnsi="Symbol" w:hint="default"/>
        <w:b/>
        <w:i w:val="0"/>
        <w:color w:val="00800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1">
    <w:nsid w:val="42E91787"/>
    <w:multiLevelType w:val="hybridMultilevel"/>
    <w:tmpl w:val="B0B6B318"/>
    <w:lvl w:ilvl="0" w:tplc="64129A3E">
      <w:start w:val="1"/>
      <w:numFmt w:val="lowerRoman"/>
      <w:lvlText w:val="(%1)"/>
      <w:lvlJc w:val="right"/>
      <w:pPr>
        <w:ind w:left="96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nsid w:val="43943B7E"/>
    <w:multiLevelType w:val="hybridMultilevel"/>
    <w:tmpl w:val="19EE1A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FEC31B2">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44">
    <w:nsid w:val="49BF5A1E"/>
    <w:multiLevelType w:val="hybridMultilevel"/>
    <w:tmpl w:val="E58237C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nsid w:val="4FFD5E60"/>
    <w:multiLevelType w:val="hybridMultilevel"/>
    <w:tmpl w:val="9B664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0F32E20"/>
    <w:multiLevelType w:val="hybridMultilevel"/>
    <w:tmpl w:val="772AE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3AF1D08"/>
    <w:multiLevelType w:val="hybridMultilevel"/>
    <w:tmpl w:val="F58C8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46D1BE1"/>
    <w:multiLevelType w:val="hybridMultilevel"/>
    <w:tmpl w:val="13A2A3D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nsid w:val="54C668FB"/>
    <w:multiLevelType w:val="hybridMultilevel"/>
    <w:tmpl w:val="7612F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51">
    <w:nsid w:val="57E23178"/>
    <w:multiLevelType w:val="hybridMultilevel"/>
    <w:tmpl w:val="2DD6C8A8"/>
    <w:lvl w:ilvl="0" w:tplc="9036EFF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5A8A180C"/>
    <w:multiLevelType w:val="hybridMultilevel"/>
    <w:tmpl w:val="5080D17A"/>
    <w:lvl w:ilvl="0" w:tplc="0809001B">
      <w:start w:val="1"/>
      <w:numFmt w:val="lowerRoman"/>
      <w:lvlText w:val="%1."/>
      <w:lvlJc w:val="right"/>
      <w:pPr>
        <w:ind w:left="720" w:hanging="360"/>
      </w:pPr>
    </w:lvl>
    <w:lvl w:ilvl="1" w:tplc="64129A3E">
      <w:start w:val="1"/>
      <w:numFmt w:val="lowerRoman"/>
      <w:lvlText w:val="(%2)"/>
      <w:lvlJc w:val="righ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5B523073"/>
    <w:multiLevelType w:val="multilevel"/>
    <w:tmpl w:val="12163160"/>
    <w:lvl w:ilvl="0">
      <w:start w:val="1"/>
      <w:numFmt w:val="decimal"/>
      <w:pStyle w:val="Heading-Appendix"/>
      <w:lvlText w:val="A%1"/>
      <w:lvlJc w:val="left"/>
      <w:pPr>
        <w:tabs>
          <w:tab w:val="num" w:pos="851"/>
        </w:tabs>
        <w:ind w:left="851" w:hanging="851"/>
      </w:pPr>
      <w:rPr>
        <w:rFonts w:hint="default"/>
      </w:rPr>
    </w:lvl>
    <w:lvl w:ilvl="1">
      <w:start w:val="1"/>
      <w:numFmt w:val="decimal"/>
      <w:pStyle w:val="AppendixHeadingLevel2"/>
      <w:lvlText w:val="A%1.%2"/>
      <w:lvlJc w:val="left"/>
      <w:pPr>
        <w:tabs>
          <w:tab w:val="num" w:pos="851"/>
        </w:tabs>
        <w:ind w:left="851" w:hanging="851"/>
      </w:pPr>
      <w:rPr>
        <w:rFonts w:hint="default"/>
      </w:rPr>
    </w:lvl>
    <w:lvl w:ilvl="2">
      <w:start w:val="1"/>
      <w:numFmt w:val="decimal"/>
      <w:pStyle w:val="AppendixHeadingLevel3"/>
      <w:lvlText w:val="A%1.%2.%3"/>
      <w:lvlJc w:val="left"/>
      <w:pPr>
        <w:tabs>
          <w:tab w:val="num" w:pos="851"/>
        </w:tabs>
        <w:ind w:left="851" w:hanging="851"/>
      </w:pPr>
      <w:rPr>
        <w:rFonts w:hint="default"/>
      </w:rPr>
    </w:lvl>
    <w:lvl w:ilvl="3">
      <w:start w:val="1"/>
      <w:numFmt w:val="decimal"/>
      <w:pStyle w:val="AppendixHeading4"/>
      <w:lvlText w:val="A%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55">
    <w:nsid w:val="5E7D30BB"/>
    <w:multiLevelType w:val="hybridMultilevel"/>
    <w:tmpl w:val="4FDAD0B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5FC42FEE"/>
    <w:multiLevelType w:val="hybridMultilevel"/>
    <w:tmpl w:val="C0B4587A"/>
    <w:lvl w:ilvl="0" w:tplc="64129A3E">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58">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59">
    <w:nsid w:val="63A45C12"/>
    <w:multiLevelType w:val="hybridMultilevel"/>
    <w:tmpl w:val="C83A0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64282F41"/>
    <w:multiLevelType w:val="hybridMultilevel"/>
    <w:tmpl w:val="34389A24"/>
    <w:lvl w:ilvl="0" w:tplc="F24610F2">
      <w:start w:val="1"/>
      <w:numFmt w:val="decimal"/>
      <w:lvlText w:val="(%1)"/>
      <w:lvlJc w:val="left"/>
      <w:pPr>
        <w:ind w:left="750" w:hanging="375"/>
      </w:pPr>
      <w:rPr>
        <w:rFonts w:hint="default"/>
      </w:rPr>
    </w:lvl>
    <w:lvl w:ilvl="1" w:tplc="E3E2088E">
      <w:numFmt w:val="bullet"/>
      <w:lvlText w:val="-"/>
      <w:lvlJc w:val="left"/>
      <w:pPr>
        <w:ind w:left="1320" w:hanging="225"/>
      </w:pPr>
      <w:rPr>
        <w:rFonts w:ascii="Times New Roman" w:eastAsia="Times New Roman" w:hAnsi="Times New Roman" w:cs="Times New Roman" w:hint="default"/>
      </w:rPr>
    </w:lvl>
    <w:lvl w:ilvl="2" w:tplc="0809001B" w:tentative="1">
      <w:start w:val="1"/>
      <w:numFmt w:val="lowerRoman"/>
      <w:lvlText w:val="%3."/>
      <w:lvlJc w:val="right"/>
      <w:pPr>
        <w:ind w:left="2175" w:hanging="180"/>
      </w:pPr>
    </w:lvl>
    <w:lvl w:ilvl="3" w:tplc="0809000F" w:tentative="1">
      <w:start w:val="1"/>
      <w:numFmt w:val="decimal"/>
      <w:lvlText w:val="%4."/>
      <w:lvlJc w:val="left"/>
      <w:pPr>
        <w:ind w:left="2895" w:hanging="360"/>
      </w:pPr>
    </w:lvl>
    <w:lvl w:ilvl="4" w:tplc="08090019" w:tentative="1">
      <w:start w:val="1"/>
      <w:numFmt w:val="lowerLetter"/>
      <w:lvlText w:val="%5."/>
      <w:lvlJc w:val="left"/>
      <w:pPr>
        <w:ind w:left="3615" w:hanging="360"/>
      </w:pPr>
    </w:lvl>
    <w:lvl w:ilvl="5" w:tplc="0809001B" w:tentative="1">
      <w:start w:val="1"/>
      <w:numFmt w:val="lowerRoman"/>
      <w:lvlText w:val="%6."/>
      <w:lvlJc w:val="right"/>
      <w:pPr>
        <w:ind w:left="4335" w:hanging="180"/>
      </w:pPr>
    </w:lvl>
    <w:lvl w:ilvl="6" w:tplc="0809000F" w:tentative="1">
      <w:start w:val="1"/>
      <w:numFmt w:val="decimal"/>
      <w:lvlText w:val="%7."/>
      <w:lvlJc w:val="left"/>
      <w:pPr>
        <w:ind w:left="5055" w:hanging="360"/>
      </w:pPr>
    </w:lvl>
    <w:lvl w:ilvl="7" w:tplc="08090019" w:tentative="1">
      <w:start w:val="1"/>
      <w:numFmt w:val="lowerLetter"/>
      <w:lvlText w:val="%8."/>
      <w:lvlJc w:val="left"/>
      <w:pPr>
        <w:ind w:left="5775" w:hanging="360"/>
      </w:pPr>
    </w:lvl>
    <w:lvl w:ilvl="8" w:tplc="0809001B" w:tentative="1">
      <w:start w:val="1"/>
      <w:numFmt w:val="lowerRoman"/>
      <w:lvlText w:val="%9."/>
      <w:lvlJc w:val="right"/>
      <w:pPr>
        <w:ind w:left="6495" w:hanging="180"/>
      </w:pPr>
    </w:lvl>
  </w:abstractNum>
  <w:abstractNum w:abstractNumId="61">
    <w:nsid w:val="648E6C55"/>
    <w:multiLevelType w:val="hybridMultilevel"/>
    <w:tmpl w:val="A9A257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658871C3"/>
    <w:multiLevelType w:val="hybridMultilevel"/>
    <w:tmpl w:val="12EAF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66B864A9"/>
    <w:multiLevelType w:val="hybridMultilevel"/>
    <w:tmpl w:val="181C6EA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68B24CB6"/>
    <w:multiLevelType w:val="hybridMultilevel"/>
    <w:tmpl w:val="5AA25796"/>
    <w:lvl w:ilvl="0" w:tplc="8B4C617E">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68EA3493"/>
    <w:multiLevelType w:val="hybridMultilevel"/>
    <w:tmpl w:val="C0B4587A"/>
    <w:lvl w:ilvl="0" w:tplc="64129A3E">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6A4F325D"/>
    <w:multiLevelType w:val="hybridMultilevel"/>
    <w:tmpl w:val="1592F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6B2F2FC0"/>
    <w:multiLevelType w:val="hybridMultilevel"/>
    <w:tmpl w:val="3F0AB274"/>
    <w:lvl w:ilvl="0" w:tplc="64129A3E">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69">
    <w:nsid w:val="6F154D68"/>
    <w:multiLevelType w:val="hybridMultilevel"/>
    <w:tmpl w:val="4C28F362"/>
    <w:lvl w:ilvl="0" w:tplc="08090001">
      <w:start w:val="1"/>
      <w:numFmt w:val="bullet"/>
      <w:lvlText w:val=""/>
      <w:lvlJc w:val="left"/>
      <w:pPr>
        <w:ind w:left="1070" w:hanging="360"/>
      </w:pPr>
      <w:rPr>
        <w:rFonts w:ascii="Symbol" w:hAnsi="Symbol" w:hint="default"/>
      </w:rPr>
    </w:lvl>
    <w:lvl w:ilvl="1" w:tplc="08090003">
      <w:start w:val="1"/>
      <w:numFmt w:val="bullet"/>
      <w:lvlText w:val="o"/>
      <w:lvlJc w:val="left"/>
      <w:pPr>
        <w:ind w:left="1790" w:hanging="360"/>
      </w:pPr>
      <w:rPr>
        <w:rFonts w:ascii="Courier New" w:hAnsi="Courier New" w:cs="Courier New" w:hint="default"/>
      </w:rPr>
    </w:lvl>
    <w:lvl w:ilvl="2" w:tplc="08090005">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70">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1">
    <w:nsid w:val="78C97BB2"/>
    <w:multiLevelType w:val="hybridMultilevel"/>
    <w:tmpl w:val="8C505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7A8E6863"/>
    <w:multiLevelType w:val="hybridMultilevel"/>
    <w:tmpl w:val="F4868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7AA60FF0"/>
    <w:multiLevelType w:val="multilevel"/>
    <w:tmpl w:val="DB805D3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
  </w:num>
  <w:num w:numId="2">
    <w:abstractNumId w:val="0"/>
  </w:num>
  <w:num w:numId="3">
    <w:abstractNumId w:val="36"/>
  </w:num>
  <w:num w:numId="4">
    <w:abstractNumId w:val="24"/>
  </w:num>
  <w:num w:numId="5">
    <w:abstractNumId w:val="35"/>
  </w:num>
  <w:num w:numId="6">
    <w:abstractNumId w:val="58"/>
  </w:num>
  <w:num w:numId="7">
    <w:abstractNumId w:val="68"/>
  </w:num>
  <w:num w:numId="8">
    <w:abstractNumId w:val="31"/>
  </w:num>
  <w:num w:numId="9">
    <w:abstractNumId w:val="57"/>
  </w:num>
  <w:num w:numId="10">
    <w:abstractNumId w:val="54"/>
  </w:num>
  <w:num w:numId="11">
    <w:abstractNumId w:val="43"/>
  </w:num>
  <w:num w:numId="12">
    <w:abstractNumId w:val="50"/>
  </w:num>
  <w:num w:numId="13">
    <w:abstractNumId w:val="18"/>
  </w:num>
  <w:num w:numId="14">
    <w:abstractNumId w:val="33"/>
  </w:num>
  <w:num w:numId="15">
    <w:abstractNumId w:val="12"/>
  </w:num>
  <w:num w:numId="16">
    <w:abstractNumId w:val="25"/>
  </w:num>
  <w:num w:numId="17">
    <w:abstractNumId w:val="70"/>
  </w:num>
  <w:num w:numId="18">
    <w:abstractNumId w:val="26"/>
  </w:num>
  <w:num w:numId="19">
    <w:abstractNumId w:val="69"/>
  </w:num>
  <w:num w:numId="20">
    <w:abstractNumId w:val="39"/>
  </w:num>
  <w:num w:numId="21">
    <w:abstractNumId w:val="6"/>
  </w:num>
  <w:num w:numId="22">
    <w:abstractNumId w:val="3"/>
  </w:num>
  <w:num w:numId="23">
    <w:abstractNumId w:val="13"/>
  </w:num>
  <w:num w:numId="24">
    <w:abstractNumId w:val="2"/>
  </w:num>
  <w:num w:numId="25">
    <w:abstractNumId w:val="32"/>
  </w:num>
  <w:num w:numId="26">
    <w:abstractNumId w:val="21"/>
  </w:num>
  <w:num w:numId="27">
    <w:abstractNumId w:val="62"/>
  </w:num>
  <w:num w:numId="28">
    <w:abstractNumId w:val="4"/>
  </w:num>
  <w:num w:numId="29">
    <w:abstractNumId w:val="6"/>
  </w:num>
  <w:num w:numId="30">
    <w:abstractNumId w:val="42"/>
  </w:num>
  <w:num w:numId="31">
    <w:abstractNumId w:val="20"/>
  </w:num>
  <w:num w:numId="32">
    <w:abstractNumId w:val="47"/>
  </w:num>
  <w:num w:numId="33">
    <w:abstractNumId w:val="60"/>
  </w:num>
  <w:num w:numId="34">
    <w:abstractNumId w:val="11"/>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0"/>
  </w:num>
  <w:num w:numId="37">
    <w:abstractNumId w:val="53"/>
  </w:num>
  <w:num w:numId="38">
    <w:abstractNumId w:val="6"/>
  </w:num>
  <w:num w:numId="39">
    <w:abstractNumId w:val="38"/>
  </w:num>
  <w:num w:numId="40">
    <w:abstractNumId w:val="9"/>
  </w:num>
  <w:num w:numId="41">
    <w:abstractNumId w:val="41"/>
  </w:num>
  <w:num w:numId="42">
    <w:abstractNumId w:val="48"/>
  </w:num>
  <w:num w:numId="43">
    <w:abstractNumId w:val="51"/>
  </w:num>
  <w:num w:numId="44">
    <w:abstractNumId w:val="28"/>
  </w:num>
  <w:num w:numId="45">
    <w:abstractNumId w:val="44"/>
  </w:num>
  <w:num w:numId="46">
    <w:abstractNumId w:val="49"/>
  </w:num>
  <w:num w:numId="47">
    <w:abstractNumId w:val="6"/>
  </w:num>
  <w:num w:numId="48">
    <w:abstractNumId w:val="6"/>
  </w:num>
  <w:num w:numId="49">
    <w:abstractNumId w:val="6"/>
  </w:num>
  <w:num w:numId="50">
    <w:abstractNumId w:val="73"/>
  </w:num>
  <w:num w:numId="51">
    <w:abstractNumId w:val="73"/>
  </w:num>
  <w:num w:numId="52">
    <w:abstractNumId w:val="73"/>
  </w:num>
  <w:num w:numId="53">
    <w:abstractNumId w:val="73"/>
  </w:num>
  <w:num w:numId="54">
    <w:abstractNumId w:val="73"/>
  </w:num>
  <w:num w:numId="55">
    <w:abstractNumId w:val="73"/>
  </w:num>
  <w:num w:numId="56">
    <w:abstractNumId w:val="73"/>
  </w:num>
  <w:num w:numId="57">
    <w:abstractNumId w:val="73"/>
  </w:num>
  <w:num w:numId="58">
    <w:abstractNumId w:val="73"/>
  </w:num>
  <w:num w:numId="59">
    <w:abstractNumId w:val="73"/>
  </w:num>
  <w:num w:numId="60">
    <w:abstractNumId w:val="73"/>
  </w:num>
  <w:num w:numId="61">
    <w:abstractNumId w:val="73"/>
  </w:num>
  <w:num w:numId="62">
    <w:abstractNumId w:val="73"/>
  </w:num>
  <w:num w:numId="63">
    <w:abstractNumId w:val="73"/>
  </w:num>
  <w:num w:numId="64">
    <w:abstractNumId w:val="73"/>
  </w:num>
  <w:num w:numId="65">
    <w:abstractNumId w:val="73"/>
  </w:num>
  <w:num w:numId="66">
    <w:abstractNumId w:val="73"/>
  </w:num>
  <w:num w:numId="67">
    <w:abstractNumId w:val="73"/>
  </w:num>
  <w:num w:numId="68">
    <w:abstractNumId w:val="73"/>
  </w:num>
  <w:num w:numId="69">
    <w:abstractNumId w:val="73"/>
  </w:num>
  <w:num w:numId="70">
    <w:abstractNumId w:val="73"/>
  </w:num>
  <w:num w:numId="71">
    <w:abstractNumId w:val="73"/>
  </w:num>
  <w:num w:numId="72">
    <w:abstractNumId w:val="73"/>
  </w:num>
  <w:num w:numId="73">
    <w:abstractNumId w:val="73"/>
  </w:num>
  <w:num w:numId="74">
    <w:abstractNumId w:val="73"/>
  </w:num>
  <w:num w:numId="75">
    <w:abstractNumId w:val="73"/>
  </w:num>
  <w:num w:numId="76">
    <w:abstractNumId w:val="73"/>
  </w:num>
  <w:num w:numId="77">
    <w:abstractNumId w:val="73"/>
  </w:num>
  <w:num w:numId="78">
    <w:abstractNumId w:val="73"/>
  </w:num>
  <w:num w:numId="79">
    <w:abstractNumId w:val="71"/>
  </w:num>
  <w:num w:numId="80">
    <w:abstractNumId w:val="64"/>
  </w:num>
  <w:num w:numId="81">
    <w:abstractNumId w:val="7"/>
  </w:num>
  <w:num w:numId="82">
    <w:abstractNumId w:val="52"/>
  </w:num>
  <w:num w:numId="83">
    <w:abstractNumId w:val="14"/>
  </w:num>
  <w:num w:numId="84">
    <w:abstractNumId w:val="67"/>
  </w:num>
  <w:num w:numId="85">
    <w:abstractNumId w:val="8"/>
  </w:num>
  <w:num w:numId="86">
    <w:abstractNumId w:val="65"/>
  </w:num>
  <w:num w:numId="87">
    <w:abstractNumId w:val="10"/>
  </w:num>
  <w:num w:numId="88">
    <w:abstractNumId w:val="23"/>
  </w:num>
  <w:num w:numId="89">
    <w:abstractNumId w:val="73"/>
  </w:num>
  <w:num w:numId="90">
    <w:abstractNumId w:val="22"/>
  </w:num>
  <w:num w:numId="91">
    <w:abstractNumId w:val="17"/>
  </w:num>
  <w:num w:numId="92">
    <w:abstractNumId w:val="73"/>
  </w:num>
  <w:num w:numId="93">
    <w:abstractNumId w:val="66"/>
  </w:num>
  <w:num w:numId="94">
    <w:abstractNumId w:val="34"/>
  </w:num>
  <w:num w:numId="95">
    <w:abstractNumId w:val="61"/>
  </w:num>
  <w:num w:numId="96">
    <w:abstractNumId w:val="55"/>
  </w:num>
  <w:num w:numId="97">
    <w:abstractNumId w:val="46"/>
  </w:num>
  <w:num w:numId="98">
    <w:abstractNumId w:val="45"/>
  </w:num>
  <w:num w:numId="99">
    <w:abstractNumId w:val="15"/>
  </w:num>
  <w:num w:numId="100">
    <w:abstractNumId w:val="59"/>
  </w:num>
  <w:num w:numId="101">
    <w:abstractNumId w:val="37"/>
  </w:num>
  <w:num w:numId="102">
    <w:abstractNumId w:val="29"/>
  </w:num>
  <w:num w:numId="103">
    <w:abstractNumId w:val="56"/>
  </w:num>
  <w:num w:numId="104">
    <w:abstractNumId w:val="19"/>
  </w:num>
  <w:num w:numId="105">
    <w:abstractNumId w:val="30"/>
  </w:num>
  <w:num w:numId="106">
    <w:abstractNumId w:val="16"/>
  </w:num>
  <w:num w:numId="107">
    <w:abstractNumId w:val="63"/>
  </w:num>
  <w:num w:numId="108">
    <w:abstractNumId w:val="73"/>
  </w:num>
  <w:num w:numId="109">
    <w:abstractNumId w:val="73"/>
  </w:num>
  <w:num w:numId="110">
    <w:abstractNumId w:val="73"/>
  </w:num>
  <w:num w:numId="111">
    <w:abstractNumId w:val="73"/>
  </w:num>
  <w:num w:numId="112">
    <w:abstractNumId w:val="73"/>
  </w:num>
  <w:num w:numId="113">
    <w:abstractNumId w:val="73"/>
  </w:num>
  <w:num w:numId="114">
    <w:abstractNumId w:val="73"/>
  </w:num>
  <w:num w:numId="115">
    <w:abstractNumId w:val="72"/>
  </w:num>
  <w:num w:numId="116">
    <w:abstractNumId w:val="73"/>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R_RefLast" w:val="0"/>
    <w:docVar w:name="DocStatus" w:val="Green"/>
    <w:docVar w:name="LW_ACCOMPAGNANT.CP" w:val="Accompanying the document"/>
    <w:docVar w:name="LW_CORRIGENDUM" w:val="&lt;UNUSED&gt;"/>
    <w:docVar w:name="LW_COVERPAGE_EXISTS" w:val="True"/>
    <w:docVar w:name="LW_COVERPAGE_GUID" w:val="B5980A08-5B48-428B-8714-FE25D5196CF1"/>
    <w:docVar w:name="LW_COVERPAGE_TYPE" w:val="1"/>
    <w:docVar w:name="LW_CROSSREFERENCE" w:val="{COM(2017) 676 final}_x000b_{SWD(2017) 651 final}"/>
    <w:docVar w:name="LW_DATE.ADOPT.CP_ISODATE" w:val="&lt;EMPTY&gt;"/>
    <w:docVar w:name="LW_DocType" w:val="NORMAL"/>
    <w:docVar w:name="LW_EMISSION" w:val="8.11.2017"/>
    <w:docVar w:name="LW_EMISSION_ISODATE" w:val="2017-11-08"/>
    <w:docVar w:name="LW_EMISSION_LOCATION" w:val="BRX"/>
    <w:docVar w:name="LW_EMISSION_PREFIX" w:val="Brussels, "/>
    <w:docVar w:name="LW_EMISSION_SUFFIX" w:val="&lt;EMPTY&gt;"/>
    <w:docVar w:name="LW_ID_DOCTYPE_NONLW" w:val="CP-026"/>
    <w:docVar w:name="LW_INTERETEEE.CP" w:val="&lt;UNUSED&gt;"/>
    <w:docVar w:name="LW_LANGUE" w:val="EN"/>
    <w:docVar w:name="LW_LANGUESFAISANTFOI.CP" w:val="&lt;UNUSED&gt;"/>
    <w:docVar w:name="LW_LEVEL_OF_SENSITIVITY" w:val="Standard treatment"/>
    <w:docVar w:name="LW_NOM.INST" w:val="EUROPEAN COMMISSION"/>
    <w:docVar w:name="LW_NOM.INST_JOINTDOC" w:val="&lt;EMPTY&gt;"/>
    <w:docVar w:name="LW_OBJETACTEPRINCIPAL.CP" w:val="Proposal for a Regulation of the European Parliament and of the Council setting emission performance standards for new passenger cars and for new light commercial vehicles as part of the Union's integrated approach to reduce CO2 emissions from light-duty vehicles and amending Regulation (EC) No 715/2007 (recast)"/>
    <w:docVar w:name="LW_PART_NBR" w:val="1"/>
    <w:docVar w:name="LW_PART_NBR_TOTAL" w:val="2"/>
    <w:docVar w:name="LW_REF.II.NEW.CP" w:val="&lt;UNUSED&gt;"/>
    <w:docVar w:name="LW_REF.II.NEW.CP_NUMBER" w:val="&lt;UNUSED&gt;"/>
    <w:docVar w:name="LW_REF.II.NEW.CP_YEAR" w:val="2017"/>
    <w:docVar w:name="LW_REF.INST.NEW" w:val="SWD"/>
    <w:docVar w:name="LW_REF.INST.NEW_ADOPTED" w:val="final"/>
    <w:docVar w:name="LW_REF.INST.NEW_TEXT" w:val="(2017) 65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lt;UNUSED&gt;"/>
  </w:docVars>
  <w:rsids>
    <w:rsidRoot w:val="001A26B0"/>
    <w:rsid w:val="001A26B0"/>
    <w:rsid w:val="00E33A9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annotation text" w:uiPriority="0"/>
    <w:lsdException w:name="index heading" w:uiPriority="0"/>
    <w:lsdException w:name="caption" w:uiPriority="0" w:qFormat="1"/>
    <w:lsdException w:name="envelope address" w:uiPriority="0"/>
    <w:lsdException w:name="envelope return" w:uiPriority="0"/>
    <w:lsdException w:name="footnote reference" w:qFormat="1"/>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line="240" w:lineRule="auto"/>
      <w:jc w:val="both"/>
    </w:pPr>
    <w:rPr>
      <w:rFonts w:ascii="Times New Roman" w:eastAsia="Times New Roman" w:hAnsi="Times New Roman" w:cs="Times New Roman"/>
      <w:sz w:val="24"/>
      <w:szCs w:val="20"/>
    </w:rPr>
  </w:style>
  <w:style w:type="paragraph" w:styleId="Heading1">
    <w:name w:val="heading 1"/>
    <w:basedOn w:val="Normal"/>
    <w:next w:val="Text1"/>
    <w:link w:val="Heading1Char"/>
    <w:uiPriority w:val="1"/>
    <w:qFormat/>
    <w:pPr>
      <w:keepNext/>
      <w:numPr>
        <w:numId w:val="50"/>
      </w:numPr>
      <w:spacing w:before="240"/>
      <w:outlineLvl w:val="0"/>
    </w:pPr>
    <w:rPr>
      <w:b/>
      <w:smallCaps/>
      <w:lang w:val="en"/>
    </w:rPr>
  </w:style>
  <w:style w:type="paragraph" w:styleId="Heading2">
    <w:name w:val="heading 2"/>
    <w:basedOn w:val="Normal"/>
    <w:next w:val="Text2"/>
    <w:link w:val="Heading2Char"/>
    <w:uiPriority w:val="1"/>
    <w:qFormat/>
    <w:pPr>
      <w:keepNext/>
      <w:numPr>
        <w:ilvl w:val="1"/>
        <w:numId w:val="50"/>
      </w:numPr>
      <w:spacing w:before="240" w:after="120"/>
      <w:jc w:val="left"/>
      <w:outlineLvl w:val="1"/>
    </w:pPr>
    <w:rPr>
      <w:b/>
    </w:rPr>
  </w:style>
  <w:style w:type="paragraph" w:styleId="Heading3">
    <w:name w:val="heading 3"/>
    <w:basedOn w:val="Normal"/>
    <w:next w:val="Text3"/>
    <w:link w:val="Heading3Char"/>
    <w:uiPriority w:val="1"/>
    <w:qFormat/>
    <w:pPr>
      <w:keepNext/>
      <w:numPr>
        <w:ilvl w:val="2"/>
        <w:numId w:val="50"/>
      </w:numPr>
      <w:spacing w:before="240" w:after="120"/>
      <w:outlineLvl w:val="2"/>
    </w:pPr>
    <w:rPr>
      <w:b/>
      <w:i/>
    </w:rPr>
  </w:style>
  <w:style w:type="paragraph" w:styleId="Heading4">
    <w:name w:val="heading 4"/>
    <w:basedOn w:val="Normal"/>
    <w:next w:val="Text4"/>
    <w:link w:val="Heading4Char"/>
    <w:uiPriority w:val="1"/>
    <w:qFormat/>
    <w:pPr>
      <w:numPr>
        <w:ilvl w:val="3"/>
        <w:numId w:val="50"/>
      </w:numPr>
      <w:spacing w:before="240" w:after="120"/>
      <w:outlineLvl w:val="3"/>
    </w:p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Heading4"/>
    <w:next w:val="Normal"/>
    <w:link w:val="Heading5Char"/>
    <w:qFormat/>
    <w:pPr>
      <w:numPr>
        <w:ilvl w:val="4"/>
      </w:numPr>
      <w:outlineLvl w:val="4"/>
    </w:pPr>
  </w:style>
  <w:style w:type="paragraph" w:styleId="Heading6">
    <w:name w:val="heading 6"/>
    <w:basedOn w:val="Normal"/>
    <w:next w:val="Normal"/>
    <w:link w:val="Heading6Char"/>
    <w:qFormat/>
    <w:pPr>
      <w:numPr>
        <w:ilvl w:val="5"/>
        <w:numId w:val="50"/>
      </w:numPr>
      <w:spacing w:after="120"/>
      <w:outlineLvl w:val="5"/>
    </w:pPr>
    <w:rPr>
      <w:i/>
    </w:rPr>
  </w:style>
  <w:style w:type="paragraph" w:styleId="Heading7">
    <w:name w:val="heading 7"/>
    <w:aliases w:val="sub3,Heading 7 (do not use),aoua-titre annexes"/>
    <w:basedOn w:val="Normal"/>
    <w:next w:val="Normal"/>
    <w:link w:val="Heading7Char"/>
    <w:qFormat/>
    <w:pPr>
      <w:numPr>
        <w:ilvl w:val="6"/>
        <w:numId w:val="50"/>
      </w:numPr>
      <w:spacing w:before="240" w:after="60"/>
      <w:outlineLvl w:val="6"/>
    </w:pPr>
    <w:rPr>
      <w:rFonts w:ascii="Arial" w:hAnsi="Arial"/>
      <w:sz w:val="20"/>
    </w:rPr>
  </w:style>
  <w:style w:type="paragraph" w:styleId="Heading8">
    <w:name w:val="heading 8"/>
    <w:aliases w:val="sub4,Heading 8 (do not use)"/>
    <w:basedOn w:val="Normal"/>
    <w:next w:val="Normal"/>
    <w:link w:val="Heading8Char"/>
    <w:qFormat/>
    <w:pPr>
      <w:numPr>
        <w:ilvl w:val="7"/>
        <w:numId w:val="50"/>
      </w:numPr>
      <w:spacing w:before="240" w:after="60"/>
      <w:outlineLvl w:val="7"/>
    </w:pPr>
    <w:rPr>
      <w:rFonts w:ascii="Arial" w:hAnsi="Arial"/>
      <w:i/>
      <w:sz w:val="20"/>
    </w:rPr>
  </w:style>
  <w:style w:type="paragraph" w:styleId="Heading9">
    <w:name w:val="heading 9"/>
    <w:basedOn w:val="Normal"/>
    <w:next w:val="Normal"/>
    <w:link w:val="Heading9Char"/>
    <w:qFormat/>
    <w:pPr>
      <w:numPr>
        <w:ilvl w:val="8"/>
        <w:numId w:val="50"/>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imes New Roman" w:eastAsia="Times New Roman" w:hAnsi="Times New Roman" w:cs="Times New Roman"/>
      <w:b/>
      <w:smallCaps/>
      <w:sz w:val="24"/>
      <w:szCs w:val="20"/>
      <w:lang w:val="en"/>
    </w:rPr>
  </w:style>
  <w:style w:type="character" w:customStyle="1" w:styleId="Heading2Char">
    <w:name w:val="Heading 2 Char"/>
    <w:basedOn w:val="DefaultParagraphFont"/>
    <w:link w:val="Heading2"/>
    <w:uiPriority w:val="1"/>
    <w:rPr>
      <w:rFonts w:ascii="Times New Roman" w:eastAsia="Times New Roman" w:hAnsi="Times New Roman" w:cs="Times New Roman"/>
      <w:b/>
      <w:sz w:val="24"/>
      <w:szCs w:val="20"/>
    </w:rPr>
  </w:style>
  <w:style w:type="character" w:customStyle="1" w:styleId="Heading3Char">
    <w:name w:val="Heading 3 Char"/>
    <w:basedOn w:val="DefaultParagraphFont"/>
    <w:link w:val="Heading3"/>
    <w:uiPriority w:val="1"/>
    <w:rPr>
      <w:rFonts w:ascii="Times New Roman" w:eastAsia="Times New Roman" w:hAnsi="Times New Roman" w:cs="Times New Roman"/>
      <w:b/>
      <w:i/>
      <w:sz w:val="24"/>
      <w:szCs w:val="20"/>
    </w:rPr>
  </w:style>
  <w:style w:type="character" w:customStyle="1" w:styleId="Heading4Char">
    <w:name w:val="Heading 4 Char"/>
    <w:basedOn w:val="DefaultParagraphFont"/>
    <w:link w:val="Heading4"/>
    <w:uiPriority w:val="1"/>
    <w:rPr>
      <w:rFonts w:ascii="Times New Roman" w:eastAsia="Times New Roman" w:hAnsi="Times New Roman" w:cs="Times New Roman"/>
      <w:sz w:val="24"/>
      <w:szCs w:val="20"/>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rPr>
      <w:rFonts w:ascii="Times New Roman" w:eastAsia="Times New Roman" w:hAnsi="Times New Roman" w:cs="Times New Roman"/>
      <w:sz w:val="24"/>
      <w:szCs w:val="20"/>
    </w:rPr>
  </w:style>
  <w:style w:type="character" w:customStyle="1" w:styleId="Heading6Char">
    <w:name w:val="Heading 6 Char"/>
    <w:basedOn w:val="DefaultParagraphFont"/>
    <w:link w:val="Heading6"/>
    <w:rPr>
      <w:rFonts w:ascii="Times New Roman" w:eastAsia="Times New Roman" w:hAnsi="Times New Roman" w:cs="Times New Roman"/>
      <w:i/>
      <w:sz w:val="24"/>
      <w:szCs w:val="20"/>
    </w:rPr>
  </w:style>
  <w:style w:type="character" w:customStyle="1" w:styleId="Heading7Char">
    <w:name w:val="Heading 7 Char"/>
    <w:aliases w:val="sub3 Char,Heading 7 (do not use) Char,aoua-titre annexes Char"/>
    <w:basedOn w:val="DefaultParagraphFont"/>
    <w:link w:val="Heading7"/>
    <w:rPr>
      <w:rFonts w:ascii="Arial" w:eastAsia="Times New Roman" w:hAnsi="Arial" w:cs="Times New Roman"/>
      <w:sz w:val="20"/>
      <w:szCs w:val="20"/>
    </w:rPr>
  </w:style>
  <w:style w:type="character" w:customStyle="1" w:styleId="Heading8Char">
    <w:name w:val="Heading 8 Char"/>
    <w:aliases w:val="sub4 Char,Heading 8 (do not use) Char"/>
    <w:basedOn w:val="DefaultParagraphFont"/>
    <w:link w:val="Heading8"/>
    <w:rPr>
      <w:rFonts w:ascii="Arial" w:eastAsia="Times New Roman" w:hAnsi="Arial" w:cs="Times New Roman"/>
      <w:i/>
      <w:sz w:val="20"/>
      <w:szCs w:val="20"/>
    </w:rPr>
  </w:style>
  <w:style w:type="character" w:customStyle="1" w:styleId="Heading9Char">
    <w:name w:val="Heading 9 Char"/>
    <w:basedOn w:val="DefaultParagraphFont"/>
    <w:link w:val="Heading9"/>
    <w:rPr>
      <w:rFonts w:ascii="Arial" w:eastAsia="Times New Roman" w:hAnsi="Arial" w:cs="Times New Roman"/>
      <w:i/>
      <w:sz w:val="18"/>
      <w:szCs w:val="20"/>
    </w:rPr>
  </w:style>
  <w:style w:type="paragraph" w:customStyle="1" w:styleId="Text1">
    <w:name w:val="Text 1"/>
    <w:basedOn w:val="Normal"/>
    <w:pPr>
      <w:ind w:left="482"/>
    </w:pPr>
  </w:style>
  <w:style w:type="paragraph" w:customStyle="1" w:styleId="Text2">
    <w:name w:val="Text 2"/>
    <w:basedOn w:val="Normal"/>
    <w:link w:val="Text2Char1"/>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uiPriority w:val="99"/>
    <w:qFormat/>
    <w:pPr>
      <w:spacing w:after="120"/>
    </w:pPr>
  </w:style>
  <w:style w:type="character" w:customStyle="1" w:styleId="BodyTextChar">
    <w:name w:val="Body Text Char"/>
    <w:basedOn w:val="DefaultParagraphFont"/>
    <w:link w:val="BodyText"/>
    <w:uiPriority w:val="99"/>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pPr>
    <w:rPr>
      <w:sz w:val="16"/>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styleId="Caption">
    <w:name w:val="caption"/>
    <w:aliases w:val="Tasks,Beschriftung Char2,Beschriftung Char1 Char1,Beschriftung Char Char Char1,Beschriftung Char1 Char Char,Beschriftung Char Char Char Char,Beschriftung Char Char1 Char,Beschriftung Char Char2,Beschriftung Char1 Cha...,tabfaption Char,Caption1"/>
    <w:basedOn w:val="Normal"/>
    <w:next w:val="Normal"/>
    <w:link w:val="CaptionChar"/>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rPr>
      <w:rFonts w:ascii="Times New Roman" w:eastAsia="Times New Roman" w:hAnsi="Times New Roman" w:cs="Times New Roman"/>
      <w:sz w:val="20"/>
      <w:szCs w:val="20"/>
    </w:rPr>
  </w:style>
  <w:style w:type="paragraph" w:styleId="Date">
    <w:name w:val="Date"/>
    <w:basedOn w:val="Normal"/>
    <w:next w:val="References"/>
    <w:link w:val="DateChar"/>
    <w:pPr>
      <w:spacing w:after="0"/>
      <w:ind w:left="5103" w:right="-567"/>
      <w:jc w:val="left"/>
    </w:pPr>
  </w:style>
  <w:style w:type="character" w:customStyle="1" w:styleId="DateChar">
    <w:name w:val="Date Char"/>
    <w:basedOn w:val="DefaultParagraphFont"/>
    <w:link w:val="Date"/>
    <w:rPr>
      <w:rFonts w:ascii="Times New Roman" w:eastAsia="Times New Roman" w:hAnsi="Times New Roman" w:cs="Times New Roman"/>
      <w:sz w:val="24"/>
      <w:szCs w:val="20"/>
    </w:rPr>
  </w:style>
  <w:style w:type="paragraph" w:customStyle="1" w:styleId="References">
    <w:name w:val="References"/>
    <w:basedOn w:val="Normal"/>
    <w:next w:val="AddressTR"/>
    <w:pPr>
      <w:ind w:left="5103"/>
      <w:jc w:val="left"/>
    </w:pPr>
    <w:rPr>
      <w:sz w:val="20"/>
    </w:rPr>
  </w:style>
  <w:style w:type="paragraph" w:styleId="DocumentMap">
    <w:name w:val="Document Map"/>
    <w:basedOn w:val="Normal"/>
    <w:link w:val="DocumentMapChar"/>
    <w:uiPriority w:val="99"/>
    <w:semiHidden/>
    <w:pPr>
      <w:shd w:val="clear" w:color="auto" w:fill="000080"/>
    </w:pPr>
    <w:rPr>
      <w:rFonts w:ascii="Tahoma" w:hAnsi="Tahoma"/>
    </w:rPr>
  </w:style>
  <w:style w:type="character" w:customStyle="1" w:styleId="DocumentMapChar">
    <w:name w:val="Document Map Char"/>
    <w:basedOn w:val="DefaultParagraphFont"/>
    <w:link w:val="DocumentMap"/>
    <w:uiPriority w:val="99"/>
    <w:semiHidden/>
    <w:rPr>
      <w:rFonts w:ascii="Tahoma" w:eastAsia="Times New Roman" w:hAnsi="Tahoma" w:cs="Times New Roman"/>
      <w:sz w:val="24"/>
      <w:szCs w:val="20"/>
      <w:shd w:val="clear" w:color="auto" w:fill="000080"/>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uiPriority w:val="99"/>
    <w:semiHidden/>
    <w:rPr>
      <w:sz w:val="20"/>
    </w:rPr>
  </w:style>
  <w:style w:type="character" w:customStyle="1" w:styleId="EndnoteTextChar">
    <w:name w:val="Endnote Text Char"/>
    <w:basedOn w:val="DefaultParagraphFont"/>
    <w:link w:val="EndnoteText"/>
    <w:uiPriority w:val="99"/>
    <w:semiHidden/>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character" w:customStyle="1" w:styleId="FooterChar">
    <w:name w:val="Footer Char"/>
    <w:basedOn w:val="DefaultParagraphFont"/>
    <w:link w:val="Footer"/>
    <w:uiPriority w:val="99"/>
    <w:rPr>
      <w:rFonts w:ascii="Arial" w:eastAsia="Times New Roman" w:hAnsi="Arial" w:cs="Times New Roman"/>
      <w:sz w:val="16"/>
      <w:szCs w:val="20"/>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qFormat/>
    <w:pPr>
      <w:ind w:left="357" w:hanging="357"/>
    </w:pPr>
    <w:rPr>
      <w:sz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rFonts w:ascii="Times New Roman" w:eastAsia="Times New Roman" w:hAnsi="Times New Roman" w:cs="Times New Roman"/>
      <w:sz w:val="20"/>
      <w:szCs w:val="20"/>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3"/>
      </w:numPr>
    </w:pPr>
  </w:style>
  <w:style w:type="paragraph" w:styleId="ListBullet2">
    <w:name w:val="List Bullet 2"/>
    <w:basedOn w:val="Text2"/>
    <w:pPr>
      <w:numPr>
        <w:numId w:val="5"/>
      </w:numPr>
      <w:tabs>
        <w:tab w:val="clear" w:pos="2302"/>
      </w:tabs>
    </w:pPr>
  </w:style>
  <w:style w:type="paragraph" w:styleId="ListBullet3">
    <w:name w:val="List Bullet 3"/>
    <w:basedOn w:val="Text3"/>
    <w:pPr>
      <w:numPr>
        <w:numId w:val="6"/>
      </w:numPr>
      <w:tabs>
        <w:tab w:val="clear" w:pos="2302"/>
      </w:tabs>
    </w:pPr>
  </w:style>
  <w:style w:type="paragraph" w:styleId="ListBullet4">
    <w:name w:val="List Bullet 4"/>
    <w:basedOn w:val="Text4"/>
    <w:pPr>
      <w:numPr>
        <w:numId w:val="7"/>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3"/>
      </w:numPr>
    </w:pPr>
  </w:style>
  <w:style w:type="paragraph" w:styleId="ListNumber2">
    <w:name w:val="List Number 2"/>
    <w:basedOn w:val="Text2"/>
    <w:pPr>
      <w:numPr>
        <w:numId w:val="15"/>
      </w:numPr>
      <w:tabs>
        <w:tab w:val="clear" w:pos="2302"/>
      </w:tabs>
    </w:pPr>
  </w:style>
  <w:style w:type="paragraph" w:styleId="ListNumber3">
    <w:name w:val="List Number 3"/>
    <w:basedOn w:val="Text3"/>
    <w:pPr>
      <w:numPr>
        <w:numId w:val="16"/>
      </w:numPr>
      <w:tabs>
        <w:tab w:val="clear" w:pos="2302"/>
      </w:tabs>
    </w:pPr>
  </w:style>
  <w:style w:type="paragraph" w:styleId="ListNumber4">
    <w:name w:val="List Number 4"/>
    <w:basedOn w:val="Text4"/>
    <w:pPr>
      <w:numPr>
        <w:numId w:val="17"/>
      </w:numPr>
      <w:tabs>
        <w:tab w:val="clear" w:pos="2302"/>
      </w:tabs>
    </w:pPr>
  </w:style>
  <w:style w:type="paragraph" w:styleId="ListNumber5">
    <w:name w:val="List Number 5"/>
    <w:basedOn w:val="Normal"/>
    <w:pPr>
      <w:numPr>
        <w:numId w:val="2"/>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basedOn w:val="DefaultParagraphFont"/>
    <w:link w:val="PlainText"/>
    <w:uiPriority w:val="99"/>
    <w:rPr>
      <w:rFonts w:ascii="Courier New" w:eastAsia="Times New Roman" w:hAnsi="Courier New" w:cs="Times New Roman"/>
      <w:sz w:val="20"/>
      <w:szCs w:val="20"/>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after="0"/>
      <w:ind w:left="5103"/>
      <w:jc w:val="center"/>
    </w:pPr>
  </w:style>
  <w:style w:type="character" w:customStyle="1" w:styleId="SignatureChar">
    <w:name w:val="Signature Char"/>
    <w:basedOn w:val="DefaultParagraphFont"/>
    <w:link w:val="Signature"/>
    <w:rPr>
      <w:rFonts w:ascii="Times New Roman" w:eastAsia="Times New Roman" w:hAnsi="Times New Roman" w:cs="Times New Roman"/>
      <w:sz w:val="24"/>
      <w:szCs w:val="20"/>
    </w:rPr>
  </w:style>
  <w:style w:type="paragraph" w:styleId="Subtitle">
    <w:name w:val="Subtitle"/>
    <w:basedOn w:val="Normal"/>
    <w:link w:val="SubtitleChar"/>
    <w:qFormat/>
    <w:pPr>
      <w:spacing w:after="60"/>
      <w:jc w:val="center"/>
      <w:outlineLvl w:val="1"/>
    </w:pPr>
    <w:rPr>
      <w:rFonts w:ascii="Arial" w:hAnsi="Arial"/>
    </w:rPr>
  </w:style>
  <w:style w:type="character" w:customStyle="1" w:styleId="SubtitleChar">
    <w:name w:val="Subtitle Char"/>
    <w:basedOn w:val="DefaultParagraphFont"/>
    <w:link w:val="Subtitle"/>
    <w:rPr>
      <w:rFonts w:ascii="Arial" w:eastAsia="Times New Roman" w:hAnsi="Arial" w:cs="Times New Roman"/>
      <w:sz w:val="24"/>
      <w:szCs w:val="20"/>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uiPriority w:val="99"/>
    <w:pPr>
      <w:ind w:left="480" w:hanging="480"/>
    </w:pPr>
  </w:style>
  <w:style w:type="paragraph" w:styleId="Title">
    <w:name w:val="Title"/>
    <w:basedOn w:val="Normal"/>
    <w:next w:val="SubTitle1"/>
    <w:link w:val="TitleChar"/>
    <w:qFormat/>
    <w:pPr>
      <w:spacing w:after="480"/>
      <w:jc w:val="center"/>
    </w:pPr>
    <w:rPr>
      <w:b/>
      <w:kern w:val="28"/>
      <w:sz w:val="48"/>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qFormat/>
    <w:pPr>
      <w:tabs>
        <w:tab w:val="right" w:leader="dot" w:pos="8640"/>
      </w:tabs>
      <w:spacing w:before="120" w:after="120"/>
      <w:ind w:left="482" w:right="720" w:hanging="482"/>
    </w:pPr>
    <w:rPr>
      <w:caps/>
    </w:rPr>
  </w:style>
  <w:style w:type="paragraph" w:styleId="TOC2">
    <w:name w:val="toc 2"/>
    <w:basedOn w:val="Normal"/>
    <w:next w:val="Normal"/>
    <w:uiPriority w:val="39"/>
    <w:qFormat/>
    <w:pPr>
      <w:tabs>
        <w:tab w:val="right" w:leader="dot" w:pos="8640"/>
      </w:tabs>
      <w:spacing w:before="60" w:after="60"/>
      <w:ind w:left="1077" w:right="720" w:hanging="595"/>
    </w:pPr>
  </w:style>
  <w:style w:type="paragraph" w:styleId="TOC3">
    <w:name w:val="toc 3"/>
    <w:basedOn w:val="Normal"/>
    <w:next w:val="Normal"/>
    <w:uiPriority w:val="39"/>
    <w:qFormat/>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4"/>
      </w:numPr>
    </w:pPr>
  </w:style>
  <w:style w:type="paragraph" w:customStyle="1" w:styleId="ListDash">
    <w:name w:val="List Dash"/>
    <w:basedOn w:val="Normal"/>
    <w:pPr>
      <w:numPr>
        <w:numId w:val="8"/>
      </w:numPr>
    </w:pPr>
  </w:style>
  <w:style w:type="paragraph" w:customStyle="1" w:styleId="ListDash1">
    <w:name w:val="List Dash 1"/>
    <w:basedOn w:val="Text1"/>
    <w:pPr>
      <w:numPr>
        <w:numId w:val="9"/>
      </w:numPr>
    </w:pPr>
  </w:style>
  <w:style w:type="paragraph" w:customStyle="1" w:styleId="ListDash2">
    <w:name w:val="List Dash 2"/>
    <w:basedOn w:val="Text2"/>
    <w:pPr>
      <w:numPr>
        <w:numId w:val="10"/>
      </w:numPr>
      <w:tabs>
        <w:tab w:val="clear" w:pos="2302"/>
      </w:tabs>
    </w:pPr>
  </w:style>
  <w:style w:type="paragraph" w:customStyle="1" w:styleId="ListDash3">
    <w:name w:val="List Dash 3"/>
    <w:basedOn w:val="Text3"/>
    <w:pPr>
      <w:numPr>
        <w:numId w:val="11"/>
      </w:numPr>
      <w:tabs>
        <w:tab w:val="clear" w:pos="2302"/>
      </w:tabs>
    </w:pPr>
  </w:style>
  <w:style w:type="paragraph" w:customStyle="1" w:styleId="ListDash4">
    <w:name w:val="List Dash 4"/>
    <w:basedOn w:val="Text4"/>
    <w:pPr>
      <w:numPr>
        <w:numId w:val="12"/>
      </w:numPr>
      <w:tabs>
        <w:tab w:val="clear" w:pos="2302"/>
      </w:tabs>
    </w:pPr>
  </w:style>
  <w:style w:type="paragraph" w:customStyle="1" w:styleId="ListNumberLevel2">
    <w:name w:val="List Number (Level 2)"/>
    <w:basedOn w:val="Normal"/>
    <w:pPr>
      <w:numPr>
        <w:ilvl w:val="1"/>
        <w:numId w:val="13"/>
      </w:numPr>
    </w:pPr>
  </w:style>
  <w:style w:type="paragraph" w:customStyle="1" w:styleId="ListNumberLevel3">
    <w:name w:val="List Number (Level 3)"/>
    <w:basedOn w:val="Normal"/>
    <w:pPr>
      <w:numPr>
        <w:ilvl w:val="2"/>
        <w:numId w:val="13"/>
      </w:numPr>
    </w:pPr>
  </w:style>
  <w:style w:type="paragraph" w:customStyle="1" w:styleId="ListNumberLevel4">
    <w:name w:val="List Number (Level 4)"/>
    <w:basedOn w:val="Normal"/>
    <w:pPr>
      <w:numPr>
        <w:ilvl w:val="3"/>
        <w:numId w:val="13"/>
      </w:numPr>
    </w:pPr>
  </w:style>
  <w:style w:type="paragraph" w:customStyle="1" w:styleId="ListNumber1">
    <w:name w:val="List Number 1"/>
    <w:basedOn w:val="Text1"/>
    <w:pPr>
      <w:numPr>
        <w:numId w:val="14"/>
      </w:numPr>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numPr>
        <w:ilvl w:val="2"/>
        <w:numId w:val="14"/>
      </w:numPr>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numPr>
        <w:ilvl w:val="1"/>
        <w:numId w:val="15"/>
      </w:numPr>
      <w:tabs>
        <w:tab w:val="clear" w:pos="2302"/>
      </w:tabs>
    </w:pPr>
  </w:style>
  <w:style w:type="paragraph" w:customStyle="1" w:styleId="ListNumber2Level3">
    <w:name w:val="List Number 2 (Level 3)"/>
    <w:basedOn w:val="Text2"/>
    <w:pPr>
      <w:numPr>
        <w:ilvl w:val="2"/>
        <w:numId w:val="15"/>
      </w:numPr>
      <w:tabs>
        <w:tab w:val="clear" w:pos="2302"/>
      </w:tabs>
    </w:pPr>
  </w:style>
  <w:style w:type="paragraph" w:customStyle="1" w:styleId="ListNumber2Level4">
    <w:name w:val="List Number 2 (Level 4)"/>
    <w:basedOn w:val="Text2"/>
    <w:pPr>
      <w:numPr>
        <w:ilvl w:val="3"/>
        <w:numId w:val="15"/>
      </w:numPr>
      <w:tabs>
        <w:tab w:val="clear" w:pos="2302"/>
      </w:tabs>
    </w:pPr>
  </w:style>
  <w:style w:type="paragraph" w:customStyle="1" w:styleId="ListNumber3Level2">
    <w:name w:val="List Number 3 (Level 2)"/>
    <w:basedOn w:val="Text3"/>
    <w:pPr>
      <w:numPr>
        <w:ilvl w:val="1"/>
        <w:numId w:val="16"/>
      </w:numPr>
      <w:tabs>
        <w:tab w:val="clear" w:pos="2302"/>
      </w:tabs>
    </w:pPr>
  </w:style>
  <w:style w:type="paragraph" w:customStyle="1" w:styleId="ListNumber3Level3">
    <w:name w:val="List Number 3 (Level 3)"/>
    <w:basedOn w:val="Text3"/>
    <w:pPr>
      <w:numPr>
        <w:ilvl w:val="2"/>
        <w:numId w:val="16"/>
      </w:numPr>
      <w:tabs>
        <w:tab w:val="clear" w:pos="2302"/>
      </w:tabs>
    </w:pPr>
  </w:style>
  <w:style w:type="paragraph" w:customStyle="1" w:styleId="ListNumber3Level4">
    <w:name w:val="List Number 3 (Level 4)"/>
    <w:basedOn w:val="Text3"/>
    <w:pPr>
      <w:numPr>
        <w:ilvl w:val="3"/>
        <w:numId w:val="16"/>
      </w:numPr>
      <w:tabs>
        <w:tab w:val="clear" w:pos="2302"/>
      </w:tabs>
    </w:pPr>
  </w:style>
  <w:style w:type="paragraph" w:customStyle="1" w:styleId="ListNumber4Level2">
    <w:name w:val="List Number 4 (Level 2)"/>
    <w:basedOn w:val="Text4"/>
    <w:pPr>
      <w:numPr>
        <w:ilvl w:val="1"/>
        <w:numId w:val="17"/>
      </w:numPr>
      <w:tabs>
        <w:tab w:val="clear" w:pos="2302"/>
      </w:tabs>
    </w:pPr>
  </w:style>
  <w:style w:type="paragraph" w:customStyle="1" w:styleId="ListNumber4Level3">
    <w:name w:val="List Number 4 (Level 3)"/>
    <w:basedOn w:val="Text4"/>
    <w:pPr>
      <w:numPr>
        <w:ilvl w:val="2"/>
        <w:numId w:val="17"/>
      </w:numPr>
      <w:tabs>
        <w:tab w:val="clear" w:pos="2302"/>
      </w:tabs>
    </w:pPr>
  </w:style>
  <w:style w:type="paragraph" w:customStyle="1" w:styleId="ListNumber4Level4">
    <w:name w:val="List Number 4 (Level 4)"/>
    <w:basedOn w:val="Text4"/>
    <w:pPr>
      <w:numPr>
        <w:ilvl w:val="3"/>
        <w:numId w:val="17"/>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8"/>
      </w:numPr>
      <w:spacing w:line="360" w:lineRule="auto"/>
      <w:jc w:val="left"/>
    </w:pPr>
    <w:rPr>
      <w:rFonts w:eastAsiaTheme="minorHAnsi"/>
      <w:szCs w:val="22"/>
    </w:rPr>
  </w:style>
  <w:style w:type="paragraph" w:customStyle="1" w:styleId="LegalNumPar2">
    <w:name w:val="LegalNumPar2"/>
    <w:basedOn w:val="Normal"/>
    <w:pPr>
      <w:numPr>
        <w:ilvl w:val="1"/>
        <w:numId w:val="18"/>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8"/>
      </w:numPr>
      <w:spacing w:line="360" w:lineRule="auto"/>
      <w:jc w:val="left"/>
    </w:pPr>
    <w:rPr>
      <w:rFonts w:eastAsiaTheme="minorHAnsi"/>
      <w:szCs w:val="22"/>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lang w:eastAsia="en-GB"/>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lang w:eastAsia="en-GB"/>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paragraph" w:styleId="ListParagraph">
    <w:name w:val="List Paragraph"/>
    <w:aliases w:val="heading ONTENT,List Paragraph12,F5 List Paragraph,Heading 2_sj,1st level - Bullet List Paragraph,Lettre d'introduction,Numbered Para 1,Dot pt,No Spacing1,List Paragraph Char Char Char,Indicator Text,Bullet 1,List Paragraph1,Bullet Points"/>
    <w:basedOn w:val="Normal"/>
    <w:link w:val="ListParagraphChar"/>
    <w:uiPriority w:val="34"/>
    <w:qFormat/>
    <w:pPr>
      <w:ind w:left="720"/>
      <w:contextualSpacing/>
    </w:p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E,R"/>
    <w:basedOn w:val="DefaultParagraphFont"/>
    <w:link w:val="FootnotesymbolCarZchn"/>
    <w:uiPriority w:val="99"/>
    <w:unhideWhenUsed/>
    <w:qFormat/>
    <w:rPr>
      <w:vertAlign w:val="superscript"/>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0"/>
    </w:rPr>
  </w:style>
  <w:style w:type="character" w:customStyle="1" w:styleId="ListParagraphChar">
    <w:name w:val="List Paragraph Char"/>
    <w:aliases w:val="heading ONTENT Char,List Paragraph12 Char,F5 List Paragraph Char,Heading 2_sj Char,1st level - Bullet List Paragraph Char,Lettre d'introduction Char,Numbered Para 1 Char,Dot pt Char,No Spacing1 Char,List Paragraph Char Char Char Char"/>
    <w:basedOn w:val="DefaultParagraphFont"/>
    <w:link w:val="ListParagraph"/>
    <w:uiPriority w:val="34"/>
    <w:qFormat/>
    <w:rPr>
      <w:rFonts w:ascii="Times New Roman" w:eastAsia="Times New Roman" w:hAnsi="Times New Roman" w:cs="Times New Roman"/>
      <w:sz w:val="24"/>
      <w:szCs w:val="20"/>
    </w:rPr>
  </w:style>
  <w:style w:type="table" w:styleId="TableGrid">
    <w:name w:val="Table Grid"/>
    <w:aliases w:val="Gena,Tabellengitternetz,Document Table,Table Format 1,Table_FPB"/>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aptionChar">
    <w:name w:val="Caption Char"/>
    <w:aliases w:val="Tasks Char3,Beschriftung Char2 Char1,Beschriftung Char1 Char1 Char1,Beschriftung Char Char Char1 Char1,Beschriftung Char1 Char Char Char1,Beschriftung Char Char Char Char Char1,Beschriftung Char Char1 Char Char1,tabfaption Char Char"/>
    <w:link w:val="Caption"/>
    <w:uiPriority w:val="35"/>
    <w:locked/>
    <w:rPr>
      <w:rFonts w:ascii="Times New Roman" w:eastAsia="Times New Roman" w:hAnsi="Times New Roman" w:cs="Times New Roman"/>
      <w:b/>
      <w:sz w:val="24"/>
      <w:szCs w:val="20"/>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rFonts w:asciiTheme="minorHAnsi" w:eastAsiaTheme="minorHAnsi" w:hAnsiTheme="minorHAnsi" w:cstheme="minorBidi"/>
      <w:sz w:val="22"/>
      <w:szCs w:val="22"/>
      <w:vertAlign w:val="superscript"/>
    </w:rPr>
  </w:style>
  <w:style w:type="table" w:customStyle="1" w:styleId="TableGrid1">
    <w:name w:val="Table Grid1"/>
    <w:basedOn w:val="TableNormal"/>
    <w:uiPriority w:val="39"/>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StylePr>
    <w:tblStylePr w:type="band1Horz">
      <w:tblPr/>
      <w:tcPr>
        <w:tcBorders>
          <w:top w:val="nil"/>
          <w:left w:val="single" w:sz="4" w:space="0" w:color="0055A0"/>
          <w:bottom w:val="nil"/>
          <w:right w:val="single" w:sz="4" w:space="0" w:color="0055A0"/>
          <w:insideH w:val="nil"/>
          <w:insideV w:val="single" w:sz="4" w:space="0" w:color="0055A0"/>
          <w:tl2br w:val="nil"/>
          <w:tr2bl w:val="nil"/>
        </w:tcBorders>
        <w:shd w:val="clear" w:color="auto" w:fill="F5F9FC"/>
      </w:tcPr>
    </w:tblStylePr>
    <w:tblStylePr w:type="band2Horz">
      <w:tblPr/>
      <w:tcPr>
        <w:tcBorders>
          <w:insideV w:val="single" w:sz="4" w:space="0" w:color="0055A0"/>
        </w:tcBorders>
        <w:shd w:val="clear" w:color="auto" w:fill="FFFFFF" w:themeFill="background1"/>
      </w:tcPr>
    </w:tblStylePr>
  </w:style>
  <w:style w:type="paragraph" w:customStyle="1" w:styleId="CM4">
    <w:name w:val="CM4"/>
    <w:basedOn w:val="Default"/>
    <w:next w:val="Default"/>
    <w:uiPriority w:val="99"/>
    <w:rPr>
      <w:color w:val="auto"/>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standaardnietinspringen">
    <w:name w:val="standaard niet inspringen"/>
    <w:basedOn w:val="Normal"/>
    <w:link w:val="standaardnietinspringenChar"/>
    <w:qFormat/>
    <w:pPr>
      <w:spacing w:after="0" w:line="240" w:lineRule="atLeast"/>
      <w:jc w:val="left"/>
    </w:pPr>
    <w:rPr>
      <w:rFonts w:ascii="Trebuchet MS" w:eastAsia="MS Mincho" w:hAnsi="Trebuchet MS"/>
      <w:sz w:val="20"/>
      <w:szCs w:val="22"/>
    </w:rPr>
  </w:style>
  <w:style w:type="character" w:customStyle="1" w:styleId="standaardnietinspringenChar">
    <w:name w:val="standaard niet inspringen Char"/>
    <w:link w:val="standaardnietinspringen"/>
    <w:locked/>
    <w:rPr>
      <w:rFonts w:ascii="Trebuchet MS" w:eastAsia="MS Mincho" w:hAnsi="Trebuchet MS" w:cs="Times New Roman"/>
      <w:sz w:val="20"/>
    </w:rPr>
  </w:style>
  <w:style w:type="character" w:styleId="HTMLCite">
    <w:name w:val="HTML Cite"/>
    <w:basedOn w:val="DefaultParagraphFont"/>
    <w:uiPriority w:val="99"/>
    <w:semiHidden/>
    <w:unhideWhenUsed/>
    <w:rPr>
      <w:i/>
      <w:iCs/>
    </w:rPr>
  </w:style>
  <w:style w:type="table" w:customStyle="1" w:styleId="CEeigentijds">
    <w:name w:val="CE eigentijds"/>
    <w:basedOn w:val="TableContemporary"/>
    <w:uiPriority w:val="99"/>
    <w:pPr>
      <w:spacing w:after="0" w:line="240" w:lineRule="atLeast"/>
      <w:jc w:val="left"/>
    </w:pPr>
    <w:rPr>
      <w:rFonts w:ascii="Trebuchet MS" w:eastAsia="MS Mincho" w:hAnsi="Trebuchet MS" w:cs="Times New Roman"/>
      <w:sz w:val="16"/>
      <w:szCs w:val="20"/>
      <w:lang w:val="nl-NL" w:eastAsia="nl-NL"/>
    </w:rPr>
    <w:tblPr>
      <w:tblInd w:w="2381" w:type="dxa"/>
      <w:tblBorders>
        <w:top w:val="single" w:sz="4" w:space="0" w:color="009EE0"/>
        <w:left w:val="single" w:sz="4" w:space="0" w:color="009EE0"/>
        <w:bottom w:val="single" w:sz="4" w:space="0" w:color="009EE0"/>
        <w:right w:val="single" w:sz="4" w:space="0" w:color="009EE0"/>
        <w:insideH w:val="single" w:sz="4" w:space="0" w:color="009EE0"/>
        <w:insideV w:val="single" w:sz="4" w:space="0" w:color="009EE0"/>
      </w:tblBorders>
    </w:tblPr>
    <w:tblStylePr w:type="firstRow">
      <w:rPr>
        <w:b/>
        <w:bCs/>
        <w:color w:val="auto"/>
      </w:rPr>
      <w:tblPr/>
      <w:tcPr>
        <w:tcBorders>
          <w:tl2br w:val="none" w:sz="0" w:space="0" w:color="auto"/>
          <w:tr2bl w:val="none" w:sz="0" w:space="0" w:color="auto"/>
        </w:tcBorders>
        <w:shd w:val="clear" w:color="auto" w:fill="B9E4FF"/>
      </w:tcPr>
    </w:tblStylePr>
    <w:tblStylePr w:type="band1Horz">
      <w:rPr>
        <w:color w:val="auto"/>
      </w:rPr>
      <w:tblPr/>
      <w:tcPr>
        <w:tcBorders>
          <w:tl2br w:val="none" w:sz="0" w:space="0" w:color="auto"/>
          <w:tr2bl w:val="none" w:sz="0" w:space="0" w:color="auto"/>
        </w:tcBorders>
        <w:shd w:val="clear" w:color="auto" w:fill="FFFFFF" w:themeFill="background1"/>
      </w:tcPr>
    </w:tblStylePr>
    <w:tblStylePr w:type="band2Horz">
      <w:rPr>
        <w:color w:val="auto"/>
      </w:rPr>
      <w:tblPr/>
      <w:tcPr>
        <w:tcBorders>
          <w:tl2br w:val="none" w:sz="0" w:space="0" w:color="auto"/>
          <w:tr2bl w:val="none" w:sz="0" w:space="0" w:color="auto"/>
        </w:tcBorders>
        <w:shd w:val="clear" w:color="auto" w:fill="E1F4FF"/>
      </w:tcPr>
    </w:tblStylePr>
  </w:style>
  <w:style w:type="table" w:styleId="TableContemporary">
    <w:name w:val="Table Contemporary"/>
    <w:basedOn w:val="TableNormal"/>
    <w:uiPriority w:val="99"/>
    <w:semiHidden/>
    <w:unhideWhenUsed/>
    <w:pPr>
      <w:spacing w:after="240" w:line="24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
    <w:name w:val="Normal (Web)"/>
    <w:basedOn w:val="Normal"/>
    <w:uiPriority w:val="99"/>
    <w:semiHidden/>
    <w:unhideWhenUsed/>
    <w:pPr>
      <w:spacing w:after="150"/>
    </w:pPr>
    <w:rPr>
      <w:szCs w:val="24"/>
      <w:lang w:eastAsia="en-GB"/>
    </w:rPr>
  </w:style>
  <w:style w:type="table" w:customStyle="1" w:styleId="DocumentTable1">
    <w:name w:val="Document Table1"/>
    <w:basedOn w:val="TableNormal"/>
    <w:next w:val="TableGrid"/>
    <w:uiPriority w:val="59"/>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hemeFill="background1"/>
      </w:tcPr>
    </w:tblStylePr>
  </w:style>
  <w:style w:type="paragraph" w:customStyle="1" w:styleId="BackcoverStyleRGB7015635LeftAfter10pt">
    <w:name w:val="Back cover Style (RGB(7015635)) Left After: 10 pt"/>
    <w:basedOn w:val="Normal"/>
    <w:uiPriority w:val="99"/>
    <w:pPr>
      <w:jc w:val="left"/>
    </w:pPr>
    <w:rPr>
      <w:rFonts w:ascii="Arial" w:hAnsi="Arial"/>
      <w:color w:val="469C23"/>
      <w:sz w:val="20"/>
    </w:rPr>
  </w:style>
  <w:style w:type="character" w:styleId="PageNumber">
    <w:name w:val="page number"/>
    <w:basedOn w:val="DefaultParagraphFont"/>
    <w:uiPriority w:val="99"/>
    <w:semiHidden/>
    <w:unhideWhenUsed/>
    <w:rPr>
      <w:rFonts w:ascii="Arial" w:hAnsi="Arial"/>
      <w:sz w:val="20"/>
    </w:rPr>
  </w:style>
  <w:style w:type="paragraph" w:customStyle="1" w:styleId="Tableheading">
    <w:name w:val="Table heading"/>
    <w:basedOn w:val="Normal"/>
    <w:uiPriority w:val="1"/>
    <w:pPr>
      <w:spacing w:after="120"/>
    </w:pPr>
    <w:rPr>
      <w:rFonts w:ascii="Arial" w:hAnsi="Arial"/>
      <w:b/>
      <w:sz w:val="20"/>
      <w:szCs w:val="24"/>
    </w:rPr>
  </w:style>
  <w:style w:type="paragraph" w:customStyle="1" w:styleId="Tablecolumnheading">
    <w:name w:val="Table column heading"/>
    <w:basedOn w:val="Tablecontent"/>
    <w:uiPriority w:val="1"/>
  </w:style>
  <w:style w:type="paragraph" w:customStyle="1" w:styleId="Tablecontent">
    <w:name w:val="Table content"/>
    <w:basedOn w:val="Normal"/>
    <w:uiPriority w:val="1"/>
    <w:pPr>
      <w:spacing w:after="0"/>
      <w:jc w:val="left"/>
    </w:pPr>
    <w:rPr>
      <w:rFonts w:ascii="Arial" w:hAnsi="Arial"/>
      <w:sz w:val="20"/>
    </w:rPr>
  </w:style>
  <w:style w:type="paragraph" w:customStyle="1" w:styleId="Bulletedtext">
    <w:name w:val="Bulleted text"/>
    <w:basedOn w:val="Normal"/>
    <w:uiPriority w:val="1"/>
    <w:pPr>
      <w:spacing w:after="60"/>
    </w:pPr>
    <w:rPr>
      <w:rFonts w:ascii="Arial" w:hAnsi="Arial"/>
      <w:sz w:val="20"/>
      <w:szCs w:val="24"/>
    </w:rPr>
  </w:style>
  <w:style w:type="paragraph" w:customStyle="1" w:styleId="QAQC-question">
    <w:name w:val="QA/QC - question"/>
    <w:uiPriority w:val="99"/>
    <w:pPr>
      <w:spacing w:after="120" w:line="240" w:lineRule="auto"/>
    </w:pPr>
    <w:rPr>
      <w:rFonts w:ascii="Arial" w:eastAsia="Times New Roman" w:hAnsi="Arial" w:cs="Times New Roman"/>
      <w:b/>
      <w:bCs/>
      <w:noProof/>
      <w:color w:val="008000"/>
      <w:sz w:val="20"/>
      <w:szCs w:val="20"/>
    </w:rPr>
  </w:style>
  <w:style w:type="paragraph" w:customStyle="1" w:styleId="Title-main-Coverpage">
    <w:name w:val="Title-main - Coverpage"/>
    <w:basedOn w:val="Header"/>
    <w:uiPriority w:val="3"/>
    <w:pPr>
      <w:tabs>
        <w:tab w:val="clear" w:pos="4153"/>
        <w:tab w:val="clear" w:pos="8306"/>
        <w:tab w:val="right" w:pos="9072"/>
      </w:tabs>
      <w:jc w:val="right"/>
    </w:pPr>
    <w:rPr>
      <w:rFonts w:ascii="Arial" w:hAnsi="Arial"/>
      <w:b/>
      <w:bCs/>
      <w:color w:val="4D4D4D"/>
      <w:kern w:val="72"/>
      <w:sz w:val="52"/>
    </w:rPr>
  </w:style>
  <w:style w:type="paragraph" w:customStyle="1" w:styleId="Tital-sub-Coverpage">
    <w:name w:val="Tital-sub - Coverpage"/>
    <w:basedOn w:val="Header"/>
    <w:uiPriority w:val="3"/>
    <w:pPr>
      <w:tabs>
        <w:tab w:val="clear" w:pos="4153"/>
        <w:tab w:val="clear" w:pos="8306"/>
        <w:tab w:val="right" w:pos="9072"/>
      </w:tabs>
      <w:spacing w:after="0"/>
      <w:ind w:right="-1"/>
      <w:jc w:val="right"/>
    </w:pPr>
    <w:rPr>
      <w:rFonts w:ascii="Arial" w:hAnsi="Arial"/>
      <w:color w:val="008000"/>
      <w:kern w:val="72"/>
      <w:sz w:val="40"/>
      <w:szCs w:val="40"/>
    </w:rPr>
  </w:style>
  <w:style w:type="paragraph" w:customStyle="1" w:styleId="Title-Ref-Coverpage">
    <w:name w:val="Title-Ref - Coverpage"/>
    <w:basedOn w:val="Header"/>
    <w:uiPriority w:val="3"/>
    <w:pPr>
      <w:tabs>
        <w:tab w:val="clear" w:pos="4153"/>
        <w:tab w:val="clear" w:pos="8306"/>
        <w:tab w:val="right" w:pos="9072"/>
      </w:tabs>
      <w:spacing w:after="0"/>
      <w:ind w:right="-1"/>
      <w:jc w:val="right"/>
    </w:pPr>
    <w:rPr>
      <w:rFonts w:ascii="Arial" w:hAnsi="Arial"/>
      <w:color w:val="92D050"/>
      <w:kern w:val="72"/>
      <w:sz w:val="28"/>
      <w:szCs w:val="28"/>
    </w:rPr>
  </w:style>
  <w:style w:type="character" w:customStyle="1" w:styleId="Heading-ExecSum">
    <w:name w:val="Heading - ExecSum"/>
    <w:basedOn w:val="DefaultParagraphFont"/>
    <w:uiPriority w:val="1"/>
    <w:rPr>
      <w:b/>
      <w:bCs/>
      <w:color w:val="008000"/>
      <w:sz w:val="40"/>
    </w:rPr>
  </w:style>
  <w:style w:type="paragraph" w:customStyle="1" w:styleId="Heading-Appendix">
    <w:name w:val="Heading - Appendix"/>
    <w:next w:val="Normal"/>
    <w:link w:val="Heading-AppendixChar"/>
    <w:uiPriority w:val="1"/>
    <w:qFormat/>
    <w:pPr>
      <w:keepNext/>
      <w:pageBreakBefore/>
      <w:numPr>
        <w:numId w:val="37"/>
      </w:numPr>
      <w:spacing w:before="120" w:after="240" w:line="240" w:lineRule="auto"/>
      <w:outlineLvl w:val="0"/>
    </w:pPr>
    <w:rPr>
      <w:rFonts w:ascii="Arial" w:eastAsia="Times New Roman" w:hAnsi="Arial" w:cs="Arial"/>
      <w:bCs/>
      <w:color w:val="006BB7"/>
      <w:sz w:val="40"/>
      <w:szCs w:val="32"/>
      <w:lang w:val="en"/>
    </w:rPr>
  </w:style>
  <w:style w:type="paragraph" w:customStyle="1" w:styleId="Heading-TOC">
    <w:name w:val="Heading - TOC"/>
    <w:uiPriority w:val="1"/>
    <w:pPr>
      <w:spacing w:before="120" w:after="240" w:line="240" w:lineRule="auto"/>
    </w:pPr>
    <w:rPr>
      <w:rFonts w:ascii="Arial" w:eastAsia="Times New Roman" w:hAnsi="Arial" w:cs="Arial"/>
      <w:b/>
      <w:bCs/>
      <w:color w:val="008000"/>
      <w:sz w:val="40"/>
      <w:szCs w:val="32"/>
    </w:rPr>
  </w:style>
  <w:style w:type="table" w:customStyle="1" w:styleId="Highlightbox">
    <w:name w:val="Highlight box"/>
    <w:basedOn w:val="TableNormal"/>
    <w:uiPriority w:val="99"/>
    <w:pPr>
      <w:spacing w:before="120" w:after="120" w:line="240" w:lineRule="auto"/>
    </w:pPr>
    <w:rPr>
      <w:rFonts w:ascii="Arial" w:eastAsia="Times New Roman" w:hAnsi="Arial" w:cs="Times New Roman"/>
      <w:sz w:val="20"/>
      <w:szCs w:val="20"/>
      <w:lang w:eastAsia="en-GB"/>
    </w:rPr>
    <w:tblPr/>
    <w:tblStylePr w:type="firstRow">
      <w:tblPr/>
      <w:tcPr>
        <w:tcBorders>
          <w:top w:val="single" w:sz="4" w:space="0" w:color="0070C0"/>
          <w:left w:val="nil"/>
          <w:bottom w:val="single" w:sz="4" w:space="0" w:color="0070C0"/>
          <w:right w:val="nil"/>
          <w:insideH w:val="nil"/>
          <w:insideV w:val="nil"/>
        </w:tcBorders>
        <w:shd w:val="clear" w:color="auto" w:fill="E2ECF2"/>
      </w:tcPr>
    </w:tblStylePr>
  </w:style>
  <w:style w:type="paragraph" w:customStyle="1" w:styleId="AEAToC">
    <w:name w:val="AEA ToC"/>
    <w:uiPriority w:val="99"/>
    <w:rPr>
      <w:rFonts w:eastAsiaTheme="minorEastAsia"/>
      <w:lang w:val="en-US"/>
    </w:rPr>
  </w:style>
  <w:style w:type="character" w:styleId="PlaceholderText">
    <w:name w:val="Placeholder Text"/>
    <w:basedOn w:val="DefaultParagraphFont"/>
    <w:uiPriority w:val="99"/>
    <w:semiHidden/>
    <w:rPr>
      <w:color w:val="808080"/>
    </w:rPr>
  </w:style>
  <w:style w:type="table" w:styleId="LightShading-Accent2">
    <w:name w:val="Light Shading Accent 2"/>
    <w:basedOn w:val="TableNormal"/>
    <w:uiPriority w:val="60"/>
    <w:pPr>
      <w:spacing w:after="0" w:line="240" w:lineRule="auto"/>
    </w:pPr>
    <w:rPr>
      <w:rFonts w:ascii="Arial" w:eastAsia="Times New Roman" w:hAnsi="Arial" w:cs="Times New Roman"/>
      <w:color w:val="943634" w:themeColor="accent2" w:themeShade="BF"/>
      <w:sz w:val="20"/>
      <w:szCs w:val="20"/>
      <w:lang w:eastAsia="en-GB"/>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pPr>
      <w:spacing w:after="0" w:line="240" w:lineRule="auto"/>
    </w:pPr>
    <w:rPr>
      <w:rFonts w:ascii="Arial" w:eastAsia="Times New Roman" w:hAnsi="Arial" w:cs="Times New Roman"/>
      <w:color w:val="76923C" w:themeColor="accent3" w:themeShade="BF"/>
      <w:sz w:val="20"/>
      <w:szCs w:val="20"/>
      <w:lang w:eastAsia="en-GB"/>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pPr>
      <w:spacing w:after="0" w:line="240" w:lineRule="auto"/>
    </w:pPr>
    <w:rPr>
      <w:rFonts w:ascii="Arial" w:eastAsia="Times New Roman" w:hAnsi="Arial" w:cs="Times New Roman"/>
      <w:color w:val="5F497A" w:themeColor="accent4" w:themeShade="BF"/>
      <w:sz w:val="20"/>
      <w:szCs w:val="20"/>
      <w:lang w:eastAsia="en-GB"/>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CoverHeader2">
    <w:name w:val="CoverHeader2"/>
    <w:uiPriority w:val="2"/>
    <w:qFormat/>
    <w:rPr>
      <w:b w:val="0"/>
      <w:color w:val="006BB7"/>
      <w:sz w:val="36"/>
      <w:szCs w:val="40"/>
    </w:rPr>
  </w:style>
  <w:style w:type="character" w:customStyle="1" w:styleId="CoverHeader1">
    <w:name w:val="CoverHeader1"/>
    <w:uiPriority w:val="2"/>
    <w:qFormat/>
    <w:rPr>
      <w:b/>
      <w:color w:val="808080"/>
      <w:sz w:val="36"/>
      <w:szCs w:val="40"/>
    </w:rPr>
  </w:style>
  <w:style w:type="paragraph" w:customStyle="1" w:styleId="QA-Page">
    <w:name w:val="QA-Page"/>
    <w:uiPriority w:val="99"/>
    <w:pPr>
      <w:tabs>
        <w:tab w:val="left" w:pos="2366"/>
      </w:tabs>
      <w:spacing w:after="0" w:line="240" w:lineRule="auto"/>
    </w:pPr>
    <w:rPr>
      <w:rFonts w:ascii="Arial" w:eastAsia="Times New Roman" w:hAnsi="Arial" w:cs="Times New Roman"/>
      <w:sz w:val="20"/>
      <w:szCs w:val="24"/>
    </w:rPr>
  </w:style>
  <w:style w:type="paragraph" w:customStyle="1" w:styleId="CoverQA">
    <w:name w:val="CoverQA"/>
    <w:next w:val="Normal"/>
    <w:uiPriority w:val="99"/>
    <w:pPr>
      <w:spacing w:after="0" w:line="240" w:lineRule="auto"/>
    </w:pPr>
    <w:rPr>
      <w:rFonts w:ascii="Arial" w:eastAsia="Times New Roman" w:hAnsi="Arial" w:cs="Times New Roman"/>
      <w:color w:val="7F7F7F" w:themeColor="text1" w:themeTint="80"/>
      <w:sz w:val="20"/>
      <w:szCs w:val="24"/>
    </w:rPr>
  </w:style>
  <w:style w:type="character" w:customStyle="1" w:styleId="QuotationsCallout">
    <w:name w:val="Quotations / Callout"/>
    <w:basedOn w:val="DefaultParagraphFont"/>
    <w:uiPriority w:val="2"/>
    <w:qFormat/>
    <w:rPr>
      <w:rFonts w:asciiTheme="minorHAnsi" w:hAnsiTheme="minorHAnsi"/>
      <w:color w:val="595959" w:themeColor="text1" w:themeTint="A6"/>
      <w:sz w:val="24"/>
    </w:rPr>
  </w:style>
  <w:style w:type="paragraph" w:customStyle="1" w:styleId="StyleQAQC-questionRightBefore3ptAfter3pt">
    <w:name w:val="Style QA/QC - question + Right Before:  3 pt After:  3 pt"/>
    <w:basedOn w:val="Normal"/>
    <w:uiPriority w:val="99"/>
    <w:pPr>
      <w:spacing w:before="120" w:after="0"/>
      <w:jc w:val="left"/>
    </w:pPr>
    <w:rPr>
      <w:rFonts w:ascii="Arial" w:hAnsi="Arial"/>
      <w:b/>
      <w:bCs/>
      <w:noProof/>
      <w:color w:val="008000"/>
      <w:sz w:val="20"/>
    </w:rPr>
  </w:style>
  <w:style w:type="character" w:customStyle="1" w:styleId="subtext">
    <w:name w:val="subtext"/>
    <w:basedOn w:val="DefaultParagraphFont"/>
    <w:uiPriority w:val="1"/>
    <w:rPr>
      <w:rFonts w:ascii="Arial" w:hAnsi="Arial"/>
      <w:sz w:val="20"/>
    </w:rPr>
  </w:style>
  <w:style w:type="paragraph" w:customStyle="1" w:styleId="Covertext">
    <w:name w:val="Cover text"/>
    <w:basedOn w:val="Normal"/>
    <w:uiPriority w:val="99"/>
    <w:pPr>
      <w:spacing w:after="120"/>
      <w:jc w:val="left"/>
    </w:pPr>
    <w:rPr>
      <w:rFonts w:ascii="Arial" w:hAnsi="Arial"/>
      <w:color w:val="000000" w:themeColor="text1"/>
      <w:szCs w:val="24"/>
    </w:rPr>
  </w:style>
  <w:style w:type="character" w:customStyle="1" w:styleId="Style2">
    <w:name w:val="Style2"/>
    <w:basedOn w:val="DefaultParagraphFont"/>
    <w:uiPriority w:val="1"/>
    <w:rPr>
      <w:rFonts w:ascii="Arial" w:hAnsi="Arial"/>
      <w:sz w:val="20"/>
    </w:rPr>
  </w:style>
  <w:style w:type="character" w:customStyle="1" w:styleId="Style3">
    <w:name w:val="Style3"/>
    <w:basedOn w:val="DefaultParagraphFont"/>
    <w:uiPriority w:val="1"/>
    <w:rPr>
      <w:rFonts w:ascii="Arial" w:hAnsi="Arial"/>
      <w:color w:val="0070C0"/>
      <w:sz w:val="36"/>
    </w:rPr>
  </w:style>
  <w:style w:type="table" w:customStyle="1" w:styleId="Mainbidtables">
    <w:name w:val="Main bid tables"/>
    <w:basedOn w:val="TableNormal"/>
    <w:uiPriority w:val="99"/>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paragraph" w:customStyle="1" w:styleId="ECHeading1">
    <w:name w:val="EC Heading 1"/>
    <w:basedOn w:val="ListParagraph"/>
    <w:link w:val="ECHeading1Char"/>
    <w:uiPriority w:val="99"/>
    <w:qFormat/>
    <w:pPr>
      <w:numPr>
        <w:numId w:val="34"/>
      </w:numPr>
      <w:spacing w:before="240"/>
      <w:contextualSpacing w:val="0"/>
      <w:outlineLvl w:val="0"/>
    </w:pPr>
    <w:rPr>
      <w:rFonts w:ascii="Arial" w:hAnsi="Arial"/>
      <w:color w:val="006BB7"/>
      <w:sz w:val="40"/>
      <w:szCs w:val="24"/>
    </w:rPr>
  </w:style>
  <w:style w:type="character" w:customStyle="1" w:styleId="ECHeading1Char">
    <w:name w:val="EC Heading 1 Char"/>
    <w:basedOn w:val="DefaultParagraphFont"/>
    <w:link w:val="ECHeading1"/>
    <w:uiPriority w:val="99"/>
    <w:rPr>
      <w:rFonts w:ascii="Arial" w:eastAsia="Times New Roman" w:hAnsi="Arial" w:cs="Times New Roman"/>
      <w:color w:val="006BB7"/>
      <w:sz w:val="40"/>
      <w:szCs w:val="24"/>
    </w:rPr>
  </w:style>
  <w:style w:type="paragraph" w:customStyle="1" w:styleId="ECHeading2">
    <w:name w:val="EC Heading 2"/>
    <w:basedOn w:val="ListParagraph"/>
    <w:link w:val="ECHeading2Char"/>
    <w:uiPriority w:val="99"/>
    <w:qFormat/>
    <w:pPr>
      <w:numPr>
        <w:ilvl w:val="1"/>
        <w:numId w:val="34"/>
      </w:numPr>
      <w:spacing w:before="240" w:after="120"/>
      <w:contextualSpacing w:val="0"/>
      <w:outlineLvl w:val="1"/>
    </w:pPr>
    <w:rPr>
      <w:rFonts w:ascii="Arial" w:hAnsi="Arial"/>
      <w:color w:val="006BB7"/>
      <w:sz w:val="32"/>
      <w:szCs w:val="24"/>
    </w:rPr>
  </w:style>
  <w:style w:type="character" w:customStyle="1" w:styleId="ECHeading2Char">
    <w:name w:val="EC Heading 2 Char"/>
    <w:basedOn w:val="DefaultParagraphFont"/>
    <w:link w:val="ECHeading2"/>
    <w:uiPriority w:val="99"/>
    <w:rPr>
      <w:rFonts w:ascii="Arial" w:eastAsia="Times New Roman" w:hAnsi="Arial" w:cs="Times New Roman"/>
      <w:color w:val="006BB7"/>
      <w:sz w:val="32"/>
      <w:szCs w:val="24"/>
    </w:rPr>
  </w:style>
  <w:style w:type="paragraph" w:customStyle="1" w:styleId="ECHeading3">
    <w:name w:val="EC Heading 3"/>
    <w:basedOn w:val="ECHeading2"/>
    <w:link w:val="ECHeading3Char"/>
    <w:uiPriority w:val="99"/>
    <w:qFormat/>
    <w:pPr>
      <w:numPr>
        <w:ilvl w:val="2"/>
      </w:numPr>
    </w:pPr>
  </w:style>
  <w:style w:type="character" w:customStyle="1" w:styleId="ECHeading3Char">
    <w:name w:val="EC Heading 3 Char"/>
    <w:basedOn w:val="ECHeading2Char"/>
    <w:link w:val="ECHeading3"/>
    <w:uiPriority w:val="99"/>
    <w:rPr>
      <w:rFonts w:ascii="Arial" w:eastAsia="Times New Roman" w:hAnsi="Arial" w:cs="Times New Roman"/>
      <w:color w:val="006BB7"/>
      <w:sz w:val="32"/>
      <w:szCs w:val="24"/>
    </w:rPr>
  </w:style>
  <w:style w:type="paragraph" w:customStyle="1" w:styleId="ECHeading4">
    <w:name w:val="EC Heading 4"/>
    <w:basedOn w:val="ECHeading3"/>
    <w:link w:val="ECHeading4Char"/>
    <w:uiPriority w:val="99"/>
    <w:qFormat/>
    <w:pPr>
      <w:numPr>
        <w:ilvl w:val="3"/>
      </w:numPr>
    </w:pPr>
  </w:style>
  <w:style w:type="character" w:customStyle="1" w:styleId="ECHeading4Char">
    <w:name w:val="EC Heading 4 Char"/>
    <w:basedOn w:val="ECHeading3Char"/>
    <w:link w:val="ECHeading4"/>
    <w:uiPriority w:val="99"/>
    <w:rPr>
      <w:rFonts w:ascii="Arial" w:eastAsia="Times New Roman" w:hAnsi="Arial" w:cs="Times New Roman"/>
      <w:color w:val="006BB7"/>
      <w:sz w:val="32"/>
      <w:szCs w:val="24"/>
    </w:rPr>
  </w:style>
  <w:style w:type="paragraph" w:customStyle="1" w:styleId="Stylingforfrontpage">
    <w:name w:val="Styling for front page"/>
    <w:link w:val="StylingforfrontpageChar"/>
    <w:uiPriority w:val="1"/>
    <w:qFormat/>
    <w:pPr>
      <w:spacing w:after="0" w:line="240" w:lineRule="auto"/>
    </w:pPr>
    <w:rPr>
      <w:rFonts w:ascii="Arial" w:eastAsia="Times New Roman" w:hAnsi="Arial" w:cs="Times New Roman"/>
      <w:color w:val="006BB7"/>
      <w:sz w:val="20"/>
      <w:szCs w:val="24"/>
    </w:rPr>
  </w:style>
  <w:style w:type="character" w:customStyle="1" w:styleId="StylingforfrontpageChar">
    <w:name w:val="Styling for front page Char"/>
    <w:basedOn w:val="DefaultParagraphFont"/>
    <w:link w:val="Stylingforfrontpage"/>
    <w:uiPriority w:val="1"/>
    <w:rPr>
      <w:rFonts w:ascii="Arial" w:eastAsia="Times New Roman" w:hAnsi="Arial" w:cs="Times New Roman"/>
      <w:color w:val="006BB7"/>
      <w:sz w:val="20"/>
      <w:szCs w:val="24"/>
    </w:rPr>
  </w:style>
  <w:style w:type="paragraph" w:customStyle="1" w:styleId="stylingforcover2">
    <w:name w:val="styling for cover 2"/>
    <w:link w:val="stylingforcover2Char"/>
    <w:qFormat/>
    <w:pPr>
      <w:spacing w:after="0" w:line="240" w:lineRule="auto"/>
    </w:pPr>
    <w:rPr>
      <w:rFonts w:ascii="Arial" w:eastAsia="Times New Roman" w:hAnsi="Arial" w:cs="Times New Roman"/>
      <w:color w:val="000000" w:themeColor="text1"/>
      <w:sz w:val="20"/>
      <w:szCs w:val="24"/>
    </w:rPr>
  </w:style>
  <w:style w:type="character" w:customStyle="1" w:styleId="stylingforcover2Char">
    <w:name w:val="styling for cover 2 Char"/>
    <w:basedOn w:val="DefaultParagraphFont"/>
    <w:link w:val="stylingforcover2"/>
    <w:rPr>
      <w:rFonts w:ascii="Arial" w:eastAsia="Times New Roman" w:hAnsi="Arial" w:cs="Times New Roman"/>
      <w:color w:val="000000" w:themeColor="text1"/>
      <w:sz w:val="20"/>
      <w:szCs w:val="24"/>
    </w:rPr>
  </w:style>
  <w:style w:type="paragraph" w:customStyle="1" w:styleId="legalnote">
    <w:name w:val="legal note"/>
    <w:basedOn w:val="Normal"/>
    <w:link w:val="legalnoteChar"/>
    <w:uiPriority w:val="2"/>
    <w:qFormat/>
    <w:pPr>
      <w:framePr w:hSpace="180" w:wrap="around" w:vAnchor="text" w:hAnchor="margin" w:y="24"/>
      <w:spacing w:before="120" w:after="120"/>
    </w:pPr>
    <w:rPr>
      <w:rFonts w:ascii="Arial" w:hAnsi="Arial"/>
      <w:sz w:val="16"/>
      <w:szCs w:val="24"/>
    </w:rPr>
  </w:style>
  <w:style w:type="character" w:customStyle="1" w:styleId="legalnoteChar">
    <w:name w:val="legal note Char"/>
    <w:basedOn w:val="DefaultParagraphFont"/>
    <w:link w:val="legalnote"/>
    <w:uiPriority w:val="2"/>
    <w:rPr>
      <w:rFonts w:ascii="Arial" w:eastAsia="Times New Roman" w:hAnsi="Arial" w:cs="Times New Roman"/>
      <w:sz w:val="16"/>
      <w:szCs w:val="24"/>
    </w:rPr>
  </w:style>
  <w:style w:type="paragraph" w:customStyle="1" w:styleId="Draft">
    <w:name w:val="Draft"/>
    <w:link w:val="DraftChar"/>
    <w:uiPriority w:val="2"/>
    <w:qFormat/>
    <w:pPr>
      <w:spacing w:after="0" w:line="240" w:lineRule="auto"/>
      <w:jc w:val="center"/>
    </w:pPr>
    <w:rPr>
      <w:rFonts w:ascii="Arial" w:eastAsia="Times New Roman" w:hAnsi="Arial" w:cs="Times New Roman"/>
      <w:color w:val="FF0000"/>
      <w:sz w:val="200"/>
      <w:szCs w:val="24"/>
    </w:rPr>
  </w:style>
  <w:style w:type="character" w:customStyle="1" w:styleId="DraftChar">
    <w:name w:val="Draft Char"/>
    <w:basedOn w:val="DefaultParagraphFont"/>
    <w:link w:val="Draft"/>
    <w:uiPriority w:val="2"/>
    <w:rPr>
      <w:rFonts w:ascii="Arial" w:eastAsia="Times New Roman" w:hAnsi="Arial" w:cs="Times New Roman"/>
      <w:color w:val="FF0000"/>
      <w:sz w:val="200"/>
      <w:szCs w:val="24"/>
    </w:rPr>
  </w:style>
  <w:style w:type="paragraph" w:customStyle="1" w:styleId="frontcoverbox">
    <w:name w:val="front cover box"/>
    <w:link w:val="frontcoverboxChar"/>
    <w:uiPriority w:val="2"/>
    <w:qFormat/>
    <w:pPr>
      <w:spacing w:before="120" w:after="0" w:line="240" w:lineRule="auto"/>
      <w:ind w:left="340" w:right="340"/>
    </w:pPr>
    <w:rPr>
      <w:rFonts w:ascii="Arial" w:eastAsia="Times New Roman" w:hAnsi="Arial" w:cs="Times New Roman"/>
      <w:sz w:val="20"/>
      <w:szCs w:val="24"/>
    </w:rPr>
  </w:style>
  <w:style w:type="character" w:customStyle="1" w:styleId="frontcoverboxChar">
    <w:name w:val="front cover box Char"/>
    <w:basedOn w:val="DefaultParagraphFont"/>
    <w:link w:val="frontcoverbox"/>
    <w:uiPriority w:val="2"/>
    <w:rPr>
      <w:rFonts w:ascii="Arial" w:eastAsia="Times New Roman" w:hAnsi="Arial" w:cs="Times New Roman"/>
      <w:sz w:val="20"/>
      <w:szCs w:val="24"/>
    </w:rPr>
  </w:style>
  <w:style w:type="character" w:customStyle="1" w:styleId="Heading1Char1">
    <w:name w:val="Heading 1 Char1"/>
    <w:aliases w:val="(Section) Char,MOVE-it 1 Char,Heading 11 Char,Hoofdstuk Char,Επικεφαλίδα 1 ΌΧΙ Char,Heading 1 - Main Heading of Document Char,F3 Heading 1 - Section Char,Numbered - 1 Char,Section Char,Chapter Hdg Char,h1 Char,CH TITLE 1 Char,1 Char"/>
    <w:basedOn w:val="DefaultParagraphFont"/>
    <w:uiPriority w:val="1"/>
    <w:rPr>
      <w:rFonts w:asciiTheme="majorHAnsi" w:eastAsiaTheme="majorEastAsia" w:hAnsiTheme="majorHAnsi" w:cstheme="majorBidi"/>
      <w:color w:val="365F91" w:themeColor="accent1" w:themeShade="BF"/>
      <w:sz w:val="32"/>
      <w:szCs w:val="32"/>
      <w:lang w:eastAsia="en-US"/>
    </w:rPr>
  </w:style>
  <w:style w:type="character" w:customStyle="1" w:styleId="Heading5Char1">
    <w:name w:val="Heading 5 Char1"/>
    <w:aliases w:val="Heading 5(unused) Char1,Level 3 - (i) Char1,Third Level Heading Char1,h5 Char1,Response Type Char1,Response Type1 Char1,Response Type2 Char1,Response Type3 Char1,Response Type4 Char1,Response Type5 Char1,Response Type6 Char1,H5 Char"/>
    <w:basedOn w:val="DefaultParagraphFont"/>
    <w:uiPriority w:val="9"/>
    <w:semiHidden/>
    <w:rPr>
      <w:rFonts w:asciiTheme="majorHAnsi" w:eastAsiaTheme="majorEastAsia" w:hAnsiTheme="majorHAnsi" w:cstheme="majorBidi"/>
      <w:color w:val="365F91" w:themeColor="accent1" w:themeShade="BF"/>
      <w:szCs w:val="24"/>
      <w:lang w:eastAsia="en-US"/>
    </w:rPr>
  </w:style>
  <w:style w:type="character" w:customStyle="1" w:styleId="EmpasisChar">
    <w:name w:val="Empasis Char"/>
    <w:basedOn w:val="DefaultParagraphFont"/>
    <w:link w:val="Empasis"/>
    <w:uiPriority w:val="2"/>
    <w:locked/>
    <w:rPr>
      <w:b/>
      <w:color w:val="0070C0"/>
      <w:szCs w:val="24"/>
    </w:rPr>
  </w:style>
  <w:style w:type="paragraph" w:customStyle="1" w:styleId="Empasis">
    <w:name w:val="Empasis"/>
    <w:basedOn w:val="Normal"/>
    <w:link w:val="EmpasisChar"/>
    <w:uiPriority w:val="2"/>
    <w:qFormat/>
    <w:pPr>
      <w:spacing w:after="120"/>
    </w:pPr>
    <w:rPr>
      <w:rFonts w:asciiTheme="minorHAnsi" w:eastAsiaTheme="minorHAnsi" w:hAnsiTheme="minorHAnsi" w:cstheme="minorBidi"/>
      <w:b/>
      <w:color w:val="0070C0"/>
      <w:sz w:val="22"/>
      <w:szCs w:val="24"/>
    </w:rPr>
  </w:style>
  <w:style w:type="paragraph" w:customStyle="1" w:styleId="BodyTextBold">
    <w:name w:val="Body Text Bold"/>
    <w:basedOn w:val="Normal"/>
    <w:uiPriority w:val="99"/>
    <w:qFormat/>
    <w:pPr>
      <w:spacing w:before="120" w:after="120" w:line="264" w:lineRule="auto"/>
      <w:ind w:left="907"/>
    </w:pPr>
    <w:rPr>
      <w:rFonts w:ascii="Arial" w:eastAsia="Calibri" w:hAnsi="Arial"/>
      <w:b/>
      <w:sz w:val="20"/>
    </w:rPr>
  </w:style>
  <w:style w:type="paragraph" w:customStyle="1" w:styleId="Body">
    <w:name w:val="Body"/>
    <w:basedOn w:val="Normal"/>
    <w:uiPriority w:val="99"/>
    <w:pPr>
      <w:suppressAutoHyphens/>
      <w:spacing w:after="0" w:line="260" w:lineRule="atLeast"/>
      <w:jc w:val="left"/>
    </w:pPr>
    <w:rPr>
      <w:rFonts w:ascii="Arial" w:eastAsia="Arial Unicode MS" w:hAnsi="Arial"/>
      <w:sz w:val="20"/>
    </w:rPr>
  </w:style>
  <w:style w:type="character" w:customStyle="1" w:styleId="KeypointChar">
    <w:name w:val="Key point Char"/>
    <w:link w:val="Keypoint"/>
    <w:uiPriority w:val="2"/>
    <w:locked/>
    <w:rPr>
      <w:b/>
      <w:color w:val="33CC33"/>
      <w:szCs w:val="24"/>
      <w:lang w:val="x-none"/>
    </w:rPr>
  </w:style>
  <w:style w:type="paragraph" w:customStyle="1" w:styleId="Keypoint">
    <w:name w:val="Key point"/>
    <w:basedOn w:val="Normal"/>
    <w:link w:val="KeypointChar"/>
    <w:uiPriority w:val="2"/>
    <w:pPr>
      <w:spacing w:after="120"/>
    </w:pPr>
    <w:rPr>
      <w:rFonts w:asciiTheme="minorHAnsi" w:eastAsiaTheme="minorHAnsi" w:hAnsiTheme="minorHAnsi" w:cstheme="minorBidi"/>
      <w:b/>
      <w:color w:val="33CC33"/>
      <w:sz w:val="22"/>
      <w:szCs w:val="24"/>
      <w:lang w:val="x-none"/>
    </w:rPr>
  </w:style>
  <w:style w:type="paragraph" w:customStyle="1" w:styleId="Roman11">
    <w:name w:val="Roman11"/>
    <w:basedOn w:val="Normal"/>
    <w:uiPriority w:val="99"/>
    <w:pPr>
      <w:spacing w:after="0"/>
    </w:pPr>
    <w:rPr>
      <w:rFonts w:ascii="Arial" w:hAnsi="Arial"/>
      <w:sz w:val="20"/>
      <w:lang w:val="en-US"/>
    </w:rPr>
  </w:style>
  <w:style w:type="paragraph" w:customStyle="1" w:styleId="Appendixhead">
    <w:name w:val="Appendixhead"/>
    <w:basedOn w:val="Normal"/>
    <w:uiPriority w:val="99"/>
    <w:pPr>
      <w:numPr>
        <w:numId w:val="35"/>
      </w:numPr>
      <w:spacing w:after="120"/>
    </w:pPr>
    <w:rPr>
      <w:rFonts w:ascii="Arial" w:eastAsiaTheme="minorHAnsi" w:hAnsi="Arial" w:cs="Arial"/>
      <w:noProof/>
      <w:sz w:val="20"/>
      <w:lang w:eastAsia="en-GB"/>
    </w:rPr>
  </w:style>
  <w:style w:type="paragraph" w:customStyle="1" w:styleId="AEACV-BulletGreenKeySkillssectiononly">
    <w:name w:val="AEACV-Bullet Green (Key Skills section only)"/>
    <w:basedOn w:val="Normal"/>
    <w:uiPriority w:val="99"/>
    <w:qFormat/>
    <w:pPr>
      <w:numPr>
        <w:numId w:val="36"/>
      </w:numPr>
      <w:spacing w:after="60"/>
      <w:ind w:hanging="357"/>
    </w:pPr>
    <w:rPr>
      <w:rFonts w:ascii="Arial" w:eastAsiaTheme="minorHAnsi" w:hAnsi="Arial"/>
      <w:sz w:val="20"/>
      <w:szCs w:val="24"/>
    </w:rPr>
  </w:style>
  <w:style w:type="paragraph" w:customStyle="1" w:styleId="ECVSectionBullet">
    <w:name w:val="_ECV_SectionBullet"/>
    <w:basedOn w:val="Normal"/>
    <w:uiPriority w:val="99"/>
    <w:pPr>
      <w:widowControl w:val="0"/>
      <w:suppressLineNumbers/>
      <w:suppressAutoHyphens/>
      <w:autoSpaceDE w:val="0"/>
      <w:spacing w:after="0" w:line="100" w:lineRule="atLeast"/>
      <w:jc w:val="left"/>
    </w:pPr>
    <w:rPr>
      <w:rFonts w:ascii="Arial" w:eastAsia="SimSun" w:hAnsi="Arial" w:cs="Mangal"/>
      <w:color w:val="3F3A38"/>
      <w:spacing w:val="-6"/>
      <w:kern w:val="2"/>
      <w:sz w:val="18"/>
      <w:szCs w:val="24"/>
      <w:lang w:eastAsia="zh-CN" w:bidi="hi-IN"/>
    </w:rPr>
  </w:style>
  <w:style w:type="character" w:styleId="EndnoteReference">
    <w:name w:val="endnote reference"/>
    <w:basedOn w:val="DefaultParagraphFont"/>
    <w:uiPriority w:val="99"/>
    <w:semiHidden/>
    <w:unhideWhenUsed/>
    <w:rPr>
      <w:vertAlign w:val="superscript"/>
    </w:rPr>
  </w:style>
  <w:style w:type="character" w:customStyle="1" w:styleId="TasksChar2">
    <w:name w:val="Tasks Char2"/>
    <w:aliases w:val="Beschriftung Char2 Char2,Beschriftung Char1 Char1 Char2,Beschriftung Char Char Char1 Char2,Beschriftung Char1 Char Char Char2,Beschriftung Char Char Char Char Char2,Beschriftung Char Char1 Char Char2,Table legend Char,Tasks Char1"/>
    <w:uiPriority w:val="35"/>
    <w:locked/>
    <w:rPr>
      <w:b/>
      <w:bCs/>
      <w:noProof/>
      <w:sz w:val="18"/>
      <w:lang w:eastAsia="en-US"/>
    </w:rPr>
  </w:style>
  <w:style w:type="table" w:styleId="LightShading-Accent1">
    <w:name w:val="Light Shading Accent 1"/>
    <w:basedOn w:val="TableNormal"/>
    <w:uiPriority w:val="60"/>
    <w:unhideWhenUsed/>
    <w:pPr>
      <w:spacing w:after="0" w:line="240" w:lineRule="auto"/>
    </w:pPr>
    <w:rPr>
      <w:rFonts w:ascii="Arial" w:eastAsia="Times New Roman" w:hAnsi="Arial" w:cs="Times New Roman"/>
      <w:color w:val="365F91" w:themeColor="accent1" w:themeShade="BF"/>
      <w:sz w:val="20"/>
      <w:szCs w:val="20"/>
      <w:lang w:eastAsia="en-GB"/>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unhideWhenUsed/>
    <w:pPr>
      <w:spacing w:after="0" w:line="240" w:lineRule="auto"/>
    </w:pPr>
    <w:rPr>
      <w:rFonts w:ascii="Arial" w:eastAsia="Times New Roman" w:hAnsi="Arial" w:cs="Times New Roman"/>
      <w:sz w:val="20"/>
      <w:szCs w:val="20"/>
      <w:lang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GridTable4-Accent11">
    <w:name w:val="Grid Table 4 - Accent 11"/>
    <w:basedOn w:val="TableNormal"/>
    <w:uiPriority w:val="49"/>
    <w:pPr>
      <w:spacing w:after="0" w:line="240" w:lineRule="auto"/>
    </w:pPr>
    <w:rPr>
      <w:rFonts w:ascii="Arial" w:eastAsia="Times New Roman" w:hAnsi="Arial" w:cs="Times New Roman"/>
      <w:sz w:val="20"/>
      <w:szCs w:val="20"/>
      <w:lang w:eastAsia="en-GB"/>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51">
    <w:name w:val="Grid Table 4 - Accent 51"/>
    <w:basedOn w:val="TableNormal"/>
    <w:uiPriority w:val="49"/>
    <w:pPr>
      <w:spacing w:after="0" w:line="240" w:lineRule="auto"/>
    </w:pPr>
    <w:rPr>
      <w:rFonts w:ascii="Arial" w:eastAsia="Times New Roman" w:hAnsi="Arial" w:cs="Times New Roman"/>
      <w:sz w:val="20"/>
      <w:szCs w:val="20"/>
      <w:lang w:eastAsia="en-GB"/>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Sfondomedio1-Colore11">
    <w:name w:val="Sfondo medio 1 - Colore 11"/>
    <w:basedOn w:val="TableNormal"/>
    <w:uiPriority w:val="63"/>
    <w:pPr>
      <w:spacing w:after="0" w:line="240" w:lineRule="auto"/>
    </w:pPr>
    <w:rPr>
      <w:rFonts w:ascii="Arial" w:eastAsia="Times New Roman" w:hAnsi="Arial" w:cs="Times New Roman"/>
      <w:sz w:val="20"/>
      <w:szCs w:val="20"/>
      <w:lang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tyle1">
    <w:name w:val="Style1"/>
    <w:basedOn w:val="TableNormal"/>
    <w:uiPriority w:val="99"/>
    <w:pPr>
      <w:spacing w:before="120" w:after="120" w:line="240" w:lineRule="auto"/>
    </w:pPr>
    <w:rPr>
      <w:rFonts w:ascii="Arial" w:eastAsia="Times New Roman" w:hAnsi="Arial" w:cs="Times New Roman"/>
      <w:sz w:val="20"/>
      <w:szCs w:val="20"/>
      <w:lang w:eastAsia="en-GB"/>
    </w:rPr>
    <w:tblPr/>
    <w:tblStylePr w:type="firstRow">
      <w:tblPr/>
      <w:tcPr>
        <w:tcBorders>
          <w:top w:val="single" w:sz="4" w:space="0" w:color="0070C0"/>
          <w:bottom w:val="single" w:sz="4" w:space="0" w:color="0070C0"/>
        </w:tcBorders>
        <w:shd w:val="clear" w:color="auto" w:fill="E2ECF2"/>
      </w:tcPr>
    </w:tblStylePr>
  </w:style>
  <w:style w:type="table" w:customStyle="1" w:styleId="Ricardo-AEATableStyle">
    <w:name w:val="Ricardo-AEA Table Style"/>
    <w:basedOn w:val="TableNormal"/>
    <w:uiPriority w:val="99"/>
    <w:qFormat/>
    <w:pPr>
      <w:spacing w:after="0" w:line="240" w:lineRule="auto"/>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themeColor="background1"/>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AEATableStyle">
    <w:name w:val="AEA Table Style"/>
    <w:basedOn w:val="TableNormal"/>
    <w:uiPriority w:val="99"/>
    <w:qFormat/>
    <w:pPr>
      <w:spacing w:before="20" w:after="20" w:line="240" w:lineRule="auto"/>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themeColor="background1"/>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AEATableStyle8">
    <w:name w:val="AEA Table Style8"/>
    <w:basedOn w:val="TableNormal"/>
    <w:uiPriority w:val="99"/>
    <w:qFormat/>
    <w:pPr>
      <w:spacing w:before="20" w:after="20" w:line="240" w:lineRule="auto"/>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themeColor="background1"/>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GridTable4-Accent511">
    <w:name w:val="Grid Table 4 - Accent 511"/>
    <w:basedOn w:val="TableNormal"/>
    <w:uiPriority w:val="49"/>
    <w:pPr>
      <w:spacing w:after="0" w:line="240" w:lineRule="auto"/>
    </w:pPr>
    <w:rPr>
      <w:rFonts w:ascii="Arial" w:eastAsia="Times New Roman" w:hAnsi="Arial" w:cs="Times New Roman"/>
      <w:sz w:val="20"/>
      <w:szCs w:val="20"/>
      <w:lang w:eastAsia="en-GB"/>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Light1">
    <w:name w:val="Table Grid Light1"/>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Ricardo-AEATableStyle2">
    <w:name w:val="Ricardo-AEA Table Style2"/>
    <w:basedOn w:val="TableNormal"/>
    <w:uiPriority w:val="99"/>
    <w:qFormat/>
    <w:pPr>
      <w:spacing w:after="0" w:line="240" w:lineRule="auto"/>
    </w:pPr>
    <w:rPr>
      <w:rFonts w:ascii="Arial" w:eastAsia="Times New Roman" w:hAnsi="Arial" w:cs="Times New Roman"/>
      <w:sz w:val="20"/>
      <w:szCs w:val="20"/>
      <w:lang w:val="en-US"/>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LightShading-Accent12">
    <w:name w:val="Light Shading - Accent 12"/>
    <w:basedOn w:val="TableNormal"/>
    <w:uiPriority w:val="60"/>
    <w:pPr>
      <w:spacing w:after="0" w:line="240" w:lineRule="auto"/>
    </w:pPr>
    <w:rPr>
      <w:rFonts w:ascii="Arial" w:eastAsia="Times New Roman" w:hAnsi="Arial" w:cs="Times New Roman"/>
      <w:color w:val="000000" w:themeColor="text1"/>
      <w:sz w:val="20"/>
      <w:szCs w:val="20"/>
      <w:lang w:eastAsia="en-GB"/>
    </w:rPr>
    <w:tblPr>
      <w:tblStyleRowBandSize w:val="1"/>
      <w:tblStyleColBandSize w:val="1"/>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Pr>
    <w:tblStylePr w:type="firstRow">
      <w:pPr>
        <w:spacing w:beforeLines="0" w:before="0" w:beforeAutospacing="0" w:afterLines="0" w:after="0" w:afterAutospacing="0" w:line="240" w:lineRule="auto"/>
      </w:pPr>
      <w:rPr>
        <w:b/>
        <w:bCs/>
      </w:rPr>
      <w:tblPr/>
      <w:tcPr>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cBorders>
        <w:shd w:val="clear" w:color="auto" w:fill="F2F2F2" w:themeFill="background1" w:themeFillShade="F2"/>
      </w:tcPr>
    </w:tblStylePr>
    <w:tblStylePr w:type="lastRow">
      <w:pPr>
        <w:spacing w:beforeLines="0" w:before="0" w:beforeAutospacing="0" w:afterLines="0" w:after="0" w:afterAutospacing="0" w:line="240" w:lineRule="auto"/>
      </w:pPr>
      <w:rPr>
        <w:b/>
        <w:bCs/>
      </w:rPr>
      <w:tblPr/>
      <w:tcPr>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cBorders>
      </w:tcPr>
    </w:tblStylePr>
    <w:tblStylePr w:type="firstCol">
      <w:rPr>
        <w:b/>
        <w:bCs/>
      </w:rPr>
      <w:tblPr/>
      <w:tcPr>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cBorders>
      </w:tcPr>
    </w:tblStylePr>
    <w:tblStylePr w:type="lastCol">
      <w:rPr>
        <w:b/>
        <w:bCs/>
      </w:rPr>
      <w:tblPr/>
      <w:tcPr>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cBorders>
      </w:tcPr>
    </w:tblStylePr>
    <w:tblStylePr w:type="band1Vert">
      <w:tblPr/>
      <w:tcPr>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cBorders>
      </w:tcPr>
    </w:tblStylePr>
    <w:tblStylePr w:type="band2Vert">
      <w:tblPr/>
      <w:tcPr>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cBorders>
      </w:tcPr>
    </w:tblStylePr>
    <w:tblStylePr w:type="band1Horz">
      <w:tblPr/>
      <w:tcPr>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cBorders>
        <w:shd w:val="clear" w:color="auto" w:fill="FFFFFF" w:themeFill="background1"/>
      </w:tcPr>
    </w:tblStylePr>
    <w:tblStylePr w:type="band2Horz">
      <w:tblPr/>
      <w:tcPr>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cBorders>
        <w:shd w:val="clear" w:color="auto" w:fill="F2F2F2" w:themeFill="background1" w:themeFillShade="F2"/>
      </w:tcPr>
    </w:tblStylePr>
  </w:style>
  <w:style w:type="table" w:customStyle="1" w:styleId="TableGrid2">
    <w:name w:val="Table Grid2"/>
    <w:basedOn w:val="TableNormal"/>
    <w:uiPriority w:val="59"/>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StylePr>
    <w:tblStylePr w:type="band1Horz">
      <w:tblPr/>
      <w:tcPr>
        <w:tcBorders>
          <w:top w:val="nil"/>
          <w:left w:val="single" w:sz="4" w:space="0" w:color="0055A0"/>
          <w:bottom w:val="nil"/>
          <w:right w:val="single" w:sz="4" w:space="0" w:color="0055A0"/>
          <w:insideH w:val="nil"/>
          <w:insideV w:val="single" w:sz="4" w:space="0" w:color="0055A0"/>
          <w:tl2br w:val="nil"/>
          <w:tr2bl w:val="nil"/>
        </w:tcBorders>
        <w:shd w:val="clear" w:color="auto" w:fill="F5F9FC"/>
      </w:tcPr>
    </w:tblStylePr>
    <w:tblStylePr w:type="band2Horz">
      <w:tblPr/>
      <w:tcPr>
        <w:tcBorders>
          <w:insideV w:val="single" w:sz="4" w:space="0" w:color="0055A0"/>
        </w:tcBorders>
        <w:shd w:val="clear" w:color="auto" w:fill="FFFFFF" w:themeFill="background1"/>
      </w:tcPr>
    </w:tblStylePr>
  </w:style>
  <w:style w:type="table" w:customStyle="1" w:styleId="Blank">
    <w:name w:val="Blank"/>
    <w:basedOn w:val="TableNormal"/>
    <w:uiPriority w:val="99"/>
    <w:pPr>
      <w:spacing w:after="0" w:line="240" w:lineRule="auto"/>
    </w:pPr>
    <w:rPr>
      <w:rFonts w:ascii="Arial" w:eastAsia="Times New Roman" w:hAnsi="Arial" w:cs="Times New Roman"/>
      <w:sz w:val="20"/>
      <w:szCs w:val="20"/>
      <w:lang w:eastAsia="en-GB"/>
    </w:rPr>
    <w:tblPr/>
  </w:style>
  <w:style w:type="paragraph" w:customStyle="1" w:styleId="Source">
    <w:name w:val="Source"/>
    <w:basedOn w:val="FootnoteText"/>
    <w:link w:val="SourceChar"/>
    <w:qFormat/>
    <w:pPr>
      <w:spacing w:before="20" w:after="120"/>
      <w:contextualSpacing/>
    </w:pPr>
    <w:rPr>
      <w:rFonts w:ascii="Verdana" w:hAnsi="Verdana"/>
      <w:i/>
      <w:color w:val="333333"/>
      <w:sz w:val="18"/>
    </w:rPr>
  </w:style>
  <w:style w:type="character" w:customStyle="1" w:styleId="SourceChar">
    <w:name w:val="Source Char"/>
    <w:link w:val="Source"/>
    <w:rPr>
      <w:rFonts w:ascii="Verdana" w:eastAsia="Times New Roman" w:hAnsi="Verdana" w:cs="Times New Roman"/>
      <w:i/>
      <w:color w:val="333333"/>
      <w:sz w:val="18"/>
      <w:szCs w:val="20"/>
    </w:rPr>
  </w:style>
  <w:style w:type="character" w:customStyle="1" w:styleId="apple-converted-space">
    <w:name w:val="apple-converted-space"/>
    <w:basedOn w:val="DefaultParagraphFont"/>
    <w:uiPriority w:val="2"/>
  </w:style>
  <w:style w:type="character" w:styleId="Emphasis">
    <w:name w:val="Emphasis"/>
    <w:basedOn w:val="DefaultParagraphFont"/>
    <w:uiPriority w:val="20"/>
    <w:qFormat/>
    <w:rPr>
      <w:i/>
      <w:iCs/>
    </w:rPr>
  </w:style>
  <w:style w:type="table" w:customStyle="1" w:styleId="mainbidtable">
    <w:name w:val="main bid table"/>
    <w:basedOn w:val="TableNormal"/>
    <w:uiPriority w:val="99"/>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paragraph" w:customStyle="1" w:styleId="AppendixHeadingLevel2">
    <w:name w:val="Appendix Heading Level 2"/>
    <w:basedOn w:val="Heading2"/>
    <w:next w:val="Normal"/>
    <w:link w:val="AppendixHeadingLevel2Char"/>
    <w:uiPriority w:val="1"/>
    <w:qFormat/>
    <w:pPr>
      <w:numPr>
        <w:numId w:val="37"/>
      </w:numPr>
    </w:pPr>
    <w:rPr>
      <w:rFonts w:ascii="Arial" w:hAnsi="Arial" w:cs="Arial"/>
      <w:b w:val="0"/>
      <w:bCs/>
      <w:iCs/>
      <w:color w:val="006BB7"/>
      <w:sz w:val="32"/>
      <w:szCs w:val="28"/>
    </w:rPr>
  </w:style>
  <w:style w:type="paragraph" w:customStyle="1" w:styleId="AppendixHeadingLevel3">
    <w:name w:val="Appendix Heading Level 3"/>
    <w:basedOn w:val="Heading3"/>
    <w:link w:val="AppendixHeadingLevel3Char"/>
    <w:uiPriority w:val="1"/>
    <w:qFormat/>
    <w:pPr>
      <w:numPr>
        <w:numId w:val="37"/>
      </w:numPr>
      <w:spacing w:before="120"/>
      <w:jc w:val="left"/>
    </w:pPr>
    <w:rPr>
      <w:rFonts w:ascii="Arial" w:hAnsi="Arial" w:cs="Arial"/>
      <w:b w:val="0"/>
      <w:bCs/>
      <w:i w:val="0"/>
      <w:color w:val="006BB7"/>
      <w:szCs w:val="26"/>
    </w:rPr>
  </w:style>
  <w:style w:type="character" w:customStyle="1" w:styleId="Heading-AppendixChar">
    <w:name w:val="Heading - Appendix Char"/>
    <w:basedOn w:val="Heading1Char"/>
    <w:link w:val="Heading-Appendix"/>
    <w:uiPriority w:val="1"/>
    <w:rPr>
      <w:rFonts w:ascii="Arial" w:eastAsia="Times New Roman" w:hAnsi="Arial" w:cs="Arial"/>
      <w:b w:val="0"/>
      <w:bCs/>
      <w:smallCaps w:val="0"/>
      <w:color w:val="006BB7"/>
      <w:sz w:val="40"/>
      <w:szCs w:val="32"/>
      <w:lang w:val="en"/>
    </w:rPr>
  </w:style>
  <w:style w:type="character" w:customStyle="1" w:styleId="AppendixHeadingLevel3Char">
    <w:name w:val="Appendix Heading Level 3 Char"/>
    <w:basedOn w:val="Heading4Char"/>
    <w:link w:val="AppendixHeadingLevel3"/>
    <w:uiPriority w:val="1"/>
    <w:rPr>
      <w:rFonts w:ascii="Arial" w:eastAsia="Times New Roman" w:hAnsi="Arial" w:cs="Arial"/>
      <w:bCs/>
      <w:color w:val="006BB7"/>
      <w:sz w:val="24"/>
      <w:szCs w:val="26"/>
    </w:rPr>
  </w:style>
  <w:style w:type="character" w:customStyle="1" w:styleId="AppendixHeadingLevel2Char">
    <w:name w:val="Appendix Heading Level 2 Char"/>
    <w:basedOn w:val="Heading2Char"/>
    <w:link w:val="AppendixHeadingLevel2"/>
    <w:uiPriority w:val="1"/>
    <w:rPr>
      <w:rFonts w:ascii="Arial" w:eastAsia="Times New Roman" w:hAnsi="Arial" w:cs="Arial"/>
      <w:b w:val="0"/>
      <w:bCs/>
      <w:iCs/>
      <w:color w:val="006BB7"/>
      <w:sz w:val="32"/>
      <w:szCs w:val="28"/>
    </w:rPr>
  </w:style>
  <w:style w:type="paragraph" w:styleId="Bibliography">
    <w:name w:val="Bibliography"/>
    <w:basedOn w:val="Normal"/>
    <w:next w:val="Normal"/>
    <w:uiPriority w:val="37"/>
    <w:unhideWhenUsed/>
    <w:pPr>
      <w:spacing w:after="120"/>
    </w:pPr>
    <w:rPr>
      <w:rFonts w:ascii="Arial" w:hAnsi="Arial"/>
      <w:sz w:val="20"/>
      <w:szCs w:val="24"/>
    </w:rPr>
  </w:style>
  <w:style w:type="character" w:customStyle="1" w:styleId="message">
    <w:name w:val="message"/>
    <w:basedOn w:val="DefaultParagraphFont"/>
  </w:style>
  <w:style w:type="paragraph" w:customStyle="1" w:styleId="AppendixHeading4">
    <w:name w:val="Appendix Heading 4"/>
    <w:basedOn w:val="AppendixHeadingLevel3"/>
    <w:link w:val="AppendixHeading4Char"/>
    <w:qFormat/>
    <w:pPr>
      <w:numPr>
        <w:ilvl w:val="3"/>
      </w:numPr>
    </w:pPr>
    <w:rPr>
      <w:bCs w:val="0"/>
      <w:sz w:val="20"/>
      <w:szCs w:val="20"/>
    </w:rPr>
  </w:style>
  <w:style w:type="character" w:customStyle="1" w:styleId="AppendixHeading4Char">
    <w:name w:val="Appendix Heading 4 Char"/>
    <w:basedOn w:val="AppendixHeadingLevel3Char"/>
    <w:link w:val="AppendixHeading4"/>
    <w:rPr>
      <w:rFonts w:ascii="Arial" w:eastAsia="Times New Roman" w:hAnsi="Arial" w:cs="Arial"/>
      <w:bCs w:val="0"/>
      <w:color w:val="006BB7"/>
      <w:sz w:val="20"/>
      <w:szCs w:val="20"/>
    </w:rPr>
  </w:style>
  <w:style w:type="paragraph" w:customStyle="1" w:styleId="gmail-msolistparagraph">
    <w:name w:val="gmail-msolistparagraph"/>
    <w:basedOn w:val="Normal"/>
    <w:uiPriority w:val="99"/>
    <w:pPr>
      <w:spacing w:before="100" w:beforeAutospacing="1" w:after="100" w:afterAutospacing="1"/>
      <w:jc w:val="left"/>
    </w:pPr>
    <w:rPr>
      <w:rFonts w:eastAsiaTheme="minorHAnsi"/>
      <w:szCs w:val="24"/>
      <w:lang w:val="en-US"/>
    </w:rPr>
  </w:style>
  <w:style w:type="character" w:customStyle="1" w:styleId="gmail-msofootnotereference">
    <w:name w:val="gmail-msofootnotereference"/>
    <w:basedOn w:val="DefaultParagraphFont"/>
  </w:style>
  <w:style w:type="character" w:customStyle="1" w:styleId="CaptionChar1">
    <w:name w:val="Caption Char1"/>
    <w:aliases w:val="Tasks Char,Beschriftung Char2 Char,Beschriftung Char1 Char1 Char,Beschriftung Char Char Char1 Char,Beschriftung Char1 Char Char Char,Beschriftung Char Char Char Char Char,Beschriftung Char Char1 Char Char,Beschriftung Char Char2 Char"/>
    <w:basedOn w:val="DefaultParagraphFont"/>
    <w:uiPriority w:val="35"/>
    <w:locked/>
    <w:rPr>
      <w:b/>
      <w:bCs/>
      <w:i/>
      <w:sz w:val="22"/>
      <w:szCs w:val="22"/>
      <w:lang w:eastAsia="en-US"/>
    </w:rPr>
  </w:style>
  <w:style w:type="paragraph" w:styleId="NoSpacing">
    <w:name w:val="No Spacing"/>
    <w:uiPriority w:val="1"/>
    <w:qFormat/>
    <w:pPr>
      <w:spacing w:after="0" w:line="240" w:lineRule="auto"/>
      <w:jc w:val="both"/>
    </w:pPr>
    <w:rPr>
      <w:rFonts w:ascii="Times New Roman" w:eastAsia="Times New Roman" w:hAnsi="Times New Roman" w:cs="Times New Roman"/>
      <w:sz w:val="24"/>
      <w:szCs w:val="20"/>
    </w:rPr>
  </w:style>
  <w:style w:type="character" w:customStyle="1" w:styleId="Text2Char1">
    <w:name w:val="Text 2 Char1"/>
    <w:link w:val="Text2"/>
    <w:locked/>
    <w:rPr>
      <w:rFonts w:ascii="Times New Roman" w:eastAsia="Times New Roman" w:hAnsi="Times New Roman" w:cs="Times New Roman"/>
      <w:sz w:val="24"/>
      <w:szCs w:val="20"/>
    </w:rPr>
  </w:style>
  <w:style w:type="character" w:customStyle="1" w:styleId="Marker">
    <w:name w:val="Marker"/>
    <w:rPr>
      <w:rFonts w:cs="Times New Roman"/>
      <w:color w:val="0000FF"/>
      <w:shd w:val="clear" w:color="auto" w:fill="auto"/>
    </w:rPr>
  </w:style>
  <w:style w:type="paragraph" w:customStyle="1" w:styleId="Briefingspdef">
    <w:name w:val="Briefing sp/def"/>
    <w:basedOn w:val="Normal"/>
    <w:autoRedefine/>
    <w:rPr>
      <w:szCs w:val="24"/>
      <w:lang w:eastAsia="en-GB"/>
    </w:rPr>
  </w:style>
  <w:style w:type="paragraph" w:customStyle="1" w:styleId="Indented">
    <w:name w:val="Indented"/>
    <w:basedOn w:val="Normal"/>
    <w:qFormat/>
    <w:pPr>
      <w:spacing w:after="120"/>
      <w:ind w:left="357"/>
      <w:jc w:val="left"/>
    </w:pPr>
    <w:rPr>
      <w:rFonts w:ascii="Arial" w:eastAsiaTheme="minorHAnsi" w:hAnsi="Arial" w:cstheme="minorBidi"/>
      <w:sz w:val="22"/>
      <w:szCs w:val="22"/>
    </w:rPr>
  </w:style>
  <w:style w:type="paragraph" w:customStyle="1" w:styleId="Heding-IntroLevel2">
    <w:name w:val="Heding - Intro Level 2"/>
    <w:basedOn w:val="AppendixHeadingLevel2"/>
    <w:link w:val="Heding-IntroLevel2Char"/>
    <w:qFormat/>
    <w:pPr>
      <w:numPr>
        <w:ilvl w:val="0"/>
        <w:numId w:val="0"/>
      </w:numPr>
    </w:pPr>
  </w:style>
  <w:style w:type="character" w:customStyle="1" w:styleId="Heding-IntroLevel2Char">
    <w:name w:val="Heding - Intro Level 2 Char"/>
    <w:basedOn w:val="AppendixHeadingLevel2Char"/>
    <w:link w:val="Heding-IntroLevel2"/>
    <w:rPr>
      <w:rFonts w:ascii="Arial" w:eastAsia="Times New Roman" w:hAnsi="Arial" w:cs="Arial"/>
      <w:b w:val="0"/>
      <w:bCs/>
      <w:iCs/>
      <w:color w:val="006BB7"/>
      <w:sz w:val="32"/>
      <w:szCs w:val="28"/>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rFonts w:ascii="Times New Roman" w:eastAsia="Times New Roman" w:hAnsi="Times New Roman" w:cs="Times New Roman"/>
      <w:sz w:val="24"/>
      <w:szCs w:val="20"/>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rFonts w:ascii="Times New Roman" w:eastAsia="Times New Roman" w:hAnsi="Times New Roman" w:cs="Times New Roman"/>
      <w:sz w:val="24"/>
      <w:szCs w:val="20"/>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rFonts w:ascii="Times New Roman" w:eastAsia="Times New Roman" w:hAnsi="Times New Roman" w:cs="Times New Roman"/>
      <w:b/>
      <w:sz w:val="32"/>
      <w:szCs w:val="20"/>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rFonts w:ascii="Times New Roman" w:eastAsia="Times New Roman" w:hAnsi="Times New Roman" w:cs="Times New Roman"/>
      <w:b/>
      <w:sz w:val="3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annotation text" w:uiPriority="0"/>
    <w:lsdException w:name="index heading" w:uiPriority="0"/>
    <w:lsdException w:name="caption" w:uiPriority="0" w:qFormat="1"/>
    <w:lsdException w:name="envelope address" w:uiPriority="0"/>
    <w:lsdException w:name="envelope return" w:uiPriority="0"/>
    <w:lsdException w:name="footnote reference" w:qFormat="1"/>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line="240" w:lineRule="auto"/>
      <w:jc w:val="both"/>
    </w:pPr>
    <w:rPr>
      <w:rFonts w:ascii="Times New Roman" w:eastAsia="Times New Roman" w:hAnsi="Times New Roman" w:cs="Times New Roman"/>
      <w:sz w:val="24"/>
      <w:szCs w:val="20"/>
    </w:rPr>
  </w:style>
  <w:style w:type="paragraph" w:styleId="Heading1">
    <w:name w:val="heading 1"/>
    <w:basedOn w:val="Normal"/>
    <w:next w:val="Text1"/>
    <w:link w:val="Heading1Char"/>
    <w:uiPriority w:val="1"/>
    <w:qFormat/>
    <w:pPr>
      <w:keepNext/>
      <w:numPr>
        <w:numId w:val="50"/>
      </w:numPr>
      <w:spacing w:before="240"/>
      <w:outlineLvl w:val="0"/>
    </w:pPr>
    <w:rPr>
      <w:b/>
      <w:smallCaps/>
      <w:lang w:val="en"/>
    </w:rPr>
  </w:style>
  <w:style w:type="paragraph" w:styleId="Heading2">
    <w:name w:val="heading 2"/>
    <w:basedOn w:val="Normal"/>
    <w:next w:val="Text2"/>
    <w:link w:val="Heading2Char"/>
    <w:uiPriority w:val="1"/>
    <w:qFormat/>
    <w:pPr>
      <w:keepNext/>
      <w:numPr>
        <w:ilvl w:val="1"/>
        <w:numId w:val="50"/>
      </w:numPr>
      <w:spacing w:before="240" w:after="120"/>
      <w:jc w:val="left"/>
      <w:outlineLvl w:val="1"/>
    </w:pPr>
    <w:rPr>
      <w:b/>
    </w:rPr>
  </w:style>
  <w:style w:type="paragraph" w:styleId="Heading3">
    <w:name w:val="heading 3"/>
    <w:basedOn w:val="Normal"/>
    <w:next w:val="Text3"/>
    <w:link w:val="Heading3Char"/>
    <w:uiPriority w:val="1"/>
    <w:qFormat/>
    <w:pPr>
      <w:keepNext/>
      <w:numPr>
        <w:ilvl w:val="2"/>
        <w:numId w:val="50"/>
      </w:numPr>
      <w:spacing w:before="240" w:after="120"/>
      <w:outlineLvl w:val="2"/>
    </w:pPr>
    <w:rPr>
      <w:b/>
      <w:i/>
    </w:rPr>
  </w:style>
  <w:style w:type="paragraph" w:styleId="Heading4">
    <w:name w:val="heading 4"/>
    <w:basedOn w:val="Normal"/>
    <w:next w:val="Text4"/>
    <w:link w:val="Heading4Char"/>
    <w:uiPriority w:val="1"/>
    <w:qFormat/>
    <w:pPr>
      <w:numPr>
        <w:ilvl w:val="3"/>
        <w:numId w:val="50"/>
      </w:numPr>
      <w:spacing w:before="240" w:after="120"/>
      <w:outlineLvl w:val="3"/>
    </w:p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Heading4"/>
    <w:next w:val="Normal"/>
    <w:link w:val="Heading5Char"/>
    <w:qFormat/>
    <w:pPr>
      <w:numPr>
        <w:ilvl w:val="4"/>
      </w:numPr>
      <w:outlineLvl w:val="4"/>
    </w:pPr>
  </w:style>
  <w:style w:type="paragraph" w:styleId="Heading6">
    <w:name w:val="heading 6"/>
    <w:basedOn w:val="Normal"/>
    <w:next w:val="Normal"/>
    <w:link w:val="Heading6Char"/>
    <w:qFormat/>
    <w:pPr>
      <w:numPr>
        <w:ilvl w:val="5"/>
        <w:numId w:val="50"/>
      </w:numPr>
      <w:spacing w:after="120"/>
      <w:outlineLvl w:val="5"/>
    </w:pPr>
    <w:rPr>
      <w:i/>
    </w:rPr>
  </w:style>
  <w:style w:type="paragraph" w:styleId="Heading7">
    <w:name w:val="heading 7"/>
    <w:aliases w:val="sub3,Heading 7 (do not use),aoua-titre annexes"/>
    <w:basedOn w:val="Normal"/>
    <w:next w:val="Normal"/>
    <w:link w:val="Heading7Char"/>
    <w:qFormat/>
    <w:pPr>
      <w:numPr>
        <w:ilvl w:val="6"/>
        <w:numId w:val="50"/>
      </w:numPr>
      <w:spacing w:before="240" w:after="60"/>
      <w:outlineLvl w:val="6"/>
    </w:pPr>
    <w:rPr>
      <w:rFonts w:ascii="Arial" w:hAnsi="Arial"/>
      <w:sz w:val="20"/>
    </w:rPr>
  </w:style>
  <w:style w:type="paragraph" w:styleId="Heading8">
    <w:name w:val="heading 8"/>
    <w:aliases w:val="sub4,Heading 8 (do not use)"/>
    <w:basedOn w:val="Normal"/>
    <w:next w:val="Normal"/>
    <w:link w:val="Heading8Char"/>
    <w:qFormat/>
    <w:pPr>
      <w:numPr>
        <w:ilvl w:val="7"/>
        <w:numId w:val="50"/>
      </w:numPr>
      <w:spacing w:before="240" w:after="60"/>
      <w:outlineLvl w:val="7"/>
    </w:pPr>
    <w:rPr>
      <w:rFonts w:ascii="Arial" w:hAnsi="Arial"/>
      <w:i/>
      <w:sz w:val="20"/>
    </w:rPr>
  </w:style>
  <w:style w:type="paragraph" w:styleId="Heading9">
    <w:name w:val="heading 9"/>
    <w:basedOn w:val="Normal"/>
    <w:next w:val="Normal"/>
    <w:link w:val="Heading9Char"/>
    <w:qFormat/>
    <w:pPr>
      <w:numPr>
        <w:ilvl w:val="8"/>
        <w:numId w:val="50"/>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imes New Roman" w:eastAsia="Times New Roman" w:hAnsi="Times New Roman" w:cs="Times New Roman"/>
      <w:b/>
      <w:smallCaps/>
      <w:sz w:val="24"/>
      <w:szCs w:val="20"/>
      <w:lang w:val="en"/>
    </w:rPr>
  </w:style>
  <w:style w:type="character" w:customStyle="1" w:styleId="Heading2Char">
    <w:name w:val="Heading 2 Char"/>
    <w:basedOn w:val="DefaultParagraphFont"/>
    <w:link w:val="Heading2"/>
    <w:uiPriority w:val="1"/>
    <w:rPr>
      <w:rFonts w:ascii="Times New Roman" w:eastAsia="Times New Roman" w:hAnsi="Times New Roman" w:cs="Times New Roman"/>
      <w:b/>
      <w:sz w:val="24"/>
      <w:szCs w:val="20"/>
    </w:rPr>
  </w:style>
  <w:style w:type="character" w:customStyle="1" w:styleId="Heading3Char">
    <w:name w:val="Heading 3 Char"/>
    <w:basedOn w:val="DefaultParagraphFont"/>
    <w:link w:val="Heading3"/>
    <w:uiPriority w:val="1"/>
    <w:rPr>
      <w:rFonts w:ascii="Times New Roman" w:eastAsia="Times New Roman" w:hAnsi="Times New Roman" w:cs="Times New Roman"/>
      <w:b/>
      <w:i/>
      <w:sz w:val="24"/>
      <w:szCs w:val="20"/>
    </w:rPr>
  </w:style>
  <w:style w:type="character" w:customStyle="1" w:styleId="Heading4Char">
    <w:name w:val="Heading 4 Char"/>
    <w:basedOn w:val="DefaultParagraphFont"/>
    <w:link w:val="Heading4"/>
    <w:uiPriority w:val="1"/>
    <w:rPr>
      <w:rFonts w:ascii="Times New Roman" w:eastAsia="Times New Roman" w:hAnsi="Times New Roman" w:cs="Times New Roman"/>
      <w:sz w:val="24"/>
      <w:szCs w:val="20"/>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rPr>
      <w:rFonts w:ascii="Times New Roman" w:eastAsia="Times New Roman" w:hAnsi="Times New Roman" w:cs="Times New Roman"/>
      <w:sz w:val="24"/>
      <w:szCs w:val="20"/>
    </w:rPr>
  </w:style>
  <w:style w:type="character" w:customStyle="1" w:styleId="Heading6Char">
    <w:name w:val="Heading 6 Char"/>
    <w:basedOn w:val="DefaultParagraphFont"/>
    <w:link w:val="Heading6"/>
    <w:rPr>
      <w:rFonts w:ascii="Times New Roman" w:eastAsia="Times New Roman" w:hAnsi="Times New Roman" w:cs="Times New Roman"/>
      <w:i/>
      <w:sz w:val="24"/>
      <w:szCs w:val="20"/>
    </w:rPr>
  </w:style>
  <w:style w:type="character" w:customStyle="1" w:styleId="Heading7Char">
    <w:name w:val="Heading 7 Char"/>
    <w:aliases w:val="sub3 Char,Heading 7 (do not use) Char,aoua-titre annexes Char"/>
    <w:basedOn w:val="DefaultParagraphFont"/>
    <w:link w:val="Heading7"/>
    <w:rPr>
      <w:rFonts w:ascii="Arial" w:eastAsia="Times New Roman" w:hAnsi="Arial" w:cs="Times New Roman"/>
      <w:sz w:val="20"/>
      <w:szCs w:val="20"/>
    </w:rPr>
  </w:style>
  <w:style w:type="character" w:customStyle="1" w:styleId="Heading8Char">
    <w:name w:val="Heading 8 Char"/>
    <w:aliases w:val="sub4 Char,Heading 8 (do not use) Char"/>
    <w:basedOn w:val="DefaultParagraphFont"/>
    <w:link w:val="Heading8"/>
    <w:rPr>
      <w:rFonts w:ascii="Arial" w:eastAsia="Times New Roman" w:hAnsi="Arial" w:cs="Times New Roman"/>
      <w:i/>
      <w:sz w:val="20"/>
      <w:szCs w:val="20"/>
    </w:rPr>
  </w:style>
  <w:style w:type="character" w:customStyle="1" w:styleId="Heading9Char">
    <w:name w:val="Heading 9 Char"/>
    <w:basedOn w:val="DefaultParagraphFont"/>
    <w:link w:val="Heading9"/>
    <w:rPr>
      <w:rFonts w:ascii="Arial" w:eastAsia="Times New Roman" w:hAnsi="Arial" w:cs="Times New Roman"/>
      <w:i/>
      <w:sz w:val="18"/>
      <w:szCs w:val="20"/>
    </w:rPr>
  </w:style>
  <w:style w:type="paragraph" w:customStyle="1" w:styleId="Text1">
    <w:name w:val="Text 1"/>
    <w:basedOn w:val="Normal"/>
    <w:pPr>
      <w:ind w:left="482"/>
    </w:pPr>
  </w:style>
  <w:style w:type="paragraph" w:customStyle="1" w:styleId="Text2">
    <w:name w:val="Text 2"/>
    <w:basedOn w:val="Normal"/>
    <w:link w:val="Text2Char1"/>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uiPriority w:val="99"/>
    <w:qFormat/>
    <w:pPr>
      <w:spacing w:after="120"/>
    </w:pPr>
  </w:style>
  <w:style w:type="character" w:customStyle="1" w:styleId="BodyTextChar">
    <w:name w:val="Body Text Char"/>
    <w:basedOn w:val="DefaultParagraphFont"/>
    <w:link w:val="BodyText"/>
    <w:uiPriority w:val="99"/>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pPr>
    <w:rPr>
      <w:sz w:val="16"/>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styleId="Caption">
    <w:name w:val="caption"/>
    <w:aliases w:val="Tasks,Beschriftung Char2,Beschriftung Char1 Char1,Beschriftung Char Char Char1,Beschriftung Char1 Char Char,Beschriftung Char Char Char Char,Beschriftung Char Char1 Char,Beschriftung Char Char2,Beschriftung Char1 Cha...,tabfaption Char,Caption1"/>
    <w:basedOn w:val="Normal"/>
    <w:next w:val="Normal"/>
    <w:link w:val="CaptionChar"/>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rPr>
      <w:rFonts w:ascii="Times New Roman" w:eastAsia="Times New Roman" w:hAnsi="Times New Roman" w:cs="Times New Roman"/>
      <w:sz w:val="20"/>
      <w:szCs w:val="20"/>
    </w:rPr>
  </w:style>
  <w:style w:type="paragraph" w:styleId="Date">
    <w:name w:val="Date"/>
    <w:basedOn w:val="Normal"/>
    <w:next w:val="References"/>
    <w:link w:val="DateChar"/>
    <w:pPr>
      <w:spacing w:after="0"/>
      <w:ind w:left="5103" w:right="-567"/>
      <w:jc w:val="left"/>
    </w:pPr>
  </w:style>
  <w:style w:type="character" w:customStyle="1" w:styleId="DateChar">
    <w:name w:val="Date Char"/>
    <w:basedOn w:val="DefaultParagraphFont"/>
    <w:link w:val="Date"/>
    <w:rPr>
      <w:rFonts w:ascii="Times New Roman" w:eastAsia="Times New Roman" w:hAnsi="Times New Roman" w:cs="Times New Roman"/>
      <w:sz w:val="24"/>
      <w:szCs w:val="20"/>
    </w:rPr>
  </w:style>
  <w:style w:type="paragraph" w:customStyle="1" w:styleId="References">
    <w:name w:val="References"/>
    <w:basedOn w:val="Normal"/>
    <w:next w:val="AddressTR"/>
    <w:pPr>
      <w:ind w:left="5103"/>
      <w:jc w:val="left"/>
    </w:pPr>
    <w:rPr>
      <w:sz w:val="20"/>
    </w:rPr>
  </w:style>
  <w:style w:type="paragraph" w:styleId="DocumentMap">
    <w:name w:val="Document Map"/>
    <w:basedOn w:val="Normal"/>
    <w:link w:val="DocumentMapChar"/>
    <w:uiPriority w:val="99"/>
    <w:semiHidden/>
    <w:pPr>
      <w:shd w:val="clear" w:color="auto" w:fill="000080"/>
    </w:pPr>
    <w:rPr>
      <w:rFonts w:ascii="Tahoma" w:hAnsi="Tahoma"/>
    </w:rPr>
  </w:style>
  <w:style w:type="character" w:customStyle="1" w:styleId="DocumentMapChar">
    <w:name w:val="Document Map Char"/>
    <w:basedOn w:val="DefaultParagraphFont"/>
    <w:link w:val="DocumentMap"/>
    <w:uiPriority w:val="99"/>
    <w:semiHidden/>
    <w:rPr>
      <w:rFonts w:ascii="Tahoma" w:eastAsia="Times New Roman" w:hAnsi="Tahoma" w:cs="Times New Roman"/>
      <w:sz w:val="24"/>
      <w:szCs w:val="20"/>
      <w:shd w:val="clear" w:color="auto" w:fill="000080"/>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uiPriority w:val="99"/>
    <w:semiHidden/>
    <w:rPr>
      <w:sz w:val="20"/>
    </w:rPr>
  </w:style>
  <w:style w:type="character" w:customStyle="1" w:styleId="EndnoteTextChar">
    <w:name w:val="Endnote Text Char"/>
    <w:basedOn w:val="DefaultParagraphFont"/>
    <w:link w:val="EndnoteText"/>
    <w:uiPriority w:val="99"/>
    <w:semiHidden/>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character" w:customStyle="1" w:styleId="FooterChar">
    <w:name w:val="Footer Char"/>
    <w:basedOn w:val="DefaultParagraphFont"/>
    <w:link w:val="Footer"/>
    <w:uiPriority w:val="99"/>
    <w:rPr>
      <w:rFonts w:ascii="Arial" w:eastAsia="Times New Roman" w:hAnsi="Arial" w:cs="Times New Roman"/>
      <w:sz w:val="16"/>
      <w:szCs w:val="20"/>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qFormat/>
    <w:pPr>
      <w:ind w:left="357" w:hanging="357"/>
    </w:pPr>
    <w:rPr>
      <w:sz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rFonts w:ascii="Times New Roman" w:eastAsia="Times New Roman" w:hAnsi="Times New Roman" w:cs="Times New Roman"/>
      <w:sz w:val="20"/>
      <w:szCs w:val="20"/>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3"/>
      </w:numPr>
    </w:pPr>
  </w:style>
  <w:style w:type="paragraph" w:styleId="ListBullet2">
    <w:name w:val="List Bullet 2"/>
    <w:basedOn w:val="Text2"/>
    <w:pPr>
      <w:numPr>
        <w:numId w:val="5"/>
      </w:numPr>
      <w:tabs>
        <w:tab w:val="clear" w:pos="2302"/>
      </w:tabs>
    </w:pPr>
  </w:style>
  <w:style w:type="paragraph" w:styleId="ListBullet3">
    <w:name w:val="List Bullet 3"/>
    <w:basedOn w:val="Text3"/>
    <w:pPr>
      <w:numPr>
        <w:numId w:val="6"/>
      </w:numPr>
      <w:tabs>
        <w:tab w:val="clear" w:pos="2302"/>
      </w:tabs>
    </w:pPr>
  </w:style>
  <w:style w:type="paragraph" w:styleId="ListBullet4">
    <w:name w:val="List Bullet 4"/>
    <w:basedOn w:val="Text4"/>
    <w:pPr>
      <w:numPr>
        <w:numId w:val="7"/>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3"/>
      </w:numPr>
    </w:pPr>
  </w:style>
  <w:style w:type="paragraph" w:styleId="ListNumber2">
    <w:name w:val="List Number 2"/>
    <w:basedOn w:val="Text2"/>
    <w:pPr>
      <w:numPr>
        <w:numId w:val="15"/>
      </w:numPr>
      <w:tabs>
        <w:tab w:val="clear" w:pos="2302"/>
      </w:tabs>
    </w:pPr>
  </w:style>
  <w:style w:type="paragraph" w:styleId="ListNumber3">
    <w:name w:val="List Number 3"/>
    <w:basedOn w:val="Text3"/>
    <w:pPr>
      <w:numPr>
        <w:numId w:val="16"/>
      </w:numPr>
      <w:tabs>
        <w:tab w:val="clear" w:pos="2302"/>
      </w:tabs>
    </w:pPr>
  </w:style>
  <w:style w:type="paragraph" w:styleId="ListNumber4">
    <w:name w:val="List Number 4"/>
    <w:basedOn w:val="Text4"/>
    <w:pPr>
      <w:numPr>
        <w:numId w:val="17"/>
      </w:numPr>
      <w:tabs>
        <w:tab w:val="clear" w:pos="2302"/>
      </w:tabs>
    </w:pPr>
  </w:style>
  <w:style w:type="paragraph" w:styleId="ListNumber5">
    <w:name w:val="List Number 5"/>
    <w:basedOn w:val="Normal"/>
    <w:pPr>
      <w:numPr>
        <w:numId w:val="2"/>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basedOn w:val="DefaultParagraphFont"/>
    <w:link w:val="PlainText"/>
    <w:uiPriority w:val="99"/>
    <w:rPr>
      <w:rFonts w:ascii="Courier New" w:eastAsia="Times New Roman" w:hAnsi="Courier New" w:cs="Times New Roman"/>
      <w:sz w:val="20"/>
      <w:szCs w:val="20"/>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after="0"/>
      <w:ind w:left="5103"/>
      <w:jc w:val="center"/>
    </w:pPr>
  </w:style>
  <w:style w:type="character" w:customStyle="1" w:styleId="SignatureChar">
    <w:name w:val="Signature Char"/>
    <w:basedOn w:val="DefaultParagraphFont"/>
    <w:link w:val="Signature"/>
    <w:rPr>
      <w:rFonts w:ascii="Times New Roman" w:eastAsia="Times New Roman" w:hAnsi="Times New Roman" w:cs="Times New Roman"/>
      <w:sz w:val="24"/>
      <w:szCs w:val="20"/>
    </w:rPr>
  </w:style>
  <w:style w:type="paragraph" w:styleId="Subtitle">
    <w:name w:val="Subtitle"/>
    <w:basedOn w:val="Normal"/>
    <w:link w:val="SubtitleChar"/>
    <w:qFormat/>
    <w:pPr>
      <w:spacing w:after="60"/>
      <w:jc w:val="center"/>
      <w:outlineLvl w:val="1"/>
    </w:pPr>
    <w:rPr>
      <w:rFonts w:ascii="Arial" w:hAnsi="Arial"/>
    </w:rPr>
  </w:style>
  <w:style w:type="character" w:customStyle="1" w:styleId="SubtitleChar">
    <w:name w:val="Subtitle Char"/>
    <w:basedOn w:val="DefaultParagraphFont"/>
    <w:link w:val="Subtitle"/>
    <w:rPr>
      <w:rFonts w:ascii="Arial" w:eastAsia="Times New Roman" w:hAnsi="Arial" w:cs="Times New Roman"/>
      <w:sz w:val="24"/>
      <w:szCs w:val="20"/>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uiPriority w:val="99"/>
    <w:pPr>
      <w:ind w:left="480" w:hanging="480"/>
    </w:pPr>
  </w:style>
  <w:style w:type="paragraph" w:styleId="Title">
    <w:name w:val="Title"/>
    <w:basedOn w:val="Normal"/>
    <w:next w:val="SubTitle1"/>
    <w:link w:val="TitleChar"/>
    <w:qFormat/>
    <w:pPr>
      <w:spacing w:after="480"/>
      <w:jc w:val="center"/>
    </w:pPr>
    <w:rPr>
      <w:b/>
      <w:kern w:val="28"/>
      <w:sz w:val="48"/>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qFormat/>
    <w:pPr>
      <w:tabs>
        <w:tab w:val="right" w:leader="dot" w:pos="8640"/>
      </w:tabs>
      <w:spacing w:before="120" w:after="120"/>
      <w:ind w:left="482" w:right="720" w:hanging="482"/>
    </w:pPr>
    <w:rPr>
      <w:caps/>
    </w:rPr>
  </w:style>
  <w:style w:type="paragraph" w:styleId="TOC2">
    <w:name w:val="toc 2"/>
    <w:basedOn w:val="Normal"/>
    <w:next w:val="Normal"/>
    <w:uiPriority w:val="39"/>
    <w:qFormat/>
    <w:pPr>
      <w:tabs>
        <w:tab w:val="right" w:leader="dot" w:pos="8640"/>
      </w:tabs>
      <w:spacing w:before="60" w:after="60"/>
      <w:ind w:left="1077" w:right="720" w:hanging="595"/>
    </w:pPr>
  </w:style>
  <w:style w:type="paragraph" w:styleId="TOC3">
    <w:name w:val="toc 3"/>
    <w:basedOn w:val="Normal"/>
    <w:next w:val="Normal"/>
    <w:uiPriority w:val="39"/>
    <w:qFormat/>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4"/>
      </w:numPr>
    </w:pPr>
  </w:style>
  <w:style w:type="paragraph" w:customStyle="1" w:styleId="ListDash">
    <w:name w:val="List Dash"/>
    <w:basedOn w:val="Normal"/>
    <w:pPr>
      <w:numPr>
        <w:numId w:val="8"/>
      </w:numPr>
    </w:pPr>
  </w:style>
  <w:style w:type="paragraph" w:customStyle="1" w:styleId="ListDash1">
    <w:name w:val="List Dash 1"/>
    <w:basedOn w:val="Text1"/>
    <w:pPr>
      <w:numPr>
        <w:numId w:val="9"/>
      </w:numPr>
    </w:pPr>
  </w:style>
  <w:style w:type="paragraph" w:customStyle="1" w:styleId="ListDash2">
    <w:name w:val="List Dash 2"/>
    <w:basedOn w:val="Text2"/>
    <w:pPr>
      <w:numPr>
        <w:numId w:val="10"/>
      </w:numPr>
      <w:tabs>
        <w:tab w:val="clear" w:pos="2302"/>
      </w:tabs>
    </w:pPr>
  </w:style>
  <w:style w:type="paragraph" w:customStyle="1" w:styleId="ListDash3">
    <w:name w:val="List Dash 3"/>
    <w:basedOn w:val="Text3"/>
    <w:pPr>
      <w:numPr>
        <w:numId w:val="11"/>
      </w:numPr>
      <w:tabs>
        <w:tab w:val="clear" w:pos="2302"/>
      </w:tabs>
    </w:pPr>
  </w:style>
  <w:style w:type="paragraph" w:customStyle="1" w:styleId="ListDash4">
    <w:name w:val="List Dash 4"/>
    <w:basedOn w:val="Text4"/>
    <w:pPr>
      <w:numPr>
        <w:numId w:val="12"/>
      </w:numPr>
      <w:tabs>
        <w:tab w:val="clear" w:pos="2302"/>
      </w:tabs>
    </w:pPr>
  </w:style>
  <w:style w:type="paragraph" w:customStyle="1" w:styleId="ListNumberLevel2">
    <w:name w:val="List Number (Level 2)"/>
    <w:basedOn w:val="Normal"/>
    <w:pPr>
      <w:numPr>
        <w:ilvl w:val="1"/>
        <w:numId w:val="13"/>
      </w:numPr>
    </w:pPr>
  </w:style>
  <w:style w:type="paragraph" w:customStyle="1" w:styleId="ListNumberLevel3">
    <w:name w:val="List Number (Level 3)"/>
    <w:basedOn w:val="Normal"/>
    <w:pPr>
      <w:numPr>
        <w:ilvl w:val="2"/>
        <w:numId w:val="13"/>
      </w:numPr>
    </w:pPr>
  </w:style>
  <w:style w:type="paragraph" w:customStyle="1" w:styleId="ListNumberLevel4">
    <w:name w:val="List Number (Level 4)"/>
    <w:basedOn w:val="Normal"/>
    <w:pPr>
      <w:numPr>
        <w:ilvl w:val="3"/>
        <w:numId w:val="13"/>
      </w:numPr>
    </w:pPr>
  </w:style>
  <w:style w:type="paragraph" w:customStyle="1" w:styleId="ListNumber1">
    <w:name w:val="List Number 1"/>
    <w:basedOn w:val="Text1"/>
    <w:pPr>
      <w:numPr>
        <w:numId w:val="14"/>
      </w:numPr>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numPr>
        <w:ilvl w:val="2"/>
        <w:numId w:val="14"/>
      </w:numPr>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numPr>
        <w:ilvl w:val="1"/>
        <w:numId w:val="15"/>
      </w:numPr>
      <w:tabs>
        <w:tab w:val="clear" w:pos="2302"/>
      </w:tabs>
    </w:pPr>
  </w:style>
  <w:style w:type="paragraph" w:customStyle="1" w:styleId="ListNumber2Level3">
    <w:name w:val="List Number 2 (Level 3)"/>
    <w:basedOn w:val="Text2"/>
    <w:pPr>
      <w:numPr>
        <w:ilvl w:val="2"/>
        <w:numId w:val="15"/>
      </w:numPr>
      <w:tabs>
        <w:tab w:val="clear" w:pos="2302"/>
      </w:tabs>
    </w:pPr>
  </w:style>
  <w:style w:type="paragraph" w:customStyle="1" w:styleId="ListNumber2Level4">
    <w:name w:val="List Number 2 (Level 4)"/>
    <w:basedOn w:val="Text2"/>
    <w:pPr>
      <w:numPr>
        <w:ilvl w:val="3"/>
        <w:numId w:val="15"/>
      </w:numPr>
      <w:tabs>
        <w:tab w:val="clear" w:pos="2302"/>
      </w:tabs>
    </w:pPr>
  </w:style>
  <w:style w:type="paragraph" w:customStyle="1" w:styleId="ListNumber3Level2">
    <w:name w:val="List Number 3 (Level 2)"/>
    <w:basedOn w:val="Text3"/>
    <w:pPr>
      <w:numPr>
        <w:ilvl w:val="1"/>
        <w:numId w:val="16"/>
      </w:numPr>
      <w:tabs>
        <w:tab w:val="clear" w:pos="2302"/>
      </w:tabs>
    </w:pPr>
  </w:style>
  <w:style w:type="paragraph" w:customStyle="1" w:styleId="ListNumber3Level3">
    <w:name w:val="List Number 3 (Level 3)"/>
    <w:basedOn w:val="Text3"/>
    <w:pPr>
      <w:numPr>
        <w:ilvl w:val="2"/>
        <w:numId w:val="16"/>
      </w:numPr>
      <w:tabs>
        <w:tab w:val="clear" w:pos="2302"/>
      </w:tabs>
    </w:pPr>
  </w:style>
  <w:style w:type="paragraph" w:customStyle="1" w:styleId="ListNumber3Level4">
    <w:name w:val="List Number 3 (Level 4)"/>
    <w:basedOn w:val="Text3"/>
    <w:pPr>
      <w:numPr>
        <w:ilvl w:val="3"/>
        <w:numId w:val="16"/>
      </w:numPr>
      <w:tabs>
        <w:tab w:val="clear" w:pos="2302"/>
      </w:tabs>
    </w:pPr>
  </w:style>
  <w:style w:type="paragraph" w:customStyle="1" w:styleId="ListNumber4Level2">
    <w:name w:val="List Number 4 (Level 2)"/>
    <w:basedOn w:val="Text4"/>
    <w:pPr>
      <w:numPr>
        <w:ilvl w:val="1"/>
        <w:numId w:val="17"/>
      </w:numPr>
      <w:tabs>
        <w:tab w:val="clear" w:pos="2302"/>
      </w:tabs>
    </w:pPr>
  </w:style>
  <w:style w:type="paragraph" w:customStyle="1" w:styleId="ListNumber4Level3">
    <w:name w:val="List Number 4 (Level 3)"/>
    <w:basedOn w:val="Text4"/>
    <w:pPr>
      <w:numPr>
        <w:ilvl w:val="2"/>
        <w:numId w:val="17"/>
      </w:numPr>
      <w:tabs>
        <w:tab w:val="clear" w:pos="2302"/>
      </w:tabs>
    </w:pPr>
  </w:style>
  <w:style w:type="paragraph" w:customStyle="1" w:styleId="ListNumber4Level4">
    <w:name w:val="List Number 4 (Level 4)"/>
    <w:basedOn w:val="Text4"/>
    <w:pPr>
      <w:numPr>
        <w:ilvl w:val="3"/>
        <w:numId w:val="17"/>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8"/>
      </w:numPr>
      <w:spacing w:line="360" w:lineRule="auto"/>
      <w:jc w:val="left"/>
    </w:pPr>
    <w:rPr>
      <w:rFonts w:eastAsiaTheme="minorHAnsi"/>
      <w:szCs w:val="22"/>
    </w:rPr>
  </w:style>
  <w:style w:type="paragraph" w:customStyle="1" w:styleId="LegalNumPar2">
    <w:name w:val="LegalNumPar2"/>
    <w:basedOn w:val="Normal"/>
    <w:pPr>
      <w:numPr>
        <w:ilvl w:val="1"/>
        <w:numId w:val="18"/>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8"/>
      </w:numPr>
      <w:spacing w:line="360" w:lineRule="auto"/>
      <w:jc w:val="left"/>
    </w:pPr>
    <w:rPr>
      <w:rFonts w:eastAsiaTheme="minorHAnsi"/>
      <w:szCs w:val="22"/>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lang w:eastAsia="en-GB"/>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lang w:eastAsia="en-GB"/>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paragraph" w:styleId="ListParagraph">
    <w:name w:val="List Paragraph"/>
    <w:aliases w:val="heading ONTENT,List Paragraph12,F5 List Paragraph,Heading 2_sj,1st level - Bullet List Paragraph,Lettre d'introduction,Numbered Para 1,Dot pt,No Spacing1,List Paragraph Char Char Char,Indicator Text,Bullet 1,List Paragraph1,Bullet Points"/>
    <w:basedOn w:val="Normal"/>
    <w:link w:val="ListParagraphChar"/>
    <w:uiPriority w:val="34"/>
    <w:qFormat/>
    <w:pPr>
      <w:ind w:left="720"/>
      <w:contextualSpacing/>
    </w:p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E,R"/>
    <w:basedOn w:val="DefaultParagraphFont"/>
    <w:link w:val="FootnotesymbolCarZchn"/>
    <w:uiPriority w:val="99"/>
    <w:unhideWhenUsed/>
    <w:qFormat/>
    <w:rPr>
      <w:vertAlign w:val="superscript"/>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0"/>
    </w:rPr>
  </w:style>
  <w:style w:type="character" w:customStyle="1" w:styleId="ListParagraphChar">
    <w:name w:val="List Paragraph Char"/>
    <w:aliases w:val="heading ONTENT Char,List Paragraph12 Char,F5 List Paragraph Char,Heading 2_sj Char,1st level - Bullet List Paragraph Char,Lettre d'introduction Char,Numbered Para 1 Char,Dot pt Char,No Spacing1 Char,List Paragraph Char Char Char Char"/>
    <w:basedOn w:val="DefaultParagraphFont"/>
    <w:link w:val="ListParagraph"/>
    <w:uiPriority w:val="34"/>
    <w:qFormat/>
    <w:rPr>
      <w:rFonts w:ascii="Times New Roman" w:eastAsia="Times New Roman" w:hAnsi="Times New Roman" w:cs="Times New Roman"/>
      <w:sz w:val="24"/>
      <w:szCs w:val="20"/>
    </w:rPr>
  </w:style>
  <w:style w:type="table" w:styleId="TableGrid">
    <w:name w:val="Table Grid"/>
    <w:aliases w:val="Gena,Tabellengitternetz,Document Table,Table Format 1,Table_FPB"/>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aptionChar">
    <w:name w:val="Caption Char"/>
    <w:aliases w:val="Tasks Char3,Beschriftung Char2 Char1,Beschriftung Char1 Char1 Char1,Beschriftung Char Char Char1 Char1,Beschriftung Char1 Char Char Char1,Beschriftung Char Char Char Char Char1,Beschriftung Char Char1 Char Char1,tabfaption Char Char"/>
    <w:link w:val="Caption"/>
    <w:uiPriority w:val="35"/>
    <w:locked/>
    <w:rPr>
      <w:rFonts w:ascii="Times New Roman" w:eastAsia="Times New Roman" w:hAnsi="Times New Roman" w:cs="Times New Roman"/>
      <w:b/>
      <w:sz w:val="24"/>
      <w:szCs w:val="20"/>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rFonts w:asciiTheme="minorHAnsi" w:eastAsiaTheme="minorHAnsi" w:hAnsiTheme="minorHAnsi" w:cstheme="minorBidi"/>
      <w:sz w:val="22"/>
      <w:szCs w:val="22"/>
      <w:vertAlign w:val="superscript"/>
    </w:rPr>
  </w:style>
  <w:style w:type="table" w:customStyle="1" w:styleId="TableGrid1">
    <w:name w:val="Table Grid1"/>
    <w:basedOn w:val="TableNormal"/>
    <w:uiPriority w:val="39"/>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StylePr>
    <w:tblStylePr w:type="band1Horz">
      <w:tblPr/>
      <w:tcPr>
        <w:tcBorders>
          <w:top w:val="nil"/>
          <w:left w:val="single" w:sz="4" w:space="0" w:color="0055A0"/>
          <w:bottom w:val="nil"/>
          <w:right w:val="single" w:sz="4" w:space="0" w:color="0055A0"/>
          <w:insideH w:val="nil"/>
          <w:insideV w:val="single" w:sz="4" w:space="0" w:color="0055A0"/>
          <w:tl2br w:val="nil"/>
          <w:tr2bl w:val="nil"/>
        </w:tcBorders>
        <w:shd w:val="clear" w:color="auto" w:fill="F5F9FC"/>
      </w:tcPr>
    </w:tblStylePr>
    <w:tblStylePr w:type="band2Horz">
      <w:tblPr/>
      <w:tcPr>
        <w:tcBorders>
          <w:insideV w:val="single" w:sz="4" w:space="0" w:color="0055A0"/>
        </w:tcBorders>
        <w:shd w:val="clear" w:color="auto" w:fill="FFFFFF" w:themeFill="background1"/>
      </w:tcPr>
    </w:tblStylePr>
  </w:style>
  <w:style w:type="paragraph" w:customStyle="1" w:styleId="CM4">
    <w:name w:val="CM4"/>
    <w:basedOn w:val="Default"/>
    <w:next w:val="Default"/>
    <w:uiPriority w:val="99"/>
    <w:rPr>
      <w:color w:val="auto"/>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standaardnietinspringen">
    <w:name w:val="standaard niet inspringen"/>
    <w:basedOn w:val="Normal"/>
    <w:link w:val="standaardnietinspringenChar"/>
    <w:qFormat/>
    <w:pPr>
      <w:spacing w:after="0" w:line="240" w:lineRule="atLeast"/>
      <w:jc w:val="left"/>
    </w:pPr>
    <w:rPr>
      <w:rFonts w:ascii="Trebuchet MS" w:eastAsia="MS Mincho" w:hAnsi="Trebuchet MS"/>
      <w:sz w:val="20"/>
      <w:szCs w:val="22"/>
    </w:rPr>
  </w:style>
  <w:style w:type="character" w:customStyle="1" w:styleId="standaardnietinspringenChar">
    <w:name w:val="standaard niet inspringen Char"/>
    <w:link w:val="standaardnietinspringen"/>
    <w:locked/>
    <w:rPr>
      <w:rFonts w:ascii="Trebuchet MS" w:eastAsia="MS Mincho" w:hAnsi="Trebuchet MS" w:cs="Times New Roman"/>
      <w:sz w:val="20"/>
    </w:rPr>
  </w:style>
  <w:style w:type="character" w:styleId="HTMLCite">
    <w:name w:val="HTML Cite"/>
    <w:basedOn w:val="DefaultParagraphFont"/>
    <w:uiPriority w:val="99"/>
    <w:semiHidden/>
    <w:unhideWhenUsed/>
    <w:rPr>
      <w:i/>
      <w:iCs/>
    </w:rPr>
  </w:style>
  <w:style w:type="table" w:customStyle="1" w:styleId="CEeigentijds">
    <w:name w:val="CE eigentijds"/>
    <w:basedOn w:val="TableContemporary"/>
    <w:uiPriority w:val="99"/>
    <w:pPr>
      <w:spacing w:after="0" w:line="240" w:lineRule="atLeast"/>
      <w:jc w:val="left"/>
    </w:pPr>
    <w:rPr>
      <w:rFonts w:ascii="Trebuchet MS" w:eastAsia="MS Mincho" w:hAnsi="Trebuchet MS" w:cs="Times New Roman"/>
      <w:sz w:val="16"/>
      <w:szCs w:val="20"/>
      <w:lang w:val="nl-NL" w:eastAsia="nl-NL"/>
    </w:rPr>
    <w:tblPr>
      <w:tblInd w:w="2381" w:type="dxa"/>
      <w:tblBorders>
        <w:top w:val="single" w:sz="4" w:space="0" w:color="009EE0"/>
        <w:left w:val="single" w:sz="4" w:space="0" w:color="009EE0"/>
        <w:bottom w:val="single" w:sz="4" w:space="0" w:color="009EE0"/>
        <w:right w:val="single" w:sz="4" w:space="0" w:color="009EE0"/>
        <w:insideH w:val="single" w:sz="4" w:space="0" w:color="009EE0"/>
        <w:insideV w:val="single" w:sz="4" w:space="0" w:color="009EE0"/>
      </w:tblBorders>
    </w:tblPr>
    <w:tblStylePr w:type="firstRow">
      <w:rPr>
        <w:b/>
        <w:bCs/>
        <w:color w:val="auto"/>
      </w:rPr>
      <w:tblPr/>
      <w:tcPr>
        <w:tcBorders>
          <w:tl2br w:val="none" w:sz="0" w:space="0" w:color="auto"/>
          <w:tr2bl w:val="none" w:sz="0" w:space="0" w:color="auto"/>
        </w:tcBorders>
        <w:shd w:val="clear" w:color="auto" w:fill="B9E4FF"/>
      </w:tcPr>
    </w:tblStylePr>
    <w:tblStylePr w:type="band1Horz">
      <w:rPr>
        <w:color w:val="auto"/>
      </w:rPr>
      <w:tblPr/>
      <w:tcPr>
        <w:tcBorders>
          <w:tl2br w:val="none" w:sz="0" w:space="0" w:color="auto"/>
          <w:tr2bl w:val="none" w:sz="0" w:space="0" w:color="auto"/>
        </w:tcBorders>
        <w:shd w:val="clear" w:color="auto" w:fill="FFFFFF" w:themeFill="background1"/>
      </w:tcPr>
    </w:tblStylePr>
    <w:tblStylePr w:type="band2Horz">
      <w:rPr>
        <w:color w:val="auto"/>
      </w:rPr>
      <w:tblPr/>
      <w:tcPr>
        <w:tcBorders>
          <w:tl2br w:val="none" w:sz="0" w:space="0" w:color="auto"/>
          <w:tr2bl w:val="none" w:sz="0" w:space="0" w:color="auto"/>
        </w:tcBorders>
        <w:shd w:val="clear" w:color="auto" w:fill="E1F4FF"/>
      </w:tcPr>
    </w:tblStylePr>
  </w:style>
  <w:style w:type="table" w:styleId="TableContemporary">
    <w:name w:val="Table Contemporary"/>
    <w:basedOn w:val="TableNormal"/>
    <w:uiPriority w:val="99"/>
    <w:semiHidden/>
    <w:unhideWhenUsed/>
    <w:pPr>
      <w:spacing w:after="240" w:line="24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
    <w:name w:val="Normal (Web)"/>
    <w:basedOn w:val="Normal"/>
    <w:uiPriority w:val="99"/>
    <w:semiHidden/>
    <w:unhideWhenUsed/>
    <w:pPr>
      <w:spacing w:after="150"/>
    </w:pPr>
    <w:rPr>
      <w:szCs w:val="24"/>
      <w:lang w:eastAsia="en-GB"/>
    </w:rPr>
  </w:style>
  <w:style w:type="table" w:customStyle="1" w:styleId="DocumentTable1">
    <w:name w:val="Document Table1"/>
    <w:basedOn w:val="TableNormal"/>
    <w:next w:val="TableGrid"/>
    <w:uiPriority w:val="59"/>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hemeFill="background1"/>
      </w:tcPr>
    </w:tblStylePr>
  </w:style>
  <w:style w:type="paragraph" w:customStyle="1" w:styleId="BackcoverStyleRGB7015635LeftAfter10pt">
    <w:name w:val="Back cover Style (RGB(7015635)) Left After: 10 pt"/>
    <w:basedOn w:val="Normal"/>
    <w:uiPriority w:val="99"/>
    <w:pPr>
      <w:jc w:val="left"/>
    </w:pPr>
    <w:rPr>
      <w:rFonts w:ascii="Arial" w:hAnsi="Arial"/>
      <w:color w:val="469C23"/>
      <w:sz w:val="20"/>
    </w:rPr>
  </w:style>
  <w:style w:type="character" w:styleId="PageNumber">
    <w:name w:val="page number"/>
    <w:basedOn w:val="DefaultParagraphFont"/>
    <w:uiPriority w:val="99"/>
    <w:semiHidden/>
    <w:unhideWhenUsed/>
    <w:rPr>
      <w:rFonts w:ascii="Arial" w:hAnsi="Arial"/>
      <w:sz w:val="20"/>
    </w:rPr>
  </w:style>
  <w:style w:type="paragraph" w:customStyle="1" w:styleId="Tableheading">
    <w:name w:val="Table heading"/>
    <w:basedOn w:val="Normal"/>
    <w:uiPriority w:val="1"/>
    <w:pPr>
      <w:spacing w:after="120"/>
    </w:pPr>
    <w:rPr>
      <w:rFonts w:ascii="Arial" w:hAnsi="Arial"/>
      <w:b/>
      <w:sz w:val="20"/>
      <w:szCs w:val="24"/>
    </w:rPr>
  </w:style>
  <w:style w:type="paragraph" w:customStyle="1" w:styleId="Tablecolumnheading">
    <w:name w:val="Table column heading"/>
    <w:basedOn w:val="Tablecontent"/>
    <w:uiPriority w:val="1"/>
  </w:style>
  <w:style w:type="paragraph" w:customStyle="1" w:styleId="Tablecontent">
    <w:name w:val="Table content"/>
    <w:basedOn w:val="Normal"/>
    <w:uiPriority w:val="1"/>
    <w:pPr>
      <w:spacing w:after="0"/>
      <w:jc w:val="left"/>
    </w:pPr>
    <w:rPr>
      <w:rFonts w:ascii="Arial" w:hAnsi="Arial"/>
      <w:sz w:val="20"/>
    </w:rPr>
  </w:style>
  <w:style w:type="paragraph" w:customStyle="1" w:styleId="Bulletedtext">
    <w:name w:val="Bulleted text"/>
    <w:basedOn w:val="Normal"/>
    <w:uiPriority w:val="1"/>
    <w:pPr>
      <w:spacing w:after="60"/>
    </w:pPr>
    <w:rPr>
      <w:rFonts w:ascii="Arial" w:hAnsi="Arial"/>
      <w:sz w:val="20"/>
      <w:szCs w:val="24"/>
    </w:rPr>
  </w:style>
  <w:style w:type="paragraph" w:customStyle="1" w:styleId="QAQC-question">
    <w:name w:val="QA/QC - question"/>
    <w:uiPriority w:val="99"/>
    <w:pPr>
      <w:spacing w:after="120" w:line="240" w:lineRule="auto"/>
    </w:pPr>
    <w:rPr>
      <w:rFonts w:ascii="Arial" w:eastAsia="Times New Roman" w:hAnsi="Arial" w:cs="Times New Roman"/>
      <w:b/>
      <w:bCs/>
      <w:noProof/>
      <w:color w:val="008000"/>
      <w:sz w:val="20"/>
      <w:szCs w:val="20"/>
    </w:rPr>
  </w:style>
  <w:style w:type="paragraph" w:customStyle="1" w:styleId="Title-main-Coverpage">
    <w:name w:val="Title-main - Coverpage"/>
    <w:basedOn w:val="Header"/>
    <w:uiPriority w:val="3"/>
    <w:pPr>
      <w:tabs>
        <w:tab w:val="clear" w:pos="4153"/>
        <w:tab w:val="clear" w:pos="8306"/>
        <w:tab w:val="right" w:pos="9072"/>
      </w:tabs>
      <w:jc w:val="right"/>
    </w:pPr>
    <w:rPr>
      <w:rFonts w:ascii="Arial" w:hAnsi="Arial"/>
      <w:b/>
      <w:bCs/>
      <w:color w:val="4D4D4D"/>
      <w:kern w:val="72"/>
      <w:sz w:val="52"/>
    </w:rPr>
  </w:style>
  <w:style w:type="paragraph" w:customStyle="1" w:styleId="Tital-sub-Coverpage">
    <w:name w:val="Tital-sub - Coverpage"/>
    <w:basedOn w:val="Header"/>
    <w:uiPriority w:val="3"/>
    <w:pPr>
      <w:tabs>
        <w:tab w:val="clear" w:pos="4153"/>
        <w:tab w:val="clear" w:pos="8306"/>
        <w:tab w:val="right" w:pos="9072"/>
      </w:tabs>
      <w:spacing w:after="0"/>
      <w:ind w:right="-1"/>
      <w:jc w:val="right"/>
    </w:pPr>
    <w:rPr>
      <w:rFonts w:ascii="Arial" w:hAnsi="Arial"/>
      <w:color w:val="008000"/>
      <w:kern w:val="72"/>
      <w:sz w:val="40"/>
      <w:szCs w:val="40"/>
    </w:rPr>
  </w:style>
  <w:style w:type="paragraph" w:customStyle="1" w:styleId="Title-Ref-Coverpage">
    <w:name w:val="Title-Ref - Coverpage"/>
    <w:basedOn w:val="Header"/>
    <w:uiPriority w:val="3"/>
    <w:pPr>
      <w:tabs>
        <w:tab w:val="clear" w:pos="4153"/>
        <w:tab w:val="clear" w:pos="8306"/>
        <w:tab w:val="right" w:pos="9072"/>
      </w:tabs>
      <w:spacing w:after="0"/>
      <w:ind w:right="-1"/>
      <w:jc w:val="right"/>
    </w:pPr>
    <w:rPr>
      <w:rFonts w:ascii="Arial" w:hAnsi="Arial"/>
      <w:color w:val="92D050"/>
      <w:kern w:val="72"/>
      <w:sz w:val="28"/>
      <w:szCs w:val="28"/>
    </w:rPr>
  </w:style>
  <w:style w:type="character" w:customStyle="1" w:styleId="Heading-ExecSum">
    <w:name w:val="Heading - ExecSum"/>
    <w:basedOn w:val="DefaultParagraphFont"/>
    <w:uiPriority w:val="1"/>
    <w:rPr>
      <w:b/>
      <w:bCs/>
      <w:color w:val="008000"/>
      <w:sz w:val="40"/>
    </w:rPr>
  </w:style>
  <w:style w:type="paragraph" w:customStyle="1" w:styleId="Heading-Appendix">
    <w:name w:val="Heading - Appendix"/>
    <w:next w:val="Normal"/>
    <w:link w:val="Heading-AppendixChar"/>
    <w:uiPriority w:val="1"/>
    <w:qFormat/>
    <w:pPr>
      <w:keepNext/>
      <w:pageBreakBefore/>
      <w:numPr>
        <w:numId w:val="37"/>
      </w:numPr>
      <w:spacing w:before="120" w:after="240" w:line="240" w:lineRule="auto"/>
      <w:outlineLvl w:val="0"/>
    </w:pPr>
    <w:rPr>
      <w:rFonts w:ascii="Arial" w:eastAsia="Times New Roman" w:hAnsi="Arial" w:cs="Arial"/>
      <w:bCs/>
      <w:color w:val="006BB7"/>
      <w:sz w:val="40"/>
      <w:szCs w:val="32"/>
      <w:lang w:val="en"/>
    </w:rPr>
  </w:style>
  <w:style w:type="paragraph" w:customStyle="1" w:styleId="Heading-TOC">
    <w:name w:val="Heading - TOC"/>
    <w:uiPriority w:val="1"/>
    <w:pPr>
      <w:spacing w:before="120" w:after="240" w:line="240" w:lineRule="auto"/>
    </w:pPr>
    <w:rPr>
      <w:rFonts w:ascii="Arial" w:eastAsia="Times New Roman" w:hAnsi="Arial" w:cs="Arial"/>
      <w:b/>
      <w:bCs/>
      <w:color w:val="008000"/>
      <w:sz w:val="40"/>
      <w:szCs w:val="32"/>
    </w:rPr>
  </w:style>
  <w:style w:type="table" w:customStyle="1" w:styleId="Highlightbox">
    <w:name w:val="Highlight box"/>
    <w:basedOn w:val="TableNormal"/>
    <w:uiPriority w:val="99"/>
    <w:pPr>
      <w:spacing w:before="120" w:after="120" w:line="240" w:lineRule="auto"/>
    </w:pPr>
    <w:rPr>
      <w:rFonts w:ascii="Arial" w:eastAsia="Times New Roman" w:hAnsi="Arial" w:cs="Times New Roman"/>
      <w:sz w:val="20"/>
      <w:szCs w:val="20"/>
      <w:lang w:eastAsia="en-GB"/>
    </w:rPr>
    <w:tblPr/>
    <w:tblStylePr w:type="firstRow">
      <w:tblPr/>
      <w:tcPr>
        <w:tcBorders>
          <w:top w:val="single" w:sz="4" w:space="0" w:color="0070C0"/>
          <w:left w:val="nil"/>
          <w:bottom w:val="single" w:sz="4" w:space="0" w:color="0070C0"/>
          <w:right w:val="nil"/>
          <w:insideH w:val="nil"/>
          <w:insideV w:val="nil"/>
        </w:tcBorders>
        <w:shd w:val="clear" w:color="auto" w:fill="E2ECF2"/>
      </w:tcPr>
    </w:tblStylePr>
  </w:style>
  <w:style w:type="paragraph" w:customStyle="1" w:styleId="AEAToC">
    <w:name w:val="AEA ToC"/>
    <w:uiPriority w:val="99"/>
    <w:rPr>
      <w:rFonts w:eastAsiaTheme="minorEastAsia"/>
      <w:lang w:val="en-US"/>
    </w:rPr>
  </w:style>
  <w:style w:type="character" w:styleId="PlaceholderText">
    <w:name w:val="Placeholder Text"/>
    <w:basedOn w:val="DefaultParagraphFont"/>
    <w:uiPriority w:val="99"/>
    <w:semiHidden/>
    <w:rPr>
      <w:color w:val="808080"/>
    </w:rPr>
  </w:style>
  <w:style w:type="table" w:styleId="LightShading-Accent2">
    <w:name w:val="Light Shading Accent 2"/>
    <w:basedOn w:val="TableNormal"/>
    <w:uiPriority w:val="60"/>
    <w:pPr>
      <w:spacing w:after="0" w:line="240" w:lineRule="auto"/>
    </w:pPr>
    <w:rPr>
      <w:rFonts w:ascii="Arial" w:eastAsia="Times New Roman" w:hAnsi="Arial" w:cs="Times New Roman"/>
      <w:color w:val="943634" w:themeColor="accent2" w:themeShade="BF"/>
      <w:sz w:val="20"/>
      <w:szCs w:val="20"/>
      <w:lang w:eastAsia="en-GB"/>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pPr>
      <w:spacing w:after="0" w:line="240" w:lineRule="auto"/>
    </w:pPr>
    <w:rPr>
      <w:rFonts w:ascii="Arial" w:eastAsia="Times New Roman" w:hAnsi="Arial" w:cs="Times New Roman"/>
      <w:color w:val="76923C" w:themeColor="accent3" w:themeShade="BF"/>
      <w:sz w:val="20"/>
      <w:szCs w:val="20"/>
      <w:lang w:eastAsia="en-GB"/>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pPr>
      <w:spacing w:after="0" w:line="240" w:lineRule="auto"/>
    </w:pPr>
    <w:rPr>
      <w:rFonts w:ascii="Arial" w:eastAsia="Times New Roman" w:hAnsi="Arial" w:cs="Times New Roman"/>
      <w:color w:val="5F497A" w:themeColor="accent4" w:themeShade="BF"/>
      <w:sz w:val="20"/>
      <w:szCs w:val="20"/>
      <w:lang w:eastAsia="en-GB"/>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CoverHeader2">
    <w:name w:val="CoverHeader2"/>
    <w:uiPriority w:val="2"/>
    <w:qFormat/>
    <w:rPr>
      <w:b w:val="0"/>
      <w:color w:val="006BB7"/>
      <w:sz w:val="36"/>
      <w:szCs w:val="40"/>
    </w:rPr>
  </w:style>
  <w:style w:type="character" w:customStyle="1" w:styleId="CoverHeader1">
    <w:name w:val="CoverHeader1"/>
    <w:uiPriority w:val="2"/>
    <w:qFormat/>
    <w:rPr>
      <w:b/>
      <w:color w:val="808080"/>
      <w:sz w:val="36"/>
      <w:szCs w:val="40"/>
    </w:rPr>
  </w:style>
  <w:style w:type="paragraph" w:customStyle="1" w:styleId="QA-Page">
    <w:name w:val="QA-Page"/>
    <w:uiPriority w:val="99"/>
    <w:pPr>
      <w:tabs>
        <w:tab w:val="left" w:pos="2366"/>
      </w:tabs>
      <w:spacing w:after="0" w:line="240" w:lineRule="auto"/>
    </w:pPr>
    <w:rPr>
      <w:rFonts w:ascii="Arial" w:eastAsia="Times New Roman" w:hAnsi="Arial" w:cs="Times New Roman"/>
      <w:sz w:val="20"/>
      <w:szCs w:val="24"/>
    </w:rPr>
  </w:style>
  <w:style w:type="paragraph" w:customStyle="1" w:styleId="CoverQA">
    <w:name w:val="CoverQA"/>
    <w:next w:val="Normal"/>
    <w:uiPriority w:val="99"/>
    <w:pPr>
      <w:spacing w:after="0" w:line="240" w:lineRule="auto"/>
    </w:pPr>
    <w:rPr>
      <w:rFonts w:ascii="Arial" w:eastAsia="Times New Roman" w:hAnsi="Arial" w:cs="Times New Roman"/>
      <w:color w:val="7F7F7F" w:themeColor="text1" w:themeTint="80"/>
      <w:sz w:val="20"/>
      <w:szCs w:val="24"/>
    </w:rPr>
  </w:style>
  <w:style w:type="character" w:customStyle="1" w:styleId="QuotationsCallout">
    <w:name w:val="Quotations / Callout"/>
    <w:basedOn w:val="DefaultParagraphFont"/>
    <w:uiPriority w:val="2"/>
    <w:qFormat/>
    <w:rPr>
      <w:rFonts w:asciiTheme="minorHAnsi" w:hAnsiTheme="minorHAnsi"/>
      <w:color w:val="595959" w:themeColor="text1" w:themeTint="A6"/>
      <w:sz w:val="24"/>
    </w:rPr>
  </w:style>
  <w:style w:type="paragraph" w:customStyle="1" w:styleId="StyleQAQC-questionRightBefore3ptAfter3pt">
    <w:name w:val="Style QA/QC - question + Right Before:  3 pt After:  3 pt"/>
    <w:basedOn w:val="Normal"/>
    <w:uiPriority w:val="99"/>
    <w:pPr>
      <w:spacing w:before="120" w:after="0"/>
      <w:jc w:val="left"/>
    </w:pPr>
    <w:rPr>
      <w:rFonts w:ascii="Arial" w:hAnsi="Arial"/>
      <w:b/>
      <w:bCs/>
      <w:noProof/>
      <w:color w:val="008000"/>
      <w:sz w:val="20"/>
    </w:rPr>
  </w:style>
  <w:style w:type="character" w:customStyle="1" w:styleId="subtext">
    <w:name w:val="subtext"/>
    <w:basedOn w:val="DefaultParagraphFont"/>
    <w:uiPriority w:val="1"/>
    <w:rPr>
      <w:rFonts w:ascii="Arial" w:hAnsi="Arial"/>
      <w:sz w:val="20"/>
    </w:rPr>
  </w:style>
  <w:style w:type="paragraph" w:customStyle="1" w:styleId="Covertext">
    <w:name w:val="Cover text"/>
    <w:basedOn w:val="Normal"/>
    <w:uiPriority w:val="99"/>
    <w:pPr>
      <w:spacing w:after="120"/>
      <w:jc w:val="left"/>
    </w:pPr>
    <w:rPr>
      <w:rFonts w:ascii="Arial" w:hAnsi="Arial"/>
      <w:color w:val="000000" w:themeColor="text1"/>
      <w:szCs w:val="24"/>
    </w:rPr>
  </w:style>
  <w:style w:type="character" w:customStyle="1" w:styleId="Style2">
    <w:name w:val="Style2"/>
    <w:basedOn w:val="DefaultParagraphFont"/>
    <w:uiPriority w:val="1"/>
    <w:rPr>
      <w:rFonts w:ascii="Arial" w:hAnsi="Arial"/>
      <w:sz w:val="20"/>
    </w:rPr>
  </w:style>
  <w:style w:type="character" w:customStyle="1" w:styleId="Style3">
    <w:name w:val="Style3"/>
    <w:basedOn w:val="DefaultParagraphFont"/>
    <w:uiPriority w:val="1"/>
    <w:rPr>
      <w:rFonts w:ascii="Arial" w:hAnsi="Arial"/>
      <w:color w:val="0070C0"/>
      <w:sz w:val="36"/>
    </w:rPr>
  </w:style>
  <w:style w:type="table" w:customStyle="1" w:styleId="Mainbidtables">
    <w:name w:val="Main bid tables"/>
    <w:basedOn w:val="TableNormal"/>
    <w:uiPriority w:val="99"/>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paragraph" w:customStyle="1" w:styleId="ECHeading1">
    <w:name w:val="EC Heading 1"/>
    <w:basedOn w:val="ListParagraph"/>
    <w:link w:val="ECHeading1Char"/>
    <w:uiPriority w:val="99"/>
    <w:qFormat/>
    <w:pPr>
      <w:numPr>
        <w:numId w:val="34"/>
      </w:numPr>
      <w:spacing w:before="240"/>
      <w:contextualSpacing w:val="0"/>
      <w:outlineLvl w:val="0"/>
    </w:pPr>
    <w:rPr>
      <w:rFonts w:ascii="Arial" w:hAnsi="Arial"/>
      <w:color w:val="006BB7"/>
      <w:sz w:val="40"/>
      <w:szCs w:val="24"/>
    </w:rPr>
  </w:style>
  <w:style w:type="character" w:customStyle="1" w:styleId="ECHeading1Char">
    <w:name w:val="EC Heading 1 Char"/>
    <w:basedOn w:val="DefaultParagraphFont"/>
    <w:link w:val="ECHeading1"/>
    <w:uiPriority w:val="99"/>
    <w:rPr>
      <w:rFonts w:ascii="Arial" w:eastAsia="Times New Roman" w:hAnsi="Arial" w:cs="Times New Roman"/>
      <w:color w:val="006BB7"/>
      <w:sz w:val="40"/>
      <w:szCs w:val="24"/>
    </w:rPr>
  </w:style>
  <w:style w:type="paragraph" w:customStyle="1" w:styleId="ECHeading2">
    <w:name w:val="EC Heading 2"/>
    <w:basedOn w:val="ListParagraph"/>
    <w:link w:val="ECHeading2Char"/>
    <w:uiPriority w:val="99"/>
    <w:qFormat/>
    <w:pPr>
      <w:numPr>
        <w:ilvl w:val="1"/>
        <w:numId w:val="34"/>
      </w:numPr>
      <w:spacing w:before="240" w:after="120"/>
      <w:contextualSpacing w:val="0"/>
      <w:outlineLvl w:val="1"/>
    </w:pPr>
    <w:rPr>
      <w:rFonts w:ascii="Arial" w:hAnsi="Arial"/>
      <w:color w:val="006BB7"/>
      <w:sz w:val="32"/>
      <w:szCs w:val="24"/>
    </w:rPr>
  </w:style>
  <w:style w:type="character" w:customStyle="1" w:styleId="ECHeading2Char">
    <w:name w:val="EC Heading 2 Char"/>
    <w:basedOn w:val="DefaultParagraphFont"/>
    <w:link w:val="ECHeading2"/>
    <w:uiPriority w:val="99"/>
    <w:rPr>
      <w:rFonts w:ascii="Arial" w:eastAsia="Times New Roman" w:hAnsi="Arial" w:cs="Times New Roman"/>
      <w:color w:val="006BB7"/>
      <w:sz w:val="32"/>
      <w:szCs w:val="24"/>
    </w:rPr>
  </w:style>
  <w:style w:type="paragraph" w:customStyle="1" w:styleId="ECHeading3">
    <w:name w:val="EC Heading 3"/>
    <w:basedOn w:val="ECHeading2"/>
    <w:link w:val="ECHeading3Char"/>
    <w:uiPriority w:val="99"/>
    <w:qFormat/>
    <w:pPr>
      <w:numPr>
        <w:ilvl w:val="2"/>
      </w:numPr>
    </w:pPr>
  </w:style>
  <w:style w:type="character" w:customStyle="1" w:styleId="ECHeading3Char">
    <w:name w:val="EC Heading 3 Char"/>
    <w:basedOn w:val="ECHeading2Char"/>
    <w:link w:val="ECHeading3"/>
    <w:uiPriority w:val="99"/>
    <w:rPr>
      <w:rFonts w:ascii="Arial" w:eastAsia="Times New Roman" w:hAnsi="Arial" w:cs="Times New Roman"/>
      <w:color w:val="006BB7"/>
      <w:sz w:val="32"/>
      <w:szCs w:val="24"/>
    </w:rPr>
  </w:style>
  <w:style w:type="paragraph" w:customStyle="1" w:styleId="ECHeading4">
    <w:name w:val="EC Heading 4"/>
    <w:basedOn w:val="ECHeading3"/>
    <w:link w:val="ECHeading4Char"/>
    <w:uiPriority w:val="99"/>
    <w:qFormat/>
    <w:pPr>
      <w:numPr>
        <w:ilvl w:val="3"/>
      </w:numPr>
    </w:pPr>
  </w:style>
  <w:style w:type="character" w:customStyle="1" w:styleId="ECHeading4Char">
    <w:name w:val="EC Heading 4 Char"/>
    <w:basedOn w:val="ECHeading3Char"/>
    <w:link w:val="ECHeading4"/>
    <w:uiPriority w:val="99"/>
    <w:rPr>
      <w:rFonts w:ascii="Arial" w:eastAsia="Times New Roman" w:hAnsi="Arial" w:cs="Times New Roman"/>
      <w:color w:val="006BB7"/>
      <w:sz w:val="32"/>
      <w:szCs w:val="24"/>
    </w:rPr>
  </w:style>
  <w:style w:type="paragraph" w:customStyle="1" w:styleId="Stylingforfrontpage">
    <w:name w:val="Styling for front page"/>
    <w:link w:val="StylingforfrontpageChar"/>
    <w:uiPriority w:val="1"/>
    <w:qFormat/>
    <w:pPr>
      <w:spacing w:after="0" w:line="240" w:lineRule="auto"/>
    </w:pPr>
    <w:rPr>
      <w:rFonts w:ascii="Arial" w:eastAsia="Times New Roman" w:hAnsi="Arial" w:cs="Times New Roman"/>
      <w:color w:val="006BB7"/>
      <w:sz w:val="20"/>
      <w:szCs w:val="24"/>
    </w:rPr>
  </w:style>
  <w:style w:type="character" w:customStyle="1" w:styleId="StylingforfrontpageChar">
    <w:name w:val="Styling for front page Char"/>
    <w:basedOn w:val="DefaultParagraphFont"/>
    <w:link w:val="Stylingforfrontpage"/>
    <w:uiPriority w:val="1"/>
    <w:rPr>
      <w:rFonts w:ascii="Arial" w:eastAsia="Times New Roman" w:hAnsi="Arial" w:cs="Times New Roman"/>
      <w:color w:val="006BB7"/>
      <w:sz w:val="20"/>
      <w:szCs w:val="24"/>
    </w:rPr>
  </w:style>
  <w:style w:type="paragraph" w:customStyle="1" w:styleId="stylingforcover2">
    <w:name w:val="styling for cover 2"/>
    <w:link w:val="stylingforcover2Char"/>
    <w:qFormat/>
    <w:pPr>
      <w:spacing w:after="0" w:line="240" w:lineRule="auto"/>
    </w:pPr>
    <w:rPr>
      <w:rFonts w:ascii="Arial" w:eastAsia="Times New Roman" w:hAnsi="Arial" w:cs="Times New Roman"/>
      <w:color w:val="000000" w:themeColor="text1"/>
      <w:sz w:val="20"/>
      <w:szCs w:val="24"/>
    </w:rPr>
  </w:style>
  <w:style w:type="character" w:customStyle="1" w:styleId="stylingforcover2Char">
    <w:name w:val="styling for cover 2 Char"/>
    <w:basedOn w:val="DefaultParagraphFont"/>
    <w:link w:val="stylingforcover2"/>
    <w:rPr>
      <w:rFonts w:ascii="Arial" w:eastAsia="Times New Roman" w:hAnsi="Arial" w:cs="Times New Roman"/>
      <w:color w:val="000000" w:themeColor="text1"/>
      <w:sz w:val="20"/>
      <w:szCs w:val="24"/>
    </w:rPr>
  </w:style>
  <w:style w:type="paragraph" w:customStyle="1" w:styleId="legalnote">
    <w:name w:val="legal note"/>
    <w:basedOn w:val="Normal"/>
    <w:link w:val="legalnoteChar"/>
    <w:uiPriority w:val="2"/>
    <w:qFormat/>
    <w:pPr>
      <w:framePr w:hSpace="180" w:wrap="around" w:vAnchor="text" w:hAnchor="margin" w:y="24"/>
      <w:spacing w:before="120" w:after="120"/>
    </w:pPr>
    <w:rPr>
      <w:rFonts w:ascii="Arial" w:hAnsi="Arial"/>
      <w:sz w:val="16"/>
      <w:szCs w:val="24"/>
    </w:rPr>
  </w:style>
  <w:style w:type="character" w:customStyle="1" w:styleId="legalnoteChar">
    <w:name w:val="legal note Char"/>
    <w:basedOn w:val="DefaultParagraphFont"/>
    <w:link w:val="legalnote"/>
    <w:uiPriority w:val="2"/>
    <w:rPr>
      <w:rFonts w:ascii="Arial" w:eastAsia="Times New Roman" w:hAnsi="Arial" w:cs="Times New Roman"/>
      <w:sz w:val="16"/>
      <w:szCs w:val="24"/>
    </w:rPr>
  </w:style>
  <w:style w:type="paragraph" w:customStyle="1" w:styleId="Draft">
    <w:name w:val="Draft"/>
    <w:link w:val="DraftChar"/>
    <w:uiPriority w:val="2"/>
    <w:qFormat/>
    <w:pPr>
      <w:spacing w:after="0" w:line="240" w:lineRule="auto"/>
      <w:jc w:val="center"/>
    </w:pPr>
    <w:rPr>
      <w:rFonts w:ascii="Arial" w:eastAsia="Times New Roman" w:hAnsi="Arial" w:cs="Times New Roman"/>
      <w:color w:val="FF0000"/>
      <w:sz w:val="200"/>
      <w:szCs w:val="24"/>
    </w:rPr>
  </w:style>
  <w:style w:type="character" w:customStyle="1" w:styleId="DraftChar">
    <w:name w:val="Draft Char"/>
    <w:basedOn w:val="DefaultParagraphFont"/>
    <w:link w:val="Draft"/>
    <w:uiPriority w:val="2"/>
    <w:rPr>
      <w:rFonts w:ascii="Arial" w:eastAsia="Times New Roman" w:hAnsi="Arial" w:cs="Times New Roman"/>
      <w:color w:val="FF0000"/>
      <w:sz w:val="200"/>
      <w:szCs w:val="24"/>
    </w:rPr>
  </w:style>
  <w:style w:type="paragraph" w:customStyle="1" w:styleId="frontcoverbox">
    <w:name w:val="front cover box"/>
    <w:link w:val="frontcoverboxChar"/>
    <w:uiPriority w:val="2"/>
    <w:qFormat/>
    <w:pPr>
      <w:spacing w:before="120" w:after="0" w:line="240" w:lineRule="auto"/>
      <w:ind w:left="340" w:right="340"/>
    </w:pPr>
    <w:rPr>
      <w:rFonts w:ascii="Arial" w:eastAsia="Times New Roman" w:hAnsi="Arial" w:cs="Times New Roman"/>
      <w:sz w:val="20"/>
      <w:szCs w:val="24"/>
    </w:rPr>
  </w:style>
  <w:style w:type="character" w:customStyle="1" w:styleId="frontcoverboxChar">
    <w:name w:val="front cover box Char"/>
    <w:basedOn w:val="DefaultParagraphFont"/>
    <w:link w:val="frontcoverbox"/>
    <w:uiPriority w:val="2"/>
    <w:rPr>
      <w:rFonts w:ascii="Arial" w:eastAsia="Times New Roman" w:hAnsi="Arial" w:cs="Times New Roman"/>
      <w:sz w:val="20"/>
      <w:szCs w:val="24"/>
    </w:rPr>
  </w:style>
  <w:style w:type="character" w:customStyle="1" w:styleId="Heading1Char1">
    <w:name w:val="Heading 1 Char1"/>
    <w:aliases w:val="(Section) Char,MOVE-it 1 Char,Heading 11 Char,Hoofdstuk Char,Επικεφαλίδα 1 ΌΧΙ Char,Heading 1 - Main Heading of Document Char,F3 Heading 1 - Section Char,Numbered - 1 Char,Section Char,Chapter Hdg Char,h1 Char,CH TITLE 1 Char,1 Char"/>
    <w:basedOn w:val="DefaultParagraphFont"/>
    <w:uiPriority w:val="1"/>
    <w:rPr>
      <w:rFonts w:asciiTheme="majorHAnsi" w:eastAsiaTheme="majorEastAsia" w:hAnsiTheme="majorHAnsi" w:cstheme="majorBidi"/>
      <w:color w:val="365F91" w:themeColor="accent1" w:themeShade="BF"/>
      <w:sz w:val="32"/>
      <w:szCs w:val="32"/>
      <w:lang w:eastAsia="en-US"/>
    </w:rPr>
  </w:style>
  <w:style w:type="character" w:customStyle="1" w:styleId="Heading5Char1">
    <w:name w:val="Heading 5 Char1"/>
    <w:aliases w:val="Heading 5(unused) Char1,Level 3 - (i) Char1,Third Level Heading Char1,h5 Char1,Response Type Char1,Response Type1 Char1,Response Type2 Char1,Response Type3 Char1,Response Type4 Char1,Response Type5 Char1,Response Type6 Char1,H5 Char"/>
    <w:basedOn w:val="DefaultParagraphFont"/>
    <w:uiPriority w:val="9"/>
    <w:semiHidden/>
    <w:rPr>
      <w:rFonts w:asciiTheme="majorHAnsi" w:eastAsiaTheme="majorEastAsia" w:hAnsiTheme="majorHAnsi" w:cstheme="majorBidi"/>
      <w:color w:val="365F91" w:themeColor="accent1" w:themeShade="BF"/>
      <w:szCs w:val="24"/>
      <w:lang w:eastAsia="en-US"/>
    </w:rPr>
  </w:style>
  <w:style w:type="character" w:customStyle="1" w:styleId="EmpasisChar">
    <w:name w:val="Empasis Char"/>
    <w:basedOn w:val="DefaultParagraphFont"/>
    <w:link w:val="Empasis"/>
    <w:uiPriority w:val="2"/>
    <w:locked/>
    <w:rPr>
      <w:b/>
      <w:color w:val="0070C0"/>
      <w:szCs w:val="24"/>
    </w:rPr>
  </w:style>
  <w:style w:type="paragraph" w:customStyle="1" w:styleId="Empasis">
    <w:name w:val="Empasis"/>
    <w:basedOn w:val="Normal"/>
    <w:link w:val="EmpasisChar"/>
    <w:uiPriority w:val="2"/>
    <w:qFormat/>
    <w:pPr>
      <w:spacing w:after="120"/>
    </w:pPr>
    <w:rPr>
      <w:rFonts w:asciiTheme="minorHAnsi" w:eastAsiaTheme="minorHAnsi" w:hAnsiTheme="minorHAnsi" w:cstheme="minorBidi"/>
      <w:b/>
      <w:color w:val="0070C0"/>
      <w:sz w:val="22"/>
      <w:szCs w:val="24"/>
    </w:rPr>
  </w:style>
  <w:style w:type="paragraph" w:customStyle="1" w:styleId="BodyTextBold">
    <w:name w:val="Body Text Bold"/>
    <w:basedOn w:val="Normal"/>
    <w:uiPriority w:val="99"/>
    <w:qFormat/>
    <w:pPr>
      <w:spacing w:before="120" w:after="120" w:line="264" w:lineRule="auto"/>
      <w:ind w:left="907"/>
    </w:pPr>
    <w:rPr>
      <w:rFonts w:ascii="Arial" w:eastAsia="Calibri" w:hAnsi="Arial"/>
      <w:b/>
      <w:sz w:val="20"/>
    </w:rPr>
  </w:style>
  <w:style w:type="paragraph" w:customStyle="1" w:styleId="Body">
    <w:name w:val="Body"/>
    <w:basedOn w:val="Normal"/>
    <w:uiPriority w:val="99"/>
    <w:pPr>
      <w:suppressAutoHyphens/>
      <w:spacing w:after="0" w:line="260" w:lineRule="atLeast"/>
      <w:jc w:val="left"/>
    </w:pPr>
    <w:rPr>
      <w:rFonts w:ascii="Arial" w:eastAsia="Arial Unicode MS" w:hAnsi="Arial"/>
      <w:sz w:val="20"/>
    </w:rPr>
  </w:style>
  <w:style w:type="character" w:customStyle="1" w:styleId="KeypointChar">
    <w:name w:val="Key point Char"/>
    <w:link w:val="Keypoint"/>
    <w:uiPriority w:val="2"/>
    <w:locked/>
    <w:rPr>
      <w:b/>
      <w:color w:val="33CC33"/>
      <w:szCs w:val="24"/>
      <w:lang w:val="x-none"/>
    </w:rPr>
  </w:style>
  <w:style w:type="paragraph" w:customStyle="1" w:styleId="Keypoint">
    <w:name w:val="Key point"/>
    <w:basedOn w:val="Normal"/>
    <w:link w:val="KeypointChar"/>
    <w:uiPriority w:val="2"/>
    <w:pPr>
      <w:spacing w:after="120"/>
    </w:pPr>
    <w:rPr>
      <w:rFonts w:asciiTheme="minorHAnsi" w:eastAsiaTheme="minorHAnsi" w:hAnsiTheme="minorHAnsi" w:cstheme="minorBidi"/>
      <w:b/>
      <w:color w:val="33CC33"/>
      <w:sz w:val="22"/>
      <w:szCs w:val="24"/>
      <w:lang w:val="x-none"/>
    </w:rPr>
  </w:style>
  <w:style w:type="paragraph" w:customStyle="1" w:styleId="Roman11">
    <w:name w:val="Roman11"/>
    <w:basedOn w:val="Normal"/>
    <w:uiPriority w:val="99"/>
    <w:pPr>
      <w:spacing w:after="0"/>
    </w:pPr>
    <w:rPr>
      <w:rFonts w:ascii="Arial" w:hAnsi="Arial"/>
      <w:sz w:val="20"/>
      <w:lang w:val="en-US"/>
    </w:rPr>
  </w:style>
  <w:style w:type="paragraph" w:customStyle="1" w:styleId="Appendixhead">
    <w:name w:val="Appendixhead"/>
    <w:basedOn w:val="Normal"/>
    <w:uiPriority w:val="99"/>
    <w:pPr>
      <w:numPr>
        <w:numId w:val="35"/>
      </w:numPr>
      <w:spacing w:after="120"/>
    </w:pPr>
    <w:rPr>
      <w:rFonts w:ascii="Arial" w:eastAsiaTheme="minorHAnsi" w:hAnsi="Arial" w:cs="Arial"/>
      <w:noProof/>
      <w:sz w:val="20"/>
      <w:lang w:eastAsia="en-GB"/>
    </w:rPr>
  </w:style>
  <w:style w:type="paragraph" w:customStyle="1" w:styleId="AEACV-BulletGreenKeySkillssectiononly">
    <w:name w:val="AEACV-Bullet Green (Key Skills section only)"/>
    <w:basedOn w:val="Normal"/>
    <w:uiPriority w:val="99"/>
    <w:qFormat/>
    <w:pPr>
      <w:numPr>
        <w:numId w:val="36"/>
      </w:numPr>
      <w:spacing w:after="60"/>
      <w:ind w:hanging="357"/>
    </w:pPr>
    <w:rPr>
      <w:rFonts w:ascii="Arial" w:eastAsiaTheme="minorHAnsi" w:hAnsi="Arial"/>
      <w:sz w:val="20"/>
      <w:szCs w:val="24"/>
    </w:rPr>
  </w:style>
  <w:style w:type="paragraph" w:customStyle="1" w:styleId="ECVSectionBullet">
    <w:name w:val="_ECV_SectionBullet"/>
    <w:basedOn w:val="Normal"/>
    <w:uiPriority w:val="99"/>
    <w:pPr>
      <w:widowControl w:val="0"/>
      <w:suppressLineNumbers/>
      <w:suppressAutoHyphens/>
      <w:autoSpaceDE w:val="0"/>
      <w:spacing w:after="0" w:line="100" w:lineRule="atLeast"/>
      <w:jc w:val="left"/>
    </w:pPr>
    <w:rPr>
      <w:rFonts w:ascii="Arial" w:eastAsia="SimSun" w:hAnsi="Arial" w:cs="Mangal"/>
      <w:color w:val="3F3A38"/>
      <w:spacing w:val="-6"/>
      <w:kern w:val="2"/>
      <w:sz w:val="18"/>
      <w:szCs w:val="24"/>
      <w:lang w:eastAsia="zh-CN" w:bidi="hi-IN"/>
    </w:rPr>
  </w:style>
  <w:style w:type="character" w:styleId="EndnoteReference">
    <w:name w:val="endnote reference"/>
    <w:basedOn w:val="DefaultParagraphFont"/>
    <w:uiPriority w:val="99"/>
    <w:semiHidden/>
    <w:unhideWhenUsed/>
    <w:rPr>
      <w:vertAlign w:val="superscript"/>
    </w:rPr>
  </w:style>
  <w:style w:type="character" w:customStyle="1" w:styleId="TasksChar2">
    <w:name w:val="Tasks Char2"/>
    <w:aliases w:val="Beschriftung Char2 Char2,Beschriftung Char1 Char1 Char2,Beschriftung Char Char Char1 Char2,Beschriftung Char1 Char Char Char2,Beschriftung Char Char Char Char Char2,Beschriftung Char Char1 Char Char2,Table legend Char,Tasks Char1"/>
    <w:uiPriority w:val="35"/>
    <w:locked/>
    <w:rPr>
      <w:b/>
      <w:bCs/>
      <w:noProof/>
      <w:sz w:val="18"/>
      <w:lang w:eastAsia="en-US"/>
    </w:rPr>
  </w:style>
  <w:style w:type="table" w:styleId="LightShading-Accent1">
    <w:name w:val="Light Shading Accent 1"/>
    <w:basedOn w:val="TableNormal"/>
    <w:uiPriority w:val="60"/>
    <w:unhideWhenUsed/>
    <w:pPr>
      <w:spacing w:after="0" w:line="240" w:lineRule="auto"/>
    </w:pPr>
    <w:rPr>
      <w:rFonts w:ascii="Arial" w:eastAsia="Times New Roman" w:hAnsi="Arial" w:cs="Times New Roman"/>
      <w:color w:val="365F91" w:themeColor="accent1" w:themeShade="BF"/>
      <w:sz w:val="20"/>
      <w:szCs w:val="20"/>
      <w:lang w:eastAsia="en-GB"/>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unhideWhenUsed/>
    <w:pPr>
      <w:spacing w:after="0" w:line="240" w:lineRule="auto"/>
    </w:pPr>
    <w:rPr>
      <w:rFonts w:ascii="Arial" w:eastAsia="Times New Roman" w:hAnsi="Arial" w:cs="Times New Roman"/>
      <w:sz w:val="20"/>
      <w:szCs w:val="20"/>
      <w:lang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GridTable4-Accent11">
    <w:name w:val="Grid Table 4 - Accent 11"/>
    <w:basedOn w:val="TableNormal"/>
    <w:uiPriority w:val="49"/>
    <w:pPr>
      <w:spacing w:after="0" w:line="240" w:lineRule="auto"/>
    </w:pPr>
    <w:rPr>
      <w:rFonts w:ascii="Arial" w:eastAsia="Times New Roman" w:hAnsi="Arial" w:cs="Times New Roman"/>
      <w:sz w:val="20"/>
      <w:szCs w:val="20"/>
      <w:lang w:eastAsia="en-GB"/>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51">
    <w:name w:val="Grid Table 4 - Accent 51"/>
    <w:basedOn w:val="TableNormal"/>
    <w:uiPriority w:val="49"/>
    <w:pPr>
      <w:spacing w:after="0" w:line="240" w:lineRule="auto"/>
    </w:pPr>
    <w:rPr>
      <w:rFonts w:ascii="Arial" w:eastAsia="Times New Roman" w:hAnsi="Arial" w:cs="Times New Roman"/>
      <w:sz w:val="20"/>
      <w:szCs w:val="20"/>
      <w:lang w:eastAsia="en-GB"/>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Sfondomedio1-Colore11">
    <w:name w:val="Sfondo medio 1 - Colore 11"/>
    <w:basedOn w:val="TableNormal"/>
    <w:uiPriority w:val="63"/>
    <w:pPr>
      <w:spacing w:after="0" w:line="240" w:lineRule="auto"/>
    </w:pPr>
    <w:rPr>
      <w:rFonts w:ascii="Arial" w:eastAsia="Times New Roman" w:hAnsi="Arial" w:cs="Times New Roman"/>
      <w:sz w:val="20"/>
      <w:szCs w:val="20"/>
      <w:lang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tyle1">
    <w:name w:val="Style1"/>
    <w:basedOn w:val="TableNormal"/>
    <w:uiPriority w:val="99"/>
    <w:pPr>
      <w:spacing w:before="120" w:after="120" w:line="240" w:lineRule="auto"/>
    </w:pPr>
    <w:rPr>
      <w:rFonts w:ascii="Arial" w:eastAsia="Times New Roman" w:hAnsi="Arial" w:cs="Times New Roman"/>
      <w:sz w:val="20"/>
      <w:szCs w:val="20"/>
      <w:lang w:eastAsia="en-GB"/>
    </w:rPr>
    <w:tblPr/>
    <w:tblStylePr w:type="firstRow">
      <w:tblPr/>
      <w:tcPr>
        <w:tcBorders>
          <w:top w:val="single" w:sz="4" w:space="0" w:color="0070C0"/>
          <w:bottom w:val="single" w:sz="4" w:space="0" w:color="0070C0"/>
        </w:tcBorders>
        <w:shd w:val="clear" w:color="auto" w:fill="E2ECF2"/>
      </w:tcPr>
    </w:tblStylePr>
  </w:style>
  <w:style w:type="table" w:customStyle="1" w:styleId="Ricardo-AEATableStyle">
    <w:name w:val="Ricardo-AEA Table Style"/>
    <w:basedOn w:val="TableNormal"/>
    <w:uiPriority w:val="99"/>
    <w:qFormat/>
    <w:pPr>
      <w:spacing w:after="0" w:line="240" w:lineRule="auto"/>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themeColor="background1"/>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AEATableStyle">
    <w:name w:val="AEA Table Style"/>
    <w:basedOn w:val="TableNormal"/>
    <w:uiPriority w:val="99"/>
    <w:qFormat/>
    <w:pPr>
      <w:spacing w:before="20" w:after="20" w:line="240" w:lineRule="auto"/>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themeColor="background1"/>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AEATableStyle8">
    <w:name w:val="AEA Table Style8"/>
    <w:basedOn w:val="TableNormal"/>
    <w:uiPriority w:val="99"/>
    <w:qFormat/>
    <w:pPr>
      <w:spacing w:before="20" w:after="20" w:line="240" w:lineRule="auto"/>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themeColor="background1"/>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GridTable4-Accent511">
    <w:name w:val="Grid Table 4 - Accent 511"/>
    <w:basedOn w:val="TableNormal"/>
    <w:uiPriority w:val="49"/>
    <w:pPr>
      <w:spacing w:after="0" w:line="240" w:lineRule="auto"/>
    </w:pPr>
    <w:rPr>
      <w:rFonts w:ascii="Arial" w:eastAsia="Times New Roman" w:hAnsi="Arial" w:cs="Times New Roman"/>
      <w:sz w:val="20"/>
      <w:szCs w:val="20"/>
      <w:lang w:eastAsia="en-GB"/>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Light1">
    <w:name w:val="Table Grid Light1"/>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Ricardo-AEATableStyle2">
    <w:name w:val="Ricardo-AEA Table Style2"/>
    <w:basedOn w:val="TableNormal"/>
    <w:uiPriority w:val="99"/>
    <w:qFormat/>
    <w:pPr>
      <w:spacing w:after="0" w:line="240" w:lineRule="auto"/>
    </w:pPr>
    <w:rPr>
      <w:rFonts w:ascii="Arial" w:eastAsia="Times New Roman" w:hAnsi="Arial" w:cs="Times New Roman"/>
      <w:sz w:val="20"/>
      <w:szCs w:val="20"/>
      <w:lang w:val="en-US"/>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LightShading-Accent12">
    <w:name w:val="Light Shading - Accent 12"/>
    <w:basedOn w:val="TableNormal"/>
    <w:uiPriority w:val="60"/>
    <w:pPr>
      <w:spacing w:after="0" w:line="240" w:lineRule="auto"/>
    </w:pPr>
    <w:rPr>
      <w:rFonts w:ascii="Arial" w:eastAsia="Times New Roman" w:hAnsi="Arial" w:cs="Times New Roman"/>
      <w:color w:val="000000" w:themeColor="text1"/>
      <w:sz w:val="20"/>
      <w:szCs w:val="20"/>
      <w:lang w:eastAsia="en-GB"/>
    </w:rPr>
    <w:tblPr>
      <w:tblStyleRowBandSize w:val="1"/>
      <w:tblStyleColBandSize w:val="1"/>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Pr>
    <w:tblStylePr w:type="firstRow">
      <w:pPr>
        <w:spacing w:beforeLines="0" w:before="0" w:beforeAutospacing="0" w:afterLines="0" w:after="0" w:afterAutospacing="0" w:line="240" w:lineRule="auto"/>
      </w:pPr>
      <w:rPr>
        <w:b/>
        <w:bCs/>
      </w:rPr>
      <w:tblPr/>
      <w:tcPr>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cBorders>
        <w:shd w:val="clear" w:color="auto" w:fill="F2F2F2" w:themeFill="background1" w:themeFillShade="F2"/>
      </w:tcPr>
    </w:tblStylePr>
    <w:tblStylePr w:type="lastRow">
      <w:pPr>
        <w:spacing w:beforeLines="0" w:before="0" w:beforeAutospacing="0" w:afterLines="0" w:after="0" w:afterAutospacing="0" w:line="240" w:lineRule="auto"/>
      </w:pPr>
      <w:rPr>
        <w:b/>
        <w:bCs/>
      </w:rPr>
      <w:tblPr/>
      <w:tcPr>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cBorders>
      </w:tcPr>
    </w:tblStylePr>
    <w:tblStylePr w:type="firstCol">
      <w:rPr>
        <w:b/>
        <w:bCs/>
      </w:rPr>
      <w:tblPr/>
      <w:tcPr>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cBorders>
      </w:tcPr>
    </w:tblStylePr>
    <w:tblStylePr w:type="lastCol">
      <w:rPr>
        <w:b/>
        <w:bCs/>
      </w:rPr>
      <w:tblPr/>
      <w:tcPr>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cBorders>
      </w:tcPr>
    </w:tblStylePr>
    <w:tblStylePr w:type="band1Vert">
      <w:tblPr/>
      <w:tcPr>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cBorders>
      </w:tcPr>
    </w:tblStylePr>
    <w:tblStylePr w:type="band2Vert">
      <w:tblPr/>
      <w:tcPr>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cBorders>
      </w:tcPr>
    </w:tblStylePr>
    <w:tblStylePr w:type="band1Horz">
      <w:tblPr/>
      <w:tcPr>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cBorders>
        <w:shd w:val="clear" w:color="auto" w:fill="FFFFFF" w:themeFill="background1"/>
      </w:tcPr>
    </w:tblStylePr>
    <w:tblStylePr w:type="band2Horz">
      <w:tblPr/>
      <w:tcPr>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cBorders>
        <w:shd w:val="clear" w:color="auto" w:fill="F2F2F2" w:themeFill="background1" w:themeFillShade="F2"/>
      </w:tcPr>
    </w:tblStylePr>
  </w:style>
  <w:style w:type="table" w:customStyle="1" w:styleId="TableGrid2">
    <w:name w:val="Table Grid2"/>
    <w:basedOn w:val="TableNormal"/>
    <w:uiPriority w:val="59"/>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StylePr>
    <w:tblStylePr w:type="band1Horz">
      <w:tblPr/>
      <w:tcPr>
        <w:tcBorders>
          <w:top w:val="nil"/>
          <w:left w:val="single" w:sz="4" w:space="0" w:color="0055A0"/>
          <w:bottom w:val="nil"/>
          <w:right w:val="single" w:sz="4" w:space="0" w:color="0055A0"/>
          <w:insideH w:val="nil"/>
          <w:insideV w:val="single" w:sz="4" w:space="0" w:color="0055A0"/>
          <w:tl2br w:val="nil"/>
          <w:tr2bl w:val="nil"/>
        </w:tcBorders>
        <w:shd w:val="clear" w:color="auto" w:fill="F5F9FC"/>
      </w:tcPr>
    </w:tblStylePr>
    <w:tblStylePr w:type="band2Horz">
      <w:tblPr/>
      <w:tcPr>
        <w:tcBorders>
          <w:insideV w:val="single" w:sz="4" w:space="0" w:color="0055A0"/>
        </w:tcBorders>
        <w:shd w:val="clear" w:color="auto" w:fill="FFFFFF" w:themeFill="background1"/>
      </w:tcPr>
    </w:tblStylePr>
  </w:style>
  <w:style w:type="table" w:customStyle="1" w:styleId="Blank">
    <w:name w:val="Blank"/>
    <w:basedOn w:val="TableNormal"/>
    <w:uiPriority w:val="99"/>
    <w:pPr>
      <w:spacing w:after="0" w:line="240" w:lineRule="auto"/>
    </w:pPr>
    <w:rPr>
      <w:rFonts w:ascii="Arial" w:eastAsia="Times New Roman" w:hAnsi="Arial" w:cs="Times New Roman"/>
      <w:sz w:val="20"/>
      <w:szCs w:val="20"/>
      <w:lang w:eastAsia="en-GB"/>
    </w:rPr>
    <w:tblPr/>
  </w:style>
  <w:style w:type="paragraph" w:customStyle="1" w:styleId="Source">
    <w:name w:val="Source"/>
    <w:basedOn w:val="FootnoteText"/>
    <w:link w:val="SourceChar"/>
    <w:qFormat/>
    <w:pPr>
      <w:spacing w:before="20" w:after="120"/>
      <w:contextualSpacing/>
    </w:pPr>
    <w:rPr>
      <w:rFonts w:ascii="Verdana" w:hAnsi="Verdana"/>
      <w:i/>
      <w:color w:val="333333"/>
      <w:sz w:val="18"/>
    </w:rPr>
  </w:style>
  <w:style w:type="character" w:customStyle="1" w:styleId="SourceChar">
    <w:name w:val="Source Char"/>
    <w:link w:val="Source"/>
    <w:rPr>
      <w:rFonts w:ascii="Verdana" w:eastAsia="Times New Roman" w:hAnsi="Verdana" w:cs="Times New Roman"/>
      <w:i/>
      <w:color w:val="333333"/>
      <w:sz w:val="18"/>
      <w:szCs w:val="20"/>
    </w:rPr>
  </w:style>
  <w:style w:type="character" w:customStyle="1" w:styleId="apple-converted-space">
    <w:name w:val="apple-converted-space"/>
    <w:basedOn w:val="DefaultParagraphFont"/>
    <w:uiPriority w:val="2"/>
  </w:style>
  <w:style w:type="character" w:styleId="Emphasis">
    <w:name w:val="Emphasis"/>
    <w:basedOn w:val="DefaultParagraphFont"/>
    <w:uiPriority w:val="20"/>
    <w:qFormat/>
    <w:rPr>
      <w:i/>
      <w:iCs/>
    </w:rPr>
  </w:style>
  <w:style w:type="table" w:customStyle="1" w:styleId="mainbidtable">
    <w:name w:val="main bid table"/>
    <w:basedOn w:val="TableNormal"/>
    <w:uiPriority w:val="99"/>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paragraph" w:customStyle="1" w:styleId="AppendixHeadingLevel2">
    <w:name w:val="Appendix Heading Level 2"/>
    <w:basedOn w:val="Heading2"/>
    <w:next w:val="Normal"/>
    <w:link w:val="AppendixHeadingLevel2Char"/>
    <w:uiPriority w:val="1"/>
    <w:qFormat/>
    <w:pPr>
      <w:numPr>
        <w:numId w:val="37"/>
      </w:numPr>
    </w:pPr>
    <w:rPr>
      <w:rFonts w:ascii="Arial" w:hAnsi="Arial" w:cs="Arial"/>
      <w:b w:val="0"/>
      <w:bCs/>
      <w:iCs/>
      <w:color w:val="006BB7"/>
      <w:sz w:val="32"/>
      <w:szCs w:val="28"/>
    </w:rPr>
  </w:style>
  <w:style w:type="paragraph" w:customStyle="1" w:styleId="AppendixHeadingLevel3">
    <w:name w:val="Appendix Heading Level 3"/>
    <w:basedOn w:val="Heading3"/>
    <w:link w:val="AppendixHeadingLevel3Char"/>
    <w:uiPriority w:val="1"/>
    <w:qFormat/>
    <w:pPr>
      <w:numPr>
        <w:numId w:val="37"/>
      </w:numPr>
      <w:spacing w:before="120"/>
      <w:jc w:val="left"/>
    </w:pPr>
    <w:rPr>
      <w:rFonts w:ascii="Arial" w:hAnsi="Arial" w:cs="Arial"/>
      <w:b w:val="0"/>
      <w:bCs/>
      <w:i w:val="0"/>
      <w:color w:val="006BB7"/>
      <w:szCs w:val="26"/>
    </w:rPr>
  </w:style>
  <w:style w:type="character" w:customStyle="1" w:styleId="Heading-AppendixChar">
    <w:name w:val="Heading - Appendix Char"/>
    <w:basedOn w:val="Heading1Char"/>
    <w:link w:val="Heading-Appendix"/>
    <w:uiPriority w:val="1"/>
    <w:rPr>
      <w:rFonts w:ascii="Arial" w:eastAsia="Times New Roman" w:hAnsi="Arial" w:cs="Arial"/>
      <w:b w:val="0"/>
      <w:bCs/>
      <w:smallCaps w:val="0"/>
      <w:color w:val="006BB7"/>
      <w:sz w:val="40"/>
      <w:szCs w:val="32"/>
      <w:lang w:val="en"/>
    </w:rPr>
  </w:style>
  <w:style w:type="character" w:customStyle="1" w:styleId="AppendixHeadingLevel3Char">
    <w:name w:val="Appendix Heading Level 3 Char"/>
    <w:basedOn w:val="Heading4Char"/>
    <w:link w:val="AppendixHeadingLevel3"/>
    <w:uiPriority w:val="1"/>
    <w:rPr>
      <w:rFonts w:ascii="Arial" w:eastAsia="Times New Roman" w:hAnsi="Arial" w:cs="Arial"/>
      <w:bCs/>
      <w:color w:val="006BB7"/>
      <w:sz w:val="24"/>
      <w:szCs w:val="26"/>
    </w:rPr>
  </w:style>
  <w:style w:type="character" w:customStyle="1" w:styleId="AppendixHeadingLevel2Char">
    <w:name w:val="Appendix Heading Level 2 Char"/>
    <w:basedOn w:val="Heading2Char"/>
    <w:link w:val="AppendixHeadingLevel2"/>
    <w:uiPriority w:val="1"/>
    <w:rPr>
      <w:rFonts w:ascii="Arial" w:eastAsia="Times New Roman" w:hAnsi="Arial" w:cs="Arial"/>
      <w:b w:val="0"/>
      <w:bCs/>
      <w:iCs/>
      <w:color w:val="006BB7"/>
      <w:sz w:val="32"/>
      <w:szCs w:val="28"/>
    </w:rPr>
  </w:style>
  <w:style w:type="paragraph" w:styleId="Bibliography">
    <w:name w:val="Bibliography"/>
    <w:basedOn w:val="Normal"/>
    <w:next w:val="Normal"/>
    <w:uiPriority w:val="37"/>
    <w:unhideWhenUsed/>
    <w:pPr>
      <w:spacing w:after="120"/>
    </w:pPr>
    <w:rPr>
      <w:rFonts w:ascii="Arial" w:hAnsi="Arial"/>
      <w:sz w:val="20"/>
      <w:szCs w:val="24"/>
    </w:rPr>
  </w:style>
  <w:style w:type="character" w:customStyle="1" w:styleId="message">
    <w:name w:val="message"/>
    <w:basedOn w:val="DefaultParagraphFont"/>
  </w:style>
  <w:style w:type="paragraph" w:customStyle="1" w:styleId="AppendixHeading4">
    <w:name w:val="Appendix Heading 4"/>
    <w:basedOn w:val="AppendixHeadingLevel3"/>
    <w:link w:val="AppendixHeading4Char"/>
    <w:qFormat/>
    <w:pPr>
      <w:numPr>
        <w:ilvl w:val="3"/>
      </w:numPr>
    </w:pPr>
    <w:rPr>
      <w:bCs w:val="0"/>
      <w:sz w:val="20"/>
      <w:szCs w:val="20"/>
    </w:rPr>
  </w:style>
  <w:style w:type="character" w:customStyle="1" w:styleId="AppendixHeading4Char">
    <w:name w:val="Appendix Heading 4 Char"/>
    <w:basedOn w:val="AppendixHeadingLevel3Char"/>
    <w:link w:val="AppendixHeading4"/>
    <w:rPr>
      <w:rFonts w:ascii="Arial" w:eastAsia="Times New Roman" w:hAnsi="Arial" w:cs="Arial"/>
      <w:bCs w:val="0"/>
      <w:color w:val="006BB7"/>
      <w:sz w:val="20"/>
      <w:szCs w:val="20"/>
    </w:rPr>
  </w:style>
  <w:style w:type="paragraph" w:customStyle="1" w:styleId="gmail-msolistparagraph">
    <w:name w:val="gmail-msolistparagraph"/>
    <w:basedOn w:val="Normal"/>
    <w:uiPriority w:val="99"/>
    <w:pPr>
      <w:spacing w:before="100" w:beforeAutospacing="1" w:after="100" w:afterAutospacing="1"/>
      <w:jc w:val="left"/>
    </w:pPr>
    <w:rPr>
      <w:rFonts w:eastAsiaTheme="minorHAnsi"/>
      <w:szCs w:val="24"/>
      <w:lang w:val="en-US"/>
    </w:rPr>
  </w:style>
  <w:style w:type="character" w:customStyle="1" w:styleId="gmail-msofootnotereference">
    <w:name w:val="gmail-msofootnotereference"/>
    <w:basedOn w:val="DefaultParagraphFont"/>
  </w:style>
  <w:style w:type="character" w:customStyle="1" w:styleId="CaptionChar1">
    <w:name w:val="Caption Char1"/>
    <w:aliases w:val="Tasks Char,Beschriftung Char2 Char,Beschriftung Char1 Char1 Char,Beschriftung Char Char Char1 Char,Beschriftung Char1 Char Char Char,Beschriftung Char Char Char Char Char,Beschriftung Char Char1 Char Char,Beschriftung Char Char2 Char"/>
    <w:basedOn w:val="DefaultParagraphFont"/>
    <w:uiPriority w:val="35"/>
    <w:locked/>
    <w:rPr>
      <w:b/>
      <w:bCs/>
      <w:i/>
      <w:sz w:val="22"/>
      <w:szCs w:val="22"/>
      <w:lang w:eastAsia="en-US"/>
    </w:rPr>
  </w:style>
  <w:style w:type="paragraph" w:styleId="NoSpacing">
    <w:name w:val="No Spacing"/>
    <w:uiPriority w:val="1"/>
    <w:qFormat/>
    <w:pPr>
      <w:spacing w:after="0" w:line="240" w:lineRule="auto"/>
      <w:jc w:val="both"/>
    </w:pPr>
    <w:rPr>
      <w:rFonts w:ascii="Times New Roman" w:eastAsia="Times New Roman" w:hAnsi="Times New Roman" w:cs="Times New Roman"/>
      <w:sz w:val="24"/>
      <w:szCs w:val="20"/>
    </w:rPr>
  </w:style>
  <w:style w:type="character" w:customStyle="1" w:styleId="Text2Char1">
    <w:name w:val="Text 2 Char1"/>
    <w:link w:val="Text2"/>
    <w:locked/>
    <w:rPr>
      <w:rFonts w:ascii="Times New Roman" w:eastAsia="Times New Roman" w:hAnsi="Times New Roman" w:cs="Times New Roman"/>
      <w:sz w:val="24"/>
      <w:szCs w:val="20"/>
    </w:rPr>
  </w:style>
  <w:style w:type="character" w:customStyle="1" w:styleId="Marker">
    <w:name w:val="Marker"/>
    <w:rPr>
      <w:rFonts w:cs="Times New Roman"/>
      <w:color w:val="0000FF"/>
      <w:shd w:val="clear" w:color="auto" w:fill="auto"/>
    </w:rPr>
  </w:style>
  <w:style w:type="paragraph" w:customStyle="1" w:styleId="Briefingspdef">
    <w:name w:val="Briefing sp/def"/>
    <w:basedOn w:val="Normal"/>
    <w:autoRedefine/>
    <w:rPr>
      <w:szCs w:val="24"/>
      <w:lang w:eastAsia="en-GB"/>
    </w:rPr>
  </w:style>
  <w:style w:type="paragraph" w:customStyle="1" w:styleId="Indented">
    <w:name w:val="Indented"/>
    <w:basedOn w:val="Normal"/>
    <w:qFormat/>
    <w:pPr>
      <w:spacing w:after="120"/>
      <w:ind w:left="357"/>
      <w:jc w:val="left"/>
    </w:pPr>
    <w:rPr>
      <w:rFonts w:ascii="Arial" w:eastAsiaTheme="minorHAnsi" w:hAnsi="Arial" w:cstheme="minorBidi"/>
      <w:sz w:val="22"/>
      <w:szCs w:val="22"/>
    </w:rPr>
  </w:style>
  <w:style w:type="paragraph" w:customStyle="1" w:styleId="Heding-IntroLevel2">
    <w:name w:val="Heding - Intro Level 2"/>
    <w:basedOn w:val="AppendixHeadingLevel2"/>
    <w:link w:val="Heding-IntroLevel2Char"/>
    <w:qFormat/>
    <w:pPr>
      <w:numPr>
        <w:ilvl w:val="0"/>
        <w:numId w:val="0"/>
      </w:numPr>
    </w:pPr>
  </w:style>
  <w:style w:type="character" w:customStyle="1" w:styleId="Heding-IntroLevel2Char">
    <w:name w:val="Heding - Intro Level 2 Char"/>
    <w:basedOn w:val="AppendixHeadingLevel2Char"/>
    <w:link w:val="Heding-IntroLevel2"/>
    <w:rPr>
      <w:rFonts w:ascii="Arial" w:eastAsia="Times New Roman" w:hAnsi="Arial" w:cs="Arial"/>
      <w:b w:val="0"/>
      <w:bCs/>
      <w:iCs/>
      <w:color w:val="006BB7"/>
      <w:sz w:val="32"/>
      <w:szCs w:val="28"/>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rFonts w:ascii="Times New Roman" w:eastAsia="Times New Roman" w:hAnsi="Times New Roman" w:cs="Times New Roman"/>
      <w:sz w:val="24"/>
      <w:szCs w:val="20"/>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rFonts w:ascii="Times New Roman" w:eastAsia="Times New Roman" w:hAnsi="Times New Roman" w:cs="Times New Roman"/>
      <w:sz w:val="24"/>
      <w:szCs w:val="20"/>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rFonts w:ascii="Times New Roman" w:eastAsia="Times New Roman" w:hAnsi="Times New Roman" w:cs="Times New Roman"/>
      <w:b/>
      <w:sz w:val="32"/>
      <w:szCs w:val="20"/>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rFonts w:ascii="Times New Roman" w:eastAsia="Times New Roman" w:hAnsi="Times New Roman" w:cs="Times New Roman"/>
      <w:b/>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77187">
      <w:bodyDiv w:val="1"/>
      <w:marLeft w:val="0"/>
      <w:marRight w:val="0"/>
      <w:marTop w:val="0"/>
      <w:marBottom w:val="0"/>
      <w:divBdr>
        <w:top w:val="none" w:sz="0" w:space="0" w:color="auto"/>
        <w:left w:val="none" w:sz="0" w:space="0" w:color="auto"/>
        <w:bottom w:val="none" w:sz="0" w:space="0" w:color="auto"/>
        <w:right w:val="none" w:sz="0" w:space="0" w:color="auto"/>
      </w:divBdr>
    </w:div>
    <w:div w:id="65541135">
      <w:bodyDiv w:val="1"/>
      <w:marLeft w:val="0"/>
      <w:marRight w:val="0"/>
      <w:marTop w:val="0"/>
      <w:marBottom w:val="0"/>
      <w:divBdr>
        <w:top w:val="none" w:sz="0" w:space="0" w:color="auto"/>
        <w:left w:val="none" w:sz="0" w:space="0" w:color="auto"/>
        <w:bottom w:val="none" w:sz="0" w:space="0" w:color="auto"/>
        <w:right w:val="none" w:sz="0" w:space="0" w:color="auto"/>
      </w:divBdr>
      <w:divsChild>
        <w:div w:id="1345282268">
          <w:marLeft w:val="0"/>
          <w:marRight w:val="0"/>
          <w:marTop w:val="0"/>
          <w:marBottom w:val="0"/>
          <w:divBdr>
            <w:top w:val="none" w:sz="0" w:space="0" w:color="auto"/>
            <w:left w:val="none" w:sz="0" w:space="0" w:color="auto"/>
            <w:bottom w:val="none" w:sz="0" w:space="0" w:color="auto"/>
            <w:right w:val="none" w:sz="0" w:space="0" w:color="auto"/>
          </w:divBdr>
        </w:div>
      </w:divsChild>
    </w:div>
    <w:div w:id="69427732">
      <w:bodyDiv w:val="1"/>
      <w:marLeft w:val="0"/>
      <w:marRight w:val="0"/>
      <w:marTop w:val="0"/>
      <w:marBottom w:val="0"/>
      <w:divBdr>
        <w:top w:val="none" w:sz="0" w:space="0" w:color="auto"/>
        <w:left w:val="none" w:sz="0" w:space="0" w:color="auto"/>
        <w:bottom w:val="none" w:sz="0" w:space="0" w:color="auto"/>
        <w:right w:val="none" w:sz="0" w:space="0" w:color="auto"/>
      </w:divBdr>
    </w:div>
    <w:div w:id="97650228">
      <w:bodyDiv w:val="1"/>
      <w:marLeft w:val="0"/>
      <w:marRight w:val="0"/>
      <w:marTop w:val="0"/>
      <w:marBottom w:val="0"/>
      <w:divBdr>
        <w:top w:val="none" w:sz="0" w:space="0" w:color="auto"/>
        <w:left w:val="none" w:sz="0" w:space="0" w:color="auto"/>
        <w:bottom w:val="none" w:sz="0" w:space="0" w:color="auto"/>
        <w:right w:val="none" w:sz="0" w:space="0" w:color="auto"/>
      </w:divBdr>
    </w:div>
    <w:div w:id="152570632">
      <w:bodyDiv w:val="1"/>
      <w:marLeft w:val="0"/>
      <w:marRight w:val="0"/>
      <w:marTop w:val="0"/>
      <w:marBottom w:val="0"/>
      <w:divBdr>
        <w:top w:val="none" w:sz="0" w:space="0" w:color="auto"/>
        <w:left w:val="none" w:sz="0" w:space="0" w:color="auto"/>
        <w:bottom w:val="none" w:sz="0" w:space="0" w:color="auto"/>
        <w:right w:val="none" w:sz="0" w:space="0" w:color="auto"/>
      </w:divBdr>
    </w:div>
    <w:div w:id="174269066">
      <w:bodyDiv w:val="1"/>
      <w:marLeft w:val="0"/>
      <w:marRight w:val="0"/>
      <w:marTop w:val="0"/>
      <w:marBottom w:val="0"/>
      <w:divBdr>
        <w:top w:val="none" w:sz="0" w:space="0" w:color="auto"/>
        <w:left w:val="none" w:sz="0" w:space="0" w:color="auto"/>
        <w:bottom w:val="none" w:sz="0" w:space="0" w:color="auto"/>
        <w:right w:val="none" w:sz="0" w:space="0" w:color="auto"/>
      </w:divBdr>
    </w:div>
    <w:div w:id="177550164">
      <w:bodyDiv w:val="1"/>
      <w:marLeft w:val="0"/>
      <w:marRight w:val="0"/>
      <w:marTop w:val="0"/>
      <w:marBottom w:val="0"/>
      <w:divBdr>
        <w:top w:val="none" w:sz="0" w:space="0" w:color="auto"/>
        <w:left w:val="none" w:sz="0" w:space="0" w:color="auto"/>
        <w:bottom w:val="none" w:sz="0" w:space="0" w:color="auto"/>
        <w:right w:val="none" w:sz="0" w:space="0" w:color="auto"/>
      </w:divBdr>
    </w:div>
    <w:div w:id="179007985">
      <w:bodyDiv w:val="1"/>
      <w:marLeft w:val="0"/>
      <w:marRight w:val="0"/>
      <w:marTop w:val="0"/>
      <w:marBottom w:val="0"/>
      <w:divBdr>
        <w:top w:val="none" w:sz="0" w:space="0" w:color="auto"/>
        <w:left w:val="none" w:sz="0" w:space="0" w:color="auto"/>
        <w:bottom w:val="none" w:sz="0" w:space="0" w:color="auto"/>
        <w:right w:val="none" w:sz="0" w:space="0" w:color="auto"/>
      </w:divBdr>
    </w:div>
    <w:div w:id="193734516">
      <w:bodyDiv w:val="1"/>
      <w:marLeft w:val="0"/>
      <w:marRight w:val="0"/>
      <w:marTop w:val="0"/>
      <w:marBottom w:val="0"/>
      <w:divBdr>
        <w:top w:val="none" w:sz="0" w:space="0" w:color="auto"/>
        <w:left w:val="none" w:sz="0" w:space="0" w:color="auto"/>
        <w:bottom w:val="none" w:sz="0" w:space="0" w:color="auto"/>
        <w:right w:val="none" w:sz="0" w:space="0" w:color="auto"/>
      </w:divBdr>
    </w:div>
    <w:div w:id="199514398">
      <w:bodyDiv w:val="1"/>
      <w:marLeft w:val="0"/>
      <w:marRight w:val="0"/>
      <w:marTop w:val="0"/>
      <w:marBottom w:val="0"/>
      <w:divBdr>
        <w:top w:val="none" w:sz="0" w:space="0" w:color="auto"/>
        <w:left w:val="none" w:sz="0" w:space="0" w:color="auto"/>
        <w:bottom w:val="none" w:sz="0" w:space="0" w:color="auto"/>
        <w:right w:val="none" w:sz="0" w:space="0" w:color="auto"/>
      </w:divBdr>
    </w:div>
    <w:div w:id="215436123">
      <w:bodyDiv w:val="1"/>
      <w:marLeft w:val="0"/>
      <w:marRight w:val="0"/>
      <w:marTop w:val="0"/>
      <w:marBottom w:val="0"/>
      <w:divBdr>
        <w:top w:val="none" w:sz="0" w:space="0" w:color="auto"/>
        <w:left w:val="none" w:sz="0" w:space="0" w:color="auto"/>
        <w:bottom w:val="none" w:sz="0" w:space="0" w:color="auto"/>
        <w:right w:val="none" w:sz="0" w:space="0" w:color="auto"/>
      </w:divBdr>
    </w:div>
    <w:div w:id="258488160">
      <w:bodyDiv w:val="1"/>
      <w:marLeft w:val="0"/>
      <w:marRight w:val="0"/>
      <w:marTop w:val="0"/>
      <w:marBottom w:val="0"/>
      <w:divBdr>
        <w:top w:val="none" w:sz="0" w:space="0" w:color="auto"/>
        <w:left w:val="none" w:sz="0" w:space="0" w:color="auto"/>
        <w:bottom w:val="none" w:sz="0" w:space="0" w:color="auto"/>
        <w:right w:val="none" w:sz="0" w:space="0" w:color="auto"/>
      </w:divBdr>
    </w:div>
    <w:div w:id="280459091">
      <w:bodyDiv w:val="1"/>
      <w:marLeft w:val="0"/>
      <w:marRight w:val="0"/>
      <w:marTop w:val="0"/>
      <w:marBottom w:val="0"/>
      <w:divBdr>
        <w:top w:val="none" w:sz="0" w:space="0" w:color="auto"/>
        <w:left w:val="none" w:sz="0" w:space="0" w:color="auto"/>
        <w:bottom w:val="none" w:sz="0" w:space="0" w:color="auto"/>
        <w:right w:val="none" w:sz="0" w:space="0" w:color="auto"/>
      </w:divBdr>
    </w:div>
    <w:div w:id="303589645">
      <w:bodyDiv w:val="1"/>
      <w:marLeft w:val="0"/>
      <w:marRight w:val="0"/>
      <w:marTop w:val="0"/>
      <w:marBottom w:val="0"/>
      <w:divBdr>
        <w:top w:val="none" w:sz="0" w:space="0" w:color="auto"/>
        <w:left w:val="none" w:sz="0" w:space="0" w:color="auto"/>
        <w:bottom w:val="none" w:sz="0" w:space="0" w:color="auto"/>
        <w:right w:val="none" w:sz="0" w:space="0" w:color="auto"/>
      </w:divBdr>
    </w:div>
    <w:div w:id="309138133">
      <w:bodyDiv w:val="1"/>
      <w:marLeft w:val="0"/>
      <w:marRight w:val="0"/>
      <w:marTop w:val="0"/>
      <w:marBottom w:val="0"/>
      <w:divBdr>
        <w:top w:val="none" w:sz="0" w:space="0" w:color="auto"/>
        <w:left w:val="none" w:sz="0" w:space="0" w:color="auto"/>
        <w:bottom w:val="none" w:sz="0" w:space="0" w:color="auto"/>
        <w:right w:val="none" w:sz="0" w:space="0" w:color="auto"/>
      </w:divBdr>
    </w:div>
    <w:div w:id="312029702">
      <w:bodyDiv w:val="1"/>
      <w:marLeft w:val="0"/>
      <w:marRight w:val="0"/>
      <w:marTop w:val="0"/>
      <w:marBottom w:val="0"/>
      <w:divBdr>
        <w:top w:val="none" w:sz="0" w:space="0" w:color="auto"/>
        <w:left w:val="none" w:sz="0" w:space="0" w:color="auto"/>
        <w:bottom w:val="none" w:sz="0" w:space="0" w:color="auto"/>
        <w:right w:val="none" w:sz="0" w:space="0" w:color="auto"/>
      </w:divBdr>
    </w:div>
    <w:div w:id="410735666">
      <w:bodyDiv w:val="1"/>
      <w:marLeft w:val="0"/>
      <w:marRight w:val="0"/>
      <w:marTop w:val="0"/>
      <w:marBottom w:val="0"/>
      <w:divBdr>
        <w:top w:val="none" w:sz="0" w:space="0" w:color="auto"/>
        <w:left w:val="none" w:sz="0" w:space="0" w:color="auto"/>
        <w:bottom w:val="none" w:sz="0" w:space="0" w:color="auto"/>
        <w:right w:val="none" w:sz="0" w:space="0" w:color="auto"/>
      </w:divBdr>
    </w:div>
    <w:div w:id="426779627">
      <w:bodyDiv w:val="1"/>
      <w:marLeft w:val="0"/>
      <w:marRight w:val="0"/>
      <w:marTop w:val="0"/>
      <w:marBottom w:val="0"/>
      <w:divBdr>
        <w:top w:val="none" w:sz="0" w:space="0" w:color="auto"/>
        <w:left w:val="none" w:sz="0" w:space="0" w:color="auto"/>
        <w:bottom w:val="none" w:sz="0" w:space="0" w:color="auto"/>
        <w:right w:val="none" w:sz="0" w:space="0" w:color="auto"/>
      </w:divBdr>
    </w:div>
    <w:div w:id="437988056">
      <w:bodyDiv w:val="1"/>
      <w:marLeft w:val="0"/>
      <w:marRight w:val="0"/>
      <w:marTop w:val="0"/>
      <w:marBottom w:val="0"/>
      <w:divBdr>
        <w:top w:val="none" w:sz="0" w:space="0" w:color="auto"/>
        <w:left w:val="none" w:sz="0" w:space="0" w:color="auto"/>
        <w:bottom w:val="none" w:sz="0" w:space="0" w:color="auto"/>
        <w:right w:val="none" w:sz="0" w:space="0" w:color="auto"/>
      </w:divBdr>
    </w:div>
    <w:div w:id="441844202">
      <w:bodyDiv w:val="1"/>
      <w:marLeft w:val="0"/>
      <w:marRight w:val="0"/>
      <w:marTop w:val="0"/>
      <w:marBottom w:val="0"/>
      <w:divBdr>
        <w:top w:val="none" w:sz="0" w:space="0" w:color="auto"/>
        <w:left w:val="none" w:sz="0" w:space="0" w:color="auto"/>
        <w:bottom w:val="none" w:sz="0" w:space="0" w:color="auto"/>
        <w:right w:val="none" w:sz="0" w:space="0" w:color="auto"/>
      </w:divBdr>
    </w:div>
    <w:div w:id="449596018">
      <w:bodyDiv w:val="1"/>
      <w:marLeft w:val="0"/>
      <w:marRight w:val="0"/>
      <w:marTop w:val="0"/>
      <w:marBottom w:val="0"/>
      <w:divBdr>
        <w:top w:val="none" w:sz="0" w:space="0" w:color="auto"/>
        <w:left w:val="none" w:sz="0" w:space="0" w:color="auto"/>
        <w:bottom w:val="none" w:sz="0" w:space="0" w:color="auto"/>
        <w:right w:val="none" w:sz="0" w:space="0" w:color="auto"/>
      </w:divBdr>
    </w:div>
    <w:div w:id="453713253">
      <w:bodyDiv w:val="1"/>
      <w:marLeft w:val="0"/>
      <w:marRight w:val="0"/>
      <w:marTop w:val="0"/>
      <w:marBottom w:val="0"/>
      <w:divBdr>
        <w:top w:val="none" w:sz="0" w:space="0" w:color="auto"/>
        <w:left w:val="none" w:sz="0" w:space="0" w:color="auto"/>
        <w:bottom w:val="none" w:sz="0" w:space="0" w:color="auto"/>
        <w:right w:val="none" w:sz="0" w:space="0" w:color="auto"/>
      </w:divBdr>
    </w:div>
    <w:div w:id="478962956">
      <w:bodyDiv w:val="1"/>
      <w:marLeft w:val="0"/>
      <w:marRight w:val="0"/>
      <w:marTop w:val="0"/>
      <w:marBottom w:val="0"/>
      <w:divBdr>
        <w:top w:val="none" w:sz="0" w:space="0" w:color="auto"/>
        <w:left w:val="none" w:sz="0" w:space="0" w:color="auto"/>
        <w:bottom w:val="none" w:sz="0" w:space="0" w:color="auto"/>
        <w:right w:val="none" w:sz="0" w:space="0" w:color="auto"/>
      </w:divBdr>
    </w:div>
    <w:div w:id="511380087">
      <w:bodyDiv w:val="1"/>
      <w:marLeft w:val="0"/>
      <w:marRight w:val="0"/>
      <w:marTop w:val="0"/>
      <w:marBottom w:val="0"/>
      <w:divBdr>
        <w:top w:val="none" w:sz="0" w:space="0" w:color="auto"/>
        <w:left w:val="none" w:sz="0" w:space="0" w:color="auto"/>
        <w:bottom w:val="none" w:sz="0" w:space="0" w:color="auto"/>
        <w:right w:val="none" w:sz="0" w:space="0" w:color="auto"/>
      </w:divBdr>
    </w:div>
    <w:div w:id="519591551">
      <w:bodyDiv w:val="1"/>
      <w:marLeft w:val="0"/>
      <w:marRight w:val="0"/>
      <w:marTop w:val="0"/>
      <w:marBottom w:val="0"/>
      <w:divBdr>
        <w:top w:val="none" w:sz="0" w:space="0" w:color="auto"/>
        <w:left w:val="none" w:sz="0" w:space="0" w:color="auto"/>
        <w:bottom w:val="none" w:sz="0" w:space="0" w:color="auto"/>
        <w:right w:val="none" w:sz="0" w:space="0" w:color="auto"/>
      </w:divBdr>
    </w:div>
    <w:div w:id="536551827">
      <w:bodyDiv w:val="1"/>
      <w:marLeft w:val="0"/>
      <w:marRight w:val="0"/>
      <w:marTop w:val="0"/>
      <w:marBottom w:val="0"/>
      <w:divBdr>
        <w:top w:val="none" w:sz="0" w:space="0" w:color="auto"/>
        <w:left w:val="none" w:sz="0" w:space="0" w:color="auto"/>
        <w:bottom w:val="none" w:sz="0" w:space="0" w:color="auto"/>
        <w:right w:val="none" w:sz="0" w:space="0" w:color="auto"/>
      </w:divBdr>
    </w:div>
    <w:div w:id="555164488">
      <w:bodyDiv w:val="1"/>
      <w:marLeft w:val="0"/>
      <w:marRight w:val="0"/>
      <w:marTop w:val="0"/>
      <w:marBottom w:val="0"/>
      <w:divBdr>
        <w:top w:val="none" w:sz="0" w:space="0" w:color="auto"/>
        <w:left w:val="none" w:sz="0" w:space="0" w:color="auto"/>
        <w:bottom w:val="none" w:sz="0" w:space="0" w:color="auto"/>
        <w:right w:val="none" w:sz="0" w:space="0" w:color="auto"/>
      </w:divBdr>
    </w:div>
    <w:div w:id="566114826">
      <w:bodyDiv w:val="1"/>
      <w:marLeft w:val="0"/>
      <w:marRight w:val="0"/>
      <w:marTop w:val="0"/>
      <w:marBottom w:val="0"/>
      <w:divBdr>
        <w:top w:val="none" w:sz="0" w:space="0" w:color="auto"/>
        <w:left w:val="none" w:sz="0" w:space="0" w:color="auto"/>
        <w:bottom w:val="none" w:sz="0" w:space="0" w:color="auto"/>
        <w:right w:val="none" w:sz="0" w:space="0" w:color="auto"/>
      </w:divBdr>
    </w:div>
    <w:div w:id="597829821">
      <w:bodyDiv w:val="1"/>
      <w:marLeft w:val="0"/>
      <w:marRight w:val="0"/>
      <w:marTop w:val="0"/>
      <w:marBottom w:val="0"/>
      <w:divBdr>
        <w:top w:val="none" w:sz="0" w:space="0" w:color="auto"/>
        <w:left w:val="none" w:sz="0" w:space="0" w:color="auto"/>
        <w:bottom w:val="none" w:sz="0" w:space="0" w:color="auto"/>
        <w:right w:val="none" w:sz="0" w:space="0" w:color="auto"/>
      </w:divBdr>
    </w:div>
    <w:div w:id="627861978">
      <w:bodyDiv w:val="1"/>
      <w:marLeft w:val="0"/>
      <w:marRight w:val="0"/>
      <w:marTop w:val="0"/>
      <w:marBottom w:val="0"/>
      <w:divBdr>
        <w:top w:val="none" w:sz="0" w:space="0" w:color="auto"/>
        <w:left w:val="none" w:sz="0" w:space="0" w:color="auto"/>
        <w:bottom w:val="none" w:sz="0" w:space="0" w:color="auto"/>
        <w:right w:val="none" w:sz="0" w:space="0" w:color="auto"/>
      </w:divBdr>
    </w:div>
    <w:div w:id="631863563">
      <w:bodyDiv w:val="1"/>
      <w:marLeft w:val="0"/>
      <w:marRight w:val="0"/>
      <w:marTop w:val="0"/>
      <w:marBottom w:val="0"/>
      <w:divBdr>
        <w:top w:val="none" w:sz="0" w:space="0" w:color="auto"/>
        <w:left w:val="none" w:sz="0" w:space="0" w:color="auto"/>
        <w:bottom w:val="none" w:sz="0" w:space="0" w:color="auto"/>
        <w:right w:val="none" w:sz="0" w:space="0" w:color="auto"/>
      </w:divBdr>
    </w:div>
    <w:div w:id="713308734">
      <w:bodyDiv w:val="1"/>
      <w:marLeft w:val="0"/>
      <w:marRight w:val="0"/>
      <w:marTop w:val="0"/>
      <w:marBottom w:val="0"/>
      <w:divBdr>
        <w:top w:val="none" w:sz="0" w:space="0" w:color="auto"/>
        <w:left w:val="none" w:sz="0" w:space="0" w:color="auto"/>
        <w:bottom w:val="none" w:sz="0" w:space="0" w:color="auto"/>
        <w:right w:val="none" w:sz="0" w:space="0" w:color="auto"/>
      </w:divBdr>
    </w:div>
    <w:div w:id="772945485">
      <w:bodyDiv w:val="1"/>
      <w:marLeft w:val="0"/>
      <w:marRight w:val="0"/>
      <w:marTop w:val="0"/>
      <w:marBottom w:val="0"/>
      <w:divBdr>
        <w:top w:val="none" w:sz="0" w:space="0" w:color="auto"/>
        <w:left w:val="none" w:sz="0" w:space="0" w:color="auto"/>
        <w:bottom w:val="none" w:sz="0" w:space="0" w:color="auto"/>
        <w:right w:val="none" w:sz="0" w:space="0" w:color="auto"/>
      </w:divBdr>
    </w:div>
    <w:div w:id="796919378">
      <w:bodyDiv w:val="1"/>
      <w:marLeft w:val="0"/>
      <w:marRight w:val="0"/>
      <w:marTop w:val="0"/>
      <w:marBottom w:val="0"/>
      <w:divBdr>
        <w:top w:val="none" w:sz="0" w:space="0" w:color="auto"/>
        <w:left w:val="none" w:sz="0" w:space="0" w:color="auto"/>
        <w:bottom w:val="none" w:sz="0" w:space="0" w:color="auto"/>
        <w:right w:val="none" w:sz="0" w:space="0" w:color="auto"/>
      </w:divBdr>
    </w:div>
    <w:div w:id="863833421">
      <w:bodyDiv w:val="1"/>
      <w:marLeft w:val="0"/>
      <w:marRight w:val="0"/>
      <w:marTop w:val="0"/>
      <w:marBottom w:val="0"/>
      <w:divBdr>
        <w:top w:val="none" w:sz="0" w:space="0" w:color="auto"/>
        <w:left w:val="none" w:sz="0" w:space="0" w:color="auto"/>
        <w:bottom w:val="none" w:sz="0" w:space="0" w:color="auto"/>
        <w:right w:val="none" w:sz="0" w:space="0" w:color="auto"/>
      </w:divBdr>
    </w:div>
    <w:div w:id="909001589">
      <w:bodyDiv w:val="1"/>
      <w:marLeft w:val="0"/>
      <w:marRight w:val="0"/>
      <w:marTop w:val="0"/>
      <w:marBottom w:val="0"/>
      <w:divBdr>
        <w:top w:val="none" w:sz="0" w:space="0" w:color="auto"/>
        <w:left w:val="none" w:sz="0" w:space="0" w:color="auto"/>
        <w:bottom w:val="none" w:sz="0" w:space="0" w:color="auto"/>
        <w:right w:val="none" w:sz="0" w:space="0" w:color="auto"/>
      </w:divBdr>
    </w:div>
    <w:div w:id="923883066">
      <w:bodyDiv w:val="1"/>
      <w:marLeft w:val="0"/>
      <w:marRight w:val="0"/>
      <w:marTop w:val="0"/>
      <w:marBottom w:val="0"/>
      <w:divBdr>
        <w:top w:val="none" w:sz="0" w:space="0" w:color="auto"/>
        <w:left w:val="none" w:sz="0" w:space="0" w:color="auto"/>
        <w:bottom w:val="none" w:sz="0" w:space="0" w:color="auto"/>
        <w:right w:val="none" w:sz="0" w:space="0" w:color="auto"/>
      </w:divBdr>
    </w:div>
    <w:div w:id="935745991">
      <w:bodyDiv w:val="1"/>
      <w:marLeft w:val="0"/>
      <w:marRight w:val="0"/>
      <w:marTop w:val="0"/>
      <w:marBottom w:val="0"/>
      <w:divBdr>
        <w:top w:val="none" w:sz="0" w:space="0" w:color="auto"/>
        <w:left w:val="none" w:sz="0" w:space="0" w:color="auto"/>
        <w:bottom w:val="none" w:sz="0" w:space="0" w:color="auto"/>
        <w:right w:val="none" w:sz="0" w:space="0" w:color="auto"/>
      </w:divBdr>
    </w:div>
    <w:div w:id="965427421">
      <w:bodyDiv w:val="1"/>
      <w:marLeft w:val="0"/>
      <w:marRight w:val="0"/>
      <w:marTop w:val="0"/>
      <w:marBottom w:val="0"/>
      <w:divBdr>
        <w:top w:val="none" w:sz="0" w:space="0" w:color="auto"/>
        <w:left w:val="none" w:sz="0" w:space="0" w:color="auto"/>
        <w:bottom w:val="none" w:sz="0" w:space="0" w:color="auto"/>
        <w:right w:val="none" w:sz="0" w:space="0" w:color="auto"/>
      </w:divBdr>
    </w:div>
    <w:div w:id="966811839">
      <w:bodyDiv w:val="1"/>
      <w:marLeft w:val="0"/>
      <w:marRight w:val="0"/>
      <w:marTop w:val="0"/>
      <w:marBottom w:val="0"/>
      <w:divBdr>
        <w:top w:val="none" w:sz="0" w:space="0" w:color="auto"/>
        <w:left w:val="none" w:sz="0" w:space="0" w:color="auto"/>
        <w:bottom w:val="none" w:sz="0" w:space="0" w:color="auto"/>
        <w:right w:val="none" w:sz="0" w:space="0" w:color="auto"/>
      </w:divBdr>
    </w:div>
    <w:div w:id="975918252">
      <w:bodyDiv w:val="1"/>
      <w:marLeft w:val="0"/>
      <w:marRight w:val="0"/>
      <w:marTop w:val="0"/>
      <w:marBottom w:val="0"/>
      <w:divBdr>
        <w:top w:val="none" w:sz="0" w:space="0" w:color="auto"/>
        <w:left w:val="none" w:sz="0" w:space="0" w:color="auto"/>
        <w:bottom w:val="none" w:sz="0" w:space="0" w:color="auto"/>
        <w:right w:val="none" w:sz="0" w:space="0" w:color="auto"/>
      </w:divBdr>
    </w:div>
    <w:div w:id="1007943702">
      <w:bodyDiv w:val="1"/>
      <w:marLeft w:val="0"/>
      <w:marRight w:val="0"/>
      <w:marTop w:val="0"/>
      <w:marBottom w:val="0"/>
      <w:divBdr>
        <w:top w:val="none" w:sz="0" w:space="0" w:color="auto"/>
        <w:left w:val="none" w:sz="0" w:space="0" w:color="auto"/>
        <w:bottom w:val="none" w:sz="0" w:space="0" w:color="auto"/>
        <w:right w:val="none" w:sz="0" w:space="0" w:color="auto"/>
      </w:divBdr>
    </w:div>
    <w:div w:id="1016929243">
      <w:bodyDiv w:val="1"/>
      <w:marLeft w:val="0"/>
      <w:marRight w:val="0"/>
      <w:marTop w:val="0"/>
      <w:marBottom w:val="0"/>
      <w:divBdr>
        <w:top w:val="none" w:sz="0" w:space="0" w:color="auto"/>
        <w:left w:val="none" w:sz="0" w:space="0" w:color="auto"/>
        <w:bottom w:val="none" w:sz="0" w:space="0" w:color="auto"/>
        <w:right w:val="none" w:sz="0" w:space="0" w:color="auto"/>
      </w:divBdr>
      <w:divsChild>
        <w:div w:id="369887855">
          <w:marLeft w:val="0"/>
          <w:marRight w:val="0"/>
          <w:marTop w:val="0"/>
          <w:marBottom w:val="0"/>
          <w:divBdr>
            <w:top w:val="single" w:sz="6" w:space="0" w:color="666666"/>
            <w:left w:val="single" w:sz="6" w:space="0" w:color="666666"/>
            <w:bottom w:val="single" w:sz="6" w:space="0" w:color="666666"/>
            <w:right w:val="single" w:sz="6" w:space="0" w:color="666666"/>
          </w:divBdr>
          <w:divsChild>
            <w:div w:id="156922034">
              <w:marLeft w:val="0"/>
              <w:marRight w:val="0"/>
              <w:marTop w:val="0"/>
              <w:marBottom w:val="0"/>
              <w:divBdr>
                <w:top w:val="none" w:sz="0" w:space="0" w:color="auto"/>
                <w:left w:val="none" w:sz="0" w:space="0" w:color="auto"/>
                <w:bottom w:val="none" w:sz="0" w:space="0" w:color="auto"/>
                <w:right w:val="none" w:sz="0" w:space="0" w:color="auto"/>
              </w:divBdr>
              <w:divsChild>
                <w:div w:id="437674675">
                  <w:marLeft w:val="0"/>
                  <w:marRight w:val="0"/>
                  <w:marTop w:val="0"/>
                  <w:marBottom w:val="0"/>
                  <w:divBdr>
                    <w:top w:val="none" w:sz="0" w:space="0" w:color="auto"/>
                    <w:left w:val="none" w:sz="0" w:space="0" w:color="auto"/>
                    <w:bottom w:val="none" w:sz="0" w:space="0" w:color="auto"/>
                    <w:right w:val="none" w:sz="0" w:space="0" w:color="auto"/>
                  </w:divBdr>
                  <w:divsChild>
                    <w:div w:id="1870337526">
                      <w:marLeft w:val="0"/>
                      <w:marRight w:val="0"/>
                      <w:marTop w:val="0"/>
                      <w:marBottom w:val="0"/>
                      <w:divBdr>
                        <w:top w:val="none" w:sz="0" w:space="0" w:color="auto"/>
                        <w:left w:val="none" w:sz="0" w:space="0" w:color="auto"/>
                        <w:bottom w:val="none" w:sz="0" w:space="0" w:color="auto"/>
                        <w:right w:val="none" w:sz="0" w:space="0" w:color="auto"/>
                      </w:divBdr>
                      <w:divsChild>
                        <w:div w:id="1518038630">
                          <w:marLeft w:val="0"/>
                          <w:marRight w:val="0"/>
                          <w:marTop w:val="0"/>
                          <w:marBottom w:val="0"/>
                          <w:divBdr>
                            <w:top w:val="none" w:sz="0" w:space="0" w:color="auto"/>
                            <w:left w:val="none" w:sz="0" w:space="0" w:color="auto"/>
                            <w:bottom w:val="none" w:sz="0" w:space="0" w:color="auto"/>
                            <w:right w:val="none" w:sz="0" w:space="0" w:color="auto"/>
                          </w:divBdr>
                          <w:divsChild>
                            <w:div w:id="457652490">
                              <w:marLeft w:val="0"/>
                              <w:marRight w:val="0"/>
                              <w:marTop w:val="0"/>
                              <w:marBottom w:val="0"/>
                              <w:divBdr>
                                <w:top w:val="none" w:sz="0" w:space="0" w:color="auto"/>
                                <w:left w:val="none" w:sz="0" w:space="0" w:color="auto"/>
                                <w:bottom w:val="none" w:sz="0" w:space="0" w:color="auto"/>
                                <w:right w:val="none" w:sz="0" w:space="0" w:color="auto"/>
                              </w:divBdr>
                              <w:divsChild>
                                <w:div w:id="687021289">
                                  <w:marLeft w:val="0"/>
                                  <w:marRight w:val="0"/>
                                  <w:marTop w:val="0"/>
                                  <w:marBottom w:val="0"/>
                                  <w:divBdr>
                                    <w:top w:val="none" w:sz="0" w:space="0" w:color="auto"/>
                                    <w:left w:val="none" w:sz="0" w:space="0" w:color="auto"/>
                                    <w:bottom w:val="none" w:sz="0" w:space="0" w:color="auto"/>
                                    <w:right w:val="none" w:sz="0" w:space="0" w:color="auto"/>
                                  </w:divBdr>
                                  <w:divsChild>
                                    <w:div w:id="821047137">
                                      <w:marLeft w:val="0"/>
                                      <w:marRight w:val="0"/>
                                      <w:marTop w:val="0"/>
                                      <w:marBottom w:val="0"/>
                                      <w:divBdr>
                                        <w:top w:val="none" w:sz="0" w:space="0" w:color="auto"/>
                                        <w:left w:val="none" w:sz="0" w:space="0" w:color="auto"/>
                                        <w:bottom w:val="none" w:sz="0" w:space="0" w:color="auto"/>
                                        <w:right w:val="none" w:sz="0" w:space="0" w:color="auto"/>
                                      </w:divBdr>
                                      <w:divsChild>
                                        <w:div w:id="150996376">
                                          <w:marLeft w:val="0"/>
                                          <w:marRight w:val="0"/>
                                          <w:marTop w:val="0"/>
                                          <w:marBottom w:val="0"/>
                                          <w:divBdr>
                                            <w:top w:val="none" w:sz="0" w:space="0" w:color="auto"/>
                                            <w:left w:val="none" w:sz="0" w:space="0" w:color="auto"/>
                                            <w:bottom w:val="none" w:sz="0" w:space="0" w:color="auto"/>
                                            <w:right w:val="none" w:sz="0" w:space="0" w:color="auto"/>
                                          </w:divBdr>
                                          <w:divsChild>
                                            <w:div w:id="253317983">
                                              <w:marLeft w:val="0"/>
                                              <w:marRight w:val="0"/>
                                              <w:marTop w:val="0"/>
                                              <w:marBottom w:val="0"/>
                                              <w:divBdr>
                                                <w:top w:val="none" w:sz="0" w:space="0" w:color="auto"/>
                                                <w:left w:val="none" w:sz="0" w:space="0" w:color="auto"/>
                                                <w:bottom w:val="none" w:sz="0" w:space="0" w:color="auto"/>
                                                <w:right w:val="none" w:sz="0" w:space="0" w:color="auto"/>
                                              </w:divBdr>
                                              <w:divsChild>
                                                <w:div w:id="738552283">
                                                  <w:marLeft w:val="0"/>
                                                  <w:marRight w:val="0"/>
                                                  <w:marTop w:val="0"/>
                                                  <w:marBottom w:val="0"/>
                                                  <w:divBdr>
                                                    <w:top w:val="none" w:sz="0" w:space="0" w:color="auto"/>
                                                    <w:left w:val="none" w:sz="0" w:space="0" w:color="auto"/>
                                                    <w:bottom w:val="none" w:sz="0" w:space="0" w:color="auto"/>
                                                    <w:right w:val="none" w:sz="0" w:space="0" w:color="auto"/>
                                                  </w:divBdr>
                                                  <w:divsChild>
                                                    <w:div w:id="1515068022">
                                                      <w:marLeft w:val="0"/>
                                                      <w:marRight w:val="0"/>
                                                      <w:marTop w:val="0"/>
                                                      <w:marBottom w:val="0"/>
                                                      <w:divBdr>
                                                        <w:top w:val="none" w:sz="0" w:space="0" w:color="auto"/>
                                                        <w:left w:val="none" w:sz="0" w:space="0" w:color="auto"/>
                                                        <w:bottom w:val="none" w:sz="0" w:space="0" w:color="auto"/>
                                                        <w:right w:val="none" w:sz="0" w:space="0" w:color="auto"/>
                                                      </w:divBdr>
                                                      <w:divsChild>
                                                        <w:div w:id="1463772643">
                                                          <w:marLeft w:val="0"/>
                                                          <w:marRight w:val="0"/>
                                                          <w:marTop w:val="0"/>
                                                          <w:marBottom w:val="0"/>
                                                          <w:divBdr>
                                                            <w:top w:val="none" w:sz="0" w:space="0" w:color="auto"/>
                                                            <w:left w:val="none" w:sz="0" w:space="0" w:color="auto"/>
                                                            <w:bottom w:val="none" w:sz="0" w:space="0" w:color="auto"/>
                                                            <w:right w:val="none" w:sz="0" w:space="0" w:color="auto"/>
                                                          </w:divBdr>
                                                          <w:divsChild>
                                                            <w:div w:id="971905778">
                                                              <w:marLeft w:val="0"/>
                                                              <w:marRight w:val="0"/>
                                                              <w:marTop w:val="0"/>
                                                              <w:marBottom w:val="0"/>
                                                              <w:divBdr>
                                                                <w:top w:val="none" w:sz="0" w:space="0" w:color="auto"/>
                                                                <w:left w:val="none" w:sz="0" w:space="0" w:color="auto"/>
                                                                <w:bottom w:val="none" w:sz="0" w:space="0" w:color="auto"/>
                                                                <w:right w:val="none" w:sz="0" w:space="0" w:color="auto"/>
                                                              </w:divBdr>
                                                              <w:divsChild>
                                                                <w:div w:id="25325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639272">
      <w:bodyDiv w:val="1"/>
      <w:marLeft w:val="0"/>
      <w:marRight w:val="0"/>
      <w:marTop w:val="0"/>
      <w:marBottom w:val="0"/>
      <w:divBdr>
        <w:top w:val="none" w:sz="0" w:space="0" w:color="auto"/>
        <w:left w:val="none" w:sz="0" w:space="0" w:color="auto"/>
        <w:bottom w:val="none" w:sz="0" w:space="0" w:color="auto"/>
        <w:right w:val="none" w:sz="0" w:space="0" w:color="auto"/>
      </w:divBdr>
    </w:div>
    <w:div w:id="1030953054">
      <w:bodyDiv w:val="1"/>
      <w:marLeft w:val="0"/>
      <w:marRight w:val="0"/>
      <w:marTop w:val="0"/>
      <w:marBottom w:val="0"/>
      <w:divBdr>
        <w:top w:val="none" w:sz="0" w:space="0" w:color="auto"/>
        <w:left w:val="none" w:sz="0" w:space="0" w:color="auto"/>
        <w:bottom w:val="none" w:sz="0" w:space="0" w:color="auto"/>
        <w:right w:val="none" w:sz="0" w:space="0" w:color="auto"/>
      </w:divBdr>
    </w:div>
    <w:div w:id="1067459021">
      <w:bodyDiv w:val="1"/>
      <w:marLeft w:val="0"/>
      <w:marRight w:val="0"/>
      <w:marTop w:val="0"/>
      <w:marBottom w:val="0"/>
      <w:divBdr>
        <w:top w:val="none" w:sz="0" w:space="0" w:color="auto"/>
        <w:left w:val="none" w:sz="0" w:space="0" w:color="auto"/>
        <w:bottom w:val="none" w:sz="0" w:space="0" w:color="auto"/>
        <w:right w:val="none" w:sz="0" w:space="0" w:color="auto"/>
      </w:divBdr>
      <w:divsChild>
        <w:div w:id="1348949693">
          <w:marLeft w:val="0"/>
          <w:marRight w:val="0"/>
          <w:marTop w:val="0"/>
          <w:marBottom w:val="0"/>
          <w:divBdr>
            <w:top w:val="single" w:sz="6" w:space="0" w:color="666666"/>
            <w:left w:val="single" w:sz="6" w:space="0" w:color="666666"/>
            <w:bottom w:val="single" w:sz="6" w:space="0" w:color="666666"/>
            <w:right w:val="single" w:sz="6" w:space="0" w:color="666666"/>
          </w:divBdr>
          <w:divsChild>
            <w:div w:id="1454326557">
              <w:marLeft w:val="0"/>
              <w:marRight w:val="0"/>
              <w:marTop w:val="0"/>
              <w:marBottom w:val="0"/>
              <w:divBdr>
                <w:top w:val="none" w:sz="0" w:space="0" w:color="auto"/>
                <w:left w:val="none" w:sz="0" w:space="0" w:color="auto"/>
                <w:bottom w:val="none" w:sz="0" w:space="0" w:color="auto"/>
                <w:right w:val="none" w:sz="0" w:space="0" w:color="auto"/>
              </w:divBdr>
              <w:divsChild>
                <w:div w:id="1925873558">
                  <w:marLeft w:val="0"/>
                  <w:marRight w:val="0"/>
                  <w:marTop w:val="0"/>
                  <w:marBottom w:val="0"/>
                  <w:divBdr>
                    <w:top w:val="none" w:sz="0" w:space="0" w:color="auto"/>
                    <w:left w:val="none" w:sz="0" w:space="0" w:color="auto"/>
                    <w:bottom w:val="none" w:sz="0" w:space="0" w:color="auto"/>
                    <w:right w:val="none" w:sz="0" w:space="0" w:color="auto"/>
                  </w:divBdr>
                  <w:divsChild>
                    <w:div w:id="1790929310">
                      <w:marLeft w:val="0"/>
                      <w:marRight w:val="0"/>
                      <w:marTop w:val="0"/>
                      <w:marBottom w:val="0"/>
                      <w:divBdr>
                        <w:top w:val="none" w:sz="0" w:space="0" w:color="auto"/>
                        <w:left w:val="none" w:sz="0" w:space="0" w:color="auto"/>
                        <w:bottom w:val="none" w:sz="0" w:space="0" w:color="auto"/>
                        <w:right w:val="none" w:sz="0" w:space="0" w:color="auto"/>
                      </w:divBdr>
                      <w:divsChild>
                        <w:div w:id="669799783">
                          <w:marLeft w:val="0"/>
                          <w:marRight w:val="0"/>
                          <w:marTop w:val="0"/>
                          <w:marBottom w:val="0"/>
                          <w:divBdr>
                            <w:top w:val="none" w:sz="0" w:space="0" w:color="auto"/>
                            <w:left w:val="none" w:sz="0" w:space="0" w:color="auto"/>
                            <w:bottom w:val="none" w:sz="0" w:space="0" w:color="auto"/>
                            <w:right w:val="none" w:sz="0" w:space="0" w:color="auto"/>
                          </w:divBdr>
                          <w:divsChild>
                            <w:div w:id="1632055450">
                              <w:marLeft w:val="0"/>
                              <w:marRight w:val="0"/>
                              <w:marTop w:val="0"/>
                              <w:marBottom w:val="0"/>
                              <w:divBdr>
                                <w:top w:val="none" w:sz="0" w:space="0" w:color="auto"/>
                                <w:left w:val="none" w:sz="0" w:space="0" w:color="auto"/>
                                <w:bottom w:val="none" w:sz="0" w:space="0" w:color="auto"/>
                                <w:right w:val="none" w:sz="0" w:space="0" w:color="auto"/>
                              </w:divBdr>
                              <w:divsChild>
                                <w:div w:id="1084375527">
                                  <w:marLeft w:val="0"/>
                                  <w:marRight w:val="0"/>
                                  <w:marTop w:val="0"/>
                                  <w:marBottom w:val="0"/>
                                  <w:divBdr>
                                    <w:top w:val="none" w:sz="0" w:space="0" w:color="auto"/>
                                    <w:left w:val="none" w:sz="0" w:space="0" w:color="auto"/>
                                    <w:bottom w:val="none" w:sz="0" w:space="0" w:color="auto"/>
                                    <w:right w:val="none" w:sz="0" w:space="0" w:color="auto"/>
                                  </w:divBdr>
                                  <w:divsChild>
                                    <w:div w:id="1930579314">
                                      <w:marLeft w:val="0"/>
                                      <w:marRight w:val="0"/>
                                      <w:marTop w:val="0"/>
                                      <w:marBottom w:val="0"/>
                                      <w:divBdr>
                                        <w:top w:val="none" w:sz="0" w:space="0" w:color="auto"/>
                                        <w:left w:val="none" w:sz="0" w:space="0" w:color="auto"/>
                                        <w:bottom w:val="none" w:sz="0" w:space="0" w:color="auto"/>
                                        <w:right w:val="none" w:sz="0" w:space="0" w:color="auto"/>
                                      </w:divBdr>
                                      <w:divsChild>
                                        <w:div w:id="944851012">
                                          <w:marLeft w:val="0"/>
                                          <w:marRight w:val="0"/>
                                          <w:marTop w:val="0"/>
                                          <w:marBottom w:val="0"/>
                                          <w:divBdr>
                                            <w:top w:val="none" w:sz="0" w:space="0" w:color="auto"/>
                                            <w:left w:val="none" w:sz="0" w:space="0" w:color="auto"/>
                                            <w:bottom w:val="none" w:sz="0" w:space="0" w:color="auto"/>
                                            <w:right w:val="none" w:sz="0" w:space="0" w:color="auto"/>
                                          </w:divBdr>
                                          <w:divsChild>
                                            <w:div w:id="1786659296">
                                              <w:marLeft w:val="0"/>
                                              <w:marRight w:val="0"/>
                                              <w:marTop w:val="0"/>
                                              <w:marBottom w:val="0"/>
                                              <w:divBdr>
                                                <w:top w:val="none" w:sz="0" w:space="0" w:color="auto"/>
                                                <w:left w:val="none" w:sz="0" w:space="0" w:color="auto"/>
                                                <w:bottom w:val="none" w:sz="0" w:space="0" w:color="auto"/>
                                                <w:right w:val="none" w:sz="0" w:space="0" w:color="auto"/>
                                              </w:divBdr>
                                              <w:divsChild>
                                                <w:div w:id="1231305691">
                                                  <w:marLeft w:val="0"/>
                                                  <w:marRight w:val="0"/>
                                                  <w:marTop w:val="0"/>
                                                  <w:marBottom w:val="0"/>
                                                  <w:divBdr>
                                                    <w:top w:val="none" w:sz="0" w:space="0" w:color="auto"/>
                                                    <w:left w:val="none" w:sz="0" w:space="0" w:color="auto"/>
                                                    <w:bottom w:val="none" w:sz="0" w:space="0" w:color="auto"/>
                                                    <w:right w:val="none" w:sz="0" w:space="0" w:color="auto"/>
                                                  </w:divBdr>
                                                  <w:divsChild>
                                                    <w:div w:id="191379638">
                                                      <w:marLeft w:val="0"/>
                                                      <w:marRight w:val="0"/>
                                                      <w:marTop w:val="0"/>
                                                      <w:marBottom w:val="0"/>
                                                      <w:divBdr>
                                                        <w:top w:val="none" w:sz="0" w:space="0" w:color="auto"/>
                                                        <w:left w:val="none" w:sz="0" w:space="0" w:color="auto"/>
                                                        <w:bottom w:val="none" w:sz="0" w:space="0" w:color="auto"/>
                                                        <w:right w:val="none" w:sz="0" w:space="0" w:color="auto"/>
                                                      </w:divBdr>
                                                      <w:divsChild>
                                                        <w:div w:id="1361709881">
                                                          <w:marLeft w:val="0"/>
                                                          <w:marRight w:val="0"/>
                                                          <w:marTop w:val="0"/>
                                                          <w:marBottom w:val="0"/>
                                                          <w:divBdr>
                                                            <w:top w:val="none" w:sz="0" w:space="0" w:color="auto"/>
                                                            <w:left w:val="none" w:sz="0" w:space="0" w:color="auto"/>
                                                            <w:bottom w:val="none" w:sz="0" w:space="0" w:color="auto"/>
                                                            <w:right w:val="none" w:sz="0" w:space="0" w:color="auto"/>
                                                          </w:divBdr>
                                                          <w:divsChild>
                                                            <w:div w:id="123811682">
                                                              <w:marLeft w:val="0"/>
                                                              <w:marRight w:val="0"/>
                                                              <w:marTop w:val="0"/>
                                                              <w:marBottom w:val="0"/>
                                                              <w:divBdr>
                                                                <w:top w:val="none" w:sz="0" w:space="0" w:color="auto"/>
                                                                <w:left w:val="none" w:sz="0" w:space="0" w:color="auto"/>
                                                                <w:bottom w:val="none" w:sz="0" w:space="0" w:color="auto"/>
                                                                <w:right w:val="none" w:sz="0" w:space="0" w:color="auto"/>
                                                              </w:divBdr>
                                                              <w:divsChild>
                                                                <w:div w:id="208321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67532686">
      <w:bodyDiv w:val="1"/>
      <w:marLeft w:val="0"/>
      <w:marRight w:val="0"/>
      <w:marTop w:val="0"/>
      <w:marBottom w:val="0"/>
      <w:divBdr>
        <w:top w:val="none" w:sz="0" w:space="0" w:color="auto"/>
        <w:left w:val="none" w:sz="0" w:space="0" w:color="auto"/>
        <w:bottom w:val="none" w:sz="0" w:space="0" w:color="auto"/>
        <w:right w:val="none" w:sz="0" w:space="0" w:color="auto"/>
      </w:divBdr>
      <w:divsChild>
        <w:div w:id="1965774549">
          <w:marLeft w:val="0"/>
          <w:marRight w:val="0"/>
          <w:marTop w:val="0"/>
          <w:marBottom w:val="0"/>
          <w:divBdr>
            <w:top w:val="none" w:sz="0" w:space="0" w:color="auto"/>
            <w:left w:val="none" w:sz="0" w:space="0" w:color="auto"/>
            <w:bottom w:val="none" w:sz="0" w:space="0" w:color="auto"/>
            <w:right w:val="none" w:sz="0" w:space="0" w:color="auto"/>
          </w:divBdr>
        </w:div>
      </w:divsChild>
    </w:div>
    <w:div w:id="1081409795">
      <w:bodyDiv w:val="1"/>
      <w:marLeft w:val="0"/>
      <w:marRight w:val="0"/>
      <w:marTop w:val="0"/>
      <w:marBottom w:val="0"/>
      <w:divBdr>
        <w:top w:val="none" w:sz="0" w:space="0" w:color="auto"/>
        <w:left w:val="none" w:sz="0" w:space="0" w:color="auto"/>
        <w:bottom w:val="none" w:sz="0" w:space="0" w:color="auto"/>
        <w:right w:val="none" w:sz="0" w:space="0" w:color="auto"/>
      </w:divBdr>
    </w:div>
    <w:div w:id="1091391034">
      <w:bodyDiv w:val="1"/>
      <w:marLeft w:val="0"/>
      <w:marRight w:val="0"/>
      <w:marTop w:val="0"/>
      <w:marBottom w:val="0"/>
      <w:divBdr>
        <w:top w:val="none" w:sz="0" w:space="0" w:color="auto"/>
        <w:left w:val="none" w:sz="0" w:space="0" w:color="auto"/>
        <w:bottom w:val="none" w:sz="0" w:space="0" w:color="auto"/>
        <w:right w:val="none" w:sz="0" w:space="0" w:color="auto"/>
      </w:divBdr>
    </w:div>
    <w:div w:id="1156841989">
      <w:bodyDiv w:val="1"/>
      <w:marLeft w:val="0"/>
      <w:marRight w:val="0"/>
      <w:marTop w:val="0"/>
      <w:marBottom w:val="0"/>
      <w:divBdr>
        <w:top w:val="none" w:sz="0" w:space="0" w:color="auto"/>
        <w:left w:val="none" w:sz="0" w:space="0" w:color="auto"/>
        <w:bottom w:val="none" w:sz="0" w:space="0" w:color="auto"/>
        <w:right w:val="none" w:sz="0" w:space="0" w:color="auto"/>
      </w:divBdr>
    </w:div>
    <w:div w:id="1167671382">
      <w:bodyDiv w:val="1"/>
      <w:marLeft w:val="0"/>
      <w:marRight w:val="0"/>
      <w:marTop w:val="0"/>
      <w:marBottom w:val="0"/>
      <w:divBdr>
        <w:top w:val="none" w:sz="0" w:space="0" w:color="auto"/>
        <w:left w:val="none" w:sz="0" w:space="0" w:color="auto"/>
        <w:bottom w:val="none" w:sz="0" w:space="0" w:color="auto"/>
        <w:right w:val="none" w:sz="0" w:space="0" w:color="auto"/>
      </w:divBdr>
    </w:div>
    <w:div w:id="1175222991">
      <w:bodyDiv w:val="1"/>
      <w:marLeft w:val="0"/>
      <w:marRight w:val="0"/>
      <w:marTop w:val="0"/>
      <w:marBottom w:val="0"/>
      <w:divBdr>
        <w:top w:val="none" w:sz="0" w:space="0" w:color="auto"/>
        <w:left w:val="none" w:sz="0" w:space="0" w:color="auto"/>
        <w:bottom w:val="none" w:sz="0" w:space="0" w:color="auto"/>
        <w:right w:val="none" w:sz="0" w:space="0" w:color="auto"/>
      </w:divBdr>
    </w:div>
    <w:div w:id="1244224922">
      <w:bodyDiv w:val="1"/>
      <w:marLeft w:val="0"/>
      <w:marRight w:val="0"/>
      <w:marTop w:val="0"/>
      <w:marBottom w:val="0"/>
      <w:divBdr>
        <w:top w:val="none" w:sz="0" w:space="0" w:color="auto"/>
        <w:left w:val="none" w:sz="0" w:space="0" w:color="auto"/>
        <w:bottom w:val="none" w:sz="0" w:space="0" w:color="auto"/>
        <w:right w:val="none" w:sz="0" w:space="0" w:color="auto"/>
      </w:divBdr>
    </w:div>
    <w:div w:id="1253783750">
      <w:bodyDiv w:val="1"/>
      <w:marLeft w:val="0"/>
      <w:marRight w:val="0"/>
      <w:marTop w:val="0"/>
      <w:marBottom w:val="0"/>
      <w:divBdr>
        <w:top w:val="none" w:sz="0" w:space="0" w:color="auto"/>
        <w:left w:val="none" w:sz="0" w:space="0" w:color="auto"/>
        <w:bottom w:val="none" w:sz="0" w:space="0" w:color="auto"/>
        <w:right w:val="none" w:sz="0" w:space="0" w:color="auto"/>
      </w:divBdr>
    </w:div>
    <w:div w:id="1301152817">
      <w:bodyDiv w:val="1"/>
      <w:marLeft w:val="0"/>
      <w:marRight w:val="0"/>
      <w:marTop w:val="0"/>
      <w:marBottom w:val="0"/>
      <w:divBdr>
        <w:top w:val="none" w:sz="0" w:space="0" w:color="auto"/>
        <w:left w:val="none" w:sz="0" w:space="0" w:color="auto"/>
        <w:bottom w:val="none" w:sz="0" w:space="0" w:color="auto"/>
        <w:right w:val="none" w:sz="0" w:space="0" w:color="auto"/>
      </w:divBdr>
    </w:div>
    <w:div w:id="1312827548">
      <w:bodyDiv w:val="1"/>
      <w:marLeft w:val="0"/>
      <w:marRight w:val="0"/>
      <w:marTop w:val="0"/>
      <w:marBottom w:val="0"/>
      <w:divBdr>
        <w:top w:val="none" w:sz="0" w:space="0" w:color="auto"/>
        <w:left w:val="none" w:sz="0" w:space="0" w:color="auto"/>
        <w:bottom w:val="none" w:sz="0" w:space="0" w:color="auto"/>
        <w:right w:val="none" w:sz="0" w:space="0" w:color="auto"/>
      </w:divBdr>
    </w:div>
    <w:div w:id="1327125370">
      <w:bodyDiv w:val="1"/>
      <w:marLeft w:val="0"/>
      <w:marRight w:val="0"/>
      <w:marTop w:val="0"/>
      <w:marBottom w:val="0"/>
      <w:divBdr>
        <w:top w:val="none" w:sz="0" w:space="0" w:color="auto"/>
        <w:left w:val="none" w:sz="0" w:space="0" w:color="auto"/>
        <w:bottom w:val="none" w:sz="0" w:space="0" w:color="auto"/>
        <w:right w:val="none" w:sz="0" w:space="0" w:color="auto"/>
      </w:divBdr>
    </w:div>
    <w:div w:id="1431395352">
      <w:bodyDiv w:val="1"/>
      <w:marLeft w:val="0"/>
      <w:marRight w:val="0"/>
      <w:marTop w:val="0"/>
      <w:marBottom w:val="0"/>
      <w:divBdr>
        <w:top w:val="none" w:sz="0" w:space="0" w:color="auto"/>
        <w:left w:val="none" w:sz="0" w:space="0" w:color="auto"/>
        <w:bottom w:val="none" w:sz="0" w:space="0" w:color="auto"/>
        <w:right w:val="none" w:sz="0" w:space="0" w:color="auto"/>
      </w:divBdr>
    </w:div>
    <w:div w:id="1448431124">
      <w:bodyDiv w:val="1"/>
      <w:marLeft w:val="0"/>
      <w:marRight w:val="0"/>
      <w:marTop w:val="0"/>
      <w:marBottom w:val="0"/>
      <w:divBdr>
        <w:top w:val="none" w:sz="0" w:space="0" w:color="auto"/>
        <w:left w:val="none" w:sz="0" w:space="0" w:color="auto"/>
        <w:bottom w:val="none" w:sz="0" w:space="0" w:color="auto"/>
        <w:right w:val="none" w:sz="0" w:space="0" w:color="auto"/>
      </w:divBdr>
    </w:div>
    <w:div w:id="1457597287">
      <w:bodyDiv w:val="1"/>
      <w:marLeft w:val="0"/>
      <w:marRight w:val="0"/>
      <w:marTop w:val="0"/>
      <w:marBottom w:val="0"/>
      <w:divBdr>
        <w:top w:val="none" w:sz="0" w:space="0" w:color="auto"/>
        <w:left w:val="none" w:sz="0" w:space="0" w:color="auto"/>
        <w:bottom w:val="none" w:sz="0" w:space="0" w:color="auto"/>
        <w:right w:val="none" w:sz="0" w:space="0" w:color="auto"/>
      </w:divBdr>
    </w:div>
    <w:div w:id="1502772751">
      <w:bodyDiv w:val="1"/>
      <w:marLeft w:val="0"/>
      <w:marRight w:val="0"/>
      <w:marTop w:val="0"/>
      <w:marBottom w:val="0"/>
      <w:divBdr>
        <w:top w:val="none" w:sz="0" w:space="0" w:color="auto"/>
        <w:left w:val="none" w:sz="0" w:space="0" w:color="auto"/>
        <w:bottom w:val="none" w:sz="0" w:space="0" w:color="auto"/>
        <w:right w:val="none" w:sz="0" w:space="0" w:color="auto"/>
      </w:divBdr>
    </w:div>
    <w:div w:id="1536891667">
      <w:bodyDiv w:val="1"/>
      <w:marLeft w:val="0"/>
      <w:marRight w:val="0"/>
      <w:marTop w:val="0"/>
      <w:marBottom w:val="0"/>
      <w:divBdr>
        <w:top w:val="none" w:sz="0" w:space="0" w:color="auto"/>
        <w:left w:val="none" w:sz="0" w:space="0" w:color="auto"/>
        <w:bottom w:val="none" w:sz="0" w:space="0" w:color="auto"/>
        <w:right w:val="none" w:sz="0" w:space="0" w:color="auto"/>
      </w:divBdr>
    </w:div>
    <w:div w:id="1545754564">
      <w:bodyDiv w:val="1"/>
      <w:marLeft w:val="0"/>
      <w:marRight w:val="0"/>
      <w:marTop w:val="0"/>
      <w:marBottom w:val="0"/>
      <w:divBdr>
        <w:top w:val="none" w:sz="0" w:space="0" w:color="auto"/>
        <w:left w:val="none" w:sz="0" w:space="0" w:color="auto"/>
        <w:bottom w:val="none" w:sz="0" w:space="0" w:color="auto"/>
        <w:right w:val="none" w:sz="0" w:space="0" w:color="auto"/>
      </w:divBdr>
    </w:div>
    <w:div w:id="1545873178">
      <w:bodyDiv w:val="1"/>
      <w:marLeft w:val="0"/>
      <w:marRight w:val="0"/>
      <w:marTop w:val="0"/>
      <w:marBottom w:val="0"/>
      <w:divBdr>
        <w:top w:val="none" w:sz="0" w:space="0" w:color="auto"/>
        <w:left w:val="none" w:sz="0" w:space="0" w:color="auto"/>
        <w:bottom w:val="none" w:sz="0" w:space="0" w:color="auto"/>
        <w:right w:val="none" w:sz="0" w:space="0" w:color="auto"/>
      </w:divBdr>
    </w:div>
    <w:div w:id="1577282013">
      <w:bodyDiv w:val="1"/>
      <w:marLeft w:val="0"/>
      <w:marRight w:val="0"/>
      <w:marTop w:val="0"/>
      <w:marBottom w:val="0"/>
      <w:divBdr>
        <w:top w:val="none" w:sz="0" w:space="0" w:color="auto"/>
        <w:left w:val="none" w:sz="0" w:space="0" w:color="auto"/>
        <w:bottom w:val="none" w:sz="0" w:space="0" w:color="auto"/>
        <w:right w:val="none" w:sz="0" w:space="0" w:color="auto"/>
      </w:divBdr>
    </w:div>
    <w:div w:id="1580485087">
      <w:bodyDiv w:val="1"/>
      <w:marLeft w:val="0"/>
      <w:marRight w:val="0"/>
      <w:marTop w:val="0"/>
      <w:marBottom w:val="0"/>
      <w:divBdr>
        <w:top w:val="none" w:sz="0" w:space="0" w:color="auto"/>
        <w:left w:val="none" w:sz="0" w:space="0" w:color="auto"/>
        <w:bottom w:val="none" w:sz="0" w:space="0" w:color="auto"/>
        <w:right w:val="none" w:sz="0" w:space="0" w:color="auto"/>
      </w:divBdr>
    </w:div>
    <w:div w:id="1636251331">
      <w:bodyDiv w:val="1"/>
      <w:marLeft w:val="0"/>
      <w:marRight w:val="0"/>
      <w:marTop w:val="0"/>
      <w:marBottom w:val="0"/>
      <w:divBdr>
        <w:top w:val="none" w:sz="0" w:space="0" w:color="auto"/>
        <w:left w:val="none" w:sz="0" w:space="0" w:color="auto"/>
        <w:bottom w:val="none" w:sz="0" w:space="0" w:color="auto"/>
        <w:right w:val="none" w:sz="0" w:space="0" w:color="auto"/>
      </w:divBdr>
    </w:div>
    <w:div w:id="1650133363">
      <w:bodyDiv w:val="1"/>
      <w:marLeft w:val="0"/>
      <w:marRight w:val="0"/>
      <w:marTop w:val="0"/>
      <w:marBottom w:val="0"/>
      <w:divBdr>
        <w:top w:val="none" w:sz="0" w:space="0" w:color="auto"/>
        <w:left w:val="none" w:sz="0" w:space="0" w:color="auto"/>
        <w:bottom w:val="none" w:sz="0" w:space="0" w:color="auto"/>
        <w:right w:val="none" w:sz="0" w:space="0" w:color="auto"/>
      </w:divBdr>
      <w:divsChild>
        <w:div w:id="2136831273">
          <w:marLeft w:val="0"/>
          <w:marRight w:val="0"/>
          <w:marTop w:val="0"/>
          <w:marBottom w:val="0"/>
          <w:divBdr>
            <w:top w:val="none" w:sz="0" w:space="0" w:color="auto"/>
            <w:left w:val="none" w:sz="0" w:space="0" w:color="auto"/>
            <w:bottom w:val="none" w:sz="0" w:space="0" w:color="auto"/>
            <w:right w:val="none" w:sz="0" w:space="0" w:color="auto"/>
          </w:divBdr>
        </w:div>
      </w:divsChild>
    </w:div>
    <w:div w:id="1654798437">
      <w:bodyDiv w:val="1"/>
      <w:marLeft w:val="0"/>
      <w:marRight w:val="0"/>
      <w:marTop w:val="0"/>
      <w:marBottom w:val="0"/>
      <w:divBdr>
        <w:top w:val="none" w:sz="0" w:space="0" w:color="auto"/>
        <w:left w:val="none" w:sz="0" w:space="0" w:color="auto"/>
        <w:bottom w:val="none" w:sz="0" w:space="0" w:color="auto"/>
        <w:right w:val="none" w:sz="0" w:space="0" w:color="auto"/>
      </w:divBdr>
    </w:div>
    <w:div w:id="1688942608">
      <w:bodyDiv w:val="1"/>
      <w:marLeft w:val="0"/>
      <w:marRight w:val="0"/>
      <w:marTop w:val="0"/>
      <w:marBottom w:val="0"/>
      <w:divBdr>
        <w:top w:val="none" w:sz="0" w:space="0" w:color="auto"/>
        <w:left w:val="none" w:sz="0" w:space="0" w:color="auto"/>
        <w:bottom w:val="none" w:sz="0" w:space="0" w:color="auto"/>
        <w:right w:val="none" w:sz="0" w:space="0" w:color="auto"/>
      </w:divBdr>
    </w:div>
    <w:div w:id="1728334446">
      <w:bodyDiv w:val="1"/>
      <w:marLeft w:val="0"/>
      <w:marRight w:val="0"/>
      <w:marTop w:val="0"/>
      <w:marBottom w:val="0"/>
      <w:divBdr>
        <w:top w:val="none" w:sz="0" w:space="0" w:color="auto"/>
        <w:left w:val="none" w:sz="0" w:space="0" w:color="auto"/>
        <w:bottom w:val="none" w:sz="0" w:space="0" w:color="auto"/>
        <w:right w:val="none" w:sz="0" w:space="0" w:color="auto"/>
      </w:divBdr>
    </w:div>
    <w:div w:id="1753043170">
      <w:bodyDiv w:val="1"/>
      <w:marLeft w:val="0"/>
      <w:marRight w:val="0"/>
      <w:marTop w:val="0"/>
      <w:marBottom w:val="0"/>
      <w:divBdr>
        <w:top w:val="none" w:sz="0" w:space="0" w:color="auto"/>
        <w:left w:val="none" w:sz="0" w:space="0" w:color="auto"/>
        <w:bottom w:val="none" w:sz="0" w:space="0" w:color="auto"/>
        <w:right w:val="none" w:sz="0" w:space="0" w:color="auto"/>
      </w:divBdr>
      <w:divsChild>
        <w:div w:id="85657243">
          <w:marLeft w:val="0"/>
          <w:marRight w:val="0"/>
          <w:marTop w:val="0"/>
          <w:marBottom w:val="0"/>
          <w:divBdr>
            <w:top w:val="none" w:sz="0" w:space="0" w:color="auto"/>
            <w:left w:val="none" w:sz="0" w:space="0" w:color="auto"/>
            <w:bottom w:val="none" w:sz="0" w:space="0" w:color="auto"/>
            <w:right w:val="none" w:sz="0" w:space="0" w:color="auto"/>
          </w:divBdr>
          <w:divsChild>
            <w:div w:id="621692693">
              <w:marLeft w:val="0"/>
              <w:marRight w:val="0"/>
              <w:marTop w:val="0"/>
              <w:marBottom w:val="0"/>
              <w:divBdr>
                <w:top w:val="none" w:sz="0" w:space="0" w:color="auto"/>
                <w:left w:val="none" w:sz="0" w:space="0" w:color="auto"/>
                <w:bottom w:val="none" w:sz="0" w:space="0" w:color="auto"/>
                <w:right w:val="none" w:sz="0" w:space="0" w:color="auto"/>
              </w:divBdr>
              <w:divsChild>
                <w:div w:id="584460695">
                  <w:marLeft w:val="0"/>
                  <w:marRight w:val="0"/>
                  <w:marTop w:val="0"/>
                  <w:marBottom w:val="0"/>
                  <w:divBdr>
                    <w:top w:val="none" w:sz="0" w:space="0" w:color="auto"/>
                    <w:left w:val="none" w:sz="0" w:space="0" w:color="auto"/>
                    <w:bottom w:val="none" w:sz="0" w:space="0" w:color="auto"/>
                    <w:right w:val="none" w:sz="0" w:space="0" w:color="auto"/>
                  </w:divBdr>
                  <w:divsChild>
                    <w:div w:id="619725336">
                      <w:marLeft w:val="0"/>
                      <w:marRight w:val="0"/>
                      <w:marTop w:val="45"/>
                      <w:marBottom w:val="0"/>
                      <w:divBdr>
                        <w:top w:val="none" w:sz="0" w:space="0" w:color="auto"/>
                        <w:left w:val="none" w:sz="0" w:space="0" w:color="auto"/>
                        <w:bottom w:val="none" w:sz="0" w:space="0" w:color="auto"/>
                        <w:right w:val="none" w:sz="0" w:space="0" w:color="auto"/>
                      </w:divBdr>
                      <w:divsChild>
                        <w:div w:id="55325934">
                          <w:marLeft w:val="0"/>
                          <w:marRight w:val="0"/>
                          <w:marTop w:val="0"/>
                          <w:marBottom w:val="0"/>
                          <w:divBdr>
                            <w:top w:val="none" w:sz="0" w:space="0" w:color="auto"/>
                            <w:left w:val="none" w:sz="0" w:space="0" w:color="auto"/>
                            <w:bottom w:val="none" w:sz="0" w:space="0" w:color="auto"/>
                            <w:right w:val="none" w:sz="0" w:space="0" w:color="auto"/>
                          </w:divBdr>
                          <w:divsChild>
                            <w:div w:id="1581020675">
                              <w:marLeft w:val="2070"/>
                              <w:marRight w:val="3810"/>
                              <w:marTop w:val="0"/>
                              <w:marBottom w:val="0"/>
                              <w:divBdr>
                                <w:top w:val="none" w:sz="0" w:space="0" w:color="auto"/>
                                <w:left w:val="none" w:sz="0" w:space="0" w:color="auto"/>
                                <w:bottom w:val="none" w:sz="0" w:space="0" w:color="auto"/>
                                <w:right w:val="none" w:sz="0" w:space="0" w:color="auto"/>
                              </w:divBdr>
                              <w:divsChild>
                                <w:div w:id="442768975">
                                  <w:marLeft w:val="0"/>
                                  <w:marRight w:val="0"/>
                                  <w:marTop w:val="0"/>
                                  <w:marBottom w:val="0"/>
                                  <w:divBdr>
                                    <w:top w:val="none" w:sz="0" w:space="0" w:color="auto"/>
                                    <w:left w:val="none" w:sz="0" w:space="0" w:color="auto"/>
                                    <w:bottom w:val="none" w:sz="0" w:space="0" w:color="auto"/>
                                    <w:right w:val="none" w:sz="0" w:space="0" w:color="auto"/>
                                  </w:divBdr>
                                  <w:divsChild>
                                    <w:div w:id="506094009">
                                      <w:marLeft w:val="0"/>
                                      <w:marRight w:val="0"/>
                                      <w:marTop w:val="0"/>
                                      <w:marBottom w:val="0"/>
                                      <w:divBdr>
                                        <w:top w:val="none" w:sz="0" w:space="0" w:color="auto"/>
                                        <w:left w:val="none" w:sz="0" w:space="0" w:color="auto"/>
                                        <w:bottom w:val="none" w:sz="0" w:space="0" w:color="auto"/>
                                        <w:right w:val="none" w:sz="0" w:space="0" w:color="auto"/>
                                      </w:divBdr>
                                      <w:divsChild>
                                        <w:div w:id="1769960927">
                                          <w:marLeft w:val="0"/>
                                          <w:marRight w:val="0"/>
                                          <w:marTop w:val="0"/>
                                          <w:marBottom w:val="0"/>
                                          <w:divBdr>
                                            <w:top w:val="none" w:sz="0" w:space="0" w:color="auto"/>
                                            <w:left w:val="none" w:sz="0" w:space="0" w:color="auto"/>
                                            <w:bottom w:val="none" w:sz="0" w:space="0" w:color="auto"/>
                                            <w:right w:val="none" w:sz="0" w:space="0" w:color="auto"/>
                                          </w:divBdr>
                                          <w:divsChild>
                                            <w:div w:id="44573641">
                                              <w:marLeft w:val="0"/>
                                              <w:marRight w:val="0"/>
                                              <w:marTop w:val="90"/>
                                              <w:marBottom w:val="0"/>
                                              <w:divBdr>
                                                <w:top w:val="none" w:sz="0" w:space="0" w:color="auto"/>
                                                <w:left w:val="none" w:sz="0" w:space="0" w:color="auto"/>
                                                <w:bottom w:val="none" w:sz="0" w:space="0" w:color="auto"/>
                                                <w:right w:val="none" w:sz="0" w:space="0" w:color="auto"/>
                                              </w:divBdr>
                                              <w:divsChild>
                                                <w:div w:id="2069718757">
                                                  <w:marLeft w:val="0"/>
                                                  <w:marRight w:val="0"/>
                                                  <w:marTop w:val="0"/>
                                                  <w:marBottom w:val="0"/>
                                                  <w:divBdr>
                                                    <w:top w:val="none" w:sz="0" w:space="0" w:color="auto"/>
                                                    <w:left w:val="none" w:sz="0" w:space="0" w:color="auto"/>
                                                    <w:bottom w:val="none" w:sz="0" w:space="0" w:color="auto"/>
                                                    <w:right w:val="none" w:sz="0" w:space="0" w:color="auto"/>
                                                  </w:divBdr>
                                                  <w:divsChild>
                                                    <w:div w:id="1496804396">
                                                      <w:marLeft w:val="0"/>
                                                      <w:marRight w:val="0"/>
                                                      <w:marTop w:val="0"/>
                                                      <w:marBottom w:val="0"/>
                                                      <w:divBdr>
                                                        <w:top w:val="none" w:sz="0" w:space="0" w:color="auto"/>
                                                        <w:left w:val="none" w:sz="0" w:space="0" w:color="auto"/>
                                                        <w:bottom w:val="none" w:sz="0" w:space="0" w:color="auto"/>
                                                        <w:right w:val="none" w:sz="0" w:space="0" w:color="auto"/>
                                                      </w:divBdr>
                                                      <w:divsChild>
                                                        <w:div w:id="60912854">
                                                          <w:marLeft w:val="0"/>
                                                          <w:marRight w:val="0"/>
                                                          <w:marTop w:val="0"/>
                                                          <w:marBottom w:val="0"/>
                                                          <w:divBdr>
                                                            <w:top w:val="none" w:sz="0" w:space="0" w:color="auto"/>
                                                            <w:left w:val="none" w:sz="0" w:space="0" w:color="auto"/>
                                                            <w:bottom w:val="none" w:sz="0" w:space="0" w:color="auto"/>
                                                            <w:right w:val="none" w:sz="0" w:space="0" w:color="auto"/>
                                                          </w:divBdr>
                                                          <w:divsChild>
                                                            <w:div w:id="1263145395">
                                                              <w:marLeft w:val="0"/>
                                                              <w:marRight w:val="0"/>
                                                              <w:marTop w:val="0"/>
                                                              <w:marBottom w:val="390"/>
                                                              <w:divBdr>
                                                                <w:top w:val="none" w:sz="0" w:space="0" w:color="auto"/>
                                                                <w:left w:val="none" w:sz="0" w:space="0" w:color="auto"/>
                                                                <w:bottom w:val="none" w:sz="0" w:space="0" w:color="auto"/>
                                                                <w:right w:val="none" w:sz="0" w:space="0" w:color="auto"/>
                                                              </w:divBdr>
                                                              <w:divsChild>
                                                                <w:div w:id="2081560106">
                                                                  <w:marLeft w:val="0"/>
                                                                  <w:marRight w:val="0"/>
                                                                  <w:marTop w:val="0"/>
                                                                  <w:marBottom w:val="0"/>
                                                                  <w:divBdr>
                                                                    <w:top w:val="none" w:sz="0" w:space="0" w:color="auto"/>
                                                                    <w:left w:val="none" w:sz="0" w:space="0" w:color="auto"/>
                                                                    <w:bottom w:val="none" w:sz="0" w:space="0" w:color="auto"/>
                                                                    <w:right w:val="none" w:sz="0" w:space="0" w:color="auto"/>
                                                                  </w:divBdr>
                                                                  <w:divsChild>
                                                                    <w:div w:id="9723036">
                                                                      <w:marLeft w:val="0"/>
                                                                      <w:marRight w:val="0"/>
                                                                      <w:marTop w:val="0"/>
                                                                      <w:marBottom w:val="0"/>
                                                                      <w:divBdr>
                                                                        <w:top w:val="none" w:sz="0" w:space="0" w:color="auto"/>
                                                                        <w:left w:val="none" w:sz="0" w:space="0" w:color="auto"/>
                                                                        <w:bottom w:val="none" w:sz="0" w:space="0" w:color="auto"/>
                                                                        <w:right w:val="none" w:sz="0" w:space="0" w:color="auto"/>
                                                                      </w:divBdr>
                                                                      <w:divsChild>
                                                                        <w:div w:id="1631745162">
                                                                          <w:marLeft w:val="0"/>
                                                                          <w:marRight w:val="0"/>
                                                                          <w:marTop w:val="0"/>
                                                                          <w:marBottom w:val="0"/>
                                                                          <w:divBdr>
                                                                            <w:top w:val="none" w:sz="0" w:space="0" w:color="auto"/>
                                                                            <w:left w:val="none" w:sz="0" w:space="0" w:color="auto"/>
                                                                            <w:bottom w:val="none" w:sz="0" w:space="0" w:color="auto"/>
                                                                            <w:right w:val="none" w:sz="0" w:space="0" w:color="auto"/>
                                                                          </w:divBdr>
                                                                          <w:divsChild>
                                                                            <w:div w:id="1102608618">
                                                                              <w:marLeft w:val="0"/>
                                                                              <w:marRight w:val="0"/>
                                                                              <w:marTop w:val="0"/>
                                                                              <w:marBottom w:val="0"/>
                                                                              <w:divBdr>
                                                                                <w:top w:val="none" w:sz="0" w:space="0" w:color="auto"/>
                                                                                <w:left w:val="none" w:sz="0" w:space="0" w:color="auto"/>
                                                                                <w:bottom w:val="none" w:sz="0" w:space="0" w:color="auto"/>
                                                                                <w:right w:val="none" w:sz="0" w:space="0" w:color="auto"/>
                                                                              </w:divBdr>
                                                                              <w:divsChild>
                                                                                <w:div w:id="179590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6054048">
      <w:bodyDiv w:val="1"/>
      <w:marLeft w:val="0"/>
      <w:marRight w:val="0"/>
      <w:marTop w:val="0"/>
      <w:marBottom w:val="0"/>
      <w:divBdr>
        <w:top w:val="none" w:sz="0" w:space="0" w:color="auto"/>
        <w:left w:val="none" w:sz="0" w:space="0" w:color="auto"/>
        <w:bottom w:val="none" w:sz="0" w:space="0" w:color="auto"/>
        <w:right w:val="none" w:sz="0" w:space="0" w:color="auto"/>
      </w:divBdr>
    </w:div>
    <w:div w:id="1778862675">
      <w:bodyDiv w:val="1"/>
      <w:marLeft w:val="0"/>
      <w:marRight w:val="0"/>
      <w:marTop w:val="0"/>
      <w:marBottom w:val="0"/>
      <w:divBdr>
        <w:top w:val="none" w:sz="0" w:space="0" w:color="auto"/>
        <w:left w:val="none" w:sz="0" w:space="0" w:color="auto"/>
        <w:bottom w:val="none" w:sz="0" w:space="0" w:color="auto"/>
        <w:right w:val="none" w:sz="0" w:space="0" w:color="auto"/>
      </w:divBdr>
    </w:div>
    <w:div w:id="1801848211">
      <w:bodyDiv w:val="1"/>
      <w:marLeft w:val="0"/>
      <w:marRight w:val="0"/>
      <w:marTop w:val="0"/>
      <w:marBottom w:val="0"/>
      <w:divBdr>
        <w:top w:val="none" w:sz="0" w:space="0" w:color="auto"/>
        <w:left w:val="none" w:sz="0" w:space="0" w:color="auto"/>
        <w:bottom w:val="none" w:sz="0" w:space="0" w:color="auto"/>
        <w:right w:val="none" w:sz="0" w:space="0" w:color="auto"/>
      </w:divBdr>
    </w:div>
    <w:div w:id="1828202809">
      <w:bodyDiv w:val="1"/>
      <w:marLeft w:val="0"/>
      <w:marRight w:val="0"/>
      <w:marTop w:val="0"/>
      <w:marBottom w:val="0"/>
      <w:divBdr>
        <w:top w:val="none" w:sz="0" w:space="0" w:color="auto"/>
        <w:left w:val="none" w:sz="0" w:space="0" w:color="auto"/>
        <w:bottom w:val="none" w:sz="0" w:space="0" w:color="auto"/>
        <w:right w:val="none" w:sz="0" w:space="0" w:color="auto"/>
      </w:divBdr>
    </w:div>
    <w:div w:id="1829327900">
      <w:bodyDiv w:val="1"/>
      <w:marLeft w:val="0"/>
      <w:marRight w:val="0"/>
      <w:marTop w:val="0"/>
      <w:marBottom w:val="0"/>
      <w:divBdr>
        <w:top w:val="none" w:sz="0" w:space="0" w:color="auto"/>
        <w:left w:val="none" w:sz="0" w:space="0" w:color="auto"/>
        <w:bottom w:val="none" w:sz="0" w:space="0" w:color="auto"/>
        <w:right w:val="none" w:sz="0" w:space="0" w:color="auto"/>
      </w:divBdr>
    </w:div>
    <w:div w:id="1845625350">
      <w:bodyDiv w:val="1"/>
      <w:marLeft w:val="0"/>
      <w:marRight w:val="0"/>
      <w:marTop w:val="0"/>
      <w:marBottom w:val="0"/>
      <w:divBdr>
        <w:top w:val="none" w:sz="0" w:space="0" w:color="auto"/>
        <w:left w:val="none" w:sz="0" w:space="0" w:color="auto"/>
        <w:bottom w:val="none" w:sz="0" w:space="0" w:color="auto"/>
        <w:right w:val="none" w:sz="0" w:space="0" w:color="auto"/>
      </w:divBdr>
    </w:div>
    <w:div w:id="1852258671">
      <w:bodyDiv w:val="1"/>
      <w:marLeft w:val="0"/>
      <w:marRight w:val="0"/>
      <w:marTop w:val="0"/>
      <w:marBottom w:val="0"/>
      <w:divBdr>
        <w:top w:val="none" w:sz="0" w:space="0" w:color="auto"/>
        <w:left w:val="none" w:sz="0" w:space="0" w:color="auto"/>
        <w:bottom w:val="none" w:sz="0" w:space="0" w:color="auto"/>
        <w:right w:val="none" w:sz="0" w:space="0" w:color="auto"/>
      </w:divBdr>
    </w:div>
    <w:div w:id="1854998230">
      <w:bodyDiv w:val="1"/>
      <w:marLeft w:val="0"/>
      <w:marRight w:val="0"/>
      <w:marTop w:val="0"/>
      <w:marBottom w:val="0"/>
      <w:divBdr>
        <w:top w:val="none" w:sz="0" w:space="0" w:color="auto"/>
        <w:left w:val="none" w:sz="0" w:space="0" w:color="auto"/>
        <w:bottom w:val="none" w:sz="0" w:space="0" w:color="auto"/>
        <w:right w:val="none" w:sz="0" w:space="0" w:color="auto"/>
      </w:divBdr>
    </w:div>
    <w:div w:id="1933783842">
      <w:bodyDiv w:val="1"/>
      <w:marLeft w:val="0"/>
      <w:marRight w:val="0"/>
      <w:marTop w:val="0"/>
      <w:marBottom w:val="0"/>
      <w:divBdr>
        <w:top w:val="none" w:sz="0" w:space="0" w:color="auto"/>
        <w:left w:val="none" w:sz="0" w:space="0" w:color="auto"/>
        <w:bottom w:val="none" w:sz="0" w:space="0" w:color="auto"/>
        <w:right w:val="none" w:sz="0" w:space="0" w:color="auto"/>
      </w:divBdr>
    </w:div>
    <w:div w:id="1942638659">
      <w:bodyDiv w:val="1"/>
      <w:marLeft w:val="0"/>
      <w:marRight w:val="0"/>
      <w:marTop w:val="0"/>
      <w:marBottom w:val="0"/>
      <w:divBdr>
        <w:top w:val="none" w:sz="0" w:space="0" w:color="auto"/>
        <w:left w:val="none" w:sz="0" w:space="0" w:color="auto"/>
        <w:bottom w:val="none" w:sz="0" w:space="0" w:color="auto"/>
        <w:right w:val="none" w:sz="0" w:space="0" w:color="auto"/>
      </w:divBdr>
    </w:div>
    <w:div w:id="1959600610">
      <w:bodyDiv w:val="1"/>
      <w:marLeft w:val="0"/>
      <w:marRight w:val="0"/>
      <w:marTop w:val="0"/>
      <w:marBottom w:val="0"/>
      <w:divBdr>
        <w:top w:val="none" w:sz="0" w:space="0" w:color="auto"/>
        <w:left w:val="none" w:sz="0" w:space="0" w:color="auto"/>
        <w:bottom w:val="none" w:sz="0" w:space="0" w:color="auto"/>
        <w:right w:val="none" w:sz="0" w:space="0" w:color="auto"/>
      </w:divBdr>
    </w:div>
    <w:div w:id="1967077849">
      <w:bodyDiv w:val="1"/>
      <w:marLeft w:val="0"/>
      <w:marRight w:val="0"/>
      <w:marTop w:val="0"/>
      <w:marBottom w:val="0"/>
      <w:divBdr>
        <w:top w:val="none" w:sz="0" w:space="0" w:color="auto"/>
        <w:left w:val="none" w:sz="0" w:space="0" w:color="auto"/>
        <w:bottom w:val="none" w:sz="0" w:space="0" w:color="auto"/>
        <w:right w:val="none" w:sz="0" w:space="0" w:color="auto"/>
      </w:divBdr>
    </w:div>
    <w:div w:id="2030135912">
      <w:bodyDiv w:val="1"/>
      <w:marLeft w:val="0"/>
      <w:marRight w:val="0"/>
      <w:marTop w:val="0"/>
      <w:marBottom w:val="0"/>
      <w:divBdr>
        <w:top w:val="none" w:sz="0" w:space="0" w:color="auto"/>
        <w:left w:val="none" w:sz="0" w:space="0" w:color="auto"/>
        <w:bottom w:val="none" w:sz="0" w:space="0" w:color="auto"/>
        <w:right w:val="none" w:sz="0" w:space="0" w:color="auto"/>
      </w:divBdr>
    </w:div>
    <w:div w:id="2041586208">
      <w:bodyDiv w:val="1"/>
      <w:marLeft w:val="0"/>
      <w:marRight w:val="0"/>
      <w:marTop w:val="0"/>
      <w:marBottom w:val="0"/>
      <w:divBdr>
        <w:top w:val="none" w:sz="0" w:space="0" w:color="auto"/>
        <w:left w:val="none" w:sz="0" w:space="0" w:color="auto"/>
        <w:bottom w:val="none" w:sz="0" w:space="0" w:color="auto"/>
        <w:right w:val="none" w:sz="0" w:space="0" w:color="auto"/>
      </w:divBdr>
    </w:div>
    <w:div w:id="2051882746">
      <w:bodyDiv w:val="1"/>
      <w:marLeft w:val="0"/>
      <w:marRight w:val="0"/>
      <w:marTop w:val="0"/>
      <w:marBottom w:val="0"/>
      <w:divBdr>
        <w:top w:val="none" w:sz="0" w:space="0" w:color="auto"/>
        <w:left w:val="none" w:sz="0" w:space="0" w:color="auto"/>
        <w:bottom w:val="none" w:sz="0" w:space="0" w:color="auto"/>
        <w:right w:val="none" w:sz="0" w:space="0" w:color="auto"/>
      </w:divBdr>
    </w:div>
    <w:div w:id="2053990804">
      <w:bodyDiv w:val="1"/>
      <w:marLeft w:val="0"/>
      <w:marRight w:val="0"/>
      <w:marTop w:val="0"/>
      <w:marBottom w:val="0"/>
      <w:divBdr>
        <w:top w:val="none" w:sz="0" w:space="0" w:color="auto"/>
        <w:left w:val="none" w:sz="0" w:space="0" w:color="auto"/>
        <w:bottom w:val="none" w:sz="0" w:space="0" w:color="auto"/>
        <w:right w:val="none" w:sz="0" w:space="0" w:color="auto"/>
      </w:divBdr>
    </w:div>
    <w:div w:id="2061973115">
      <w:bodyDiv w:val="1"/>
      <w:marLeft w:val="0"/>
      <w:marRight w:val="0"/>
      <w:marTop w:val="0"/>
      <w:marBottom w:val="0"/>
      <w:divBdr>
        <w:top w:val="none" w:sz="0" w:space="0" w:color="auto"/>
        <w:left w:val="none" w:sz="0" w:space="0" w:color="auto"/>
        <w:bottom w:val="none" w:sz="0" w:space="0" w:color="auto"/>
        <w:right w:val="none" w:sz="0" w:space="0" w:color="auto"/>
      </w:divBdr>
    </w:div>
    <w:div w:id="2069179598">
      <w:bodyDiv w:val="1"/>
      <w:marLeft w:val="0"/>
      <w:marRight w:val="0"/>
      <w:marTop w:val="0"/>
      <w:marBottom w:val="0"/>
      <w:divBdr>
        <w:top w:val="none" w:sz="0" w:space="0" w:color="auto"/>
        <w:left w:val="none" w:sz="0" w:space="0" w:color="auto"/>
        <w:bottom w:val="none" w:sz="0" w:space="0" w:color="auto"/>
        <w:right w:val="none" w:sz="0" w:space="0" w:color="auto"/>
      </w:divBdr>
    </w:div>
    <w:div w:id="2107118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eader" Target="header15.xml"/><Relationship Id="rId21" Type="http://schemas.openxmlformats.org/officeDocument/2006/relationships/footer" Target="footer6.xml"/><Relationship Id="rId34" Type="http://schemas.openxmlformats.org/officeDocument/2006/relationships/footer" Target="footer12.xml"/><Relationship Id="rId42" Type="http://schemas.openxmlformats.org/officeDocument/2006/relationships/image" Target="media/image4.jpeg"/><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image" Target="media/image17.png"/><Relationship Id="rId63" Type="http://schemas.openxmlformats.org/officeDocument/2006/relationships/image" Target="media/image25.png"/><Relationship Id="rId68" Type="http://schemas.openxmlformats.org/officeDocument/2006/relationships/image" Target="media/image30.png"/><Relationship Id="rId76" Type="http://schemas.openxmlformats.org/officeDocument/2006/relationships/image" Target="media/image38.png"/><Relationship Id="rId84" Type="http://schemas.openxmlformats.org/officeDocument/2006/relationships/image" Target="media/image46.png"/><Relationship Id="rId89" Type="http://schemas.openxmlformats.org/officeDocument/2006/relationships/header" Target="header17.xml"/><Relationship Id="rId7" Type="http://schemas.openxmlformats.org/officeDocument/2006/relationships/footnotes" Target="footnotes.xml"/><Relationship Id="rId71" Type="http://schemas.openxmlformats.org/officeDocument/2006/relationships/image" Target="media/image33.png"/><Relationship Id="rId92" Type="http://schemas.openxmlformats.org/officeDocument/2006/relationships/header" Target="header18.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0.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footer" Target="footer13.xml"/><Relationship Id="rId40" Type="http://schemas.openxmlformats.org/officeDocument/2006/relationships/footer" Target="footer15.xml"/><Relationship Id="rId45" Type="http://schemas.openxmlformats.org/officeDocument/2006/relationships/image" Target="media/image7.png"/><Relationship Id="rId53" Type="http://schemas.openxmlformats.org/officeDocument/2006/relationships/image" Target="media/image15.png"/><Relationship Id="rId58" Type="http://schemas.openxmlformats.org/officeDocument/2006/relationships/image" Target="media/image20.png"/><Relationship Id="rId66" Type="http://schemas.openxmlformats.org/officeDocument/2006/relationships/image" Target="media/image28.png"/><Relationship Id="rId74" Type="http://schemas.openxmlformats.org/officeDocument/2006/relationships/image" Target="media/image36.png"/><Relationship Id="rId79" Type="http://schemas.openxmlformats.org/officeDocument/2006/relationships/image" Target="media/image41.png"/><Relationship Id="rId87" Type="http://schemas.openxmlformats.org/officeDocument/2006/relationships/image" Target="media/image49.emf"/><Relationship Id="rId5" Type="http://schemas.openxmlformats.org/officeDocument/2006/relationships/settings" Target="settings.xml"/><Relationship Id="rId61" Type="http://schemas.openxmlformats.org/officeDocument/2006/relationships/image" Target="media/image23.png"/><Relationship Id="rId82" Type="http://schemas.openxmlformats.org/officeDocument/2006/relationships/image" Target="media/image44.png"/><Relationship Id="rId90" Type="http://schemas.openxmlformats.org/officeDocument/2006/relationships/footer" Target="footer16.xml"/><Relationship Id="rId95" Type="http://schemas.openxmlformats.org/officeDocument/2006/relationships/theme" Target="theme/theme1.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image" Target="media/image5.png"/><Relationship Id="rId48" Type="http://schemas.openxmlformats.org/officeDocument/2006/relationships/image" Target="media/image10.png"/><Relationship Id="rId56" Type="http://schemas.openxmlformats.org/officeDocument/2006/relationships/image" Target="media/image18.png"/><Relationship Id="rId64" Type="http://schemas.openxmlformats.org/officeDocument/2006/relationships/image" Target="media/image26.png"/><Relationship Id="rId69" Type="http://schemas.openxmlformats.org/officeDocument/2006/relationships/image" Target="media/image31.png"/><Relationship Id="rId77"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image" Target="media/image13.png"/><Relationship Id="rId72" Type="http://schemas.openxmlformats.org/officeDocument/2006/relationships/image" Target="media/image34.png"/><Relationship Id="rId80" Type="http://schemas.openxmlformats.org/officeDocument/2006/relationships/image" Target="media/image42.png"/><Relationship Id="rId85" Type="http://schemas.openxmlformats.org/officeDocument/2006/relationships/image" Target="media/image47.emf"/><Relationship Id="rId93" Type="http://schemas.openxmlformats.org/officeDocument/2006/relationships/footer" Target="footer18.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2.xml"/><Relationship Id="rId38" Type="http://schemas.openxmlformats.org/officeDocument/2006/relationships/footer" Target="footer14.xml"/><Relationship Id="rId46" Type="http://schemas.openxmlformats.org/officeDocument/2006/relationships/image" Target="media/image8.png"/><Relationship Id="rId59" Type="http://schemas.openxmlformats.org/officeDocument/2006/relationships/image" Target="media/image21.png"/><Relationship Id="rId67" Type="http://schemas.openxmlformats.org/officeDocument/2006/relationships/image" Target="media/image29.png"/><Relationship Id="rId20" Type="http://schemas.openxmlformats.org/officeDocument/2006/relationships/header" Target="header6.xml"/><Relationship Id="rId41" Type="http://schemas.openxmlformats.org/officeDocument/2006/relationships/image" Target="media/image3.png"/><Relationship Id="rId54" Type="http://schemas.openxmlformats.org/officeDocument/2006/relationships/image" Target="media/image16.png"/><Relationship Id="rId62" Type="http://schemas.openxmlformats.org/officeDocument/2006/relationships/image" Target="media/image24.png"/><Relationship Id="rId70" Type="http://schemas.openxmlformats.org/officeDocument/2006/relationships/image" Target="media/image32.png"/><Relationship Id="rId75" Type="http://schemas.openxmlformats.org/officeDocument/2006/relationships/image" Target="media/image37.png"/><Relationship Id="rId83" Type="http://schemas.openxmlformats.org/officeDocument/2006/relationships/image" Target="media/image45.png"/><Relationship Id="rId88" Type="http://schemas.openxmlformats.org/officeDocument/2006/relationships/header" Target="header16.xml"/><Relationship Id="rId91"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image" Target="media/image2.png"/><Relationship Id="rId36" Type="http://schemas.openxmlformats.org/officeDocument/2006/relationships/header" Target="header14.xml"/><Relationship Id="rId49" Type="http://schemas.openxmlformats.org/officeDocument/2006/relationships/image" Target="media/image11.png"/><Relationship Id="rId57" Type="http://schemas.openxmlformats.org/officeDocument/2006/relationships/image" Target="media/image19.png"/><Relationship Id="rId10" Type="http://schemas.openxmlformats.org/officeDocument/2006/relationships/header" Target="header1.xml"/><Relationship Id="rId31" Type="http://schemas.openxmlformats.org/officeDocument/2006/relationships/footer" Target="footer10.xml"/><Relationship Id="rId44" Type="http://schemas.openxmlformats.org/officeDocument/2006/relationships/image" Target="media/image6.png"/><Relationship Id="rId52" Type="http://schemas.openxmlformats.org/officeDocument/2006/relationships/image" Target="media/image14.png"/><Relationship Id="rId60" Type="http://schemas.openxmlformats.org/officeDocument/2006/relationships/image" Target="media/image22.png"/><Relationship Id="rId65" Type="http://schemas.openxmlformats.org/officeDocument/2006/relationships/image" Target="media/image27.png"/><Relationship Id="rId73" Type="http://schemas.openxmlformats.org/officeDocument/2006/relationships/image" Target="media/image35.png"/><Relationship Id="rId78" Type="http://schemas.openxmlformats.org/officeDocument/2006/relationships/image" Target="media/image40.emf"/><Relationship Id="rId81" Type="http://schemas.openxmlformats.org/officeDocument/2006/relationships/image" Target="media/image43.png"/><Relationship Id="rId86" Type="http://schemas.openxmlformats.org/officeDocument/2006/relationships/image" Target="media/image48.emf"/><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s>
</file>

<file path=word/_rels/footnotes.xml.rels><?xml version="1.0" encoding="UTF-8" standalone="yes"?>
<Relationships xmlns="http://schemas.openxmlformats.org/package/2006/relationships"><Relationship Id="rId26" Type="http://schemas.openxmlformats.org/officeDocument/2006/relationships/hyperlink" Target="https://ec.europa.eu/clima/sites/clima/files/transport/vehicles/docs/uk_automotive_study_en.pdf" TargetMode="External"/><Relationship Id="rId21" Type="http://schemas.openxmlformats.org/officeDocument/2006/relationships/hyperlink" Target="http://www.ey.com/Publication/vwLUAssets/ey-auto-absatzmarkt-china-2017/$FILE/ey-auto-absatzmarkt-china-2017.pdf" TargetMode="External"/><Relationship Id="rId42" Type="http://schemas.openxmlformats.org/officeDocument/2006/relationships/hyperlink" Target="https://data.bloomberglp.com/bnef/sites/14/2017/06/BNEF_2017_04_12_EV-Price-Parity-Report.pdf" TargetMode="External"/><Relationship Id="rId47" Type="http://schemas.openxmlformats.org/officeDocument/2006/relationships/hyperlink" Target="http://www.manager-magazin.de/unternehmen/autoindustrie/daimler-mehr-als-eine-milliarde-euro-pro-jahr-fuer-elektroautos-a-1117695.html" TargetMode="External"/><Relationship Id="rId63" Type="http://schemas.openxmlformats.org/officeDocument/2006/relationships/hyperlink" Target="http://www.theicct.org/sites/default/files/publications/ICCT_LaboratoryToRoad_2016.pdf" TargetMode="External"/><Relationship Id="rId68" Type="http://schemas.openxmlformats.org/officeDocument/2006/relationships/hyperlink" Target="https://publications.europa.eu/en/publication-detail/-/publication/ffa5ab82-0bc2-472f-af0c-9d0d82a6b91f" TargetMode="External"/><Relationship Id="rId84" Type="http://schemas.openxmlformats.org/officeDocument/2006/relationships/hyperlink" Target="https://ec.europa.eu/clima/sites/clima/files/transport/vehicles/docs/evaluation_ldv_co2_regs_en.pdf" TargetMode="External"/><Relationship Id="rId89" Type="http://schemas.openxmlformats.org/officeDocument/2006/relationships/hyperlink" Target="http://www.theicct.org/blogs/staff/cities-driving-diesel-out-european-car-market" TargetMode="External"/><Relationship Id="rId7" Type="http://schemas.openxmlformats.org/officeDocument/2006/relationships/hyperlink" Target="http://www.reuters.com/article/us-britain-autos-oxford/oxford-to-become-first-uk-city-to-ban-petrol-and-diesel-cars-from-center-idUSKBN1CH1IQ?utm_source=34553&amp;utm_medium=partner" TargetMode="External"/><Relationship Id="rId71" Type="http://schemas.openxmlformats.org/officeDocument/2006/relationships/hyperlink" Target="https://ec.europa.eu/research/sam/pdf/sam_co2_emissions_report.pdf" TargetMode="External"/><Relationship Id="rId92" Type="http://schemas.openxmlformats.org/officeDocument/2006/relationships/hyperlink" Target="https://www.camecon.com/how/our-work/en-route-pour-un-transport-durable/" TargetMode="External"/><Relationship Id="rId2" Type="http://schemas.openxmlformats.org/officeDocument/2006/relationships/hyperlink" Target="https://ec.europa.eu/growth/sectors/automotive_en" TargetMode="External"/><Relationship Id="rId16" Type="http://schemas.openxmlformats.org/officeDocument/2006/relationships/hyperlink" Target="http://www.acea.be/statistics/tag/category/exports-of-motor-vehicles" TargetMode="External"/><Relationship Id="rId29" Type="http://schemas.openxmlformats.org/officeDocument/2006/relationships/hyperlink" Target="http://www.beuc.eu/publications/beuc-x-2016-121_low_carbon_cars_in_the_2020s-report.pdf" TargetMode="External"/><Relationship Id="rId107" Type="http://schemas.openxmlformats.org/officeDocument/2006/relationships/hyperlink" Target="http://eur-lex.europa.eu/resource.html?uri=cellar:70f46993-3c49-4b61-ba2f-77319c424cbd.0001.02/DOC_1&amp;format=PDF" TargetMode="External"/><Relationship Id="rId11" Type="http://schemas.openxmlformats.org/officeDocument/2006/relationships/hyperlink" Target="https://ec.europa.eu/clima/sites/clima/files/transport/vehicles/docs/ldv_mileage_improvement_en.pdf" TargetMode="External"/><Relationship Id="rId24" Type="http://schemas.openxmlformats.org/officeDocument/2006/relationships/hyperlink" Target="https://www.iea.org/publications/freepublications/publication/mind_the_gap.pdf" TargetMode="External"/><Relationship Id="rId32" Type="http://schemas.openxmlformats.org/officeDocument/2006/relationships/hyperlink" Target="https://fr.renault.be/vehicules/vehicules-electriques/zoe.html" TargetMode="External"/><Relationship Id="rId37" Type="http://schemas.openxmlformats.org/officeDocument/2006/relationships/hyperlink" Target="http://publications.tno.nl/publication/34622355/ZCzWY2/TNO-2016-R11285.pdf" TargetMode="External"/><Relationship Id="rId40" Type="http://schemas.openxmlformats.org/officeDocument/2006/relationships/hyperlink" Target="https://www.iea.org/publications/freepublications/publication/GlobalEVOutlook2017.pdf" TargetMode="External"/><Relationship Id="rId45" Type="http://schemas.openxmlformats.org/officeDocument/2006/relationships/hyperlink" Target="https://www.iea.org/publications/freepublications/publication/global-ev-outlook-2017.html" TargetMode="External"/><Relationship Id="rId53" Type="http://schemas.openxmlformats.org/officeDocument/2006/relationships/hyperlink" Target="https://www.arb.ca.gov/msprog/zevprog/zevprog.htm" TargetMode="External"/><Relationship Id="rId58" Type="http://schemas.openxmlformats.org/officeDocument/2006/relationships/hyperlink" Target="https://www.transportenvironment.org/sites/te/files/Towards%20a%20European%20Market%20for%20Electro-Mobility%20report%20by%20Element%20Energy.pdf" TargetMode="External"/><Relationship Id="rId66" Type="http://schemas.openxmlformats.org/officeDocument/2006/relationships/hyperlink" Target="https://www.arb.ca.gov/regact/2015/obdii2015/obdii2015isor.pdf" TargetMode="External"/><Relationship Id="rId74" Type="http://schemas.openxmlformats.org/officeDocument/2006/relationships/hyperlink" Target="https://ec.europa.eu/research/sam/pdf/sam_co2_emissions_report.pdf" TargetMode="External"/><Relationship Id="rId79" Type="http://schemas.openxmlformats.org/officeDocument/2006/relationships/hyperlink" Target="https://publications.europa.eu/en/publication-detail/-/publication/aed45f8e-63e3-47fb-9440-a0a14370f243" TargetMode="External"/><Relationship Id="rId87" Type="http://schemas.openxmlformats.org/officeDocument/2006/relationships/hyperlink" Target="https://ec.europa.eu/energy/sites/ener/files/documents/20160713%20draft_publication_REF2016_v13.pdf" TargetMode="External"/><Relationship Id="rId102" Type="http://schemas.openxmlformats.org/officeDocument/2006/relationships/hyperlink" Target="https://ec.europa.eu/energy/en/data-analysis/energy-modelling" TargetMode="External"/><Relationship Id="rId5" Type="http://schemas.openxmlformats.org/officeDocument/2006/relationships/hyperlink" Target="https://www.gov.uk/government/uploads/system/uploads/attachment_data/file/633269/air-quality-plan-overview.pdf" TargetMode="External"/><Relationship Id="rId61" Type="http://schemas.openxmlformats.org/officeDocument/2006/relationships/hyperlink" Target="https://ec.europa.eu/jrc/en/publication/eur-scientific-and-technical-research-reports/review-use-factors-affecting-fuel-consumption-and-co2-emissions-passenger-cars" TargetMode="External"/><Relationship Id="rId82" Type="http://schemas.openxmlformats.org/officeDocument/2006/relationships/hyperlink" Target="https://ec.europa.eu/energy/sites/ener/files/documents/20170125_-_technical_report_on_euco_scenarios_primes_corrected.pdf" TargetMode="External"/><Relationship Id="rId90" Type="http://schemas.openxmlformats.org/officeDocument/2006/relationships/hyperlink" Target="https://ec.europa.eu/transport/sites/transport/files/themes/sustainable/studies/doc/2014-handbook-external-costs-transport.pdf" TargetMode="External"/><Relationship Id="rId95" Type="http://schemas.openxmlformats.org/officeDocument/2006/relationships/hyperlink" Target="http://www.fticonsulting.com/~/media/Files/emea--files/insights/reports/impact-electrically-chargeable-vehicles-eu-economy.pdf" TargetMode="External"/><Relationship Id="rId19" Type="http://schemas.openxmlformats.org/officeDocument/2006/relationships/hyperlink" Target="https://www.zevstates.us/" TargetMode="External"/><Relationship Id="rId14" Type="http://schemas.openxmlformats.org/officeDocument/2006/relationships/hyperlink" Target="https://ec.europa.eu/clima/sites/clima/files/transport/vehicles/docs/2nd_hand_cars_en.pdf" TargetMode="External"/><Relationship Id="rId22" Type="http://schemas.openxmlformats.org/officeDocument/2006/relationships/hyperlink" Target="https://www.fka.de/consulting/studien/e-mobility-index-2017-q2-e.pdf" TargetMode="External"/><Relationship Id="rId27" Type="http://schemas.openxmlformats.org/officeDocument/2006/relationships/hyperlink" Target="https://ec.europa.eu/clima/sites/clima/files/transport/vehicles/docs/ldv_leasing_en.pdf" TargetMode="External"/><Relationship Id="rId30" Type="http://schemas.openxmlformats.org/officeDocument/2006/relationships/hyperlink" Target="http://dx.doi.org/10.1016/j.enpol.2012.06.009" TargetMode="External"/><Relationship Id="rId35" Type="http://schemas.openxmlformats.org/officeDocument/2006/relationships/hyperlink" Target="http://register.consilium.europa.eu/doc/srv?l=EN&amp;f=ST%206642%202014%20ADD%201%20REV%201" TargetMode="External"/><Relationship Id="rId43" Type="http://schemas.openxmlformats.org/officeDocument/2006/relationships/hyperlink" Target="https://about.bnef.com/blog/liebreich-state-industry-keynote-bnef-global-summit-2017/" TargetMode="External"/><Relationship Id="rId48" Type="http://schemas.openxmlformats.org/officeDocument/2006/relationships/hyperlink" Target="http://www.france24.com/en/20170915-renault-nissan-launch-12-zero-emission-models" TargetMode="External"/><Relationship Id="rId56" Type="http://schemas.openxmlformats.org/officeDocument/2006/relationships/hyperlink" Target="http://www.eiu.com/industry/article/1185390902/chinas-new-nev-rules/2017-05-03" TargetMode="External"/><Relationship Id="rId64" Type="http://schemas.openxmlformats.org/officeDocument/2006/relationships/hyperlink" Target="https://ec.europa.eu/jrc/en/publication/eur-scientific-and-technical-research-reports/review-use-factors-affecting-fuel-consumption-and-co2-emissions-passenger-cars" TargetMode="External"/><Relationship Id="rId69" Type="http://schemas.openxmlformats.org/officeDocument/2006/relationships/hyperlink" Target="https://www.arb.ca.gov/msprog/obdprog/section1968_2_clean2016.pdf" TargetMode="External"/><Relationship Id="rId77" Type="http://schemas.openxmlformats.org/officeDocument/2006/relationships/hyperlink" Target="http://www.ladocumentationfrancaise.fr/var/storage/rapports-publics/164000480.pdf" TargetMode="External"/><Relationship Id="rId100" Type="http://schemas.openxmlformats.org/officeDocument/2006/relationships/hyperlink" Target="http://ec.europa.eu/growth/tools-databases/newsroom/cf/itemdetail.cfm?item_id=8640" TargetMode="External"/><Relationship Id="rId105" Type="http://schemas.openxmlformats.org/officeDocument/2006/relationships/hyperlink" Target="http://www.cesifo-group.de/portal/page/portal/DocBase_Service/studien/Studie-2017-Falck-etal-Zulassungsverbot-Verbrennungsmotoren.pdf" TargetMode="External"/><Relationship Id="rId8" Type="http://schemas.openxmlformats.org/officeDocument/2006/relationships/hyperlink" Target="https://ec.europa.eu/clima/sites/clima/files/transport/vehicles/docs/evaluation_ldv_co2_regs_en.pdf" TargetMode="External"/><Relationship Id="rId51" Type="http://schemas.openxmlformats.org/officeDocument/2006/relationships/hyperlink" Target="http://www.europarl.europa.eu/sides/getDoc.do?pubRef=-//EP//NONSGML+TA+P8-TA-2017-0100+0+DOC+PDF+V0//EN" TargetMode="External"/><Relationship Id="rId72" Type="http://schemas.openxmlformats.org/officeDocument/2006/relationships/hyperlink" Target="https://green-driving.jrc.ec.europa.eu" TargetMode="External"/><Relationship Id="rId80" Type="http://schemas.openxmlformats.org/officeDocument/2006/relationships/hyperlink" Target="https://ec.europa.eu/energy/sites/ener/files/documents/20170125_-_technical_report_on_euco_scenarios_primes_corrected.pdf" TargetMode="External"/><Relationship Id="rId85" Type="http://schemas.openxmlformats.org/officeDocument/2006/relationships/hyperlink" Target="http://publications.tno.nl/publication/34616575/gS20vf/TNO-2015-R10386.pdf" TargetMode="External"/><Relationship Id="rId93" Type="http://schemas.openxmlformats.org/officeDocument/2006/relationships/hyperlink" Target="https://www.camecon.com/how/our-work/fuelling-britains-future/" TargetMode="External"/><Relationship Id="rId98" Type="http://schemas.openxmlformats.org/officeDocument/2006/relationships/hyperlink" Target="http://ec.europa.eu/economy_finance/publications/european_economy/2014/pdf/ee8_en.pdf" TargetMode="External"/><Relationship Id="rId3" Type="http://schemas.openxmlformats.org/officeDocument/2006/relationships/hyperlink" Target="http://unfccc.int/paris_agreement/items/9485.php" TargetMode="External"/><Relationship Id="rId12" Type="http://schemas.openxmlformats.org/officeDocument/2006/relationships/hyperlink" Target="http://www.acea.be/statistics/tag/category/average-vehicle-age" TargetMode="External"/><Relationship Id="rId17" Type="http://schemas.openxmlformats.org/officeDocument/2006/relationships/hyperlink" Target="http://www.theicct.org/sites/default/files/publications/2017-Global-LDV-Standards-Update_ICCT-Report_23062017_vF.pdf" TargetMode="External"/><Relationship Id="rId25" Type="http://schemas.openxmlformats.org/officeDocument/2006/relationships/hyperlink" Target="http://dx.doi.org/10.1787/5kmjp68qtm6f-en" TargetMode="External"/><Relationship Id="rId33" Type="http://schemas.openxmlformats.org/officeDocument/2006/relationships/hyperlink" Target="http://www.mckinsey.com/industries/automotive-and-assembly/our-insights/electrifying-insights-how-automakers-can-drive-electrified-vehicle-sales-and-profitability" TargetMode="External"/><Relationship Id="rId38" Type="http://schemas.openxmlformats.org/officeDocument/2006/relationships/hyperlink" Target="http://data.consilium.europa.eu/doc/document/ST-10203-2016-INIT/en/pdf" TargetMode="External"/><Relationship Id="rId46" Type="http://schemas.openxmlformats.org/officeDocument/2006/relationships/hyperlink" Target="https://www.press.bmwgroup.com/global/article/detail/T0273122EN/bmw-group-announces-next-step-in-electrification-strategy?language=en" TargetMode="External"/><Relationship Id="rId59" Type="http://schemas.openxmlformats.org/officeDocument/2006/relationships/hyperlink" Target="http://www.theicct.org/sites/default/files/publications/Integrating-EVs-US-EU_ICCT_Working-Paper_22062017_vF.pdf" TargetMode="External"/><Relationship Id="rId67" Type="http://schemas.openxmlformats.org/officeDocument/2006/relationships/hyperlink" Target="https://circabc.europa.eu/webdav/CircaBC/GROW/wltp/Library/WLTP/consumption_meter/121018_legislation/FCM%20-%20GSI%20efficiency%20(TNO).pdf" TargetMode="External"/><Relationship Id="rId103" Type="http://schemas.openxmlformats.org/officeDocument/2006/relationships/hyperlink" Target="http://www.cesifo-group.de/portal/page/portal/DocBase_Service/studien/Studie-2017-Falck-etal-Zulassungsverbot-Verbrennungsmotoren.pdf" TargetMode="External"/><Relationship Id="rId108" Type="http://schemas.openxmlformats.org/officeDocument/2006/relationships/hyperlink" Target="https://ec.europa.eu/research/sam/pdf/sam_co2_emissions_report.pdf" TargetMode="External"/><Relationship Id="rId20" Type="http://schemas.openxmlformats.org/officeDocument/2006/relationships/hyperlink" Target="http://www.miit.gov.cn/n1146295/n1146557/n1146624/c5824932/content.html" TargetMode="External"/><Relationship Id="rId41" Type="http://schemas.openxmlformats.org/officeDocument/2006/relationships/hyperlink" Target="http://www.theicct.org/lit-review-ev-tech-costs-co2-emissions-2016" TargetMode="External"/><Relationship Id="rId54" Type="http://schemas.openxmlformats.org/officeDocument/2006/relationships/hyperlink" Target="https://www.arb.ca.gov/msprog/acc/mtr/acc_mtr_summaryreport.pdf" TargetMode="External"/><Relationship Id="rId62" Type="http://schemas.openxmlformats.org/officeDocument/2006/relationships/hyperlink" Target="https://ec.europa.eu/research/sam/pdf/sam_co2_emissions_report.pdf" TargetMode="External"/><Relationship Id="rId70" Type="http://schemas.openxmlformats.org/officeDocument/2006/relationships/hyperlink" Target="http://www.europarl.europa.eu/sides/getDoc.do?type=TA&amp;reference=P8-TA-2017-0100&amp;language=EN&amp;ring=B8-2017-0177" TargetMode="External"/><Relationship Id="rId75" Type="http://schemas.openxmlformats.org/officeDocument/2006/relationships/hyperlink" Target="http://www.beuc.eu/publications/beuc-x-2016-052_smacca_beuc_typeapproval_marketsurveillance_positionpaper_final.pdf" TargetMode="External"/><Relationship Id="rId83" Type="http://schemas.openxmlformats.org/officeDocument/2006/relationships/hyperlink" Target="http://iet.jrc.ec.europa.eu/about-jec/downloads" TargetMode="External"/><Relationship Id="rId88" Type="http://schemas.openxmlformats.org/officeDocument/2006/relationships/hyperlink" Target="https://ec.europa.eu/transport/sites/transport/files/themes/sustainable/studies/doc/2014-handbook-external-costs-transport.pdf" TargetMode="External"/><Relationship Id="rId91" Type="http://schemas.openxmlformats.org/officeDocument/2006/relationships/hyperlink" Target="https://www.camecon.com/how/our-work/fuelling-europes-future/" TargetMode="External"/><Relationship Id="rId96" Type="http://schemas.openxmlformats.org/officeDocument/2006/relationships/hyperlink" Target="http://www.muse.iao.fraunhofer.de/content/dam/iao/muse/de/documents/AbgeschlosseneProjekte/elab-abschlussbericht.pdf" TargetMode="External"/><Relationship Id="rId1" Type="http://schemas.openxmlformats.org/officeDocument/2006/relationships/hyperlink" Target="http://europa.eu/rapid/press-release_SPEECH-17-3165_en.htm" TargetMode="External"/><Relationship Id="rId6" Type="http://schemas.openxmlformats.org/officeDocument/2006/relationships/hyperlink" Target="https://presse.paris.fr/wp-content/uploads/2017/10/Fin-des-v%C3%A9hicules-diesel-et-essence-r%C3%A9action-de-la-Ville-de-Paris.pdf" TargetMode="External"/><Relationship Id="rId15" Type="http://schemas.openxmlformats.org/officeDocument/2006/relationships/hyperlink" Target="http://www.acea.be/statistics/tag/category/imports-of-motor-vehicles" TargetMode="External"/><Relationship Id="rId23" Type="http://schemas.openxmlformats.org/officeDocument/2006/relationships/hyperlink" Target="http://www.cesifo-group.de/portal/page/portal/DocBase_Service/studien/Studie-2017-Falck-etal-Zulassungsverbot-Verbrennungsmotoren.pdf" TargetMode="External"/><Relationship Id="rId28" Type="http://schemas.openxmlformats.org/officeDocument/2006/relationships/hyperlink" Target="http://www.theicct.org/sites/default/files/publications/ICCT_LitRvw_EV-tech-costs_201607.pdf" TargetMode="External"/><Relationship Id="rId36" Type="http://schemas.openxmlformats.org/officeDocument/2006/relationships/hyperlink" Target="http://register.consilium.europa.eu/doc/srv?l=EN&amp;f=ST%205584%202014%20ADD%201" TargetMode="External"/><Relationship Id="rId49" Type="http://schemas.openxmlformats.org/officeDocument/2006/relationships/hyperlink" Target="https://www.volkswagen-media-services.com/en/detailpage/-/detail/New-Group-strategy-adopted-Volkswagen-Group-to-become-a-world-leading-provider-of-sustainable-mobility/view/3681833/7a5bbec13158edd433c6630f5ac445da" TargetMode="External"/><Relationship Id="rId57" Type="http://schemas.openxmlformats.org/officeDocument/2006/relationships/hyperlink" Target="http://www.miit.gov.cn/n1146295/n1146557/n1146624/c5824932/content.html" TargetMode="External"/><Relationship Id="rId106" Type="http://schemas.openxmlformats.org/officeDocument/2006/relationships/hyperlink" Target="https://www.nrdc.org/sites/default/files/media-uploads/nrdc_commissioned_zev_report_july_2016_0.pdf" TargetMode="External"/><Relationship Id="rId10" Type="http://schemas.openxmlformats.org/officeDocument/2006/relationships/hyperlink" Target="http://www.theicct.org/blogs/staff/cities-driving-diesel-out-european-car-market" TargetMode="External"/><Relationship Id="rId31" Type="http://schemas.openxmlformats.org/officeDocument/2006/relationships/hyperlink" Target="http://media.opel.com/media/intl/en/opel/vehicles/ampera-e/2017.detail.html/content/Pages/presskits/intl/en/2017/opel/04-21-ampera-e-new-way-of-driving.html" TargetMode="External"/><Relationship Id="rId44" Type="http://schemas.openxmlformats.org/officeDocument/2006/relationships/hyperlink" Target="https://www.agora-energiewende.de/fileadmin/Projekte/2017/VAs_sonstige/Clean_Energy_Electric_Mobility/Liebreich_Global_Trends_Event_10052017.pdf" TargetMode="External"/><Relationship Id="rId52" Type="http://schemas.openxmlformats.org/officeDocument/2006/relationships/hyperlink" Target="https://www.arb.ca.gov/msprog/zevprog/zevprog.htm" TargetMode="External"/><Relationship Id="rId60" Type="http://schemas.openxmlformats.org/officeDocument/2006/relationships/hyperlink" Target="https://ec.europa.eu/jrc/en/publication/eur-scientific-and-technical-research-reports/review-use-factors-affecting-fuel-consumption-and-co2-emissions-passenger-cars" TargetMode="External"/><Relationship Id="rId65" Type="http://schemas.openxmlformats.org/officeDocument/2006/relationships/hyperlink" Target="https://www.arb.ca.gov/regact/2015/obdii2015/obdii2015isor.pdf" TargetMode="External"/><Relationship Id="rId73" Type="http://schemas.openxmlformats.org/officeDocument/2006/relationships/hyperlink" Target="http://eur-lex.europa.eu/legal-content/EN/TXT/?uri=CELEX:32017R1154" TargetMode="External"/><Relationship Id="rId78" Type="http://schemas.openxmlformats.org/officeDocument/2006/relationships/hyperlink" Target="http://publications.tno.nl/publication/34622355/ZCzWY2/TNO-2016-R11285.pdf" TargetMode="External"/><Relationship Id="rId81" Type="http://schemas.openxmlformats.org/officeDocument/2006/relationships/hyperlink" Target="https://ec.europa.eu/energy/sites/ener/files/documents/20160713%20draft_publication_REF2016_v13.pdf" TargetMode="External"/><Relationship Id="rId86" Type="http://schemas.openxmlformats.org/officeDocument/2006/relationships/hyperlink" Target="https://www.eea.europa.eu/publications/electric-vehicles-in-europe" TargetMode="External"/><Relationship Id="rId94" Type="http://schemas.openxmlformats.org/officeDocument/2006/relationships/hyperlink" Target="https://europeanclimate.org/low-carbon-mobility-in-germany-challenges-and-economic-opportunities./" TargetMode="External"/><Relationship Id="rId99" Type="http://schemas.openxmlformats.org/officeDocument/2006/relationships/hyperlink" Target="http://www.fticonsulting.com/~/media/Files/emea--files/insights/reports/impact-electrically-chargeable-vehicles-eu-economy.pdf" TargetMode="External"/><Relationship Id="rId101" Type="http://schemas.openxmlformats.org/officeDocument/2006/relationships/hyperlink" Target="http://ec.europa.eu/growth/tools-databases/newsroom/cf/itemdetail.cfm?item_id=8848" TargetMode="External"/><Relationship Id="rId4" Type="http://schemas.openxmlformats.org/officeDocument/2006/relationships/hyperlink" Target="https://nltimes.nl/2017/10/10/new-dutch-governments-plans-coming-years" TargetMode="External"/><Relationship Id="rId9" Type="http://schemas.openxmlformats.org/officeDocument/2006/relationships/hyperlink" Target="http://www.eea.europa.eu/data-and-maps/data/co2-cars-emission-11" TargetMode="External"/><Relationship Id="rId13" Type="http://schemas.openxmlformats.org/officeDocument/2006/relationships/hyperlink" Target="https://ec.europa.eu/clima/news/eu-citizens-increasingly-concerned-about-climate-change-and-see-economic-benefits-taking-action_en" TargetMode="External"/><Relationship Id="rId18" Type="http://schemas.openxmlformats.org/officeDocument/2006/relationships/hyperlink" Target="https://www.arb.ca.gov/msprog/acc/mtr/acc_mtr_summaryreport.pdf" TargetMode="External"/><Relationship Id="rId39" Type="http://schemas.openxmlformats.org/officeDocument/2006/relationships/hyperlink" Target="https://data.bloomberglp.com/bnef/sites/14/2017/06/BNEF_2017_04_12_EV-Price-Parity-Report.pdf" TargetMode="External"/><Relationship Id="rId34" Type="http://schemas.openxmlformats.org/officeDocument/2006/relationships/hyperlink" Target="http://publications.jrc.ec.europa.eu/repository/handle/JRC76867" TargetMode="External"/><Relationship Id="rId50" Type="http://schemas.openxmlformats.org/officeDocument/2006/relationships/hyperlink" Target="https://www.media.volvocars.com/global/en-gb/media/pressreleases/210058/volvo-cars-to-go-all-electric" TargetMode="External"/><Relationship Id="rId55" Type="http://schemas.openxmlformats.org/officeDocument/2006/relationships/hyperlink" Target="http://fingfx.thomsonreuters.com/gfx/rngs/CALIFORNIA-ELECTRICCARS/010021FJ3JD/index.html" TargetMode="External"/><Relationship Id="rId76" Type="http://schemas.openxmlformats.org/officeDocument/2006/relationships/hyperlink" Target="http://www.theicct.org/sites/default/files/publications/PV-in-use-surveillance_ICCT-position-brief_13072017_vF.pdf" TargetMode="External"/><Relationship Id="rId97" Type="http://schemas.openxmlformats.org/officeDocument/2006/relationships/hyperlink" Target="https://www2.deloitte.com/de/de/pages/consumer-industrial-products/articles/automotiv-value-chain-2025.html" TargetMode="External"/><Relationship Id="rId104" Type="http://schemas.openxmlformats.org/officeDocument/2006/relationships/hyperlink" Target="http://ec.europa.eu/transparency/regdoc/?fuseactio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TNO11</b:Tag>
    <b:SourceType>Report</b:SourceType>
    <b:Guid>{0E0AA99D-466D-469D-AA6B-27D1780F747D}</b:Guid>
    <b:Author>
      <b:Author>
        <b:Corporate>TNO et al.</b:Corporate>
      </b:Author>
    </b:Author>
    <b:Title>Support for the revision of Regulation (EC) No 443/2009 on CO2 emissions from cars</b:Title>
    <b:Year>2011</b:Year>
    <b:Publisher>A report for the European Commission, DG Climate Action. Available at: http://ec.europa.eu/clima/policies/transport/vehicles/cars/docs/study_car_2011_en.pdf</b:Publisher>
    <b:RefOrder>4</b:RefOrder>
  </b:Source>
  <b:Source>
    <b:Tag>TNO111</b:Tag>
    <b:SourceType>Report</b:SourceType>
    <b:Guid>{A57ADAB2-1EF2-4CCF-B0A7-713485DB1DA0}</b:Guid>
    <b:LCID>en-GB</b:LCID>
    <b:Author>
      <b:Author>
        <b:Corporate>TNO, et al.</b:Corporate>
      </b:Author>
    </b:Author>
    <b:Title>Support for the revision of Regulation (EC) No 443/2009 on CO2 emissions from cars (SR#1 of Framework Contract No ENV.C.3./FRA/2009/0043).</b:Title>
    <b:Year>2011b</b:Year>
    <b:Publisher>TNO, innovation for Llife</b:Publisher>
    <b:City>Delft</b:City>
    <b:RefOrder>12</b:RefOrder>
  </b:Source>
  <b:Source>
    <b:Tag>AEA12</b:Tag>
    <b:SourceType>Report</b:SourceType>
    <b:Guid>{19C8DA45-37E2-4567-9EF5-3041951B0A3A}</b:Guid>
    <b:LCID>en-GB</b:LCID>
    <b:Author>
      <b:Author>
        <b:Corporate>AEA ; TNO; CE Delft ; TEPR</b:Corporate>
      </b:Author>
    </b:Author>
    <b:Title>EU Transport GHG: Routes to 2050? II :  Developing a better understanding of the secondary impacts and key sensitivities for the decarbonisation of the EU’s transport sector by 2050</b:Title>
    <b:Year>2012</b:Year>
    <b:Publisher>AEA et al</b:Publisher>
    <b:City>London ; Brussels</b:City>
    <b:RefOrder>33</b:RefOrder>
  </b:Source>
  <b:Source>
    <b:Tag>UBS17</b:Tag>
    <b:SourceType>Report</b:SourceType>
    <b:Guid>{5E174DBE-F228-4EDF-AEEF-98963302CBAC}</b:Guid>
    <b:Title>Q-Series: UBS Evidence Lab Electric Car Teardown – Disruption Ahead?</b:Title>
    <b:Year>2017</b:Year>
    <b:Publisher>UBS Global Research</b:Publisher>
    <b:Author>
      <b:Author>
        <b:Corporate>UBS</b:Corporate>
      </b:Author>
    </b:Author>
    <b:URL>https://neo.ubs.com/shared/d1BwmpNZLi/</b:URL>
    <b:RefOrder>6</b:RefOrder>
  </b:Source>
  <b:Source>
    <b:Tag>Ricng1</b:Tag>
    <b:SourceType>Report</b:SourceType>
    <b:Guid>{C3AFB452-96D6-4B58-AD39-98598375A723}</b:Guid>
    <b:Author>
      <b:Author>
        <b:Corporate>Ricardo Energy &amp; Environment et al</b:Corporate>
      </b:Author>
    </b:Author>
    <b:Title>Improving understanding of technology and costs for CO2 reductions from cars and LCVs in the period to 2030 and development of cost curves. Service Request 4 to LDV Emissions Framework Contract.</b:Title>
    <b:Year>2016</b:Year>
    <b:Publisher>A report for the European Commission, DG Climate action by Ricardo Energy &amp; Environment, TU Graz, TEPR, EC JRC and the University of Cardiff. (Pending publication).</b:Publisher>
    <b:RefOrder>5</b:RefOrder>
  </b:Source>
  <b:Source>
    <b:Tag>PA16</b:Tag>
    <b:SourceType>Report</b:SourceType>
    <b:Guid>{CD036B60-6E2E-4732-BC27-A669682FB523}</b:Guid>
    <b:Author>
      <b:Author>
        <b:Corporate>PA Consulting</b:Corporate>
      </b:Author>
    </b:Author>
    <b:Title>THE CO₂ EMISSIONS CHALLENGE: Some carmakers are still falling short of meeting the 2021 targets</b:Title>
    <b:Year>2016</b:Year>
    <b:URL>http://www.paconsulting.com/our-thinking/the-co2-emissions-challenge/</b:URL>
    <b:RefOrder>6</b:RefOrder>
  </b:Source>
  <b:Source>
    <b:Tag>CEDng</b:Tag>
    <b:SourceType>Report</b:SourceType>
    <b:Guid>{B985D917-B72D-4114-9280-B349C160C7A9}</b:Guid>
    <b:Author>
      <b:Author>
        <b:Corporate>CE Delft et al.</b:Corporate>
      </b:Author>
    </b:Author>
    <b:Title>Assessment of the Modalities for LDV CO2 Regulations beyond 2020</b:Title>
    <b:Year>2017 (forthcoming)</b:Year>
    <b:Publisher>A report by CE Delft, TNO, TM Leuven and Cambridge Econometrics for the European Commission, DG Climate Action.</b:Publisher>
    <b:RefOrder>7</b:RefOrder>
  </b:Source>
  <b:Source>
    <b:Tag>Ric15</b:Tag>
    <b:SourceType>Report</b:SourceType>
    <b:Guid>{8D88DC9E-5801-4645-A7A9-AF3A2ECE441E}</b:Guid>
    <b:Author>
      <b:Author>
        <b:Corporate>Ricardo-AEA</b:Corporate>
      </b:Author>
    </b:Author>
    <b:Title>The potential for mass reduction of passenger cars and light commercial vehicles</b:Title>
    <b:Year>2015</b:Year>
    <b:Publisher>Service Request 1 under the LDV Emissions Framework Contract (Ref. CLIMA.C.2/FRA/2012/006). A report by Ricardo-AEA, TU Graz, TEPR and CAIR for European Commission, DG CLIMA. Available: http://ec.europa.eu/clima/policies/transport/vehicles/studies_en.htm</b:Publisher>
    <b:RefOrder>8</b:RefOrder>
  </b:Source>
  <b:Source>
    <b:Tag>Ric142</b:Tag>
    <b:SourceType>Report</b:SourceType>
    <b:Guid>{F279732D-E2FD-4163-A5EE-78A3E4697D4D}</b:Guid>
    <b:Author>
      <b:Author>
        <b:Corporate>Ricardo-AEA</b:Corporate>
      </b:Author>
    </b:Author>
    <b:Title>Improvements to the definition of lifetime mileage of light duty vehicles</b:Title>
    <b:Year>2014a</b:Year>
    <b:Publisher>A project by Ricardo-AEA for the European Comission, DG Climate Action.</b:Publisher>
    <b:URL>https://ec.europa.eu/clima/sites/clima/files/transport/vehicles/docs/ldv_mileage_improvement_en.pdf</b:URL>
    <b:RefOrder>9</b:RefOrder>
  </b:Source>
  <b:Source>
    <b:Tag>ICC161</b:Tag>
    <b:SourceType>Report</b:SourceType>
    <b:Guid>{434BBFD9-854B-49D7-AA2A-F4A9AC357B07}</b:Guid>
    <b:Author>
      <b:Author>
        <b:Corporate>ICCT</b:Corporate>
      </b:Author>
    </b:Author>
    <b:Title>European Vehicle Market Statistics - Pocketbook 2016/17</b:Title>
    <b:Year>2016</b:Year>
    <b:Publisher>International Council for Clean Transportation</b:Publisher>
    <b:URL>http://www.theicct.org/european-vehicle-market-statistics-2016-2017</b:URL>
    <b:RefOrder>10</b:RefOrder>
  </b:Source>
</b:Sources>
</file>

<file path=customXml/itemProps1.xml><?xml version="1.0" encoding="utf-8"?>
<ds:datastoreItem xmlns:ds="http://schemas.openxmlformats.org/officeDocument/2006/customXml" ds:itemID="{74B34E48-3575-4599-8BF6-5BD0E3CD9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169</Pages>
  <Words>59551</Words>
  <Characters>316222</Characters>
  <Application>Microsoft Office Word</Application>
  <DocSecurity>0</DocSecurity>
  <Lines>7905</Lines>
  <Paragraphs>4639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371134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PAREDES ECHAURI Cristina (CAB-ALMUNIA)</cp:lastModifiedBy>
  <cp:revision>17</cp:revision>
  <cp:lastPrinted>2017-10-27T11:54:00Z</cp:lastPrinted>
  <dcterms:created xsi:type="dcterms:W3CDTF">2017-11-08T09:47:00Z</dcterms:created>
  <dcterms:modified xsi:type="dcterms:W3CDTF">2017-11-08T10:06:00Z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2</vt:lpwstr>
  </property>
  <property fmtid="{D5CDD505-2E9C-101B-9397-08002B2CF9AE}" pid="5" name="DocStatus">
    <vt:lpwstr>Green</vt:lpwstr>
  </property>
</Properties>
</file>