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ECF8A1CD-9C64-4396-B72F-5C06A57297F8" style="width:450.4pt;height:383.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p>
      <w:pPr>
        <w:spacing w:after="480"/>
        <w:jc w:val="center"/>
        <w:rPr>
          <w:b/>
          <w:noProof/>
        </w:rPr>
      </w:pPr>
      <w:r>
        <w:rPr>
          <w:b/>
          <w:noProof/>
        </w:rPr>
        <w:t xml:space="preserve">Directives for the negotiation of amendments to the International Sugar Agreement, 1992 </w:t>
      </w:r>
    </w:p>
    <w:p>
      <w:pPr>
        <w:rPr>
          <w:noProof/>
        </w:rPr>
      </w:pPr>
      <w:r>
        <w:rPr>
          <w:noProof/>
        </w:rPr>
        <w:t>The Commission may enter into negotiations with the other parties to the International Sugar Agreement, 1992 (hereafter "ISA") within the International Sugar Council with a view to modernise the ISA taking into account developments in the world sugar market and to address current discrepancies between the influence and financial contributions of Members of the International Sugar Organization and their relative place in the world sugar market.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09F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0B7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96A9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AE33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5ABB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E01C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E44C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02EDE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2: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ECF8A1CD-9C64-4396-B72F-5C06A57297F8"/>
    <w:docVar w:name="LW_COVERPAGE_TYPE" w:val="1"/>
    <w:docVar w:name="LW_CROSSREFERENCE" w:val="&lt;UNUSED&gt;"/>
    <w:docVar w:name="LW_DocType" w:val="ANNEX"/>
    <w:docVar w:name="LW_EMISSION" w:val="9.11.2017"/>
    <w:docVar w:name="LW_EMISSION_ISODATE" w:val="2017-11-0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authorising the opening of negotiations to amend the International Sugar Agreement, 1992"/>
    <w:docVar w:name="LW_PART_NBR" w:val="1"/>
    <w:docVar w:name="LW_PART_NBR_TOTAL" w:val="1"/>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79</Words>
  <Characters>468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OGER Brigitte (AGRI)</dc:creator>
  <cp:lastModifiedBy>DIGIT/A3</cp:lastModifiedBy>
  <cp:revision>8</cp:revision>
  <dcterms:created xsi:type="dcterms:W3CDTF">2017-10-17T12:09:00Z</dcterms:created>
  <dcterms:modified xsi:type="dcterms:W3CDTF">2017-11-07T13:42:00Z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