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5718BDB-1174-403D-908A-2F6E022709C2" style="width:450pt;height:307.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center"/>
        <w:rPr>
          <w:rFonts w:ascii="Verdana" w:hAnsi="Verdana"/>
          <w:b/>
          <w:noProof/>
          <w:sz w:val="28"/>
          <w:szCs w:val="28"/>
        </w:rPr>
      </w:pPr>
      <w:bookmarkStart w:id="1" w:name="_GoBack"/>
      <w:bookmarkEnd w:id="1"/>
    </w:p>
    <w:p>
      <w:pPr>
        <w:spacing w:after="0"/>
        <w:jc w:val="center"/>
        <w:rPr>
          <w:rFonts w:ascii="Verdana" w:hAnsi="Verdana"/>
          <w:b/>
          <w:noProof/>
          <w:sz w:val="28"/>
          <w:szCs w:val="28"/>
        </w:rPr>
      </w:pPr>
    </w:p>
    <w:p>
      <w:pPr>
        <w:spacing w:after="0"/>
        <w:jc w:val="center"/>
        <w:rPr>
          <w:rFonts w:ascii="Verdana" w:hAnsi="Verdana"/>
          <w:b/>
          <w:noProof/>
          <w:sz w:val="28"/>
          <w:szCs w:val="28"/>
        </w:rPr>
      </w:pPr>
      <w:r>
        <w:rPr>
          <w:rFonts w:ascii="Verdana" w:hAnsi="Verdana"/>
          <w:b/>
          <w:noProof/>
          <w:sz w:val="28"/>
        </w:rPr>
        <w:t>Съдържание</w:t>
      </w:r>
    </w:p>
    <w:p>
      <w:pPr>
        <w:spacing w:after="0"/>
        <w:jc w:val="center"/>
        <w:rPr>
          <w:rFonts w:ascii="Verdana" w:hAnsi="Verdana"/>
          <w:b/>
          <w:noProof/>
          <w:sz w:val="28"/>
          <w:szCs w:val="28"/>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96535768" w:history="1">
        <w:r>
          <w:rPr>
            <w:rStyle w:val="Hyperlink"/>
            <w:noProof/>
          </w:rPr>
          <w:t>Въведение</w:t>
        </w:r>
        <w:r>
          <w:rPr>
            <w:noProof/>
            <w:webHidden/>
          </w:rPr>
          <w:tab/>
        </w:r>
        <w:r>
          <w:rPr>
            <w:noProof/>
            <w:webHidden/>
          </w:rPr>
          <w:fldChar w:fldCharType="begin"/>
        </w:r>
        <w:r>
          <w:rPr>
            <w:noProof/>
            <w:webHidden/>
          </w:rPr>
          <w:instrText xml:space="preserve"> PAGEREF _Toc496535768 \h </w:instrText>
        </w:r>
        <w:r>
          <w:rPr>
            <w:noProof/>
            <w:webHidden/>
          </w:rPr>
        </w:r>
        <w:r>
          <w:rPr>
            <w:noProof/>
            <w:webHidden/>
          </w:rPr>
          <w:fldChar w:fldCharType="separate"/>
        </w:r>
        <w:r>
          <w:rPr>
            <w:noProof/>
            <w:webHidden/>
          </w:rPr>
          <w:t>3</w:t>
        </w:r>
        <w:r>
          <w:rPr>
            <w:noProof/>
            <w:webHidden/>
          </w:rPr>
          <w:fldChar w:fldCharType="end"/>
        </w:r>
      </w:hyperlink>
    </w:p>
    <w:p>
      <w:pPr>
        <w:pStyle w:val="TOC1"/>
        <w:ind w:left="0" w:firstLine="0"/>
        <w:rPr>
          <w:rFonts w:asciiTheme="minorHAnsi" w:eastAsiaTheme="minorEastAsia" w:hAnsiTheme="minorHAnsi" w:cstheme="minorBidi"/>
          <w:noProof/>
          <w:sz w:val="22"/>
          <w:szCs w:val="22"/>
          <w:lang w:val="en-GB" w:eastAsia="en-GB" w:bidi="ar-SA"/>
        </w:rPr>
      </w:pPr>
      <w:hyperlink w:anchor="_Toc496535769" w:history="1">
        <w:r>
          <w:rPr>
            <w:rStyle w:val="Hyperlink"/>
            <w:noProof/>
          </w:rPr>
          <w:t>Преглед на основните операции за хуманитарна помощ, финансирани през 2016 г.</w:t>
        </w:r>
        <w:r>
          <w:rPr>
            <w:noProof/>
            <w:webHidden/>
          </w:rPr>
          <w:tab/>
        </w:r>
        <w:r>
          <w:rPr>
            <w:noProof/>
            <w:webHidden/>
          </w:rPr>
          <w:fldChar w:fldCharType="begin"/>
        </w:r>
        <w:r>
          <w:rPr>
            <w:noProof/>
            <w:webHidden/>
          </w:rPr>
          <w:instrText xml:space="preserve"> PAGEREF _Toc496535769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6535770" w:history="1">
        <w:r>
          <w:rPr>
            <w:rStyle w:val="Hyperlink"/>
            <w:noProof/>
          </w:rPr>
          <w:t>Допълнителна информация и източници</w:t>
        </w:r>
        <w:r>
          <w:rPr>
            <w:noProof/>
            <w:webHidden/>
          </w:rPr>
          <w:tab/>
        </w:r>
        <w:r>
          <w:rPr>
            <w:noProof/>
            <w:webHidden/>
          </w:rPr>
          <w:fldChar w:fldCharType="begin"/>
        </w:r>
        <w:r>
          <w:rPr>
            <w:noProof/>
            <w:webHidden/>
          </w:rPr>
          <w:instrText xml:space="preserve"> PAGEREF _Toc496535770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Calibri" w:hAnsi="Calibri"/>
          <w:noProof/>
          <w:sz w:val="22"/>
          <w:szCs w:val="22"/>
        </w:rPr>
      </w:pPr>
      <w:r>
        <w:rPr>
          <w:rFonts w:ascii="Calibri" w:hAnsi="Calibri"/>
          <w:noProof/>
          <w:sz w:val="22"/>
          <w:szCs w:val="22"/>
        </w:rPr>
        <w:fldChar w:fldCharType="end"/>
      </w:r>
    </w:p>
    <w:p>
      <w:pPr>
        <w:pStyle w:val="ECHOHeading1"/>
        <w:spacing w:before="0"/>
        <w:ind w:left="0" w:firstLine="0"/>
        <w:jc w:val="center"/>
        <w:rPr>
          <w:noProof/>
          <w:u w:val="single"/>
        </w:rPr>
      </w:pPr>
      <w:r>
        <w:rPr>
          <w:noProof/>
        </w:rPr>
        <w:br w:type="page"/>
      </w:r>
      <w:bookmarkStart w:id="2" w:name="_Toc449608352"/>
      <w:bookmarkStart w:id="3" w:name="_Toc494787938"/>
      <w:bookmarkStart w:id="4" w:name="_Toc496535768"/>
      <w:r>
        <w:rPr>
          <w:noProof/>
          <w:u w:val="single"/>
        </w:rPr>
        <w:lastRenderedPageBreak/>
        <w:t>Въведение</w:t>
      </w:r>
      <w:bookmarkEnd w:id="2"/>
      <w:bookmarkEnd w:id="3"/>
      <w:bookmarkEnd w:id="4"/>
    </w:p>
    <w:p>
      <w:pPr>
        <w:pStyle w:val="ECHOContent"/>
        <w:rPr>
          <w:noProof/>
        </w:rPr>
      </w:pPr>
      <w:r>
        <w:rPr>
          <w:noProof/>
        </w:rPr>
        <w:t>В настоящия доклад са представени основните дейности и резултати от политиката на Съюза през 2016 г. в областта на хуманитарната помощ, осъществени чрез Генерална дирекция</w:t>
      </w:r>
      <w:r>
        <w:rPr>
          <w:noProof/>
          <w:color w:val="000000"/>
        </w:rPr>
        <w:t>„Хуманитарна помощ“</w:t>
      </w:r>
      <w:r>
        <w:rPr>
          <w:noProof/>
        </w:rPr>
        <w:t xml:space="preserve"> на Европейската комисия. Докладът е изготвен в съответствие с член 19 от Регламент (ЕО) № 1257/96 на Съвета от 20 юни 1996 г. относно хуманитарната помощ, който изисква</w:t>
      </w:r>
      <w:r>
        <w:rPr>
          <w:noProof/>
          <w:color w:val="444444"/>
        </w:rPr>
        <w:t xml:space="preserve"> </w:t>
      </w:r>
      <w:r>
        <w:rPr>
          <w:noProof/>
        </w:rPr>
        <w:t>от Комисията да представя годишен доклад на Европейския парламент и на Съвета с кратко описание на операциите, финансирани през предходната година.</w:t>
      </w:r>
    </w:p>
    <w:p>
      <w:pPr>
        <w:pStyle w:val="ECHOHeading1"/>
        <w:jc w:val="center"/>
        <w:rPr>
          <w:noProof/>
          <w:u w:val="single"/>
        </w:rPr>
      </w:pPr>
      <w:bookmarkStart w:id="5" w:name="_Toc449608354"/>
      <w:bookmarkStart w:id="6" w:name="_Toc494787939"/>
      <w:bookmarkStart w:id="7" w:name="_Toc496535769"/>
      <w:r>
        <w:rPr>
          <w:noProof/>
          <w:u w:val="single"/>
        </w:rPr>
        <w:t>Преглед на основните операции за хуманитарна помощ,</w:t>
      </w:r>
      <w:bookmarkStart w:id="8" w:name="_Toc418519948"/>
      <w:bookmarkStart w:id="9" w:name="_Toc290285584"/>
      <w:bookmarkStart w:id="10" w:name="_Toc311536310"/>
      <w:bookmarkStart w:id="11" w:name="_Toc311537615"/>
      <w:bookmarkStart w:id="12" w:name="_Toc316465398"/>
      <w:bookmarkEnd w:id="5"/>
      <w:r>
        <w:rPr>
          <w:noProof/>
          <w:u w:val="single"/>
        </w:rPr>
        <w:t xml:space="preserve"> финансирани през 2016 г.</w:t>
      </w:r>
      <w:bookmarkEnd w:id="6"/>
      <w:bookmarkEnd w:id="7"/>
    </w:p>
    <w:p>
      <w:pPr>
        <w:jc w:val="both"/>
        <w:rPr>
          <w:rFonts w:ascii="Verdana" w:hAnsi="Verdana"/>
          <w:noProof/>
          <w:sz w:val="20"/>
          <w:szCs w:val="20"/>
        </w:rPr>
      </w:pPr>
      <w:r>
        <w:rPr>
          <w:rFonts w:ascii="Verdana" w:hAnsi="Verdana"/>
          <w:noProof/>
          <w:sz w:val="20"/>
        </w:rPr>
        <w:t>През 2016 г. броят на хуманитарните кризи се увеличи, както и сложността и критичността им. Наблюдаваха се над 50 въоръжени конфликти, с малко или никакво подобрение на най-тежките широкомащабни кризи като тези в Сирия, Йемен, Южен Судан или в региона на езерото Чад. Природни бедствия — свързани с мегатенденции като например изменението на климата, урбанизацията и демографския натиск, през последните години доведоха до нужда от хуманитарна помощ за около 26 милиона души ежегодно. Общо повече от 95 милиона души в 40 страни се нуждаеха от хуманитарна помощ през 2016 г. и почти 65 милиона души (половината от които деца) са били насилствено разселени — повече от когато и да било преди.</w:t>
      </w:r>
    </w:p>
    <w:p>
      <w:pPr>
        <w:jc w:val="both"/>
        <w:rPr>
          <w:rFonts w:ascii="Verdana" w:hAnsi="Verdana"/>
          <w:noProof/>
          <w:sz w:val="20"/>
          <w:szCs w:val="20"/>
        </w:rPr>
      </w:pPr>
      <w:r>
        <w:rPr>
          <w:rFonts w:ascii="Verdana" w:hAnsi="Verdana"/>
          <w:noProof/>
          <w:sz w:val="20"/>
        </w:rPr>
        <w:t>На фона на тези драматични обстоятелства бюджетът на ЕС за хуманитарна помощ през 2016 г. бе най-високият досега, в размер на 1,8 милиарда евро</w:t>
      </w:r>
      <w:r>
        <w:rPr>
          <w:rStyle w:val="FootnoteReference"/>
          <w:rFonts w:ascii="Verdana" w:hAnsi="Verdana"/>
          <w:noProof/>
          <w:sz w:val="20"/>
        </w:rPr>
        <w:footnoteReference w:id="1"/>
      </w:r>
      <w:r>
        <w:rPr>
          <w:rFonts w:ascii="Verdana" w:hAnsi="Verdana"/>
          <w:noProof/>
          <w:sz w:val="20"/>
        </w:rPr>
        <w:t xml:space="preserve">. </w:t>
      </w:r>
    </w:p>
    <w:p>
      <w:pPr>
        <w:jc w:val="both"/>
        <w:rPr>
          <w:rFonts w:ascii="Verdana" w:hAnsi="Verdana"/>
          <w:b/>
          <w:noProof/>
          <w:sz w:val="20"/>
          <w:szCs w:val="20"/>
        </w:rPr>
      </w:pPr>
      <w:r>
        <w:rPr>
          <w:rFonts w:ascii="Verdana" w:hAnsi="Verdana"/>
          <w:b/>
          <w:noProof/>
          <w:sz w:val="20"/>
        </w:rPr>
        <w:t>В отговор на кризата в Сирия:</w:t>
      </w:r>
    </w:p>
    <w:p>
      <w:pPr>
        <w:jc w:val="both"/>
        <w:rPr>
          <w:rFonts w:ascii="Verdana" w:hAnsi="Verdana"/>
          <w:noProof/>
          <w:sz w:val="20"/>
          <w:szCs w:val="20"/>
        </w:rPr>
      </w:pPr>
      <w:r>
        <w:rPr>
          <w:rFonts w:ascii="Verdana" w:hAnsi="Verdana"/>
          <w:noProof/>
          <w:sz w:val="20"/>
        </w:rPr>
        <w:t xml:space="preserve">Значителна част от европейския бюджет за хуманитарна помощ през 2016 г. беше изразходван за подпомагане на бежанците в страните, които са най-силно засегнати от кризата в Сирия, както и на хората в Сирия, които се нуждаят от хуманитарна помощ. </w:t>
      </w:r>
    </w:p>
    <w:p>
      <w:pPr>
        <w:jc w:val="both"/>
        <w:rPr>
          <w:rFonts w:ascii="Verdana" w:hAnsi="Verdana"/>
          <w:noProof/>
          <w:sz w:val="20"/>
          <w:szCs w:val="20"/>
        </w:rPr>
      </w:pPr>
      <w:r>
        <w:rPr>
          <w:rFonts w:ascii="Verdana" w:hAnsi="Verdana"/>
          <w:noProof/>
          <w:sz w:val="20"/>
        </w:rPr>
        <w:t xml:space="preserve">Така Комисията отпусна 454 милиона евро за хуманитарни операции в Сирия и в съседните държави в съответствие с ангажиментите, поети по време на Лондонската конференция през февруари 2016 г. </w:t>
      </w:r>
    </w:p>
    <w:p>
      <w:pPr>
        <w:jc w:val="both"/>
        <w:rPr>
          <w:rFonts w:ascii="Verdana" w:hAnsi="Verdana"/>
          <w:noProof/>
          <w:sz w:val="20"/>
          <w:szCs w:val="20"/>
        </w:rPr>
      </w:pPr>
      <w:r>
        <w:rPr>
          <w:rFonts w:ascii="Verdana" w:hAnsi="Verdana"/>
          <w:noProof/>
          <w:sz w:val="20"/>
        </w:rPr>
        <w:t>В Сирия почти половината от предоставената от Комисията хуманитарна помощ беше насочена към незабавни животоспасяващи и спешни хуманитарни операции. В допълнение, помощта включваше осигуряването на безопасна питейна вода, на канализация и хигиена, на продоволствия, на закрила на децата и на инструменти за спешни случаи. В Йордания и Ливан хуманитарната помощ на ЕС е допринесла за паричната помощ за най-уязвимите бежанци, за животоспасяващи вторични здравни грижи, за неформално образование, за осигуряване на подслон и вода, както и за хигиенни и санитарни съоръжения. Усилията също така се съсредоточиха върху силно застъпничество на международно равнище за осигуряване на безпрепятствен достъп до хуманитарна помощ, закрила на бежанците и зачитане на международното хуманитарно право.</w:t>
      </w:r>
    </w:p>
    <w:p>
      <w:pPr>
        <w:jc w:val="both"/>
        <w:rPr>
          <w:rFonts w:ascii="Verdana" w:hAnsi="Verdana"/>
          <w:noProof/>
          <w:sz w:val="20"/>
          <w:szCs w:val="20"/>
        </w:rPr>
      </w:pPr>
      <w:r>
        <w:rPr>
          <w:rFonts w:ascii="Verdana" w:hAnsi="Verdana"/>
          <w:noProof/>
          <w:sz w:val="20"/>
        </w:rPr>
        <w:t>Освен това през 2016 г. ЕС създаде Механизъм за бежанците в Турция</w:t>
      </w:r>
      <w:r>
        <w:rPr>
          <w:rStyle w:val="FootnoteReference"/>
          <w:rFonts w:ascii="Verdana" w:hAnsi="Verdana"/>
          <w:noProof/>
          <w:sz w:val="20"/>
        </w:rPr>
        <w:footnoteReference w:id="2"/>
      </w:r>
      <w:r>
        <w:rPr>
          <w:rFonts w:ascii="Verdana" w:hAnsi="Verdana"/>
          <w:noProof/>
          <w:sz w:val="20"/>
        </w:rPr>
        <w:t xml:space="preserve"> с цел да се отговори на нуждите на три милиона бежанци, които са подслонени в Турция. Сумата от 1,4 млрд. евро от Механизма за 2016 г. и 2017 г., предназначена за хуманитарни нужди, е съсредоточена върху подкрепата главно за бежанци извън бежанските лагери (които съставляват мнозинството от бежанците в Турция, като се явяват и най-уязвимата група). За тази цел Комисията, работейки чрез Световната програма за изхранване и турския Червен полумесец, стартира най-мащабния за всички времена хуманитарен проект на ЕС — „Мрежата за социална закрила при извънредни обстоятелства“ (МСЗИО), която има за цел да превежда месечно пари в брой до един милион от най-уязвимите бежанци чрез дебитни карти.</w:t>
      </w:r>
    </w:p>
    <w:p>
      <w:pPr>
        <w:jc w:val="both"/>
        <w:rPr>
          <w:rFonts w:ascii="Verdana" w:hAnsi="Verdana"/>
          <w:b/>
          <w:noProof/>
          <w:sz w:val="20"/>
          <w:szCs w:val="20"/>
        </w:rPr>
      </w:pPr>
      <w:r>
        <w:rPr>
          <w:rFonts w:ascii="Verdana" w:hAnsi="Verdana"/>
          <w:b/>
          <w:noProof/>
          <w:sz w:val="20"/>
        </w:rPr>
        <w:t>Отговор на нуждите от хуманитарна помощ в Африка</w:t>
      </w:r>
    </w:p>
    <w:p>
      <w:pPr>
        <w:jc w:val="both"/>
        <w:rPr>
          <w:rFonts w:ascii="Verdana" w:hAnsi="Verdana"/>
          <w:noProof/>
          <w:sz w:val="20"/>
          <w:szCs w:val="20"/>
        </w:rPr>
      </w:pPr>
      <w:r>
        <w:rPr>
          <w:rFonts w:ascii="Verdana" w:hAnsi="Verdana"/>
          <w:noProof/>
          <w:sz w:val="20"/>
        </w:rPr>
        <w:t>Както и през предходните години, отговорът на хуманитарни кризи в Африка представляваше друга значителна част от хуманитарната помощ на ЕС с особен акцент върху сложни извънредни ситуации в Сахел и Африканския рог, както и в региона на езерото Чад, където продоволствените кризи се припокриват с определен брой продължителни конфликти. Като цяло Комисията разпредели 747 милиона евро за кризи в Африка на юг от Сахара. В рамките на тази сума най-големите разпределени средства заминаха за Судан и Южен Судан. (192 милиона евро) и за региона на Африканския рог (203 милиона евро), както и за Западна Африка (140 милиона евро). Както в Африканския рог, така и в Сахел основен елемент от стратегията на Комисията беше да се гарантират тесни връзки с помощта на ЕС за развитие с оглед оказване на подкрепа за устойчивостта на засегнатите общности. В Централноафриканската република (ЦАР)</w:t>
      </w:r>
      <w:r>
        <w:rPr>
          <w:rFonts w:ascii="Verdana" w:hAnsi="Verdana"/>
          <w:b/>
          <w:noProof/>
          <w:sz w:val="20"/>
        </w:rPr>
        <w:t xml:space="preserve"> </w:t>
      </w:r>
      <w:r>
        <w:rPr>
          <w:rFonts w:ascii="Verdana" w:hAnsi="Verdana"/>
          <w:noProof/>
          <w:sz w:val="20"/>
        </w:rPr>
        <w:t>ЕС продължи да е много активен донор на хуманитарна помощ в съответствие с постоянния обществено значим ангажимент на Съюза за тази страна. ЕС предоставя краткосрочна и дългосрочна помощ и подкрепа за изграждането на устойчивост за жертвите на конфликта както в самата страна, така и за бежанците в съседните държави.</w:t>
      </w:r>
    </w:p>
    <w:p>
      <w:pPr>
        <w:jc w:val="both"/>
        <w:rPr>
          <w:rFonts w:ascii="Verdana" w:hAnsi="Verdana"/>
          <w:b/>
          <w:noProof/>
          <w:sz w:val="20"/>
          <w:szCs w:val="20"/>
        </w:rPr>
      </w:pPr>
      <w:r>
        <w:rPr>
          <w:rFonts w:ascii="Verdana" w:hAnsi="Verdana"/>
          <w:b/>
          <w:noProof/>
          <w:sz w:val="20"/>
        </w:rPr>
        <w:t>Ирак, широкия регион на Близкия изток и Северна Африка</w:t>
      </w:r>
    </w:p>
    <w:p>
      <w:pPr>
        <w:jc w:val="both"/>
        <w:rPr>
          <w:rFonts w:ascii="Verdana" w:hAnsi="Verdana"/>
          <w:noProof/>
          <w:sz w:val="20"/>
          <w:szCs w:val="20"/>
        </w:rPr>
      </w:pPr>
      <w:r>
        <w:rPr>
          <w:rFonts w:ascii="Verdana" w:hAnsi="Verdana"/>
          <w:noProof/>
          <w:sz w:val="20"/>
        </w:rPr>
        <w:t>ЕС изигра ключова роля в предоставянето на помощ на жертвите на конфликта в Ирак (159 милиона евро) и беше в челните редици на международните усилия за застъпничество в тяхна полза (наред с другото чрез организирането на проява на високо равнище в рамките на Общото събрание на ООН, чийто домакин беше комисар Стилианидис). Освен това ЕС помогна за разполагането и координацията на помощта в натура от държавите — членки на ЕС, чрез механизма на ЕС за гражданска защита</w:t>
      </w:r>
      <w:r>
        <w:rPr>
          <w:rStyle w:val="FootnoteReference"/>
          <w:rFonts w:ascii="Verdana" w:hAnsi="Verdana"/>
          <w:noProof/>
          <w:sz w:val="20"/>
        </w:rPr>
        <w:footnoteReference w:id="3"/>
      </w:r>
      <w:r>
        <w:rPr>
          <w:rFonts w:ascii="Verdana" w:hAnsi="Verdana"/>
          <w:noProof/>
          <w:sz w:val="20"/>
        </w:rPr>
        <w:t xml:space="preserve"> в контекста на конфликта около Мосул. </w:t>
      </w:r>
    </w:p>
    <w:p>
      <w:pPr>
        <w:jc w:val="both"/>
        <w:rPr>
          <w:rFonts w:ascii="Verdana" w:hAnsi="Verdana"/>
          <w:noProof/>
          <w:sz w:val="20"/>
          <w:szCs w:val="20"/>
        </w:rPr>
      </w:pPr>
      <w:r>
        <w:rPr>
          <w:rFonts w:ascii="Verdana" w:hAnsi="Verdana"/>
          <w:noProof/>
          <w:sz w:val="20"/>
        </w:rPr>
        <w:t>Освен това ЕС продължи да предоставя значителна подкрепа за хуманитарните операции в Йемен (70 милиона евро) — където положението продължи да се влошава както по отношение на основните хуманитарни нужди, така и относно зачитането на международното хуманитарно право — а също и за Палестина (25 милиона евро). В Северна Африка беше предоставена продължаваща подкрепа за удовлетворяване на потребностите от хуманитарна помощ на бежанците сахрави, както и за засегнатото от конфликти население в Либия.</w:t>
      </w:r>
    </w:p>
    <w:p>
      <w:pPr>
        <w:jc w:val="both"/>
        <w:rPr>
          <w:rFonts w:ascii="Verdana" w:hAnsi="Verdana"/>
          <w:b/>
          <w:noProof/>
          <w:sz w:val="20"/>
          <w:szCs w:val="20"/>
        </w:rPr>
      </w:pPr>
      <w:r>
        <w:rPr>
          <w:rFonts w:ascii="Verdana" w:hAnsi="Verdana"/>
          <w:b/>
          <w:noProof/>
          <w:sz w:val="20"/>
        </w:rPr>
        <w:t>Украйна</w:t>
      </w:r>
    </w:p>
    <w:p>
      <w:pPr>
        <w:jc w:val="both"/>
        <w:rPr>
          <w:rFonts w:ascii="Verdana" w:hAnsi="Verdana"/>
          <w:noProof/>
          <w:sz w:val="20"/>
          <w:szCs w:val="20"/>
        </w:rPr>
      </w:pPr>
      <w:r>
        <w:rPr>
          <w:rFonts w:ascii="Verdana" w:hAnsi="Verdana"/>
          <w:noProof/>
          <w:sz w:val="20"/>
        </w:rPr>
        <w:t>ЕС продължи да бъде един от най-големите хуманитарни донори в украинската криза, като осигуряваше храна, подслон, здравни услуги и психологическа подкрепа на най-уязвимите хора, засегнати от конфликта в източната част на Украйна. Като цяло бяха мобилизирани 28,4 милиона евро за хуманитарния отговор на ЕС на кризата.</w:t>
      </w:r>
    </w:p>
    <w:p>
      <w:pPr>
        <w:jc w:val="both"/>
        <w:rPr>
          <w:rFonts w:ascii="Verdana" w:hAnsi="Verdana"/>
          <w:b/>
          <w:noProof/>
          <w:sz w:val="20"/>
          <w:szCs w:val="20"/>
        </w:rPr>
      </w:pPr>
    </w:p>
    <w:p>
      <w:pPr>
        <w:jc w:val="both"/>
        <w:rPr>
          <w:rFonts w:ascii="Verdana" w:hAnsi="Verdana"/>
          <w:b/>
          <w:noProof/>
          <w:sz w:val="20"/>
          <w:szCs w:val="20"/>
        </w:rPr>
      </w:pPr>
      <w:r>
        <w:rPr>
          <w:rFonts w:ascii="Verdana" w:hAnsi="Verdana"/>
          <w:b/>
          <w:noProof/>
          <w:sz w:val="20"/>
        </w:rPr>
        <w:t>Отговор на природни бедствия</w:t>
      </w:r>
    </w:p>
    <w:p>
      <w:pPr>
        <w:jc w:val="both"/>
        <w:rPr>
          <w:rFonts w:ascii="Verdana" w:hAnsi="Verdana"/>
          <w:noProof/>
          <w:sz w:val="20"/>
          <w:szCs w:val="20"/>
        </w:rPr>
      </w:pPr>
      <w:r>
        <w:rPr>
          <w:rFonts w:ascii="Verdana" w:hAnsi="Verdana"/>
          <w:noProof/>
          <w:sz w:val="20"/>
        </w:rPr>
        <w:t>Да се отговори бързо и ефективно на природните бедствия бе основен приоритет за Комисията и през 2016 г. Това касае както хуманитарната помощ, предоставяна чрез партньорски организации, така и тази по линия на Механизма на ЕС за гражданска защита, с който се улеснява и координира помощта в натура от държавите членки чрез Координационния център за реагиране при извънредни ситуации (КЦРИС).</w:t>
      </w:r>
    </w:p>
    <w:p>
      <w:pPr>
        <w:jc w:val="both"/>
        <w:rPr>
          <w:rFonts w:ascii="Verdana" w:hAnsi="Verdana"/>
          <w:noProof/>
          <w:sz w:val="20"/>
          <w:szCs w:val="20"/>
        </w:rPr>
      </w:pPr>
      <w:r>
        <w:rPr>
          <w:rFonts w:ascii="Verdana" w:hAnsi="Verdana"/>
          <w:noProof/>
          <w:sz w:val="20"/>
        </w:rPr>
        <w:t>През 2016 г. ключов приоритет бе да се реагира на природното явление Ел Ниньо — едно от най-опустошителните до момента. Комисията отпусна 298 милиона евро спешна хуманитарна помощ за хората, засегнати от явлението Ел Ниньо.</w:t>
      </w:r>
    </w:p>
    <w:p>
      <w:pPr>
        <w:jc w:val="both"/>
        <w:rPr>
          <w:rFonts w:ascii="Verdana" w:hAnsi="Verdana"/>
          <w:noProof/>
          <w:sz w:val="20"/>
          <w:szCs w:val="20"/>
        </w:rPr>
      </w:pPr>
      <w:r>
        <w:rPr>
          <w:rFonts w:ascii="Verdana" w:hAnsi="Verdana"/>
          <w:noProof/>
          <w:sz w:val="20"/>
        </w:rPr>
        <w:t>Комисията имаше готовност също да предостави подкрепа в случай на внезапно връхлетели бедствия. По-специално ЕС предостави финансиране за подпомагане на жертвите на тропическия циклон Уинстън във Фиджи и сушата в Папуа Нова Гвинея, както и за подпомагане на засегнатите от земетресението, което разтърси Еквадор през 2016 г. както чрез хуманитарната помощ, така и чрез мобилизиране на европейска помощ за гражданска защита.</w:t>
      </w:r>
    </w:p>
    <w:p>
      <w:pPr>
        <w:jc w:val="both"/>
        <w:rPr>
          <w:rFonts w:ascii="Verdana" w:hAnsi="Verdana"/>
          <w:b/>
          <w:noProof/>
          <w:sz w:val="20"/>
          <w:szCs w:val="20"/>
        </w:rPr>
      </w:pPr>
      <w:r>
        <w:rPr>
          <w:rFonts w:ascii="Verdana" w:hAnsi="Verdana"/>
          <w:b/>
          <w:noProof/>
          <w:sz w:val="20"/>
        </w:rPr>
        <w:t>Транссекторни въпроси</w:t>
      </w:r>
    </w:p>
    <w:p>
      <w:pPr>
        <w:jc w:val="both"/>
        <w:rPr>
          <w:rFonts w:ascii="Verdana" w:hAnsi="Verdana"/>
          <w:noProof/>
          <w:sz w:val="20"/>
          <w:szCs w:val="20"/>
          <w:u w:val="single"/>
        </w:rPr>
      </w:pPr>
      <w:r>
        <w:rPr>
          <w:rFonts w:ascii="Verdana" w:hAnsi="Verdana"/>
          <w:noProof/>
          <w:sz w:val="20"/>
          <w:u w:val="single"/>
        </w:rPr>
        <w:t>Образование при извънредни обстоятелства</w:t>
      </w:r>
    </w:p>
    <w:p>
      <w:pPr>
        <w:jc w:val="both"/>
        <w:rPr>
          <w:rFonts w:ascii="Verdana" w:hAnsi="Verdana"/>
          <w:noProof/>
          <w:sz w:val="20"/>
          <w:szCs w:val="20"/>
        </w:rPr>
      </w:pPr>
      <w:r>
        <w:rPr>
          <w:rFonts w:ascii="Verdana" w:hAnsi="Verdana"/>
          <w:noProof/>
          <w:sz w:val="20"/>
        </w:rPr>
        <w:t>Насърчаването на образованието при извънредни ситуации е основен приоритет за Комисията през последните години. През 2016 г. Комисията насочи над 4 % от първоначалния бюджет за хуманитарна помощ към програми за образование при хуманитарни кризи в съответствие с ангажиментите, поети от комисар Стилианидис в началото на неговия мандат.</w:t>
      </w:r>
    </w:p>
    <w:p>
      <w:pPr>
        <w:jc w:val="both"/>
        <w:rPr>
          <w:rFonts w:ascii="Verdana" w:hAnsi="Verdana"/>
          <w:noProof/>
          <w:sz w:val="20"/>
          <w:szCs w:val="20"/>
          <w:u w:val="single"/>
        </w:rPr>
      </w:pPr>
      <w:r>
        <w:rPr>
          <w:rFonts w:ascii="Verdana" w:hAnsi="Verdana"/>
          <w:noProof/>
          <w:sz w:val="20"/>
          <w:u w:val="single"/>
        </w:rPr>
        <w:t>Световна среща на върха по хуманитарните въпроси</w:t>
      </w:r>
    </w:p>
    <w:p>
      <w:pPr>
        <w:jc w:val="both"/>
        <w:rPr>
          <w:rFonts w:ascii="Verdana" w:hAnsi="Verdana"/>
          <w:noProof/>
          <w:sz w:val="20"/>
          <w:szCs w:val="20"/>
        </w:rPr>
      </w:pPr>
      <w:r>
        <w:rPr>
          <w:rFonts w:ascii="Verdana" w:hAnsi="Verdana"/>
          <w:noProof/>
          <w:sz w:val="20"/>
        </w:rPr>
        <w:t>Комисията взе активно участие в Световната среща на върха по хуманитарните въпроси (СХВ), която се проведе на 23—24 май 2016 г. в Истанбул. ЕС пое около 100 ангажимента. Те включват нова, ориентирана към развитието политика относно принудителното разселване</w:t>
      </w:r>
      <w:r>
        <w:rPr>
          <w:rStyle w:val="FootnoteReference"/>
          <w:rFonts w:ascii="Verdana" w:hAnsi="Verdana"/>
          <w:noProof/>
          <w:sz w:val="20"/>
        </w:rPr>
        <w:footnoteReference w:id="4"/>
      </w:r>
      <w:r>
        <w:rPr>
          <w:rFonts w:ascii="Verdana" w:hAnsi="Verdana"/>
          <w:noProof/>
          <w:sz w:val="20"/>
        </w:rPr>
        <w:t>; нови насоки за хуманитарна закрила; активен ангажимент и подписване на „Голямото споразумение“ (Grand Bargain) с цел подобряване на ефективността и ефикасността на помощта; по-нататъшно финансиране на образованието в извънредни ситуации от бюджета за хуманитарна помощ; както и присъединяване към Хартата за приобщаване на хората с увреждания в хуманитарната дейност</w:t>
      </w:r>
      <w:r>
        <w:rPr>
          <w:rFonts w:ascii="Verdana" w:hAnsi="Verdana"/>
          <w:noProof/>
          <w:sz w:val="20"/>
          <w:vertAlign w:val="superscript"/>
        </w:rPr>
        <w:footnoteReference w:id="5"/>
      </w:r>
      <w:r>
        <w:rPr>
          <w:rFonts w:ascii="Verdana" w:hAnsi="Verdana"/>
          <w:noProof/>
          <w:sz w:val="20"/>
        </w:rPr>
        <w:t xml:space="preserve"> и Хартата за градските кризи</w:t>
      </w:r>
      <w:r>
        <w:rPr>
          <w:rFonts w:ascii="Verdana" w:hAnsi="Verdana"/>
          <w:noProof/>
          <w:sz w:val="20"/>
          <w:vertAlign w:val="superscript"/>
        </w:rPr>
        <w:footnoteReference w:id="6"/>
      </w:r>
      <w:r>
        <w:rPr>
          <w:rFonts w:ascii="Verdana" w:hAnsi="Verdana"/>
          <w:noProof/>
          <w:sz w:val="20"/>
        </w:rPr>
        <w:t>.</w:t>
      </w:r>
    </w:p>
    <w:p>
      <w:pPr>
        <w:jc w:val="both"/>
        <w:rPr>
          <w:rFonts w:ascii="Verdana" w:hAnsi="Verdana"/>
          <w:noProof/>
          <w:sz w:val="20"/>
          <w:szCs w:val="20"/>
          <w:u w:val="single"/>
        </w:rPr>
      </w:pPr>
      <w:r>
        <w:rPr>
          <w:rFonts w:ascii="Verdana" w:hAnsi="Verdana"/>
          <w:noProof/>
          <w:sz w:val="20"/>
          <w:u w:val="single"/>
        </w:rPr>
        <w:t>Голямото споразумение</w:t>
      </w:r>
    </w:p>
    <w:p>
      <w:pPr>
        <w:jc w:val="both"/>
        <w:rPr>
          <w:rFonts w:ascii="Verdana" w:hAnsi="Verdana"/>
          <w:noProof/>
          <w:sz w:val="20"/>
          <w:szCs w:val="20"/>
        </w:rPr>
      </w:pPr>
      <w:r>
        <w:rPr>
          <w:rFonts w:ascii="Verdana" w:hAnsi="Verdana"/>
          <w:noProof/>
          <w:sz w:val="20"/>
        </w:rPr>
        <w:t>Комисията изигра водеща роля при договарянето на Голямото споразумение в процеса на подготовка за Световната среща на върха по хуманитарните въпроси, както и през първата година на изпълнение на поетите на нея ангажименти. С Голямото споразумение донорите и изпълнителните агенции са се ангажирали с пакет от действия за повишаване на ефективността на хуманитарна дейност в дух на взаимна ангажираност и съвместни действия. В допълнение към ролята си на посредник по Голямото споразумение като цяло, Комисията координира работното направление за безпристрастни и изчерпателни оценки на нуждите от хуманитарна помощ. На това работно направление се гледа като на решаващо, тъй като с него се полагат основите за стратегическо планиране и финансиране, както и за целенасочена и ефективна хуманитарна реакция.</w:t>
      </w:r>
    </w:p>
    <w:p>
      <w:pPr>
        <w:jc w:val="both"/>
        <w:rPr>
          <w:rFonts w:ascii="Verdana" w:hAnsi="Verdana"/>
          <w:noProof/>
          <w:sz w:val="20"/>
          <w:szCs w:val="20"/>
          <w:u w:val="single"/>
        </w:rPr>
      </w:pPr>
      <w:r>
        <w:rPr>
          <w:rFonts w:ascii="Verdana" w:hAnsi="Verdana"/>
          <w:noProof/>
          <w:sz w:val="20"/>
          <w:u w:val="single"/>
        </w:rPr>
        <w:t>Взаимовръзката между хуманитарните действия и развитието</w:t>
      </w:r>
    </w:p>
    <w:p>
      <w:pPr>
        <w:jc w:val="both"/>
        <w:rPr>
          <w:rFonts w:ascii="Verdana" w:hAnsi="Verdana"/>
          <w:noProof/>
          <w:sz w:val="20"/>
          <w:szCs w:val="20"/>
        </w:rPr>
      </w:pPr>
      <w:r>
        <w:rPr>
          <w:rFonts w:ascii="Verdana" w:hAnsi="Verdana"/>
          <w:noProof/>
          <w:sz w:val="20"/>
        </w:rPr>
        <w:t>Значението на взаимовръзката между хуманитарната помощ и помощта за развитие беше на челно място по време на дискусиите както при редица ключови многостранни събития, така и на европейско равнище. През 2016 г. беше наблюдаван напредък както в тази област на политиката (например подновяването на Европейския консенсус за развитие</w:t>
      </w:r>
      <w:r>
        <w:rPr>
          <w:rStyle w:val="FootnoteReference"/>
          <w:rFonts w:ascii="Verdana" w:hAnsi="Verdana"/>
          <w:noProof/>
          <w:sz w:val="20"/>
        </w:rPr>
        <w:footnoteReference w:id="7"/>
      </w:r>
      <w:r>
        <w:rPr>
          <w:rFonts w:ascii="Verdana" w:hAnsi="Verdana"/>
          <w:noProof/>
          <w:sz w:val="20"/>
        </w:rPr>
        <w:t xml:space="preserve">, СВХ и Голямото споразумение), така и на оперативно равнище.  </w:t>
      </w:r>
    </w:p>
    <w:p>
      <w:pPr>
        <w:jc w:val="both"/>
        <w:rPr>
          <w:rFonts w:ascii="Verdana" w:hAnsi="Verdana"/>
          <w:noProof/>
          <w:sz w:val="20"/>
          <w:szCs w:val="20"/>
        </w:rPr>
      </w:pPr>
      <w:r>
        <w:rPr>
          <w:rFonts w:ascii="Verdana" w:hAnsi="Verdana"/>
          <w:noProof/>
          <w:sz w:val="20"/>
        </w:rPr>
        <w:t xml:space="preserve">Службите на Комисията работиха в тясно сътрудничество с Хаити относно действията в отговор на урагана Матю, особено с оглед на укрепването на продоволствената сигурност и устойчивостта на селските райони, както и за подобряване на градската устойчивост към бедствия. В Нигерия беше разработен съвместен подход за устойчивост с цел решаване на съществуващата сложна криза в Североизтока. Бяха предприети предварителни стъпки от службите на Комисията, с цел съвместно да се определят пилотни държави за по-нататъшно засилване и изтъкване на сътрудничеството между предоставящите хуманитарна помощ и работещите в областта на развитието. </w:t>
      </w:r>
    </w:p>
    <w:p>
      <w:pPr>
        <w:jc w:val="both"/>
        <w:rPr>
          <w:rFonts w:ascii="Verdana" w:hAnsi="Verdana"/>
          <w:noProof/>
          <w:sz w:val="20"/>
          <w:szCs w:val="20"/>
        </w:rPr>
      </w:pPr>
      <w:r>
        <w:rPr>
          <w:rFonts w:ascii="Verdana" w:hAnsi="Verdana"/>
          <w:noProof/>
          <w:sz w:val="20"/>
        </w:rPr>
        <w:t>По отношение на принудителното разселване службите на Комисията, в сътрудничество с Европейската служба за външна дейност (ЕСВД), си сътрудничат тясно в подкрепа на операции на място, целящи реализирането на цялостен, ориентиран към развитието подход към принудителното разселване. Това представлява също последващи действия във връзка с Декларацията от Ню Йорк за бежанците и мигрантите, приета на 19 септември 2016 г. от Общото събрание на ООН. С това се допринася също така за постигането на напредък в изпълнението на Глобалната стратегия на Европейския съюз, публикувана през 2016 г.</w:t>
      </w:r>
    </w:p>
    <w:p>
      <w:pPr>
        <w:jc w:val="both"/>
        <w:rPr>
          <w:rFonts w:ascii="Verdana" w:hAnsi="Verdana"/>
          <w:noProof/>
          <w:sz w:val="20"/>
          <w:szCs w:val="20"/>
        </w:rPr>
      </w:pPr>
      <w:r>
        <w:rPr>
          <w:rFonts w:ascii="Verdana" w:hAnsi="Verdana"/>
          <w:noProof/>
          <w:sz w:val="20"/>
        </w:rPr>
        <w:t>Сътрудничеството в областта на хуманитарната помощ и развитието бе увеличено, за да се отговори на потребностите от образование на децата, засегнати от кризи и конфликти, и за да бъдат изградени по-устойчиви системи за образование в контекста на нестабилност и кризи посредством „Образованието не може да чака“ (Фонд за образование при извънредни ситуации), чието начало бе поставено на СВХ.</w:t>
      </w:r>
    </w:p>
    <w:p>
      <w:pPr>
        <w:jc w:val="both"/>
        <w:rPr>
          <w:rFonts w:ascii="Verdana" w:hAnsi="Verdana"/>
          <w:noProof/>
          <w:sz w:val="20"/>
          <w:szCs w:val="20"/>
        </w:rPr>
      </w:pPr>
      <w:r>
        <w:rPr>
          <w:rFonts w:ascii="Verdana" w:hAnsi="Verdana"/>
          <w:noProof/>
          <w:sz w:val="20"/>
        </w:rPr>
        <w:t>Освен това Комисията продължи да прилага „подхода на взаимовръзката“ за подобряване на продоволствената сигурност и сигурността на изхранването в Сахел чрез „Световния алианс за инициативата за устойчивост“. В този контекст ЕС се ангажира да предостави 1,5 милиарда евро помощ за развитие в подкрепа на дейности за изграждане на устойчивост в Западна Африка в периода 2014—2020 г.</w:t>
      </w:r>
    </w:p>
    <w:p>
      <w:pPr>
        <w:jc w:val="both"/>
        <w:rPr>
          <w:rFonts w:ascii="Verdana" w:hAnsi="Verdana"/>
          <w:noProof/>
          <w:sz w:val="20"/>
          <w:szCs w:val="20"/>
        </w:rPr>
      </w:pPr>
      <w:r>
        <w:rPr>
          <w:rFonts w:ascii="Verdana" w:hAnsi="Verdana"/>
          <w:noProof/>
          <w:sz w:val="20"/>
        </w:rPr>
        <w:t xml:space="preserve">Кризата, предизвикана от Ел Ниньо през 2015/2016 г., е добър пример за съвместна дейност както между заинтересованите страни в хуманитарната област и в развитието, така и между международната общност и националните и местните органи на управление. Общото финансиране от ЕС възлизаше на </w:t>
      </w:r>
      <w:r>
        <w:rPr>
          <w:rFonts w:ascii="Verdana" w:hAnsi="Verdana"/>
          <w:noProof/>
          <w:sz w:val="20"/>
          <w:szCs w:val="20"/>
        </w:rPr>
        <w:br/>
      </w:r>
      <w:r>
        <w:rPr>
          <w:rFonts w:ascii="Verdana" w:hAnsi="Verdana"/>
          <w:noProof/>
          <w:sz w:val="20"/>
        </w:rPr>
        <w:t>539 милиона евро.</w:t>
      </w:r>
    </w:p>
    <w:p>
      <w:pPr>
        <w:jc w:val="both"/>
        <w:rPr>
          <w:rFonts w:ascii="Verdana" w:hAnsi="Verdana"/>
          <w:noProof/>
          <w:sz w:val="20"/>
          <w:szCs w:val="20"/>
        </w:rPr>
      </w:pPr>
      <w:r>
        <w:rPr>
          <w:rFonts w:ascii="Verdana" w:hAnsi="Verdana"/>
          <w:noProof/>
          <w:sz w:val="20"/>
        </w:rPr>
        <w:t xml:space="preserve">В цялата си работа в държави, засегнати от кризи, ЕС продължи да прилага принципа „ненанасяне на вреда“ и се стреми да гарантира чувствителен към конфликтите подход в действията, които подпомага. </w:t>
      </w:r>
    </w:p>
    <w:p>
      <w:pPr>
        <w:jc w:val="both"/>
        <w:rPr>
          <w:rFonts w:ascii="Verdana" w:hAnsi="Verdana"/>
          <w:noProof/>
          <w:sz w:val="20"/>
          <w:szCs w:val="20"/>
          <w:u w:val="single"/>
        </w:rPr>
      </w:pPr>
      <w:r>
        <w:rPr>
          <w:rFonts w:ascii="Verdana" w:hAnsi="Verdana"/>
          <w:noProof/>
          <w:sz w:val="20"/>
          <w:u w:val="single"/>
        </w:rPr>
        <w:t>Парични средства в брой като форма на помощ</w:t>
      </w:r>
    </w:p>
    <w:p>
      <w:pPr>
        <w:jc w:val="both"/>
        <w:rPr>
          <w:noProof/>
        </w:rPr>
      </w:pPr>
      <w:r>
        <w:rPr>
          <w:rFonts w:ascii="Verdana" w:hAnsi="Verdana"/>
          <w:noProof/>
          <w:sz w:val="20"/>
        </w:rPr>
        <w:t>В съответствие с ангажиментите си по линия на Голямото споразумение Комисията разви още повече използването на подпомагането под формата на парични средства в брой, когато това е било уместно. Помощта във вид на парични средства в брой се използваше все по-често под формата на неограничени многофункционални трансфери, които дават възможност за зачитане достойнството на населението, за което са предназначени, както и възможности за избор и гъвкавост . Другите предимства от използването на парични средства в брой като форма на помощ включват по-голяма ефективност, икономическа ефективност и в крайна сметка подобрена ефективност за донорите и данъкоплатците, като все повече помощ стига до най-уязвимата част от населението. Когато бе възможно и целесъобразно, имаше също така опити да се търси съгласуване с местните и национални механизми, като например системите за социална закрила.</w:t>
      </w:r>
    </w:p>
    <w:p>
      <w:pPr>
        <w:jc w:val="both"/>
        <w:rPr>
          <w:rFonts w:ascii="Verdana" w:hAnsi="Verdana"/>
          <w:noProof/>
          <w:sz w:val="20"/>
          <w:szCs w:val="20"/>
          <w:u w:val="single"/>
        </w:rPr>
      </w:pPr>
      <w:r>
        <w:rPr>
          <w:rFonts w:ascii="Verdana" w:hAnsi="Verdana"/>
          <w:noProof/>
          <w:sz w:val="20"/>
          <w:u w:val="single"/>
        </w:rPr>
        <w:t>Принудително разселване</w:t>
      </w:r>
    </w:p>
    <w:p>
      <w:pPr>
        <w:jc w:val="both"/>
        <w:rPr>
          <w:noProof/>
          <w:sz w:val="20"/>
          <w:szCs w:val="20"/>
        </w:rPr>
      </w:pPr>
      <w:r>
        <w:rPr>
          <w:rFonts w:ascii="Verdana" w:hAnsi="Verdana"/>
          <w:noProof/>
          <w:sz w:val="20"/>
        </w:rPr>
        <w:t>Като се има предвид драматичното нарастване на броя на разселените лица поради конфликти в целия свят, а също и тревожната тенденция към все по-продължителни ситуации на продължително разселване, Комисията прие официално нов, ориентиран към развитието подход към принудителното разселване. Целта на политиката е да се предотврати принудителното разселване да стане по-продължително и постепенно да се прекрати зависимостта от хуманитарната помощ в съществуващите ситуации на разселване. Акцентът на новия подход е да се насърчи самостоятелността и да се даде възможност на разселените лица да живеят достойно, като допринасят за приемащите ги общества, докато стане възможно доброволното им връщане или презаселване. Освен това, с цел да се подобри базата от знания относно случаите на продължително разселване и неговите движещи сили, през юни 2016 г. започна своята работа Центърът на Европейската комисия за знания в областта на миграцията и демографията.</w:t>
      </w:r>
    </w:p>
    <w:p>
      <w:pPr>
        <w:jc w:val="both"/>
        <w:rPr>
          <w:rFonts w:ascii="Verdana" w:hAnsi="Verdana"/>
          <w:noProof/>
          <w:sz w:val="20"/>
          <w:szCs w:val="20"/>
          <w:u w:val="single"/>
        </w:rPr>
      </w:pPr>
      <w:r>
        <w:rPr>
          <w:rFonts w:ascii="Verdana" w:hAnsi="Verdana"/>
          <w:noProof/>
          <w:sz w:val="20"/>
          <w:u w:val="single"/>
        </w:rPr>
        <w:t>Забравени кризи</w:t>
      </w:r>
    </w:p>
    <w:p>
      <w:pPr>
        <w:jc w:val="both"/>
        <w:rPr>
          <w:rFonts w:ascii="Verdana" w:hAnsi="Verdana"/>
          <w:noProof/>
          <w:sz w:val="20"/>
          <w:szCs w:val="20"/>
        </w:rPr>
      </w:pPr>
      <w:r>
        <w:rPr>
          <w:rFonts w:ascii="Verdana" w:hAnsi="Verdana"/>
          <w:noProof/>
          <w:sz w:val="20"/>
        </w:rPr>
        <w:t>ЕС продължи да отдава особено внимание на подкрепата за жертвите на „забравените кризи“, за които се отделя поне 15 % от първоначалния бюджет за хуманитарна помощ като цяло. По-специално ЕС продължи своята хуманитарна подкрепа за бежанците сахрави в Алжир, вътрешно разселените лица в Мианмар и Судан, засегнатото от конфликти население в Пакистан, както и за бежанците в Дарфур в Чад.</w:t>
      </w:r>
    </w:p>
    <w:p>
      <w:pPr>
        <w:jc w:val="both"/>
        <w:rPr>
          <w:rFonts w:ascii="Verdana" w:hAnsi="Verdana"/>
          <w:noProof/>
          <w:sz w:val="20"/>
          <w:szCs w:val="20"/>
        </w:rPr>
      </w:pPr>
      <w:r>
        <w:rPr>
          <w:rFonts w:ascii="Verdana" w:hAnsi="Verdana"/>
          <w:noProof/>
          <w:sz w:val="20"/>
          <w:u w:val="single"/>
        </w:rPr>
        <w:t>Авариен инструментариум</w:t>
      </w:r>
    </w:p>
    <w:p>
      <w:pPr>
        <w:jc w:val="both"/>
        <w:rPr>
          <w:rFonts w:ascii="Verdana" w:eastAsia="Times New Roman" w:hAnsi="Verdana"/>
          <w:noProof/>
          <w:sz w:val="20"/>
          <w:szCs w:val="20"/>
        </w:rPr>
      </w:pPr>
      <w:r>
        <w:rPr>
          <w:rFonts w:ascii="Verdana" w:hAnsi="Verdana"/>
          <w:noProof/>
          <w:sz w:val="20"/>
        </w:rPr>
        <w:t>Наборът от инструменти на ЕС за спешна хуманитарна помощ е така създаден, че да се реагира бързо на внезапно изникнали извънредни ситуации. Той се състои от три механизма за финансиране: за епидемии; за реакция в малък мащаб; и за подкрепа на Фонда за спешна помощ при бедствия на Международната федерация на дружествата на Червения кръст и Червения полумесец. Финансовите средства, отпуснати за програмата, възлизат на общо 11,5 милиона евро, от които 3,5 милиона евро за епидемии, 5 милиона евро за реакция в малък мащаб и 3 милиона евро за подкрепа на Фонда за спешна помощ при бедствия.</w:t>
      </w:r>
    </w:p>
    <w:p>
      <w:pPr>
        <w:jc w:val="both"/>
        <w:rPr>
          <w:rFonts w:ascii="Verdana" w:eastAsia="Times New Roman" w:hAnsi="Verdana"/>
          <w:noProof/>
          <w:sz w:val="20"/>
          <w:szCs w:val="20"/>
          <w:u w:val="single"/>
        </w:rPr>
      </w:pPr>
      <w:r>
        <w:rPr>
          <w:rFonts w:ascii="Verdana" w:hAnsi="Verdana"/>
          <w:noProof/>
          <w:sz w:val="20"/>
          <w:u w:val="single"/>
        </w:rPr>
        <w:t>ECHO Flight и други хуманитарни транспортни и логистични операции</w:t>
      </w:r>
    </w:p>
    <w:p>
      <w:pPr>
        <w:jc w:val="both"/>
        <w:rPr>
          <w:rFonts w:ascii="Verdana" w:eastAsia="Times New Roman" w:hAnsi="Verdana"/>
          <w:noProof/>
          <w:sz w:val="20"/>
          <w:szCs w:val="20"/>
        </w:rPr>
      </w:pPr>
      <w:r>
        <w:rPr>
          <w:rFonts w:ascii="Verdana" w:hAnsi="Verdana"/>
          <w:noProof/>
          <w:sz w:val="20"/>
        </w:rPr>
        <w:t xml:space="preserve">В определени кризисни условия хуманитарните въздушни служби са единствените, които могат да осигурят достъп до отдалечени райони и да достигнат до хората в нужда поради свързани със сигурността ограничения или липса на адекватна инфраструктура. Хуманитарната помощ по въздух се използва също така за евакуация по медицински причини и за гарантиране на сигурност. За да се отговори на тези нужди от достъп в условия на несигурност или в други трудни ситуации, Комисията финансира конкретни транспортни и логистични програми, по-специално чрез хуманитарната въздухоплавателна служба на ООН и чрез логистичния клъстер (на обща стойност 20,97 милиона евро). Комисията също така има своя собствена служба ECHO Flight в полза на хуманитарните работници в засегнатите от кризи райони в държавите в Африка на юг от Сахара (с бюджет от малко под 14 милиона евро). </w:t>
      </w:r>
    </w:p>
    <w:p>
      <w:pPr>
        <w:jc w:val="both"/>
        <w:rPr>
          <w:rFonts w:ascii="Verdana" w:eastAsia="Times New Roman" w:hAnsi="Verdana"/>
          <w:noProof/>
          <w:sz w:val="20"/>
          <w:szCs w:val="20"/>
          <w:u w:val="single"/>
        </w:rPr>
      </w:pPr>
      <w:r>
        <w:rPr>
          <w:noProof/>
        </w:rPr>
        <w:br w:type="page"/>
      </w:r>
      <w:r>
        <w:rPr>
          <w:rFonts w:ascii="Verdana" w:hAnsi="Verdana"/>
          <w:noProof/>
          <w:sz w:val="20"/>
          <w:u w:val="single"/>
        </w:rPr>
        <w:t>Оценка на операциите за хуманитарна помощ</w:t>
      </w:r>
    </w:p>
    <w:p>
      <w:pPr>
        <w:jc w:val="both"/>
        <w:rPr>
          <w:rFonts w:ascii="Verdana" w:hAnsi="Verdana"/>
          <w:noProof/>
          <w:sz w:val="20"/>
          <w:szCs w:val="20"/>
        </w:rPr>
      </w:pPr>
      <w:r>
        <w:rPr>
          <w:rFonts w:ascii="Verdana" w:hAnsi="Verdana"/>
          <w:noProof/>
          <w:sz w:val="20"/>
        </w:rPr>
        <w:t>Програма за оценка на ГД „Хуманитарна помощ“ продължава повече от пет години и има за цел да осигури пълен обхват на дейностите на ГД „Хуманитарна помощ“ през този период. За хуманитарната помощ това се гарантира чрез извършването на поредица от географски и тематични оценки, които обхващат всички важни аспекти на хуманитарните операции на ГД „Хуманитарна помощ“. Освен това се за всеки петгодишен период се извършва една цялостна оценка, която се основава на 30 съществуващи оценки и на съответни допълнителни изследвания. Цялостна оценка от този вид се извършва през 2017 г., като тя обхваща периода 2012—2016 г. В тази оценка се разглежда цялостното прилагане на политиката на ЕС за предоставяне на хуманитарна помощ.</w:t>
      </w:r>
    </w:p>
    <w:p>
      <w:pPr>
        <w:pStyle w:val="ECHOContentList"/>
        <w:numPr>
          <w:ilvl w:val="0"/>
          <w:numId w:val="0"/>
        </w:numPr>
        <w:rPr>
          <w:b/>
          <w:noProof/>
        </w:rPr>
      </w:pPr>
      <w:r>
        <w:rPr>
          <w:noProof/>
        </w:rPr>
        <w:br w:type="page"/>
      </w:r>
      <w:r>
        <w:rPr>
          <w:b/>
          <w:noProof/>
        </w:rPr>
        <w:t>Бюджет за 2016 г.</w:t>
      </w:r>
    </w:p>
    <w:tbl>
      <w:tblPr>
        <w:tblW w:w="0" w:type="auto"/>
        <w:tblBorders>
          <w:top w:val="nil"/>
          <w:left w:val="nil"/>
          <w:bottom w:val="nil"/>
          <w:right w:val="nil"/>
        </w:tblBorders>
        <w:tblLayout w:type="fixed"/>
        <w:tblLook w:val="0000" w:firstRow="0" w:lastRow="0" w:firstColumn="0" w:lastColumn="0" w:noHBand="0" w:noVBand="0"/>
      </w:tblPr>
      <w:tblGrid>
        <w:gridCol w:w="8865"/>
      </w:tblGrid>
      <w:tr>
        <w:trPr>
          <w:trHeight w:val="118"/>
        </w:trPr>
        <w:tc>
          <w:tcPr>
            <w:tcW w:w="8865" w:type="dxa"/>
          </w:tcPr>
          <w:p>
            <w:pPr>
              <w:autoSpaceDE w:val="0"/>
              <w:autoSpaceDN w:val="0"/>
              <w:adjustRightInd w:val="0"/>
              <w:spacing w:after="0" w:line="240" w:lineRule="auto"/>
              <w:rPr>
                <w:rFonts w:ascii="Verdana" w:hAnsi="Verdana" w:cs="Arial"/>
                <w:noProof/>
                <w:color w:val="000000"/>
                <w:sz w:val="20"/>
                <w:szCs w:val="20"/>
              </w:rPr>
            </w:pPr>
            <w:r>
              <w:rPr>
                <w:rFonts w:ascii="Arial" w:hAnsi="Arial"/>
                <w:noProof/>
                <w:color w:val="000000"/>
                <w:sz w:val="24"/>
              </w:rPr>
              <w:t xml:space="preserve">1. </w:t>
            </w:r>
            <w:r>
              <w:rPr>
                <w:rFonts w:ascii="Verdana" w:hAnsi="Verdana"/>
                <w:noProof/>
                <w:color w:val="000000"/>
                <w:sz w:val="20"/>
              </w:rPr>
              <w:t>Списък на споразуменията за финансиране, сключени от ГД „Хуманитарна помощ“</w:t>
            </w:r>
            <w:r>
              <w:rPr>
                <w:rStyle w:val="FootnoteReference"/>
                <w:rFonts w:ascii="Verdana" w:hAnsi="Verdana"/>
                <w:noProof/>
                <w:color w:val="000000"/>
                <w:sz w:val="20"/>
              </w:rPr>
              <w:footnoteReference w:id="8"/>
            </w:r>
            <w:r>
              <w:rPr>
                <w:rFonts w:ascii="Verdana" w:hAnsi="Verdana"/>
                <w:noProof/>
                <w:color w:val="000000"/>
                <w:sz w:val="20"/>
              </w:rPr>
              <w:t>:</w:t>
            </w:r>
            <w:r>
              <w:rPr>
                <w:rFonts w:ascii="Verdana" w:hAnsi="Verdana"/>
                <w:b/>
                <w:noProof/>
                <w:color w:val="000000"/>
                <w:sz w:val="20"/>
              </w:rPr>
              <w:t xml:space="preserve"> </w:t>
            </w:r>
          </w:p>
        </w:tc>
      </w:tr>
    </w:tbl>
    <w:p>
      <w:pPr>
        <w:pStyle w:val="ECHOContentList"/>
        <w:numPr>
          <w:ilvl w:val="0"/>
          <w:numId w:val="0"/>
        </w:numPr>
        <w:rPr>
          <w:noProof/>
        </w:rPr>
      </w:pPr>
      <w:hyperlink r:id="rId16">
        <w:r>
          <w:rPr>
            <w:rStyle w:val="Hyperlink"/>
            <w:noProof/>
          </w:rPr>
          <w:t>http://ec.europa.eu/echo/files/funding/agreements/agreements_2016.pdf</w:t>
        </w:r>
      </w:hyperlink>
    </w:p>
    <w:bookmarkEnd w:id="8"/>
    <w:bookmarkEnd w:id="9"/>
    <w:bookmarkEnd w:id="10"/>
    <w:bookmarkEnd w:id="11"/>
    <w:bookmarkEnd w:id="12"/>
    <w:p>
      <w:pPr>
        <w:pStyle w:val="ECHOContentList"/>
        <w:numPr>
          <w:ilvl w:val="0"/>
          <w:numId w:val="0"/>
        </w:numPr>
        <w:tabs>
          <w:tab w:val="left" w:pos="1195"/>
        </w:tabs>
        <w:jc w:val="left"/>
        <w:rPr>
          <w:noProof/>
        </w:rPr>
      </w:pPr>
      <w:r>
        <w:rPr>
          <w:noProof/>
        </w:rPr>
        <w:t xml:space="preserve">2. Изпълнение на бюджета на ГД „Хуманитарна помощ“ за 2016 г. </w:t>
      </w:r>
    </w:p>
    <w:tbl>
      <w:tblPr>
        <w:tblW w:w="7528" w:type="dxa"/>
        <w:tblInd w:w="93" w:type="dxa"/>
        <w:tblLook w:val="04A0" w:firstRow="1" w:lastRow="0" w:firstColumn="1" w:lastColumn="0" w:noHBand="0" w:noVBand="1"/>
      </w:tblPr>
      <w:tblGrid>
        <w:gridCol w:w="5423"/>
        <w:gridCol w:w="2105"/>
      </w:tblGrid>
      <w:tr>
        <w:trPr>
          <w:trHeight w:val="405"/>
        </w:trPr>
        <w:tc>
          <w:tcPr>
            <w:tcW w:w="7528" w:type="dxa"/>
            <w:gridSpan w:val="2"/>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sz w:val="32"/>
                <w:szCs w:val="32"/>
              </w:rPr>
            </w:pPr>
            <w:r>
              <w:rPr>
                <w:rFonts w:ascii="Arial Narrow" w:hAnsi="Arial Narrow"/>
                <w:b/>
                <w:noProof/>
                <w:color w:val="000000"/>
                <w:sz w:val="32"/>
              </w:rPr>
              <w:t>ИЗПЪЛНЕНИЕ НА БЮДЖЕТА НА ГД „ХУМАНИТАРНА ПОМОЩ“ ЗА 2016 г.</w:t>
            </w: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Регион/държава</w:t>
            </w:r>
          </w:p>
        </w:tc>
        <w:tc>
          <w:tcPr>
            <w:tcW w:w="2105" w:type="dxa"/>
            <w:tcBorders>
              <w:top w:val="single" w:sz="4" w:space="0" w:color="auto"/>
              <w:left w:val="nil"/>
              <w:bottom w:val="single" w:sz="4" w:space="0" w:color="auto"/>
              <w:right w:val="single" w:sz="4" w:space="0" w:color="auto"/>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Сума</w:t>
            </w:r>
          </w:p>
        </w:tc>
      </w:tr>
      <w:tr>
        <w:trPr>
          <w:trHeight w:val="330"/>
        </w:trPr>
        <w:tc>
          <w:tcPr>
            <w:tcW w:w="5423" w:type="dxa"/>
            <w:tcBorders>
              <w:top w:val="single" w:sz="4" w:space="0" w:color="auto"/>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Африка</w:t>
            </w:r>
          </w:p>
        </w:tc>
        <w:tc>
          <w:tcPr>
            <w:tcW w:w="2105" w:type="dxa"/>
            <w:tcBorders>
              <w:top w:val="single" w:sz="4" w:space="0" w:color="auto"/>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767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Судан и Южен Судан</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192</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Централна Африка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94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Големите езера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Африкански рог</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Южна Африка, Индийски океан</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Западна Африка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140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Северна Африка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Африка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Близък Изток и съседни европейски държави</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Близък изток</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 xml:space="preserve">Съседни европейски държави </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114</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Азия, Тихи океан</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119</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Югозападна и Централна Азия</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73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Югоизточна Азия и Тихоокеанския басейн</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Централна и Южна Америка, Карибския басейн</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46</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Централна и Южна Америка</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28</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Карибите</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Бедствия в световен мащаб</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41</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Гражданска защита</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42</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Доброволци на ЕС за хуманитарна помощ</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Разпределение на млечни продукти</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30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Допълнителни операции и подкрепа</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89</w:t>
            </w:r>
          </w:p>
        </w:tc>
      </w:tr>
      <w:tr>
        <w:trPr>
          <w:trHeight w:val="330"/>
        </w:trPr>
        <w:tc>
          <w:tcPr>
            <w:tcW w:w="5423" w:type="dxa"/>
            <w:tcBorders>
              <w:top w:val="nil"/>
              <w:left w:val="single" w:sz="4" w:space="0" w:color="auto"/>
              <w:bottom w:val="single" w:sz="4" w:space="0" w:color="auto"/>
              <w:right w:val="nil"/>
            </w:tcBorders>
            <w:shd w:val="clear" w:color="000000" w:fill="FF6600"/>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ОБЩО</w:t>
            </w:r>
          </w:p>
        </w:tc>
        <w:tc>
          <w:tcPr>
            <w:tcW w:w="2105" w:type="dxa"/>
            <w:tcBorders>
              <w:top w:val="nil"/>
              <w:left w:val="nil"/>
              <w:bottom w:val="single" w:sz="4" w:space="0" w:color="auto"/>
              <w:right w:val="single" w:sz="4" w:space="0" w:color="auto"/>
            </w:tcBorders>
            <w:shd w:val="clear" w:color="000000" w:fill="FF6600"/>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1,889</w:t>
            </w:r>
          </w:p>
        </w:tc>
      </w:tr>
      <w:tr>
        <w:trPr>
          <w:trHeight w:val="330"/>
        </w:trPr>
        <w:tc>
          <w:tcPr>
            <w:tcW w:w="5423"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jc w:val="center"/>
              <w:rPr>
                <w:rFonts w:ascii="Arial Narrow" w:eastAsia="Times New Roman" w:hAnsi="Arial Narrow"/>
                <w:i/>
                <w:iCs/>
                <w:noProof/>
                <w:color w:val="000000"/>
                <w:sz w:val="20"/>
                <w:szCs w:val="20"/>
              </w:rPr>
            </w:pPr>
            <w:r>
              <w:rPr>
                <w:rFonts w:ascii="Arial Narrow" w:hAnsi="Arial Narrow"/>
                <w:i/>
                <w:noProof/>
                <w:color w:val="000000"/>
                <w:sz w:val="20"/>
              </w:rPr>
              <w:t>(в милиони евро)</w:t>
            </w:r>
          </w:p>
        </w:tc>
      </w:tr>
    </w:tbl>
    <w:p>
      <w:pPr>
        <w:pStyle w:val="ECHOContentList"/>
        <w:numPr>
          <w:ilvl w:val="0"/>
          <w:numId w:val="0"/>
        </w:numPr>
        <w:tabs>
          <w:tab w:val="left" w:pos="1195"/>
        </w:tabs>
        <w:jc w:val="left"/>
        <w:rPr>
          <w:noProof/>
        </w:rPr>
      </w:pPr>
    </w:p>
    <w:p>
      <w:pPr>
        <w:pStyle w:val="ECHOContentList"/>
        <w:numPr>
          <w:ilvl w:val="0"/>
          <w:numId w:val="0"/>
        </w:numPr>
        <w:tabs>
          <w:tab w:val="left" w:pos="1195"/>
        </w:tabs>
        <w:jc w:val="left"/>
        <w:rPr>
          <w:b/>
          <w:noProof/>
        </w:rPr>
      </w:pPr>
      <w:r>
        <w:rPr>
          <w:noProof/>
        </w:rPr>
        <w:br w:type="page"/>
      </w:r>
    </w:p>
    <w:p>
      <w:pPr>
        <w:pStyle w:val="ECHOHeading1"/>
        <w:jc w:val="center"/>
        <w:rPr>
          <w:noProof/>
          <w:u w:val="single"/>
        </w:rPr>
      </w:pPr>
      <w:bookmarkStart w:id="13" w:name="_Toc449608363"/>
      <w:bookmarkStart w:id="14" w:name="_Toc494787940"/>
      <w:bookmarkStart w:id="15" w:name="_Toc496535770"/>
      <w:r>
        <w:rPr>
          <w:noProof/>
          <w:u w:val="single"/>
        </w:rPr>
        <w:t>Допълнителна информация и източници</w:t>
      </w:r>
      <w:bookmarkEnd w:id="13"/>
      <w:bookmarkEnd w:id="14"/>
      <w:bookmarkEnd w:id="15"/>
    </w:p>
    <w:p>
      <w:pPr>
        <w:pStyle w:val="ECHOContentList"/>
        <w:numPr>
          <w:ilvl w:val="0"/>
          <w:numId w:val="33"/>
        </w:numPr>
        <w:spacing w:after="0" w:line="240" w:lineRule="auto"/>
        <w:ind w:left="709" w:hanging="283"/>
        <w:jc w:val="left"/>
        <w:rPr>
          <w:noProof/>
        </w:rPr>
      </w:pPr>
      <w:r>
        <w:rPr>
          <w:noProof/>
        </w:rPr>
        <w:t>Обща информация за ГД „Хуманитарна помощ“:</w:t>
      </w:r>
    </w:p>
    <w:p>
      <w:pPr>
        <w:pStyle w:val="ECHOContentList"/>
        <w:numPr>
          <w:ilvl w:val="0"/>
          <w:numId w:val="0"/>
        </w:numPr>
        <w:ind w:left="1080" w:hanging="371"/>
        <w:jc w:val="left"/>
        <w:rPr>
          <w:rStyle w:val="ECHOContentEmphasisChar"/>
          <w:b w:val="0"/>
          <w:noProof/>
          <w:color w:val="auto"/>
          <w:u w:val="single"/>
        </w:rPr>
      </w:pPr>
      <w:hyperlink r:id="rId17">
        <w:r>
          <w:rPr>
            <w:rStyle w:val="ECHOContentEmphasisChar"/>
            <w:b w:val="0"/>
            <w:noProof/>
            <w:color w:val="auto"/>
            <w:u w:val="single"/>
          </w:rPr>
          <w:t>http://ec.europa.eu/echo/en</w:t>
        </w:r>
      </w:hyperlink>
    </w:p>
    <w:p>
      <w:pPr>
        <w:pStyle w:val="ECHOContentList"/>
        <w:rPr>
          <w:rStyle w:val="ECHOContentEmphasisChar"/>
          <w:b w:val="0"/>
          <w:noProof/>
          <w:color w:val="auto"/>
        </w:rPr>
      </w:pPr>
      <w:r>
        <w:rPr>
          <w:noProof/>
        </w:rPr>
        <w:t>Финансова информация относно извършените от Европейската комисия дейности за хуманитарна помощ през 2016 г.:</w:t>
      </w:r>
      <w:r>
        <w:rPr>
          <w:noProof/>
        </w:rPr>
        <w:tab/>
      </w:r>
      <w:r>
        <w:rPr>
          <w:noProof/>
        </w:rPr>
        <w:br/>
      </w:r>
      <w:hyperlink r:id="rId18">
        <w:r>
          <w:rPr>
            <w:rStyle w:val="Hyperlink"/>
            <w:noProof/>
            <w:color w:val="auto"/>
          </w:rPr>
          <w:t>http://ec.europa.eu/echo/funding-evaluations/funding-decisions-hips_en</w:t>
        </w:r>
      </w:hyperlink>
    </w:p>
    <w:p>
      <w:pPr>
        <w:pStyle w:val="ECHOContentList"/>
        <w:jc w:val="left"/>
        <w:rPr>
          <w:rStyle w:val="ECHOContentEmphasisChar"/>
          <w:b w:val="0"/>
          <w:noProof/>
          <w:color w:val="auto"/>
        </w:rPr>
      </w:pPr>
      <w:r>
        <w:rPr>
          <w:noProof/>
        </w:rPr>
        <w:t>Оперативна информация от предходни години:</w:t>
      </w:r>
      <w:r>
        <w:rPr>
          <w:noProof/>
        </w:rPr>
        <w:tab/>
        <w:t xml:space="preserve"> </w:t>
      </w:r>
      <w:hyperlink r:id="rId19">
        <w:r>
          <w:rPr>
            <w:rStyle w:val="ECHOContentEmphasisChar"/>
            <w:b w:val="0"/>
            <w:noProof/>
            <w:color w:val="auto"/>
            <w:u w:val="single"/>
          </w:rPr>
          <w:t>http://ec.europa.eu/echo/about/annual_reports_en.htm</w:t>
        </w:r>
      </w:hyperlink>
    </w:p>
    <w:p>
      <w:pPr>
        <w:pStyle w:val="ECHOContentList"/>
        <w:jc w:val="left"/>
        <w:rPr>
          <w:rStyle w:val="ECHOContentEmphasisChar"/>
          <w:b w:val="0"/>
          <w:noProof/>
          <w:color w:val="auto"/>
        </w:rPr>
      </w:pPr>
      <w:r>
        <w:rPr>
          <w:noProof/>
        </w:rPr>
        <w:t xml:space="preserve">Годишен отчет за дейността за 2016 г., ГД „Хуманитарна помощ“: </w:t>
      </w:r>
      <w:hyperlink r:id="rId20">
        <w:r>
          <w:rPr>
            <w:rStyle w:val="Hyperlink"/>
            <w:noProof/>
            <w:color w:val="000000"/>
          </w:rPr>
          <w:t>https://ec.europa.eu/info/publications/annual-activity-reports-2016_en</w:t>
        </w:r>
      </w:hyperlink>
    </w:p>
    <w:p>
      <w:pPr>
        <w:pStyle w:val="ECHOContentList"/>
        <w:jc w:val="left"/>
        <w:rPr>
          <w:rStyle w:val="ECHOContentEmphasisChar"/>
          <w:b w:val="0"/>
          <w:noProof/>
          <w:color w:val="auto"/>
        </w:rPr>
      </w:pPr>
      <w:r>
        <w:rPr>
          <w:noProof/>
        </w:rPr>
        <w:t>Годишен доклад за управление и изпълнение за 2016 г.</w:t>
      </w:r>
      <w:r>
        <w:rPr>
          <w:rStyle w:val="ECHOContentEmphasisChar"/>
          <w:b w:val="0"/>
          <w:noProof/>
          <w:color w:val="auto"/>
        </w:rPr>
        <w:t>:</w:t>
      </w:r>
      <w:r>
        <w:rPr>
          <w:rStyle w:val="ECHOContentEmphasisChar"/>
          <w:b w:val="0"/>
          <w:noProof/>
          <w:color w:val="auto"/>
        </w:rPr>
        <w:br/>
      </w:r>
      <w:hyperlink r:id="rId21">
        <w:r>
          <w:rPr>
            <w:rStyle w:val="Hyperlink"/>
            <w:noProof/>
            <w:color w:val="000000"/>
          </w:rPr>
          <w:t>https://ec.europa.eu/info/publications/annual-management-and-performance-reports_bg</w:t>
        </w:r>
      </w:hyperlink>
    </w:p>
    <w:p>
      <w:pPr>
        <w:pStyle w:val="ECHOContentList"/>
        <w:jc w:val="left"/>
        <w:rPr>
          <w:rStyle w:val="Hyperlink"/>
          <w:noProof/>
          <w:color w:val="auto"/>
          <w:u w:val="none"/>
        </w:rPr>
      </w:pPr>
      <w:r>
        <w:rPr>
          <w:noProof/>
        </w:rPr>
        <w:t>Доклади за оценка на ГД „Хуманитарна помощ“:</w:t>
      </w:r>
      <w:r>
        <w:rPr>
          <w:noProof/>
        </w:rPr>
        <w:br/>
      </w:r>
      <w:hyperlink r:id="rId22">
        <w:r>
          <w:rPr>
            <w:rStyle w:val="Hyperlink"/>
            <w:noProof/>
            <w:color w:val="auto"/>
          </w:rPr>
          <w:t>http://ec.europa.eu/echo/funding-evaluations/evaluations_en</w:t>
        </w:r>
      </w:hyperlink>
    </w:p>
    <w:p>
      <w:pPr>
        <w:pStyle w:val="ECHOContentList"/>
        <w:jc w:val="left"/>
        <w:rPr>
          <w:rStyle w:val="Hyperlink"/>
          <w:noProof/>
          <w:color w:val="auto"/>
          <w:u w:val="none"/>
        </w:rPr>
      </w:pPr>
      <w:r>
        <w:rPr>
          <w:rStyle w:val="Hyperlink"/>
          <w:noProof/>
          <w:color w:val="auto"/>
          <w:u w:val="none"/>
        </w:rPr>
        <w:t xml:space="preserve">Данни за хуманитарната помощ, финансирана от Европейската комисия и държавите членки: </w:t>
      </w:r>
      <w:hyperlink r:id="rId23">
        <w:r>
          <w:rPr>
            <w:rStyle w:val="Hyperlink"/>
            <w:noProof/>
            <w:color w:val="auto"/>
          </w:rPr>
          <w:t>https://euaidexplorer.ec.europa.eu</w:t>
        </w:r>
      </w:hyperlink>
    </w:p>
    <w:p>
      <w:pPr>
        <w:pStyle w:val="ECHOContentList"/>
        <w:jc w:val="left"/>
        <w:rPr>
          <w:rStyle w:val="Hyperlink"/>
          <w:noProof/>
          <w:color w:val="auto"/>
          <w:u w:val="none"/>
        </w:rPr>
      </w:pPr>
      <w:r>
        <w:rPr>
          <w:rStyle w:val="Hyperlink"/>
          <w:noProof/>
          <w:color w:val="auto"/>
          <w:u w:val="none"/>
        </w:rPr>
        <w:t>Списък на партньорите, които са финансирани през 2016 г.:</w:t>
      </w:r>
    </w:p>
    <w:tbl>
      <w:tblPr>
        <w:tblW w:w="8095" w:type="dxa"/>
        <w:tblInd w:w="93" w:type="dxa"/>
        <w:tblLook w:val="04A0" w:firstRow="1" w:lastRow="0" w:firstColumn="1" w:lastColumn="0" w:noHBand="0" w:noVBand="1"/>
      </w:tblPr>
      <w:tblGrid>
        <w:gridCol w:w="4551"/>
        <w:gridCol w:w="3544"/>
      </w:tblGrid>
      <w:tr>
        <w:trPr>
          <w:trHeight w:val="705"/>
        </w:trPr>
        <w:tc>
          <w:tcPr>
            <w:tcW w:w="8095"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pPr>
              <w:pStyle w:val="ECHOContentList"/>
              <w:numPr>
                <w:ilvl w:val="0"/>
                <w:numId w:val="0"/>
              </w:numPr>
              <w:ind w:left="360"/>
              <w:jc w:val="center"/>
              <w:rPr>
                <w:noProof/>
              </w:rPr>
            </w:pPr>
            <w:r>
              <w:rPr>
                <w:noProof/>
              </w:rPr>
              <w:t xml:space="preserve">ПАРТНЬОРИ 2016 — ОПЕРАЦИИ ЗА ХУМАНИТАРНА ПОМОЩ </w:t>
            </w:r>
          </w:p>
        </w:tc>
      </w:tr>
      <w:tr>
        <w:trPr>
          <w:trHeight w:val="300"/>
        </w:trPr>
        <w:tc>
          <w:tcPr>
            <w:tcW w:w="4551"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c>
          <w:tcPr>
            <w:tcW w:w="3544"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r>
      <w:tr>
        <w:trPr>
          <w:trHeight w:val="1005"/>
        </w:trPr>
        <w:tc>
          <w:tcPr>
            <w:tcW w:w="4551" w:type="dxa"/>
            <w:tcBorders>
              <w:top w:val="single" w:sz="4" w:space="0" w:color="000000"/>
              <w:left w:val="single" w:sz="4" w:space="0" w:color="000000"/>
              <w:bottom w:val="single" w:sz="4" w:space="0" w:color="000000"/>
              <w:right w:val="nil"/>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Наименование на партньора</w:t>
            </w:r>
          </w:p>
        </w:tc>
        <w:tc>
          <w:tcPr>
            <w:tcW w:w="3544" w:type="dxa"/>
            <w:tcBorders>
              <w:top w:val="single" w:sz="4" w:space="0" w:color="auto"/>
              <w:left w:val="single" w:sz="4" w:space="0" w:color="auto"/>
              <w:bottom w:val="single" w:sz="4" w:space="0" w:color="000000"/>
              <w:right w:val="single" w:sz="4" w:space="0" w:color="auto"/>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Националност на партньора</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ACCIÓN CONTRA EL HAMBRE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ACTED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AGAINST HUNGER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CONTRE LA FAIM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ACTIONAID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ADRA DANMARK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ADRA DEUTSCHLAND E.V. - DE</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AGA KHAN FOUNDATION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AGENCY FOR CO-OPERATION AND RESEARCH IN DEVELOPMENT - UK</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AGRONOMES ET VETERINAIRES SANS FRONTIERES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ALLIANCE POUR L'ACTION MEDICALE INTERNATIONALE - FR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ÄŒLOVEK V TÃSNI, O.P.S. - CZ</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ЧЕШКА РЕПУБЛИКА</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ARBEITER-SAMARITER-BUND DEUTSCHLAND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ARTSEN ZONDER GRENZEN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ASSOCIAZIONE INTERNAZIONALE VOLONTARI LAICI- SERVIZIO DI PACE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AT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АВСТРИЯ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UK</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АВСТРИЯ</w:t>
            </w:r>
          </w:p>
        </w:tc>
      </w:tr>
      <w:tr>
        <w:trPr>
          <w:trHeight w:val="570"/>
        </w:trPr>
        <w:tc>
          <w:tcPr>
            <w:tcW w:w="4551" w:type="dxa"/>
            <w:tcBorders>
              <w:top w:val="single" w:sz="4" w:space="0" w:color="auto"/>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CH</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ЛЮКСЕМБУРГ</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CATHOLIC AGENCY FOR OVERSEAS DEVELOPMENT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CESVI FONDAZIONE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CHRISTIAN AID — ОБЕДИНЕНО КРАЛСТВО</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COMITATO INTERNAZIONALE PER LO SVILUPPO DEI POPOLI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CONCERN WORLDWIDE - IE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ИРЛАНДИЯ</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COOPERAZIONE INTERNAZIONALE - IT</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DANISH COMMITTEE FOR AID TO AFGHAN REFUGEES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DANSK FLYGTNINGEHJAELP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DEUTSCHE WELTHUNGERHILFE E.V. - DE</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EVANGELISCHES WERK FÜR DIAKONIE UND ENTWICKLUNG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FAO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ОРГАНОЗАЦИЯ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FEDERACION DE ASOCIACIONES MEDICUS MUNDI ESPAÑA - ES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FEDERATION HANDICAP INTERNATIONAL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FOLKEKIRKENS NODHJAELP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FONDAZIONE TERRE DES HOMMES ITALIA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FUNDACION ALIANZA POR LOS DERECHOS, LA IGUALD Y LA SOLIDARIDAD INTERNACIONAL - ES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FUNDACION OXFAM INTERMON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FUNDACIÓN PLAN INTERNATIONAL ESPAÑA - ES</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FUNDACIÓN SAVE THE CHILDREN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GOAL - IE</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ИРЛАНДИЯ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GRUPPO DI VOLONTARIATO CIVILE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HELP - HILFE ZUR SELBSTHILFE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HELPAGE INTERNATIONAL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ICRC</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ОРГАНОЗАЦИЯ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IFRC</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ОРГАНОЗАЦИЯ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MEDICAL CORPS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NGO SAFETY ORGANISATION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MEDICAL CORPS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INTERSOS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IOM</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ОРГАНОЗАЦИЯ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ISLAMIC RELIEF WORLDWIDE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JOHANNITER-UNFALL-HILFE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KIRKENS NØDHJELP - NO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НОРВЕГИЯ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KIRKON ULKOMAANAPU SR. - FI</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ФИНЛАНДИЯ</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LA CHAINE DE L'ESPOIR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 xml:space="preserve">LUTHERAN WORLD FEDERATION - CH </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MALTESER HILFSDIENST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MDECINS DU MONDE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БЕЛГИЯ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MEDAIR - CH</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DU MONDE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БЕЛГИЯ</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MEDICO INTERNATIONAL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MEDICOS DEL MUNDO ESPAÑA - ES</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MERCY CORPS EUROPE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MISSION AVIATION FELLOWSHIP INTERNATIONAL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MISSION OST FORENING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MOVIMIENTO POR LA PAZ, EL DESARME Y LA LIBERTAD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MUSLIM AID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NORWEGIAN REFUGEE COUNCIL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НОРВЕГИЯ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 ITALIA ONLUS ASSOCIAZIONE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OXFAM-SOLIDARITE(IT) – BE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БЕЛГИЯ</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PELASTAKAA LAPSET - RÄDDA BARNEN - FI </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ФИНЛАНДИЯ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INTERNATIONAL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INTERNATIONAL SVERIGE INSAMLINGSSTIFTELSE - SE</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ШВЕЦИЯ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IRELAND CHARITABLE ASSISTANCE - IE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ИРЛАНДИЯ</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POLSKA AKCJA HUMANITARNA - PL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ПОЛША</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PRACTICAL ACTION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PREMIERE URGENCE INTERNATIONALE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RADDA BARNENS RKSFORBUND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BARNET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BE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БЕЛГИЯ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DK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ДАНИЯ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ИСПАНИЯ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FI</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ФИНЛАНДИЯ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ЛЮКСЕМБУРГ</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НОРВЕГИЯ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CROSS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REDD BARNA - NO</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НОРВЕГИЯ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REDR - ENGINEERS FOR DISASTER RELIEF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RELIEF INTERNATIONAL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SAVE THE CHILDREN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SAVE THE CHILDREN ITALIA ONLUS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ИТАЛИЯ</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 SUISSE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SOLIDARITES INTERNATIONAL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 SAHEL INTERNATIONAL FRANCE - FR</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SOS-KINDERDORF INTERNATIONAL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АВСТРИЯ</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OXFAM NOVIB - NL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WAR CHILD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WORLD VISION NEDERLAND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SVENSKA KYRKAN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ШВЕЦИЯ</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TEARFUND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TERRE DES HOMMES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THE INTERNATIONAL CATHOLIC MIGRATION COMMISSION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ШВЕЙЦАРИЯ</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THE SAVE THE CHILDREN FUND - UK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TIERÄRZTE OHNE GRENZEN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TRIANGLE GENERATION HUMANITAIRE - FR</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ФРАНЦИЯ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TROCAIRE - IE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ИРЛАНДИЯ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Служба на ООН за координация по хуманитарни въпроси (OCHA)</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Служба на Върховния комисар по правата на човека на ООН (OHCHR)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Панамериканска здравна организация (PAHO)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Програма на ООН за развитие (ПРООН)</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ЮНЕСКО</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Фонд на ООН за населението (ФНООН)</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Върховен комисар на ООН за бежанците (ВКБООН)</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УНИЦЕФ</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Служба на ООН за намаляване на риска от бедствия (UNISDR)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Служба на ООН за обслужване на проекти (ЮНОПС)</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Агенция на ООН за подпомагане и строителство за палестинските бежанци в Близкия изток (UNRWA)</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single" w:sz="4" w:space="0" w:color="auto"/>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ООН — ЖЕНИ</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Световна продоволствена програма на ООН</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СЗО</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МЕЖДУНАРОДНА ОРГАНИЗАЦИЯ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ГЕРМАНИЯ</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ОБЕДИНЕНО КРАЛСТВО</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ZOA - NL</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НИДЕРЛАНДИЯ</w:t>
            </w:r>
          </w:p>
        </w:tc>
      </w:tr>
    </w:tbl>
    <w:p>
      <w:pPr>
        <w:rPr>
          <w:noProof/>
        </w:rPr>
      </w:pPr>
    </w:p>
    <w:p>
      <w:pPr>
        <w:pStyle w:val="ECHOContentList"/>
        <w:numPr>
          <w:ilvl w:val="0"/>
          <w:numId w:val="0"/>
        </w:numPr>
        <w:ind w:left="720"/>
        <w:jc w:val="left"/>
        <w:rPr>
          <w:rStyle w:val="Hyperlink"/>
          <w:noProof/>
          <w:color w:val="auto"/>
          <w:u w:val="non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1" w:right="1418" w:bottom="1440"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2</w:t>
    </w:r>
    <w:r>
      <w:rPr>
        <w:noProof/>
      </w:rPr>
      <w:fldChar w:fldCharType="end"/>
    </w:r>
  </w:p>
  <w:p>
    <w:pPr>
      <w:pStyle w:val="FooterDa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left" w:pos="5355"/>
      </w:tabs>
    </w:pPr>
    <w:r>
      <w:t>6</w:t>
    </w:r>
    <w:r>
      <w:tab/>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6"/>
        </w:rPr>
        <w:t>Финансирането от Европейския фонд за развитие в размер на 173 милиона евро е включено в тази сума.</w:t>
      </w:r>
    </w:p>
  </w:footnote>
  <w:footnote w:id="2">
    <w:p>
      <w:pPr>
        <w:pStyle w:val="FootnoteText"/>
        <w:jc w:val="left"/>
        <w:rPr>
          <w:sz w:val="16"/>
          <w:szCs w:val="16"/>
        </w:rPr>
      </w:pPr>
      <w:r>
        <w:rPr>
          <w:rStyle w:val="FootnoteReference"/>
        </w:rPr>
        <w:footnoteRef/>
      </w:r>
      <w:r>
        <w:t xml:space="preserve"> </w:t>
      </w:r>
      <w:r>
        <w:tab/>
      </w:r>
      <w:r>
        <w:rPr>
          <w:sz w:val="16"/>
        </w:rPr>
        <w:t xml:space="preserve">Решение C(2015) 9500 на Комисията от 24 ноември 2015 г.  </w:t>
      </w:r>
      <w:r>
        <w:rPr>
          <w:sz w:val="16"/>
          <w:szCs w:val="16"/>
        </w:rPr>
        <w:br/>
      </w:r>
      <w:r>
        <w:rPr>
          <w:sz w:val="16"/>
        </w:rPr>
        <w:t xml:space="preserve">относно координацията на действията на Съюза и на държавите членки посредством механизъм за координация — Механизма за Турция в полза на бежанците  </w:t>
      </w:r>
      <w:r>
        <w:rPr>
          <w:sz w:val="16"/>
          <w:szCs w:val="16"/>
        </w:rPr>
        <w:br/>
      </w:r>
      <w:r>
        <w:rPr>
          <w:sz w:val="16"/>
        </w:rPr>
        <w:t xml:space="preserve"> (ОВ C 407, 8.12.2015 г., стр. 8), последно изменено с Решение на Комисията от 18 април 2017 г. относно Механизма за бежанците в Турция за изменение на Решение C(2015) 9500 на Комисията от 24 ноември 2015 г.</w:t>
      </w:r>
    </w:p>
  </w:footnote>
  <w:footnote w:id="3">
    <w:p>
      <w:pPr>
        <w:pStyle w:val="FootnoteText"/>
        <w:rPr>
          <w:sz w:val="16"/>
          <w:szCs w:val="16"/>
        </w:rPr>
      </w:pPr>
      <w:r>
        <w:rPr>
          <w:rStyle w:val="FootnoteReference"/>
          <w:sz w:val="16"/>
        </w:rPr>
        <w:footnoteRef/>
      </w:r>
      <w:r>
        <w:rPr>
          <w:sz w:val="16"/>
        </w:rPr>
        <w:t xml:space="preserve"> </w:t>
      </w:r>
      <w:r>
        <w:tab/>
      </w:r>
      <w:r>
        <w:rPr>
          <w:sz w:val="16"/>
        </w:rPr>
        <w:t>http://ec.europa.eu/echo/what/civil-protection/mechanism_en</w:t>
      </w:r>
    </w:p>
  </w:footnote>
  <w:footnote w:id="4">
    <w:p>
      <w:pPr>
        <w:pStyle w:val="FootnoteText"/>
        <w:rPr>
          <w:sz w:val="16"/>
          <w:szCs w:val="16"/>
        </w:rPr>
      </w:pPr>
      <w:r>
        <w:rPr>
          <w:rStyle w:val="FootnoteReference"/>
        </w:rPr>
        <w:footnoteRef/>
      </w:r>
      <w:r>
        <w:t xml:space="preserve"> </w:t>
      </w:r>
      <w:r>
        <w:tab/>
      </w:r>
      <w:r>
        <w:rPr>
          <w:sz w:val="16"/>
        </w:rPr>
        <w:t>Съобщение на Комисията „Достоен начин на живот: от зависимост от помощи към самостоятелност. Принудителното разселване и развитието“, COM(2016) 234 final</w:t>
      </w:r>
    </w:p>
  </w:footnote>
  <w:footnote w:id="5">
    <w:p>
      <w:pPr>
        <w:pStyle w:val="FootnoteText"/>
        <w:rPr>
          <w:sz w:val="16"/>
          <w:szCs w:val="16"/>
        </w:rPr>
      </w:pPr>
      <w:r>
        <w:rPr>
          <w:rStyle w:val="FootnoteReference"/>
          <w:sz w:val="16"/>
        </w:rPr>
        <w:footnoteRef/>
      </w:r>
      <w:r>
        <w:rPr>
          <w:sz w:val="16"/>
        </w:rPr>
        <w:t xml:space="preserve"> </w:t>
      </w:r>
      <w:r>
        <w:tab/>
      </w:r>
      <w:r>
        <w:rPr>
          <w:sz w:val="16"/>
          <w:u w:val="single"/>
        </w:rPr>
        <w:t>http://humanitariandisabilitycharter.org/</w:t>
      </w:r>
    </w:p>
  </w:footnote>
  <w:footnote w:id="6">
    <w:p>
      <w:pPr>
        <w:pStyle w:val="FootnoteText"/>
        <w:rPr>
          <w:sz w:val="16"/>
          <w:szCs w:val="16"/>
        </w:rPr>
      </w:pPr>
      <w:r>
        <w:rPr>
          <w:rStyle w:val="FootnoteReference"/>
          <w:sz w:val="16"/>
        </w:rPr>
        <w:footnoteRef/>
      </w:r>
      <w:r>
        <w:rPr>
          <w:sz w:val="16"/>
        </w:rPr>
        <w:t xml:space="preserve"> </w:t>
      </w:r>
      <w:r>
        <w:tab/>
      </w:r>
      <w:hyperlink r:id="rId1">
        <w:r>
          <w:rPr>
            <w:rStyle w:val="Hyperlink"/>
            <w:rFonts w:ascii="Times New Roman" w:hAnsi="Times New Roman"/>
            <w:color w:val="auto"/>
            <w:sz w:val="16"/>
          </w:rPr>
          <w:t>https://unhabitat.org/wp-content/uploads/2016/05/Global-Alliance-for-Urban-Crises-Charter-for-WHS-Final.pdf</w:t>
        </w:r>
      </w:hyperlink>
    </w:p>
  </w:footnote>
  <w:footnote w:id="7">
    <w:p>
      <w:pPr>
        <w:pStyle w:val="FootnoteText"/>
        <w:jc w:val="left"/>
        <w:rPr>
          <w:sz w:val="16"/>
          <w:szCs w:val="16"/>
        </w:rPr>
      </w:pPr>
      <w:r>
        <w:rPr>
          <w:rStyle w:val="FootnoteReference"/>
        </w:rPr>
        <w:footnoteRef/>
      </w:r>
      <w:r>
        <w:t xml:space="preserve"> </w:t>
      </w:r>
      <w:r>
        <w:tab/>
      </w:r>
      <w:r>
        <w:rPr>
          <w:sz w:val="16"/>
        </w:rPr>
        <w:t>https://ec.europa.eu/europeaid/policies/european-development-policy/european-consensus-development_en</w:t>
      </w:r>
    </w:p>
  </w:footnote>
  <w:footnote w:id="8">
    <w:p>
      <w:pPr>
        <w:pStyle w:val="FootnoteText"/>
        <w:rPr>
          <w:sz w:val="16"/>
          <w:szCs w:val="16"/>
        </w:rPr>
      </w:pPr>
      <w:r>
        <w:rPr>
          <w:rStyle w:val="FootnoteReference"/>
        </w:rPr>
        <w:footnoteRef/>
      </w:r>
      <w:r>
        <w:tab/>
      </w:r>
      <w:r>
        <w:rPr>
          <w:sz w:val="16"/>
        </w:rPr>
        <w:t>Включващ имената на партньорските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60" w:lineRule="auto"/>
      <w:ind w:left="-1134"/>
      <w:rPr>
        <w:rFonts w:ascii="Verdana" w:hAnsi="Verdana"/>
        <w:sz w:val="14"/>
        <w:szCs w:val="14"/>
      </w:rPr>
    </w:pPr>
    <w:r>
      <w:rPr>
        <w:rFonts w:ascii="Verdana" w:hAnsi="Verdana"/>
        <w:b/>
        <w:sz w:val="14"/>
        <w:szCs w:val="14"/>
      </w:rPr>
      <w:br/>
    </w:r>
    <w:r>
      <w:rPr>
        <w:rFonts w:ascii="Verdana" w:hAnsi="Verdana"/>
        <w:sz w:val="14"/>
      </w:rPr>
      <w:t>Годишен доклад относно политиките на Европейския съюз в областта на хуманитарната помощ и тяхното изпълнение през 2016 г.</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3B2CC1"/>
    <w:multiLevelType w:val="multilevel"/>
    <w:tmpl w:val="E1005B62"/>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2084"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FA0061"/>
    <w:multiLevelType w:val="hybridMultilevel"/>
    <w:tmpl w:val="80443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9B4E93"/>
    <w:multiLevelType w:val="hybridMultilevel"/>
    <w:tmpl w:val="45B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492207"/>
    <w:multiLevelType w:val="hybridMultilevel"/>
    <w:tmpl w:val="40C07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C26F71"/>
    <w:multiLevelType w:val="multilevel"/>
    <w:tmpl w:val="E01E7708"/>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6C53C36"/>
    <w:multiLevelType w:val="hybridMultilevel"/>
    <w:tmpl w:val="08B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76722E"/>
    <w:multiLevelType w:val="hybridMultilevel"/>
    <w:tmpl w:val="EECA57C4"/>
    <w:lvl w:ilvl="0" w:tplc="E81E72EE">
      <w:start w:val="1"/>
      <w:numFmt w:val="bullet"/>
      <w:pStyle w:val="ECHOContentLis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2"/>
  </w:num>
  <w:num w:numId="4">
    <w:abstractNumId w:val="21"/>
  </w:num>
  <w:num w:numId="5">
    <w:abstractNumId w:val="16"/>
  </w:num>
  <w:num w:numId="6">
    <w:abstractNumId w:val="28"/>
  </w:num>
  <w:num w:numId="7">
    <w:abstractNumId w:val="31"/>
  </w:num>
  <w:num w:numId="8">
    <w:abstractNumId w:val="30"/>
  </w:num>
  <w:num w:numId="9">
    <w:abstractNumId w:val="33"/>
  </w:num>
  <w:num w:numId="10">
    <w:abstractNumId w:val="11"/>
  </w:num>
  <w:num w:numId="11">
    <w:abstractNumId w:val="9"/>
  </w:num>
  <w:num w:numId="12">
    <w:abstractNumId w:val="23"/>
  </w:num>
  <w:num w:numId="13">
    <w:abstractNumId w:val="12"/>
  </w:num>
  <w:num w:numId="14">
    <w:abstractNumId w:val="20"/>
  </w:num>
  <w:num w:numId="15">
    <w:abstractNumId w:val="19"/>
    <w:lvlOverride w:ilvl="0">
      <w:startOverride w:val="1"/>
    </w:lvlOverride>
  </w:num>
  <w:num w:numId="16">
    <w:abstractNumId w:val="10"/>
  </w:num>
  <w:num w:numId="17">
    <w:abstractNumId w:val="6"/>
  </w:num>
  <w:num w:numId="18">
    <w:abstractNumId w:val="2"/>
  </w:num>
  <w:num w:numId="19">
    <w:abstractNumId w:val="1"/>
  </w:num>
  <w:num w:numId="20">
    <w:abstractNumId w:val="24"/>
  </w:num>
  <w:num w:numId="21">
    <w:abstractNumId w:val="27"/>
  </w:num>
  <w:num w:numId="22">
    <w:abstractNumId w:val="25"/>
  </w:num>
  <w:num w:numId="23">
    <w:abstractNumId w:val="29"/>
  </w:num>
  <w:num w:numId="24">
    <w:abstractNumId w:val="3"/>
  </w:num>
  <w:num w:numId="25">
    <w:abstractNumId w:val="13"/>
  </w:num>
  <w:num w:numId="26">
    <w:abstractNumId w:val="15"/>
  </w:num>
  <w:num w:numId="27">
    <w:abstractNumId w:val="14"/>
  </w:num>
  <w:num w:numId="28">
    <w:abstractNumId w:val="0"/>
  </w:num>
  <w:num w:numId="29">
    <w:abstractNumId w:val="17"/>
  </w:num>
  <w:num w:numId="30">
    <w:abstractNumId w:val="34"/>
  </w:num>
  <w:num w:numId="31">
    <w:abstractNumId w:val="4"/>
  </w:num>
  <w:num w:numId="32">
    <w:abstractNumId w:val="8"/>
  </w:num>
  <w:num w:numId="33">
    <w:abstractNumId w:val="26"/>
  </w:num>
  <w:num w:numId="34">
    <w:abstractNumId w:val="7"/>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718BDB-1174-403D-908A-2F6E022709C2"/>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3?\u1086?\u1076?\u1080?\u1096?\u1077?\u1085? \u1076?\u1086?\u1082?\u1083?\u1072?\u1076? \u1086?\u1090?\u1085?\u1086?\u1089?\u1085?\u1086? \u1087?\u1086?\u1083?\u1080?\u1090?\u1080?\u1082?\u1080?\u1090?\u1077? \u1085?\u1072? \u1045?\u1074?\u1088?\u1086?\u1087?\u1077?\u1081?\u1089?\u1082?\u1080?\u1103? \u1089?\u1098?\u1102?\u1079? \u1074? \u1086?\u1073?\u1083?\u1072?\u1089?\u1090?\u1090?\u1072? \u1085?\u1072? \u1093?\u1091?\u1084?\u1072?\u1085?\u1080?\u1090?\u1072?\u1088?\u1085?\u1072?\u1090?\u1072? \u1087?\u1086?\u1084?\u1086?\u1097? \u1080? \u1090?\u1103?\u1093?\u1085?\u1086?\u1090?\u1086? \u1080?\u1079?\u1087?\u1098?\u1083?\u1085?\u1077?\u1085?\u1080?\u1077? \u1087?\u1088?\u1077?\u1079?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uiPriority w:val="9"/>
    <w:semiHidden/>
    <w:rPr>
      <w:rFonts w:ascii="Cambria" w:eastAsia="Times New Roman" w:hAnsi="Cambria" w:cs="Times New Roman"/>
      <w:b/>
      <w:bCs/>
      <w:color w:val="7F7F7F"/>
      <w:lang w:eastAsia="bg-BG"/>
    </w:rPr>
  </w:style>
  <w:style w:type="character" w:customStyle="1" w:styleId="Heading6Char">
    <w:name w:val="Heading 6 Char"/>
    <w:link w:val="Heading6"/>
    <w:uiPriority w:val="9"/>
    <w:semiHidden/>
    <w:rPr>
      <w:rFonts w:ascii="Cambria" w:eastAsia="Times New Roman" w:hAnsi="Cambria" w:cs="Times New Roman"/>
      <w:b/>
      <w:bCs/>
      <w:i/>
      <w:iCs/>
      <w:color w:val="7F7F7F"/>
      <w:lang w:eastAsia="bg-BG"/>
    </w:rPr>
  </w:style>
  <w:style w:type="character" w:customStyle="1" w:styleId="Heading7Char">
    <w:name w:val="Heading 7 Char"/>
    <w:link w:val="Heading7"/>
    <w:uiPriority w:val="9"/>
    <w:semiHidden/>
    <w:rPr>
      <w:rFonts w:ascii="Cambria" w:eastAsia="Times New Roman" w:hAnsi="Cambria" w:cs="Times New Roman"/>
      <w:i/>
      <w:iCs/>
      <w:lang w:eastAsia="bg-BG"/>
    </w:rPr>
  </w:style>
  <w:style w:type="character" w:customStyle="1" w:styleId="Heading8Char">
    <w:name w:val="Heading 8 Char"/>
    <w:link w:val="Heading8"/>
    <w:uiPriority w:val="9"/>
    <w:semiHidden/>
    <w:rPr>
      <w:rFonts w:ascii="Cambria" w:eastAsia="Times New Roman" w:hAnsi="Cambria" w:cs="Times New Roman"/>
      <w:sz w:val="20"/>
      <w:szCs w:val="20"/>
      <w:lang w:eastAsia="bg-BG"/>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bg-BG"/>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bg-BG" w:eastAsia="bg-BG"/>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bg-BG" w:eastAsia="bg-BG"/>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bg-BG" w:eastAsia="bg-BG"/>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bg-BG" w:eastAsia="bg-BG"/>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bg-BG"/>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bg-BG"/>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bg-BG"/>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bg-BG"/>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bg-BG"/>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bg-BG" w:eastAsia="bg-BG"/>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bg-BG"/>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uiPriority w:val="9"/>
    <w:semiHidden/>
    <w:rPr>
      <w:rFonts w:ascii="Cambria" w:eastAsia="Times New Roman" w:hAnsi="Cambria" w:cs="Times New Roman"/>
      <w:b/>
      <w:bCs/>
      <w:color w:val="7F7F7F"/>
      <w:lang w:eastAsia="bg-BG"/>
    </w:rPr>
  </w:style>
  <w:style w:type="character" w:customStyle="1" w:styleId="Heading6Char">
    <w:name w:val="Heading 6 Char"/>
    <w:link w:val="Heading6"/>
    <w:uiPriority w:val="9"/>
    <w:semiHidden/>
    <w:rPr>
      <w:rFonts w:ascii="Cambria" w:eastAsia="Times New Roman" w:hAnsi="Cambria" w:cs="Times New Roman"/>
      <w:b/>
      <w:bCs/>
      <w:i/>
      <w:iCs/>
      <w:color w:val="7F7F7F"/>
      <w:lang w:eastAsia="bg-BG"/>
    </w:rPr>
  </w:style>
  <w:style w:type="character" w:customStyle="1" w:styleId="Heading7Char">
    <w:name w:val="Heading 7 Char"/>
    <w:link w:val="Heading7"/>
    <w:uiPriority w:val="9"/>
    <w:semiHidden/>
    <w:rPr>
      <w:rFonts w:ascii="Cambria" w:eastAsia="Times New Roman" w:hAnsi="Cambria" w:cs="Times New Roman"/>
      <w:i/>
      <w:iCs/>
      <w:lang w:eastAsia="bg-BG"/>
    </w:rPr>
  </w:style>
  <w:style w:type="character" w:customStyle="1" w:styleId="Heading8Char">
    <w:name w:val="Heading 8 Char"/>
    <w:link w:val="Heading8"/>
    <w:uiPriority w:val="9"/>
    <w:semiHidden/>
    <w:rPr>
      <w:rFonts w:ascii="Cambria" w:eastAsia="Times New Roman" w:hAnsi="Cambria" w:cs="Times New Roman"/>
      <w:sz w:val="20"/>
      <w:szCs w:val="20"/>
      <w:lang w:eastAsia="bg-BG"/>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bg-BG"/>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bg-BG" w:eastAsia="bg-BG"/>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bg-BG" w:eastAsia="bg-BG"/>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bg-BG" w:eastAsia="bg-BG"/>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bg-BG" w:eastAsia="bg-BG"/>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bg-BG"/>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bg-BG"/>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bg-BG"/>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bg-BG"/>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bg-BG"/>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bg-BG" w:eastAsia="bg-BG"/>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bg-BG"/>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3876">
      <w:bodyDiv w:val="1"/>
      <w:marLeft w:val="0"/>
      <w:marRight w:val="0"/>
      <w:marTop w:val="0"/>
      <w:marBottom w:val="0"/>
      <w:divBdr>
        <w:top w:val="none" w:sz="0" w:space="0" w:color="auto"/>
        <w:left w:val="none" w:sz="0" w:space="0" w:color="auto"/>
        <w:bottom w:val="none" w:sz="0" w:space="0" w:color="auto"/>
        <w:right w:val="none" w:sz="0" w:space="0" w:color="auto"/>
      </w:divBdr>
      <w:divsChild>
        <w:div w:id="825707832">
          <w:marLeft w:val="0"/>
          <w:marRight w:val="0"/>
          <w:marTop w:val="0"/>
          <w:marBottom w:val="0"/>
          <w:divBdr>
            <w:top w:val="single" w:sz="2" w:space="0" w:color="CCCCCC"/>
            <w:left w:val="single" w:sz="6" w:space="0" w:color="CCCCCC"/>
            <w:bottom w:val="single" w:sz="6" w:space="0" w:color="CCCCCC"/>
            <w:right w:val="single" w:sz="6" w:space="0" w:color="CCCCCC"/>
          </w:divBdr>
          <w:divsChild>
            <w:div w:id="1290821520">
              <w:marLeft w:val="0"/>
              <w:marRight w:val="0"/>
              <w:marTop w:val="0"/>
              <w:marBottom w:val="0"/>
              <w:divBdr>
                <w:top w:val="none" w:sz="0" w:space="0" w:color="auto"/>
                <w:left w:val="none" w:sz="0" w:space="0" w:color="auto"/>
                <w:bottom w:val="none" w:sz="0" w:space="0" w:color="auto"/>
                <w:right w:val="none" w:sz="0" w:space="0" w:color="auto"/>
              </w:divBdr>
              <w:divsChild>
                <w:div w:id="965237995">
                  <w:marLeft w:val="-180"/>
                  <w:marRight w:val="-180"/>
                  <w:marTop w:val="0"/>
                  <w:marBottom w:val="0"/>
                  <w:divBdr>
                    <w:top w:val="none" w:sz="0" w:space="0" w:color="auto"/>
                    <w:left w:val="none" w:sz="0" w:space="0" w:color="auto"/>
                    <w:bottom w:val="none" w:sz="0" w:space="0" w:color="auto"/>
                    <w:right w:val="none" w:sz="0" w:space="0" w:color="auto"/>
                  </w:divBdr>
                  <w:divsChild>
                    <w:div w:id="360279102">
                      <w:marLeft w:val="0"/>
                      <w:marRight w:val="0"/>
                      <w:marTop w:val="0"/>
                      <w:marBottom w:val="0"/>
                      <w:divBdr>
                        <w:top w:val="none" w:sz="0" w:space="0" w:color="auto"/>
                        <w:left w:val="none" w:sz="0" w:space="0" w:color="auto"/>
                        <w:bottom w:val="none" w:sz="0" w:space="0" w:color="auto"/>
                        <w:right w:val="none" w:sz="0" w:space="0" w:color="auto"/>
                      </w:divBdr>
                      <w:divsChild>
                        <w:div w:id="1177425238">
                          <w:marLeft w:val="-180"/>
                          <w:marRight w:val="-180"/>
                          <w:marTop w:val="0"/>
                          <w:marBottom w:val="0"/>
                          <w:divBdr>
                            <w:top w:val="none" w:sz="0" w:space="0" w:color="auto"/>
                            <w:left w:val="none" w:sz="0" w:space="0" w:color="auto"/>
                            <w:bottom w:val="none" w:sz="0" w:space="0" w:color="auto"/>
                            <w:right w:val="none" w:sz="0" w:space="0" w:color="auto"/>
                          </w:divBdr>
                          <w:divsChild>
                            <w:div w:id="1648975453">
                              <w:marLeft w:val="0"/>
                              <w:marRight w:val="0"/>
                              <w:marTop w:val="0"/>
                              <w:marBottom w:val="0"/>
                              <w:divBdr>
                                <w:top w:val="none" w:sz="0" w:space="0" w:color="auto"/>
                                <w:left w:val="none" w:sz="0" w:space="0" w:color="auto"/>
                                <w:bottom w:val="none" w:sz="0" w:space="0" w:color="auto"/>
                                <w:right w:val="none" w:sz="0" w:space="0" w:color="auto"/>
                              </w:divBdr>
                              <w:divsChild>
                                <w:div w:id="1892227146">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35033117">
                                          <w:marLeft w:val="0"/>
                                          <w:marRight w:val="0"/>
                                          <w:marTop w:val="0"/>
                                          <w:marBottom w:val="0"/>
                                          <w:divBdr>
                                            <w:top w:val="none" w:sz="0" w:space="0" w:color="auto"/>
                                            <w:left w:val="none" w:sz="0" w:space="0" w:color="auto"/>
                                            <w:bottom w:val="none" w:sz="0" w:space="0" w:color="auto"/>
                                            <w:right w:val="none" w:sz="0" w:space="0" w:color="auto"/>
                                          </w:divBdr>
                                          <w:divsChild>
                                            <w:div w:id="1015956605">
                                              <w:marLeft w:val="0"/>
                                              <w:marRight w:val="0"/>
                                              <w:marTop w:val="0"/>
                                              <w:marBottom w:val="0"/>
                                              <w:divBdr>
                                                <w:top w:val="none" w:sz="0" w:space="0" w:color="auto"/>
                                                <w:left w:val="none" w:sz="0" w:space="0" w:color="auto"/>
                                                <w:bottom w:val="none" w:sz="0" w:space="0" w:color="auto"/>
                                                <w:right w:val="none" w:sz="0" w:space="0" w:color="auto"/>
                                              </w:divBdr>
                                              <w:divsChild>
                                                <w:div w:id="1933195309">
                                                  <w:marLeft w:val="0"/>
                                                  <w:marRight w:val="0"/>
                                                  <w:marTop w:val="0"/>
                                                  <w:marBottom w:val="0"/>
                                                  <w:divBdr>
                                                    <w:top w:val="none" w:sz="0" w:space="0" w:color="auto"/>
                                                    <w:left w:val="none" w:sz="0" w:space="0" w:color="auto"/>
                                                    <w:bottom w:val="none" w:sz="0" w:space="0" w:color="auto"/>
                                                    <w:right w:val="none" w:sz="0" w:space="0" w:color="auto"/>
                                                  </w:divBdr>
                                                  <w:divsChild>
                                                    <w:div w:id="533269718">
                                                      <w:marLeft w:val="0"/>
                                                      <w:marRight w:val="0"/>
                                                      <w:marTop w:val="0"/>
                                                      <w:marBottom w:val="0"/>
                                                      <w:divBdr>
                                                        <w:top w:val="none" w:sz="0" w:space="0" w:color="auto"/>
                                                        <w:left w:val="none" w:sz="0" w:space="0" w:color="auto"/>
                                                        <w:bottom w:val="none" w:sz="0" w:space="0" w:color="auto"/>
                                                        <w:right w:val="none" w:sz="0" w:space="0" w:color="auto"/>
                                                      </w:divBdr>
                                                      <w:divsChild>
                                                        <w:div w:id="797845728">
                                                          <w:marLeft w:val="-180"/>
                                                          <w:marRight w:val="-180"/>
                                                          <w:marTop w:val="0"/>
                                                          <w:marBottom w:val="0"/>
                                                          <w:divBdr>
                                                            <w:top w:val="none" w:sz="0" w:space="0" w:color="auto"/>
                                                            <w:left w:val="none" w:sz="0" w:space="0" w:color="auto"/>
                                                            <w:bottom w:val="none" w:sz="0" w:space="0" w:color="auto"/>
                                                            <w:right w:val="none" w:sz="0" w:space="0" w:color="auto"/>
                                                          </w:divBdr>
                                                          <w:divsChild>
                                                            <w:div w:id="728462409">
                                                              <w:marLeft w:val="0"/>
                                                              <w:marRight w:val="0"/>
                                                              <w:marTop w:val="0"/>
                                                              <w:marBottom w:val="0"/>
                                                              <w:divBdr>
                                                                <w:top w:val="none" w:sz="0" w:space="0" w:color="auto"/>
                                                                <w:left w:val="none" w:sz="0" w:space="0" w:color="auto"/>
                                                                <w:bottom w:val="none" w:sz="0" w:space="0" w:color="auto"/>
                                                                <w:right w:val="none" w:sz="0" w:space="0" w:color="auto"/>
                                                              </w:divBdr>
                                                              <w:divsChild>
                                                                <w:div w:id="1532188335">
                                                                  <w:marLeft w:val="0"/>
                                                                  <w:marRight w:val="0"/>
                                                                  <w:marTop w:val="0"/>
                                                                  <w:marBottom w:val="0"/>
                                                                  <w:divBdr>
                                                                    <w:top w:val="none" w:sz="0" w:space="0" w:color="auto"/>
                                                                    <w:left w:val="none" w:sz="0" w:space="0" w:color="auto"/>
                                                                    <w:bottom w:val="none" w:sz="0" w:space="0" w:color="auto"/>
                                                                    <w:right w:val="none" w:sz="0" w:space="0" w:color="auto"/>
                                                                  </w:divBdr>
                                                                  <w:divsChild>
                                                                    <w:div w:id="1135760819">
                                                                      <w:marLeft w:val="0"/>
                                                                      <w:marRight w:val="0"/>
                                                                      <w:marTop w:val="0"/>
                                                                      <w:marBottom w:val="0"/>
                                                                      <w:divBdr>
                                                                        <w:top w:val="none" w:sz="0" w:space="0" w:color="auto"/>
                                                                        <w:left w:val="none" w:sz="0" w:space="0" w:color="auto"/>
                                                                        <w:bottom w:val="none" w:sz="0" w:space="0" w:color="auto"/>
                                                                        <w:right w:val="none" w:sz="0" w:space="0" w:color="auto"/>
                                                                      </w:divBdr>
                                                                      <w:divsChild>
                                                                        <w:div w:id="2014141842">
                                                                          <w:marLeft w:val="0"/>
                                                                          <w:marRight w:val="0"/>
                                                                          <w:marTop w:val="0"/>
                                                                          <w:marBottom w:val="0"/>
                                                                          <w:divBdr>
                                                                            <w:top w:val="none" w:sz="0" w:space="0" w:color="auto"/>
                                                                            <w:left w:val="none" w:sz="0" w:space="0" w:color="auto"/>
                                                                            <w:bottom w:val="none" w:sz="0" w:space="0" w:color="auto"/>
                                                                            <w:right w:val="none" w:sz="0" w:space="0" w:color="auto"/>
                                                                          </w:divBdr>
                                                                          <w:divsChild>
                                                                            <w:div w:id="1949894333">
                                                                              <w:marLeft w:val="0"/>
                                                                              <w:marRight w:val="0"/>
                                                                              <w:marTop w:val="0"/>
                                                                              <w:marBottom w:val="0"/>
                                                                              <w:divBdr>
                                                                                <w:top w:val="none" w:sz="0" w:space="0" w:color="auto"/>
                                                                                <w:left w:val="none" w:sz="0" w:space="0" w:color="auto"/>
                                                                                <w:bottom w:val="none" w:sz="0" w:space="0" w:color="auto"/>
                                                                                <w:right w:val="none" w:sz="0" w:space="0" w:color="auto"/>
                                                                              </w:divBdr>
                                                                              <w:divsChild>
                                                                                <w:div w:id="3366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947263">
      <w:bodyDiv w:val="1"/>
      <w:marLeft w:val="0"/>
      <w:marRight w:val="0"/>
      <w:marTop w:val="0"/>
      <w:marBottom w:val="0"/>
      <w:divBdr>
        <w:top w:val="none" w:sz="0" w:space="0" w:color="auto"/>
        <w:left w:val="none" w:sz="0" w:space="0" w:color="auto"/>
        <w:bottom w:val="none" w:sz="0" w:space="0" w:color="auto"/>
        <w:right w:val="none" w:sz="0" w:space="0" w:color="auto"/>
      </w:divBdr>
    </w:div>
    <w:div w:id="365370279">
      <w:bodyDiv w:val="1"/>
      <w:marLeft w:val="0"/>
      <w:marRight w:val="0"/>
      <w:marTop w:val="0"/>
      <w:marBottom w:val="0"/>
      <w:divBdr>
        <w:top w:val="none" w:sz="0" w:space="0" w:color="auto"/>
        <w:left w:val="none" w:sz="0" w:space="0" w:color="auto"/>
        <w:bottom w:val="none" w:sz="0" w:space="0" w:color="auto"/>
        <w:right w:val="none" w:sz="0" w:space="0" w:color="auto"/>
      </w:divBdr>
    </w:div>
    <w:div w:id="401028087">
      <w:bodyDiv w:val="1"/>
      <w:marLeft w:val="0"/>
      <w:marRight w:val="0"/>
      <w:marTop w:val="0"/>
      <w:marBottom w:val="0"/>
      <w:divBdr>
        <w:top w:val="none" w:sz="0" w:space="0" w:color="auto"/>
        <w:left w:val="none" w:sz="0" w:space="0" w:color="auto"/>
        <w:bottom w:val="none" w:sz="0" w:space="0" w:color="auto"/>
        <w:right w:val="none" w:sz="0" w:space="0" w:color="auto"/>
      </w:divBdr>
      <w:divsChild>
        <w:div w:id="823274853">
          <w:marLeft w:val="0"/>
          <w:marRight w:val="0"/>
          <w:marTop w:val="0"/>
          <w:marBottom w:val="0"/>
          <w:divBdr>
            <w:top w:val="single" w:sz="2" w:space="0" w:color="CCCCCC"/>
            <w:left w:val="single" w:sz="6" w:space="0" w:color="CCCCCC"/>
            <w:bottom w:val="single" w:sz="6" w:space="0" w:color="CCCCCC"/>
            <w:right w:val="single" w:sz="6" w:space="0" w:color="CCCCCC"/>
          </w:divBdr>
          <w:divsChild>
            <w:div w:id="313721661">
              <w:marLeft w:val="0"/>
              <w:marRight w:val="0"/>
              <w:marTop w:val="0"/>
              <w:marBottom w:val="0"/>
              <w:divBdr>
                <w:top w:val="none" w:sz="0" w:space="0" w:color="auto"/>
                <w:left w:val="none" w:sz="0" w:space="0" w:color="auto"/>
                <w:bottom w:val="none" w:sz="0" w:space="0" w:color="auto"/>
                <w:right w:val="none" w:sz="0" w:space="0" w:color="auto"/>
              </w:divBdr>
              <w:divsChild>
                <w:div w:id="1949242029">
                  <w:marLeft w:val="-180"/>
                  <w:marRight w:val="-180"/>
                  <w:marTop w:val="0"/>
                  <w:marBottom w:val="0"/>
                  <w:divBdr>
                    <w:top w:val="none" w:sz="0" w:space="0" w:color="auto"/>
                    <w:left w:val="none" w:sz="0" w:space="0" w:color="auto"/>
                    <w:bottom w:val="none" w:sz="0" w:space="0" w:color="auto"/>
                    <w:right w:val="none" w:sz="0" w:space="0" w:color="auto"/>
                  </w:divBdr>
                  <w:divsChild>
                    <w:div w:id="954404164">
                      <w:marLeft w:val="0"/>
                      <w:marRight w:val="0"/>
                      <w:marTop w:val="0"/>
                      <w:marBottom w:val="0"/>
                      <w:divBdr>
                        <w:top w:val="none" w:sz="0" w:space="0" w:color="auto"/>
                        <w:left w:val="none" w:sz="0" w:space="0" w:color="auto"/>
                        <w:bottom w:val="none" w:sz="0" w:space="0" w:color="auto"/>
                        <w:right w:val="none" w:sz="0" w:space="0" w:color="auto"/>
                      </w:divBdr>
                      <w:divsChild>
                        <w:div w:id="1003825797">
                          <w:marLeft w:val="-180"/>
                          <w:marRight w:val="-180"/>
                          <w:marTop w:val="0"/>
                          <w:marBottom w:val="0"/>
                          <w:divBdr>
                            <w:top w:val="none" w:sz="0" w:space="0" w:color="auto"/>
                            <w:left w:val="none" w:sz="0" w:space="0" w:color="auto"/>
                            <w:bottom w:val="none" w:sz="0" w:space="0" w:color="auto"/>
                            <w:right w:val="none" w:sz="0" w:space="0" w:color="auto"/>
                          </w:divBdr>
                          <w:divsChild>
                            <w:div w:id="381563565">
                              <w:marLeft w:val="0"/>
                              <w:marRight w:val="0"/>
                              <w:marTop w:val="0"/>
                              <w:marBottom w:val="0"/>
                              <w:divBdr>
                                <w:top w:val="none" w:sz="0" w:space="0" w:color="auto"/>
                                <w:left w:val="none" w:sz="0" w:space="0" w:color="auto"/>
                                <w:bottom w:val="none" w:sz="0" w:space="0" w:color="auto"/>
                                <w:right w:val="none" w:sz="0" w:space="0" w:color="auto"/>
                              </w:divBdr>
                              <w:divsChild>
                                <w:div w:id="2135899588">
                                  <w:marLeft w:val="0"/>
                                  <w:marRight w:val="0"/>
                                  <w:marTop w:val="0"/>
                                  <w:marBottom w:val="0"/>
                                  <w:divBdr>
                                    <w:top w:val="none" w:sz="0" w:space="0" w:color="auto"/>
                                    <w:left w:val="none" w:sz="0" w:space="0" w:color="auto"/>
                                    <w:bottom w:val="none" w:sz="0" w:space="0" w:color="auto"/>
                                    <w:right w:val="none" w:sz="0" w:space="0" w:color="auto"/>
                                  </w:divBdr>
                                  <w:divsChild>
                                    <w:div w:id="490948263">
                                      <w:marLeft w:val="0"/>
                                      <w:marRight w:val="0"/>
                                      <w:marTop w:val="0"/>
                                      <w:marBottom w:val="0"/>
                                      <w:divBdr>
                                        <w:top w:val="none" w:sz="0" w:space="0" w:color="auto"/>
                                        <w:left w:val="none" w:sz="0" w:space="0" w:color="auto"/>
                                        <w:bottom w:val="none" w:sz="0" w:space="0" w:color="auto"/>
                                        <w:right w:val="none" w:sz="0" w:space="0" w:color="auto"/>
                                      </w:divBdr>
                                      <w:divsChild>
                                        <w:div w:id="487478342">
                                          <w:marLeft w:val="0"/>
                                          <w:marRight w:val="0"/>
                                          <w:marTop w:val="0"/>
                                          <w:marBottom w:val="0"/>
                                          <w:divBdr>
                                            <w:top w:val="none" w:sz="0" w:space="0" w:color="auto"/>
                                            <w:left w:val="none" w:sz="0" w:space="0" w:color="auto"/>
                                            <w:bottom w:val="none" w:sz="0" w:space="0" w:color="auto"/>
                                            <w:right w:val="none" w:sz="0" w:space="0" w:color="auto"/>
                                          </w:divBdr>
                                          <w:divsChild>
                                            <w:div w:id="327372086">
                                              <w:marLeft w:val="0"/>
                                              <w:marRight w:val="0"/>
                                              <w:marTop w:val="0"/>
                                              <w:marBottom w:val="0"/>
                                              <w:divBdr>
                                                <w:top w:val="none" w:sz="0" w:space="0" w:color="auto"/>
                                                <w:left w:val="none" w:sz="0" w:space="0" w:color="auto"/>
                                                <w:bottom w:val="none" w:sz="0" w:space="0" w:color="auto"/>
                                                <w:right w:val="none" w:sz="0" w:space="0" w:color="auto"/>
                                              </w:divBdr>
                                              <w:divsChild>
                                                <w:div w:id="1000889424">
                                                  <w:marLeft w:val="0"/>
                                                  <w:marRight w:val="0"/>
                                                  <w:marTop w:val="0"/>
                                                  <w:marBottom w:val="0"/>
                                                  <w:divBdr>
                                                    <w:top w:val="none" w:sz="0" w:space="0" w:color="auto"/>
                                                    <w:left w:val="none" w:sz="0" w:space="0" w:color="auto"/>
                                                    <w:bottom w:val="none" w:sz="0" w:space="0" w:color="auto"/>
                                                    <w:right w:val="none" w:sz="0" w:space="0" w:color="auto"/>
                                                  </w:divBdr>
                                                  <w:divsChild>
                                                    <w:div w:id="2018655695">
                                                      <w:marLeft w:val="0"/>
                                                      <w:marRight w:val="0"/>
                                                      <w:marTop w:val="0"/>
                                                      <w:marBottom w:val="0"/>
                                                      <w:divBdr>
                                                        <w:top w:val="none" w:sz="0" w:space="0" w:color="auto"/>
                                                        <w:left w:val="none" w:sz="0" w:space="0" w:color="auto"/>
                                                        <w:bottom w:val="none" w:sz="0" w:space="0" w:color="auto"/>
                                                        <w:right w:val="none" w:sz="0" w:space="0" w:color="auto"/>
                                                      </w:divBdr>
                                                      <w:divsChild>
                                                        <w:div w:id="270280446">
                                                          <w:marLeft w:val="-180"/>
                                                          <w:marRight w:val="-180"/>
                                                          <w:marTop w:val="0"/>
                                                          <w:marBottom w:val="0"/>
                                                          <w:divBdr>
                                                            <w:top w:val="none" w:sz="0" w:space="0" w:color="auto"/>
                                                            <w:left w:val="none" w:sz="0" w:space="0" w:color="auto"/>
                                                            <w:bottom w:val="none" w:sz="0" w:space="0" w:color="auto"/>
                                                            <w:right w:val="none" w:sz="0" w:space="0" w:color="auto"/>
                                                          </w:divBdr>
                                                          <w:divsChild>
                                                            <w:div w:id="1209146447">
                                                              <w:marLeft w:val="0"/>
                                                              <w:marRight w:val="0"/>
                                                              <w:marTop w:val="0"/>
                                                              <w:marBottom w:val="0"/>
                                                              <w:divBdr>
                                                                <w:top w:val="none" w:sz="0" w:space="0" w:color="auto"/>
                                                                <w:left w:val="none" w:sz="0" w:space="0" w:color="auto"/>
                                                                <w:bottom w:val="none" w:sz="0" w:space="0" w:color="auto"/>
                                                                <w:right w:val="none" w:sz="0" w:space="0" w:color="auto"/>
                                                              </w:divBdr>
                                                              <w:divsChild>
                                                                <w:div w:id="1249433">
                                                                  <w:marLeft w:val="0"/>
                                                                  <w:marRight w:val="0"/>
                                                                  <w:marTop w:val="0"/>
                                                                  <w:marBottom w:val="0"/>
                                                                  <w:divBdr>
                                                                    <w:top w:val="none" w:sz="0" w:space="0" w:color="auto"/>
                                                                    <w:left w:val="none" w:sz="0" w:space="0" w:color="auto"/>
                                                                    <w:bottom w:val="none" w:sz="0" w:space="0" w:color="auto"/>
                                                                    <w:right w:val="none" w:sz="0" w:space="0" w:color="auto"/>
                                                                  </w:divBdr>
                                                                  <w:divsChild>
                                                                    <w:div w:id="406390581">
                                                                      <w:marLeft w:val="0"/>
                                                                      <w:marRight w:val="0"/>
                                                                      <w:marTop w:val="0"/>
                                                                      <w:marBottom w:val="0"/>
                                                                      <w:divBdr>
                                                                        <w:top w:val="none" w:sz="0" w:space="0" w:color="auto"/>
                                                                        <w:left w:val="none" w:sz="0" w:space="0" w:color="auto"/>
                                                                        <w:bottom w:val="none" w:sz="0" w:space="0" w:color="auto"/>
                                                                        <w:right w:val="none" w:sz="0" w:space="0" w:color="auto"/>
                                                                      </w:divBdr>
                                                                      <w:divsChild>
                                                                        <w:div w:id="1064913025">
                                                                          <w:marLeft w:val="0"/>
                                                                          <w:marRight w:val="0"/>
                                                                          <w:marTop w:val="0"/>
                                                                          <w:marBottom w:val="0"/>
                                                                          <w:divBdr>
                                                                            <w:top w:val="none" w:sz="0" w:space="0" w:color="auto"/>
                                                                            <w:left w:val="none" w:sz="0" w:space="0" w:color="auto"/>
                                                                            <w:bottom w:val="none" w:sz="0" w:space="0" w:color="auto"/>
                                                                            <w:right w:val="none" w:sz="0" w:space="0" w:color="auto"/>
                                                                          </w:divBdr>
                                                                          <w:divsChild>
                                                                            <w:div w:id="1883399961">
                                                                              <w:marLeft w:val="0"/>
                                                                              <w:marRight w:val="0"/>
                                                                              <w:marTop w:val="0"/>
                                                                              <w:marBottom w:val="0"/>
                                                                              <w:divBdr>
                                                                                <w:top w:val="none" w:sz="0" w:space="0" w:color="auto"/>
                                                                                <w:left w:val="none" w:sz="0" w:space="0" w:color="auto"/>
                                                                                <w:bottom w:val="none" w:sz="0" w:space="0" w:color="auto"/>
                                                                                <w:right w:val="none" w:sz="0" w:space="0" w:color="auto"/>
                                                                              </w:divBdr>
                                                                              <w:divsChild>
                                                                                <w:div w:id="1297489084">
                                                                                  <w:marLeft w:val="0"/>
                                                                                  <w:marRight w:val="0"/>
                                                                                  <w:marTop w:val="0"/>
                                                                                  <w:marBottom w:val="0"/>
                                                                                  <w:divBdr>
                                                                                    <w:top w:val="none" w:sz="0" w:space="0" w:color="auto"/>
                                                                                    <w:left w:val="none" w:sz="0" w:space="0" w:color="auto"/>
                                                                                    <w:bottom w:val="none" w:sz="0" w:space="0" w:color="auto"/>
                                                                                    <w:right w:val="none" w:sz="0" w:space="0" w:color="auto"/>
                                                                                  </w:divBdr>
                                                                                  <w:divsChild>
                                                                                    <w:div w:id="13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978780">
      <w:bodyDiv w:val="1"/>
      <w:marLeft w:val="0"/>
      <w:marRight w:val="0"/>
      <w:marTop w:val="0"/>
      <w:marBottom w:val="0"/>
      <w:divBdr>
        <w:top w:val="none" w:sz="0" w:space="0" w:color="auto"/>
        <w:left w:val="none" w:sz="0" w:space="0" w:color="auto"/>
        <w:bottom w:val="none" w:sz="0" w:space="0" w:color="auto"/>
        <w:right w:val="none" w:sz="0" w:space="0" w:color="auto"/>
      </w:divBdr>
    </w:div>
    <w:div w:id="518130092">
      <w:bodyDiv w:val="1"/>
      <w:marLeft w:val="0"/>
      <w:marRight w:val="0"/>
      <w:marTop w:val="0"/>
      <w:marBottom w:val="0"/>
      <w:divBdr>
        <w:top w:val="none" w:sz="0" w:space="0" w:color="auto"/>
        <w:left w:val="none" w:sz="0" w:space="0" w:color="auto"/>
        <w:bottom w:val="none" w:sz="0" w:space="0" w:color="auto"/>
        <w:right w:val="none" w:sz="0" w:space="0" w:color="auto"/>
      </w:divBdr>
    </w:div>
    <w:div w:id="695737132">
      <w:bodyDiv w:val="1"/>
      <w:marLeft w:val="0"/>
      <w:marRight w:val="0"/>
      <w:marTop w:val="0"/>
      <w:marBottom w:val="0"/>
      <w:divBdr>
        <w:top w:val="none" w:sz="0" w:space="0" w:color="auto"/>
        <w:left w:val="none" w:sz="0" w:space="0" w:color="auto"/>
        <w:bottom w:val="none" w:sz="0" w:space="0" w:color="auto"/>
        <w:right w:val="none" w:sz="0" w:space="0" w:color="auto"/>
      </w:divBdr>
    </w:div>
    <w:div w:id="1067536734">
      <w:bodyDiv w:val="1"/>
      <w:marLeft w:val="0"/>
      <w:marRight w:val="0"/>
      <w:marTop w:val="0"/>
      <w:marBottom w:val="0"/>
      <w:divBdr>
        <w:top w:val="none" w:sz="0" w:space="0" w:color="auto"/>
        <w:left w:val="none" w:sz="0" w:space="0" w:color="auto"/>
        <w:bottom w:val="none" w:sz="0" w:space="0" w:color="auto"/>
        <w:right w:val="none" w:sz="0" w:space="0" w:color="auto"/>
      </w:divBdr>
    </w:div>
    <w:div w:id="1134179096">
      <w:bodyDiv w:val="1"/>
      <w:marLeft w:val="0"/>
      <w:marRight w:val="0"/>
      <w:marTop w:val="0"/>
      <w:marBottom w:val="0"/>
      <w:divBdr>
        <w:top w:val="none" w:sz="0" w:space="0" w:color="auto"/>
        <w:left w:val="none" w:sz="0" w:space="0" w:color="auto"/>
        <w:bottom w:val="none" w:sz="0" w:space="0" w:color="auto"/>
        <w:right w:val="none" w:sz="0" w:space="0" w:color="auto"/>
      </w:divBdr>
    </w:div>
    <w:div w:id="1156334509">
      <w:bodyDiv w:val="1"/>
      <w:marLeft w:val="0"/>
      <w:marRight w:val="0"/>
      <w:marTop w:val="0"/>
      <w:marBottom w:val="0"/>
      <w:divBdr>
        <w:top w:val="none" w:sz="0" w:space="0" w:color="auto"/>
        <w:left w:val="none" w:sz="0" w:space="0" w:color="auto"/>
        <w:bottom w:val="none" w:sz="0" w:space="0" w:color="auto"/>
        <w:right w:val="none" w:sz="0" w:space="0" w:color="auto"/>
      </w:divBdr>
    </w:div>
    <w:div w:id="1173911865">
      <w:bodyDiv w:val="1"/>
      <w:marLeft w:val="0"/>
      <w:marRight w:val="0"/>
      <w:marTop w:val="0"/>
      <w:marBottom w:val="0"/>
      <w:divBdr>
        <w:top w:val="none" w:sz="0" w:space="0" w:color="auto"/>
        <w:left w:val="none" w:sz="0" w:space="0" w:color="auto"/>
        <w:bottom w:val="none" w:sz="0" w:space="0" w:color="auto"/>
        <w:right w:val="none" w:sz="0" w:space="0" w:color="auto"/>
      </w:divBdr>
      <w:divsChild>
        <w:div w:id="797603593">
          <w:marLeft w:val="0"/>
          <w:marRight w:val="0"/>
          <w:marTop w:val="0"/>
          <w:marBottom w:val="0"/>
          <w:divBdr>
            <w:top w:val="single" w:sz="2" w:space="0" w:color="CCCCCC"/>
            <w:left w:val="single" w:sz="6" w:space="0" w:color="CCCCCC"/>
            <w:bottom w:val="single" w:sz="6" w:space="0" w:color="CCCCCC"/>
            <w:right w:val="single" w:sz="6" w:space="0" w:color="CCCCCC"/>
          </w:divBdr>
          <w:divsChild>
            <w:div w:id="13312400">
              <w:marLeft w:val="0"/>
              <w:marRight w:val="0"/>
              <w:marTop w:val="0"/>
              <w:marBottom w:val="0"/>
              <w:divBdr>
                <w:top w:val="none" w:sz="0" w:space="0" w:color="auto"/>
                <w:left w:val="none" w:sz="0" w:space="0" w:color="auto"/>
                <w:bottom w:val="none" w:sz="0" w:space="0" w:color="auto"/>
                <w:right w:val="none" w:sz="0" w:space="0" w:color="auto"/>
              </w:divBdr>
              <w:divsChild>
                <w:div w:id="1337804358">
                  <w:marLeft w:val="-180"/>
                  <w:marRight w:val="-180"/>
                  <w:marTop w:val="0"/>
                  <w:marBottom w:val="0"/>
                  <w:divBdr>
                    <w:top w:val="none" w:sz="0" w:space="0" w:color="auto"/>
                    <w:left w:val="none" w:sz="0" w:space="0" w:color="auto"/>
                    <w:bottom w:val="none" w:sz="0" w:space="0" w:color="auto"/>
                    <w:right w:val="none" w:sz="0" w:space="0" w:color="auto"/>
                  </w:divBdr>
                  <w:divsChild>
                    <w:div w:id="962075909">
                      <w:marLeft w:val="0"/>
                      <w:marRight w:val="0"/>
                      <w:marTop w:val="0"/>
                      <w:marBottom w:val="0"/>
                      <w:divBdr>
                        <w:top w:val="none" w:sz="0" w:space="0" w:color="auto"/>
                        <w:left w:val="none" w:sz="0" w:space="0" w:color="auto"/>
                        <w:bottom w:val="none" w:sz="0" w:space="0" w:color="auto"/>
                        <w:right w:val="none" w:sz="0" w:space="0" w:color="auto"/>
                      </w:divBdr>
                      <w:divsChild>
                        <w:div w:id="335768662">
                          <w:marLeft w:val="-180"/>
                          <w:marRight w:val="-180"/>
                          <w:marTop w:val="0"/>
                          <w:marBottom w:val="0"/>
                          <w:divBdr>
                            <w:top w:val="none" w:sz="0" w:space="0" w:color="auto"/>
                            <w:left w:val="none" w:sz="0" w:space="0" w:color="auto"/>
                            <w:bottom w:val="none" w:sz="0" w:space="0" w:color="auto"/>
                            <w:right w:val="none" w:sz="0" w:space="0" w:color="auto"/>
                          </w:divBdr>
                          <w:divsChild>
                            <w:div w:id="1845511707">
                              <w:marLeft w:val="0"/>
                              <w:marRight w:val="0"/>
                              <w:marTop w:val="0"/>
                              <w:marBottom w:val="0"/>
                              <w:divBdr>
                                <w:top w:val="none" w:sz="0" w:space="0" w:color="auto"/>
                                <w:left w:val="none" w:sz="0" w:space="0" w:color="auto"/>
                                <w:bottom w:val="none" w:sz="0" w:space="0" w:color="auto"/>
                                <w:right w:val="none" w:sz="0" w:space="0" w:color="auto"/>
                              </w:divBdr>
                              <w:divsChild>
                                <w:div w:id="369383259">
                                  <w:marLeft w:val="0"/>
                                  <w:marRight w:val="0"/>
                                  <w:marTop w:val="0"/>
                                  <w:marBottom w:val="0"/>
                                  <w:divBdr>
                                    <w:top w:val="none" w:sz="0" w:space="0" w:color="auto"/>
                                    <w:left w:val="none" w:sz="0" w:space="0" w:color="auto"/>
                                    <w:bottom w:val="none" w:sz="0" w:space="0" w:color="auto"/>
                                    <w:right w:val="none" w:sz="0" w:space="0" w:color="auto"/>
                                  </w:divBdr>
                                  <w:divsChild>
                                    <w:div w:id="424689972">
                                      <w:marLeft w:val="0"/>
                                      <w:marRight w:val="0"/>
                                      <w:marTop w:val="0"/>
                                      <w:marBottom w:val="0"/>
                                      <w:divBdr>
                                        <w:top w:val="none" w:sz="0" w:space="0" w:color="auto"/>
                                        <w:left w:val="none" w:sz="0" w:space="0" w:color="auto"/>
                                        <w:bottom w:val="none" w:sz="0" w:space="0" w:color="auto"/>
                                        <w:right w:val="none" w:sz="0" w:space="0" w:color="auto"/>
                                      </w:divBdr>
                                      <w:divsChild>
                                        <w:div w:id="1181817571">
                                          <w:marLeft w:val="0"/>
                                          <w:marRight w:val="0"/>
                                          <w:marTop w:val="0"/>
                                          <w:marBottom w:val="0"/>
                                          <w:divBdr>
                                            <w:top w:val="none" w:sz="0" w:space="0" w:color="auto"/>
                                            <w:left w:val="none" w:sz="0" w:space="0" w:color="auto"/>
                                            <w:bottom w:val="none" w:sz="0" w:space="0" w:color="auto"/>
                                            <w:right w:val="none" w:sz="0" w:space="0" w:color="auto"/>
                                          </w:divBdr>
                                          <w:divsChild>
                                            <w:div w:id="1368873829">
                                              <w:marLeft w:val="0"/>
                                              <w:marRight w:val="0"/>
                                              <w:marTop w:val="0"/>
                                              <w:marBottom w:val="0"/>
                                              <w:divBdr>
                                                <w:top w:val="none" w:sz="0" w:space="0" w:color="auto"/>
                                                <w:left w:val="none" w:sz="0" w:space="0" w:color="auto"/>
                                                <w:bottom w:val="none" w:sz="0" w:space="0" w:color="auto"/>
                                                <w:right w:val="none" w:sz="0" w:space="0" w:color="auto"/>
                                              </w:divBdr>
                                              <w:divsChild>
                                                <w:div w:id="204951096">
                                                  <w:marLeft w:val="0"/>
                                                  <w:marRight w:val="0"/>
                                                  <w:marTop w:val="0"/>
                                                  <w:marBottom w:val="0"/>
                                                  <w:divBdr>
                                                    <w:top w:val="none" w:sz="0" w:space="0" w:color="auto"/>
                                                    <w:left w:val="none" w:sz="0" w:space="0" w:color="auto"/>
                                                    <w:bottom w:val="none" w:sz="0" w:space="0" w:color="auto"/>
                                                    <w:right w:val="none" w:sz="0" w:space="0" w:color="auto"/>
                                                  </w:divBdr>
                                                  <w:divsChild>
                                                    <w:div w:id="306278298">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180"/>
                                                          <w:marRight w:val="-180"/>
                                                          <w:marTop w:val="0"/>
                                                          <w:marBottom w:val="0"/>
                                                          <w:divBdr>
                                                            <w:top w:val="none" w:sz="0" w:space="0" w:color="auto"/>
                                                            <w:left w:val="none" w:sz="0" w:space="0" w:color="auto"/>
                                                            <w:bottom w:val="none" w:sz="0" w:space="0" w:color="auto"/>
                                                            <w:right w:val="none" w:sz="0" w:space="0" w:color="auto"/>
                                                          </w:divBdr>
                                                          <w:divsChild>
                                                            <w:div w:id="444428554">
                                                              <w:marLeft w:val="0"/>
                                                              <w:marRight w:val="0"/>
                                                              <w:marTop w:val="0"/>
                                                              <w:marBottom w:val="0"/>
                                                              <w:divBdr>
                                                                <w:top w:val="none" w:sz="0" w:space="0" w:color="auto"/>
                                                                <w:left w:val="none" w:sz="0" w:space="0" w:color="auto"/>
                                                                <w:bottom w:val="none" w:sz="0" w:space="0" w:color="auto"/>
                                                                <w:right w:val="none" w:sz="0" w:space="0" w:color="auto"/>
                                                              </w:divBdr>
                                                              <w:divsChild>
                                                                <w:div w:id="531386991">
                                                                  <w:marLeft w:val="0"/>
                                                                  <w:marRight w:val="0"/>
                                                                  <w:marTop w:val="0"/>
                                                                  <w:marBottom w:val="0"/>
                                                                  <w:divBdr>
                                                                    <w:top w:val="none" w:sz="0" w:space="0" w:color="auto"/>
                                                                    <w:left w:val="none" w:sz="0" w:space="0" w:color="auto"/>
                                                                    <w:bottom w:val="none" w:sz="0" w:space="0" w:color="auto"/>
                                                                    <w:right w:val="none" w:sz="0" w:space="0" w:color="auto"/>
                                                                  </w:divBdr>
                                                                  <w:divsChild>
                                                                    <w:div w:id="1381710659">
                                                                      <w:marLeft w:val="0"/>
                                                                      <w:marRight w:val="0"/>
                                                                      <w:marTop w:val="0"/>
                                                                      <w:marBottom w:val="0"/>
                                                                      <w:divBdr>
                                                                        <w:top w:val="none" w:sz="0" w:space="0" w:color="auto"/>
                                                                        <w:left w:val="none" w:sz="0" w:space="0" w:color="auto"/>
                                                                        <w:bottom w:val="none" w:sz="0" w:space="0" w:color="auto"/>
                                                                        <w:right w:val="none" w:sz="0" w:space="0" w:color="auto"/>
                                                                      </w:divBdr>
                                                                      <w:divsChild>
                                                                        <w:div w:id="642928624">
                                                                          <w:marLeft w:val="0"/>
                                                                          <w:marRight w:val="0"/>
                                                                          <w:marTop w:val="0"/>
                                                                          <w:marBottom w:val="0"/>
                                                                          <w:divBdr>
                                                                            <w:top w:val="none" w:sz="0" w:space="0" w:color="auto"/>
                                                                            <w:left w:val="none" w:sz="0" w:space="0" w:color="auto"/>
                                                                            <w:bottom w:val="none" w:sz="0" w:space="0" w:color="auto"/>
                                                                            <w:right w:val="none" w:sz="0" w:space="0" w:color="auto"/>
                                                                          </w:divBdr>
                                                                          <w:divsChild>
                                                                            <w:div w:id="637297568">
                                                                              <w:marLeft w:val="0"/>
                                                                              <w:marRight w:val="0"/>
                                                                              <w:marTop w:val="0"/>
                                                                              <w:marBottom w:val="0"/>
                                                                              <w:divBdr>
                                                                                <w:top w:val="none" w:sz="0" w:space="0" w:color="auto"/>
                                                                                <w:left w:val="none" w:sz="0" w:space="0" w:color="auto"/>
                                                                                <w:bottom w:val="none" w:sz="0" w:space="0" w:color="auto"/>
                                                                                <w:right w:val="none" w:sz="0" w:space="0" w:color="auto"/>
                                                                              </w:divBdr>
                                                                              <w:divsChild>
                                                                                <w:div w:id="1583179427">
                                                                                  <w:marLeft w:val="0"/>
                                                                                  <w:marRight w:val="0"/>
                                                                                  <w:marTop w:val="0"/>
                                                                                  <w:marBottom w:val="0"/>
                                                                                  <w:divBdr>
                                                                                    <w:top w:val="none" w:sz="0" w:space="0" w:color="auto"/>
                                                                                    <w:left w:val="none" w:sz="0" w:space="0" w:color="auto"/>
                                                                                    <w:bottom w:val="none" w:sz="0" w:space="0" w:color="auto"/>
                                                                                    <w:right w:val="none" w:sz="0" w:space="0" w:color="auto"/>
                                                                                  </w:divBdr>
                                                                                  <w:divsChild>
                                                                                    <w:div w:id="11677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5002">
      <w:bodyDiv w:val="1"/>
      <w:marLeft w:val="0"/>
      <w:marRight w:val="0"/>
      <w:marTop w:val="0"/>
      <w:marBottom w:val="0"/>
      <w:divBdr>
        <w:top w:val="none" w:sz="0" w:space="0" w:color="auto"/>
        <w:left w:val="none" w:sz="0" w:space="0" w:color="auto"/>
        <w:bottom w:val="none" w:sz="0" w:space="0" w:color="auto"/>
        <w:right w:val="none" w:sz="0" w:space="0" w:color="auto"/>
      </w:divBdr>
    </w:div>
    <w:div w:id="1326781159">
      <w:bodyDiv w:val="1"/>
      <w:marLeft w:val="0"/>
      <w:marRight w:val="0"/>
      <w:marTop w:val="0"/>
      <w:marBottom w:val="0"/>
      <w:divBdr>
        <w:top w:val="none" w:sz="0" w:space="0" w:color="auto"/>
        <w:left w:val="none" w:sz="0" w:space="0" w:color="auto"/>
        <w:bottom w:val="none" w:sz="0" w:space="0" w:color="auto"/>
        <w:right w:val="none" w:sz="0" w:space="0" w:color="auto"/>
      </w:divBdr>
    </w:div>
    <w:div w:id="1393695363">
      <w:bodyDiv w:val="1"/>
      <w:marLeft w:val="0"/>
      <w:marRight w:val="0"/>
      <w:marTop w:val="0"/>
      <w:marBottom w:val="0"/>
      <w:divBdr>
        <w:top w:val="none" w:sz="0" w:space="0" w:color="auto"/>
        <w:left w:val="none" w:sz="0" w:space="0" w:color="auto"/>
        <w:bottom w:val="none" w:sz="0" w:space="0" w:color="auto"/>
        <w:right w:val="none" w:sz="0" w:space="0" w:color="auto"/>
      </w:divBdr>
    </w:div>
    <w:div w:id="1567112028">
      <w:bodyDiv w:val="1"/>
      <w:marLeft w:val="0"/>
      <w:marRight w:val="0"/>
      <w:marTop w:val="0"/>
      <w:marBottom w:val="0"/>
      <w:divBdr>
        <w:top w:val="none" w:sz="0" w:space="0" w:color="auto"/>
        <w:left w:val="none" w:sz="0" w:space="0" w:color="auto"/>
        <w:bottom w:val="none" w:sz="0" w:space="0" w:color="auto"/>
        <w:right w:val="none" w:sz="0" w:space="0" w:color="auto"/>
      </w:divBdr>
    </w:div>
    <w:div w:id="1648045304">
      <w:bodyDiv w:val="1"/>
      <w:marLeft w:val="0"/>
      <w:marRight w:val="0"/>
      <w:marTop w:val="0"/>
      <w:marBottom w:val="0"/>
      <w:divBdr>
        <w:top w:val="none" w:sz="0" w:space="0" w:color="auto"/>
        <w:left w:val="none" w:sz="0" w:space="0" w:color="auto"/>
        <w:bottom w:val="none" w:sz="0" w:space="0" w:color="auto"/>
        <w:right w:val="none" w:sz="0" w:space="0" w:color="auto"/>
      </w:divBdr>
    </w:div>
    <w:div w:id="1902906196">
      <w:bodyDiv w:val="1"/>
      <w:marLeft w:val="0"/>
      <w:marRight w:val="0"/>
      <w:marTop w:val="0"/>
      <w:marBottom w:val="0"/>
      <w:divBdr>
        <w:top w:val="none" w:sz="0" w:space="0" w:color="auto"/>
        <w:left w:val="none" w:sz="0" w:space="0" w:color="auto"/>
        <w:bottom w:val="none" w:sz="0" w:space="0" w:color="auto"/>
        <w:right w:val="none" w:sz="0" w:space="0" w:color="auto"/>
      </w:divBdr>
      <w:divsChild>
        <w:div w:id="17245476">
          <w:marLeft w:val="0"/>
          <w:marRight w:val="0"/>
          <w:marTop w:val="0"/>
          <w:marBottom w:val="0"/>
          <w:divBdr>
            <w:top w:val="none" w:sz="0" w:space="0" w:color="auto"/>
            <w:left w:val="none" w:sz="0" w:space="0" w:color="auto"/>
            <w:bottom w:val="none" w:sz="0" w:space="0" w:color="auto"/>
            <w:right w:val="none" w:sz="0" w:space="0" w:color="auto"/>
          </w:divBdr>
          <w:divsChild>
            <w:div w:id="1224562804">
              <w:marLeft w:val="0"/>
              <w:marRight w:val="0"/>
              <w:marTop w:val="0"/>
              <w:marBottom w:val="0"/>
              <w:divBdr>
                <w:top w:val="none" w:sz="0" w:space="0" w:color="auto"/>
                <w:left w:val="none" w:sz="0" w:space="0" w:color="auto"/>
                <w:bottom w:val="none" w:sz="0" w:space="0" w:color="auto"/>
                <w:right w:val="none" w:sz="0" w:space="0" w:color="auto"/>
              </w:divBdr>
              <w:divsChild>
                <w:div w:id="275215427">
                  <w:marLeft w:val="0"/>
                  <w:marRight w:val="0"/>
                  <w:marTop w:val="0"/>
                  <w:marBottom w:val="0"/>
                  <w:divBdr>
                    <w:top w:val="none" w:sz="0" w:space="0" w:color="auto"/>
                    <w:left w:val="none" w:sz="0" w:space="0" w:color="auto"/>
                    <w:bottom w:val="none" w:sz="0" w:space="0" w:color="auto"/>
                    <w:right w:val="none" w:sz="0" w:space="0" w:color="auto"/>
                  </w:divBdr>
                  <w:divsChild>
                    <w:div w:id="363755649">
                      <w:marLeft w:val="0"/>
                      <w:marRight w:val="0"/>
                      <w:marTop w:val="0"/>
                      <w:marBottom w:val="0"/>
                      <w:divBdr>
                        <w:top w:val="none" w:sz="0" w:space="0" w:color="auto"/>
                        <w:left w:val="none" w:sz="0" w:space="0" w:color="auto"/>
                        <w:bottom w:val="none" w:sz="0" w:space="0" w:color="auto"/>
                        <w:right w:val="none" w:sz="0" w:space="0" w:color="auto"/>
                      </w:divBdr>
                      <w:divsChild>
                        <w:div w:id="947157374">
                          <w:marLeft w:val="0"/>
                          <w:marRight w:val="0"/>
                          <w:marTop w:val="0"/>
                          <w:marBottom w:val="0"/>
                          <w:divBdr>
                            <w:top w:val="none" w:sz="0" w:space="0" w:color="auto"/>
                            <w:left w:val="none" w:sz="0" w:space="0" w:color="auto"/>
                            <w:bottom w:val="none" w:sz="0" w:space="0" w:color="auto"/>
                            <w:right w:val="none" w:sz="0" w:space="0" w:color="auto"/>
                          </w:divBdr>
                          <w:divsChild>
                            <w:div w:id="477965286">
                              <w:marLeft w:val="0"/>
                              <w:marRight w:val="0"/>
                              <w:marTop w:val="0"/>
                              <w:marBottom w:val="0"/>
                              <w:divBdr>
                                <w:top w:val="none" w:sz="0" w:space="0" w:color="auto"/>
                                <w:left w:val="none" w:sz="0" w:space="0" w:color="auto"/>
                                <w:bottom w:val="none" w:sz="0" w:space="0" w:color="auto"/>
                                <w:right w:val="none" w:sz="0" w:space="0" w:color="auto"/>
                              </w:divBdr>
                              <w:divsChild>
                                <w:div w:id="728571957">
                                  <w:marLeft w:val="0"/>
                                  <w:marRight w:val="0"/>
                                  <w:marTop w:val="0"/>
                                  <w:marBottom w:val="0"/>
                                  <w:divBdr>
                                    <w:top w:val="none" w:sz="0" w:space="0" w:color="auto"/>
                                    <w:left w:val="none" w:sz="0" w:space="0" w:color="auto"/>
                                    <w:bottom w:val="none" w:sz="0" w:space="0" w:color="auto"/>
                                    <w:right w:val="none" w:sz="0" w:space="0" w:color="auto"/>
                                  </w:divBdr>
                                  <w:divsChild>
                                    <w:div w:id="1758205975">
                                      <w:marLeft w:val="0"/>
                                      <w:marRight w:val="0"/>
                                      <w:marTop w:val="0"/>
                                      <w:marBottom w:val="0"/>
                                      <w:divBdr>
                                        <w:top w:val="none" w:sz="0" w:space="0" w:color="auto"/>
                                        <w:left w:val="none" w:sz="0" w:space="0" w:color="auto"/>
                                        <w:bottom w:val="none" w:sz="0" w:space="0" w:color="auto"/>
                                        <w:right w:val="none" w:sz="0" w:space="0" w:color="auto"/>
                                      </w:divBdr>
                                      <w:divsChild>
                                        <w:div w:id="946155369">
                                          <w:marLeft w:val="0"/>
                                          <w:marRight w:val="0"/>
                                          <w:marTop w:val="0"/>
                                          <w:marBottom w:val="0"/>
                                          <w:divBdr>
                                            <w:top w:val="none" w:sz="0" w:space="0" w:color="auto"/>
                                            <w:left w:val="none" w:sz="0" w:space="0" w:color="auto"/>
                                            <w:bottom w:val="none" w:sz="0" w:space="0" w:color="auto"/>
                                            <w:right w:val="none" w:sz="0" w:space="0" w:color="auto"/>
                                          </w:divBdr>
                                          <w:divsChild>
                                            <w:div w:id="1304967687">
                                              <w:marLeft w:val="0"/>
                                              <w:marRight w:val="0"/>
                                              <w:marTop w:val="0"/>
                                              <w:marBottom w:val="0"/>
                                              <w:divBdr>
                                                <w:top w:val="none" w:sz="0" w:space="0" w:color="auto"/>
                                                <w:left w:val="none" w:sz="0" w:space="0" w:color="auto"/>
                                                <w:bottom w:val="none" w:sz="0" w:space="0" w:color="auto"/>
                                                <w:right w:val="none" w:sz="0" w:space="0" w:color="auto"/>
                                              </w:divBdr>
                                              <w:divsChild>
                                                <w:div w:id="529999510">
                                                  <w:marLeft w:val="0"/>
                                                  <w:marRight w:val="0"/>
                                                  <w:marTop w:val="0"/>
                                                  <w:marBottom w:val="0"/>
                                                  <w:divBdr>
                                                    <w:top w:val="none" w:sz="0" w:space="0" w:color="auto"/>
                                                    <w:left w:val="none" w:sz="0" w:space="0" w:color="auto"/>
                                                    <w:bottom w:val="none" w:sz="0" w:space="0" w:color="auto"/>
                                                    <w:right w:val="none" w:sz="0" w:space="0" w:color="auto"/>
                                                  </w:divBdr>
                                                  <w:divsChild>
                                                    <w:div w:id="212935406">
                                                      <w:marLeft w:val="0"/>
                                                      <w:marRight w:val="0"/>
                                                      <w:marTop w:val="0"/>
                                                      <w:marBottom w:val="0"/>
                                                      <w:divBdr>
                                                        <w:top w:val="none" w:sz="0" w:space="0" w:color="auto"/>
                                                        <w:left w:val="none" w:sz="0" w:space="0" w:color="auto"/>
                                                        <w:bottom w:val="none" w:sz="0" w:space="0" w:color="auto"/>
                                                        <w:right w:val="none" w:sz="0" w:space="0" w:color="auto"/>
                                                      </w:divBdr>
                                                      <w:divsChild>
                                                        <w:div w:id="16601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6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funding-evaluations/funding-decisions-hips_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c.europa.eu/info/publications/annual-management-and-performance-reports_b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cho/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ec.europa.eu/echo/files/funding/agreements/agreements_2016.pdf" TargetMode="External"/><Relationship Id="rId20" Type="http://schemas.openxmlformats.org/officeDocument/2006/relationships/hyperlink" Target="https://ec.europa.eu/info/publications/annual-activity-reports-2016_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uaidexplorer.ec.europa.e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ec.europa.eu/echo/about/annual_reports_en.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echo/funding-evaluations/evaluations_en"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habitat.org/wp-content/uploads/2016/05/Global-Alliance-for-Urban-Crises-Charter-for-WH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ADB8-135E-4337-A4D0-D17B51CE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3742</Words>
  <Characters>21668</Characters>
  <Application>Microsoft Office Word</Application>
  <DocSecurity>0</DocSecurity>
  <Lines>698</Lines>
  <Paragraphs>470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24940</CharactersWithSpaces>
  <SharedDoc>false</SharedDoc>
  <HLinks>
    <vt:vector size="72" baseType="variant">
      <vt:variant>
        <vt:i4>6488161</vt:i4>
      </vt:variant>
      <vt:variant>
        <vt:i4>42</vt:i4>
      </vt:variant>
      <vt:variant>
        <vt:i4>0</vt:i4>
      </vt:variant>
      <vt:variant>
        <vt:i4>5</vt:i4>
      </vt:variant>
      <vt:variant>
        <vt:lpwstr>https://euaidexplorer.ec.europa.eu/</vt:lpwstr>
      </vt:variant>
      <vt:variant>
        <vt:lpwstr/>
      </vt:variant>
      <vt:variant>
        <vt:i4>4063318</vt:i4>
      </vt:variant>
      <vt:variant>
        <vt:i4>39</vt:i4>
      </vt:variant>
      <vt:variant>
        <vt:i4>0</vt:i4>
      </vt:variant>
      <vt:variant>
        <vt:i4>5</vt:i4>
      </vt:variant>
      <vt:variant>
        <vt:lpwstr>http://ec.europa.eu/echo/funding-evaluations/evaluations_en</vt:lpwstr>
      </vt:variant>
      <vt:variant>
        <vt:lpwstr/>
      </vt:variant>
      <vt:variant>
        <vt:i4>5242909</vt:i4>
      </vt:variant>
      <vt:variant>
        <vt:i4>36</vt:i4>
      </vt:variant>
      <vt:variant>
        <vt:i4>0</vt:i4>
      </vt:variant>
      <vt:variant>
        <vt:i4>5</vt:i4>
      </vt:variant>
      <vt:variant>
        <vt:lpwstr>https://ec.europa.eu/info/node/10237</vt:lpwstr>
      </vt:variant>
      <vt:variant>
        <vt:lpwstr/>
      </vt:variant>
      <vt:variant>
        <vt:i4>1310836</vt:i4>
      </vt:variant>
      <vt:variant>
        <vt:i4>33</vt:i4>
      </vt:variant>
      <vt:variant>
        <vt:i4>0</vt:i4>
      </vt:variant>
      <vt:variant>
        <vt:i4>5</vt:i4>
      </vt:variant>
      <vt:variant>
        <vt:lpwstr>https://ec.europa.eu/info/publications/annual-activity-reports-2016_en</vt:lpwstr>
      </vt:variant>
      <vt:variant>
        <vt:lpwstr/>
      </vt:variant>
      <vt:variant>
        <vt:i4>6029319</vt:i4>
      </vt:variant>
      <vt:variant>
        <vt:i4>30</vt:i4>
      </vt:variant>
      <vt:variant>
        <vt:i4>0</vt:i4>
      </vt:variant>
      <vt:variant>
        <vt:i4>5</vt:i4>
      </vt:variant>
      <vt:variant>
        <vt:lpwstr>http://ec.europa.eu/echo/about/annual_reports_en.htm</vt:lpwstr>
      </vt:variant>
      <vt:variant>
        <vt:lpwstr/>
      </vt:variant>
      <vt:variant>
        <vt:i4>327806</vt:i4>
      </vt:variant>
      <vt:variant>
        <vt:i4>27</vt:i4>
      </vt:variant>
      <vt:variant>
        <vt:i4>0</vt:i4>
      </vt:variant>
      <vt:variant>
        <vt:i4>5</vt:i4>
      </vt:variant>
      <vt:variant>
        <vt:lpwstr>http://ec.europa.eu/echo/funding-evaluations/funding-decisions-hips_en</vt:lpwstr>
      </vt:variant>
      <vt:variant>
        <vt:lpwstr/>
      </vt:variant>
      <vt:variant>
        <vt:i4>3670132</vt:i4>
      </vt:variant>
      <vt:variant>
        <vt:i4>24</vt:i4>
      </vt:variant>
      <vt:variant>
        <vt:i4>0</vt:i4>
      </vt:variant>
      <vt:variant>
        <vt:i4>5</vt:i4>
      </vt:variant>
      <vt:variant>
        <vt:lpwstr>http://ec.europa.eu/echo/en</vt:lpwstr>
      </vt:variant>
      <vt:variant>
        <vt:lpwstr/>
      </vt:variant>
      <vt:variant>
        <vt:i4>5308475</vt:i4>
      </vt:variant>
      <vt:variant>
        <vt:i4>21</vt:i4>
      </vt:variant>
      <vt:variant>
        <vt:i4>0</vt:i4>
      </vt:variant>
      <vt:variant>
        <vt:i4>5</vt:i4>
      </vt:variant>
      <vt:variant>
        <vt:lpwstr>http://ec.europa.eu/echo/files/funding/agreements/agreements_2016.pdf</vt:lpwstr>
      </vt:variant>
      <vt:variant>
        <vt:lpwstr/>
      </vt:variant>
      <vt:variant>
        <vt:i4>1507386</vt:i4>
      </vt:variant>
      <vt:variant>
        <vt:i4>14</vt:i4>
      </vt:variant>
      <vt:variant>
        <vt:i4>0</vt:i4>
      </vt:variant>
      <vt:variant>
        <vt:i4>5</vt:i4>
      </vt:variant>
      <vt:variant>
        <vt:lpwstr/>
      </vt:variant>
      <vt:variant>
        <vt:lpwstr>_Toc484787286</vt:lpwstr>
      </vt:variant>
      <vt:variant>
        <vt:i4>1507386</vt:i4>
      </vt:variant>
      <vt:variant>
        <vt:i4>8</vt:i4>
      </vt:variant>
      <vt:variant>
        <vt:i4>0</vt:i4>
      </vt:variant>
      <vt:variant>
        <vt:i4>5</vt:i4>
      </vt:variant>
      <vt:variant>
        <vt:lpwstr/>
      </vt:variant>
      <vt:variant>
        <vt:lpwstr>_Toc484787285</vt:lpwstr>
      </vt:variant>
      <vt:variant>
        <vt:i4>1507386</vt:i4>
      </vt:variant>
      <vt:variant>
        <vt:i4>2</vt:i4>
      </vt:variant>
      <vt:variant>
        <vt:i4>0</vt:i4>
      </vt:variant>
      <vt:variant>
        <vt:i4>5</vt:i4>
      </vt:variant>
      <vt:variant>
        <vt:lpwstr/>
      </vt:variant>
      <vt:variant>
        <vt:lpwstr>_Toc484787284</vt:lpwstr>
      </vt:variant>
      <vt:variant>
        <vt:i4>6881332</vt:i4>
      </vt:variant>
      <vt:variant>
        <vt:i4>0</vt:i4>
      </vt:variant>
      <vt:variant>
        <vt:i4>0</vt:i4>
      </vt:variant>
      <vt:variant>
        <vt:i4>5</vt:i4>
      </vt:variant>
      <vt:variant>
        <vt:lpwstr>https://unhabitat.org/wp-content/uploads/2016/05/Global-Alliance-for-Urban-Crises-Charter-for-WHS-Final.pdf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2017-09-28T14:33:00Z</cp:lastPrinted>
  <dcterms:created xsi:type="dcterms:W3CDTF">2017-10-03T08:20:00Z</dcterms:created>
  <dcterms:modified xsi:type="dcterms:W3CDTF">2017-11-06T08:48:00Z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