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CCF27493-09CD-4E06-85F4-AF7897A75619" style="width:450.7pt;height:492.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  <w:r>
        <w:rPr>
          <w:noProof/>
        </w:rPr>
        <w:t>Приложения I и II се изменят, както следва: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Приложение I се изменя, както следва: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В таблицата се вмъкват по азбучен ред следните вписвания:</w:t>
      </w:r>
    </w:p>
    <w:tbl>
      <w:tblPr>
        <w:tblW w:w="0" w:type="auto"/>
        <w:tblInd w:w="9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29"/>
        <w:gridCol w:w="1751"/>
      </w:tblGrid>
      <w:tr>
        <w:tc>
          <w:tcPr>
            <w:tcW w:w="3510" w:type="dxa"/>
            <w:shd w:val="clear" w:color="auto" w:fill="auto"/>
          </w:tcPr>
          <w:p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„</w:t>
            </w:r>
            <w:r>
              <w:rPr>
                <w:noProof/>
                <w:sz w:val="22"/>
              </w:rPr>
              <w:t>BR</w:t>
            </w:r>
          </w:p>
        </w:tc>
        <w:tc>
          <w:tcPr>
            <w:tcW w:w="2529" w:type="dxa"/>
            <w:shd w:val="clear" w:color="auto" w:fill="auto"/>
          </w:tcPr>
          <w:p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Министерството на земеделието, животновъдството и продоволствието</w:t>
            </w:r>
          </w:p>
          <w:p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Esplanada dos Ministérios, bloco D</w:t>
            </w:r>
          </w:p>
          <w:p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70.043-900 Brasilia-DF</w:t>
            </w:r>
          </w:p>
        </w:tc>
        <w:tc>
          <w:tcPr>
            <w:tcW w:w="175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66/401/ЕИО</w:t>
            </w:r>
          </w:p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66/402/ЕИО“</w:t>
            </w:r>
          </w:p>
        </w:tc>
      </w:tr>
    </w:tbl>
    <w:p>
      <w:pPr>
        <w:pStyle w:val="Point1"/>
        <w:rPr>
          <w:noProof/>
        </w:rPr>
      </w:pPr>
    </w:p>
    <w:tbl>
      <w:tblPr>
        <w:tblW w:w="0" w:type="auto"/>
        <w:tblInd w:w="9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29"/>
        <w:gridCol w:w="1751"/>
      </w:tblGrid>
      <w:tr>
        <w:tc>
          <w:tcPr>
            <w:tcW w:w="3510" w:type="dxa"/>
            <w:shd w:val="clear" w:color="auto" w:fill="auto"/>
          </w:tcPr>
          <w:p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  <w:sz w:val="22"/>
              </w:rPr>
              <w:t>„MD</w:t>
            </w:r>
          </w:p>
        </w:tc>
        <w:tc>
          <w:tcPr>
            <w:tcW w:w="2529" w:type="dxa"/>
            <w:shd w:val="clear" w:color="auto" w:fill="auto"/>
          </w:tcPr>
          <w:p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Национална агенция за безопасност на храните (ANSA)</w:t>
            </w:r>
          </w:p>
          <w:p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str. Mihail Kogălniceanu 63,</w:t>
            </w:r>
          </w:p>
          <w:p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MD-2009, Chisinau</w:t>
            </w:r>
          </w:p>
        </w:tc>
        <w:tc>
          <w:tcPr>
            <w:tcW w:w="175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66/402/ЕИО</w:t>
            </w:r>
          </w:p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2002/55/ЕИО</w:t>
            </w:r>
          </w:p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2002/57/ЕИО</w:t>
            </w:r>
            <w:r>
              <w:rPr>
                <w:noProof/>
              </w:rPr>
              <w:t>“</w:t>
            </w:r>
          </w:p>
        </w:tc>
      </w:tr>
    </w:tbl>
    <w:p>
      <w:pPr>
        <w:pStyle w:val="Point1"/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бележката под линия към таблицата се вмъкват по азбучен ред следните термини: „BR — Бразилия“, „MD — Молдова“.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Приложение II се изменя, както следва: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в буква А, точка 1 петото тире се заменя със следното:</w:t>
      </w:r>
    </w:p>
    <w:p>
      <w:pPr>
        <w:pStyle w:val="Point2"/>
        <w:rPr>
          <w:noProof/>
        </w:rPr>
      </w:pPr>
      <w:r>
        <w:rPr>
          <w:noProof/>
        </w:rPr>
        <w:t>„—</w:t>
      </w:r>
      <w:r>
        <w:rPr>
          <w:noProof/>
        </w:rPr>
        <w:tab/>
        <w:t xml:space="preserve">семена от царевица и сорго, в случай на видовете </w:t>
      </w:r>
      <w:r>
        <w:rPr>
          <w:i/>
          <w:noProof/>
        </w:rPr>
        <w:t>Zea mays</w:t>
      </w:r>
      <w:r>
        <w:rPr>
          <w:noProof/>
        </w:rPr>
        <w:t xml:space="preserve"> и </w:t>
      </w:r>
      <w:r>
        <w:rPr>
          <w:i/>
          <w:noProof/>
        </w:rPr>
        <w:t>Sorghum</w:t>
      </w:r>
      <w:r>
        <w:rPr>
          <w:noProof/>
        </w:rPr>
        <w:t>, посочени в Директива 66/402/ЕИО,</w:t>
      </w:r>
    </w:p>
    <w:p>
      <w:pPr>
        <w:pStyle w:val="Tiret2"/>
        <w:numPr>
          <w:ilvl w:val="0"/>
          <w:numId w:val="9"/>
        </w:numPr>
        <w:rPr>
          <w:noProof/>
        </w:rPr>
      </w:pPr>
      <w:r>
        <w:rPr>
          <w:noProof/>
        </w:rPr>
        <w:t>зеленчукови семена, в случай на видовете, посочени в Директива 2002/55/ЕИО.“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буква Б се изменя, както следва:</w:t>
      </w:r>
    </w:p>
    <w:p>
      <w:pPr>
        <w:pStyle w:val="Point2"/>
        <w:rPr>
          <w:noProof/>
        </w:rPr>
      </w:pPr>
      <w:r>
        <w:rPr>
          <w:noProof/>
        </w:rPr>
        <w:t>i)</w:t>
      </w:r>
      <w:r>
        <w:rPr>
          <w:noProof/>
        </w:rPr>
        <w:tab/>
        <w:t>в точка 1, първа алинея петото тире се заменя със следното:</w:t>
      </w:r>
    </w:p>
    <w:p>
      <w:pPr>
        <w:pStyle w:val="Point3"/>
        <w:rPr>
          <w:noProof/>
        </w:rPr>
      </w:pPr>
      <w:r>
        <w:rPr>
          <w:noProof/>
        </w:rPr>
        <w:t>„—</w:t>
      </w:r>
      <w:r>
        <w:rPr>
          <w:noProof/>
        </w:rPr>
        <w:tab/>
        <w:t xml:space="preserve">семена от царевица и сорго, в случай на видовете </w:t>
      </w:r>
      <w:r>
        <w:rPr>
          <w:i/>
          <w:noProof/>
        </w:rPr>
        <w:t>Zea mays</w:t>
      </w:r>
      <w:r>
        <w:rPr>
          <w:noProof/>
        </w:rPr>
        <w:t xml:space="preserve"> и </w:t>
      </w:r>
      <w:r>
        <w:rPr>
          <w:i/>
          <w:noProof/>
        </w:rPr>
        <w:t>Sorghum</w:t>
      </w:r>
      <w:r>
        <w:rPr>
          <w:noProof/>
        </w:rPr>
        <w:t>, посочени в Директива 66/402/ЕИО,</w:t>
      </w:r>
    </w:p>
    <w:p>
      <w:pPr>
        <w:pStyle w:val="Tiret3"/>
        <w:numPr>
          <w:ilvl w:val="0"/>
          <w:numId w:val="10"/>
        </w:numPr>
        <w:rPr>
          <w:noProof/>
        </w:rPr>
      </w:pPr>
      <w:r>
        <w:rPr>
          <w:noProof/>
        </w:rPr>
        <w:t>зеленчукови семена, в случай на видовете, посочени в Директива 2002/55/ЕИО.“</w:t>
      </w:r>
    </w:p>
    <w:p>
      <w:pPr>
        <w:pStyle w:val="Point2"/>
        <w:rPr>
          <w:noProof/>
        </w:rPr>
      </w:pPr>
      <w:r>
        <w:rPr>
          <w:noProof/>
        </w:rPr>
        <w:t>ii)</w:t>
      </w:r>
      <w:r>
        <w:rPr>
          <w:noProof/>
        </w:rPr>
        <w:tab/>
        <w:t>в подточка 2.1 тиретата се заменят със следното:</w:t>
      </w:r>
    </w:p>
    <w:p>
      <w:pPr>
        <w:pStyle w:val="Point3"/>
        <w:rPr>
          <w:noProof/>
        </w:rPr>
      </w:pPr>
      <w:r>
        <w:rPr>
          <w:noProof/>
        </w:rPr>
        <w:t>„—</w:t>
      </w:r>
      <w:r>
        <w:rPr>
          <w:noProof/>
        </w:rPr>
        <w:tab/>
        <w:t xml:space="preserve">Директива 66/401/ЕИО, приложение ІІ, </w:t>
      </w:r>
    </w:p>
    <w:p>
      <w:pPr>
        <w:pStyle w:val="Tiret3"/>
        <w:rPr>
          <w:noProof/>
        </w:rPr>
      </w:pPr>
      <w:r>
        <w:rPr>
          <w:noProof/>
        </w:rPr>
        <w:t xml:space="preserve">Директива 66/402/ЕИО, приложение ІІ, </w:t>
      </w:r>
    </w:p>
    <w:p>
      <w:pPr>
        <w:pStyle w:val="Tiret3"/>
        <w:rPr>
          <w:noProof/>
        </w:rPr>
      </w:pPr>
      <w:r>
        <w:rPr>
          <w:noProof/>
        </w:rPr>
        <w:t xml:space="preserve">Директива 2002/54/ЕО, приложение І, буква Б, </w:t>
      </w:r>
    </w:p>
    <w:p>
      <w:pPr>
        <w:pStyle w:val="Tiret3"/>
        <w:rPr>
          <w:noProof/>
        </w:rPr>
      </w:pPr>
      <w:r>
        <w:rPr>
          <w:noProof/>
        </w:rPr>
        <w:t>Директива 2002/55/ЕИО, приложение ІІ,</w:t>
      </w:r>
    </w:p>
    <w:p>
      <w:pPr>
        <w:pStyle w:val="Tiret3"/>
        <w:rPr>
          <w:noProof/>
        </w:rPr>
      </w:pPr>
      <w:r>
        <w:rPr>
          <w:noProof/>
        </w:rPr>
        <w:lastRenderedPageBreak/>
        <w:t>Директива 2002/57/ЕИО, приложение ІІ.“</w:t>
      </w:r>
    </w:p>
    <w:p>
      <w:pPr>
        <w:pStyle w:val="Point2"/>
        <w:keepNext/>
        <w:keepLines/>
        <w:rPr>
          <w:noProof/>
        </w:rPr>
      </w:pPr>
      <w:r>
        <w:rPr>
          <w:noProof/>
        </w:rPr>
        <w:t>iii)</w:t>
      </w:r>
      <w:r>
        <w:rPr>
          <w:noProof/>
        </w:rPr>
        <w:tab/>
        <w:t>в подточка 2.2 тиретата се заменят със следното:</w:t>
      </w:r>
    </w:p>
    <w:p>
      <w:pPr>
        <w:pStyle w:val="Point3"/>
        <w:keepNext/>
        <w:keepLines/>
        <w:rPr>
          <w:noProof/>
        </w:rPr>
      </w:pPr>
      <w:r>
        <w:rPr>
          <w:noProof/>
        </w:rPr>
        <w:t>„—</w:t>
      </w:r>
      <w:r>
        <w:rPr>
          <w:noProof/>
        </w:rPr>
        <w:tab/>
        <w:t xml:space="preserve">Директива 66/401/ЕИО, приложение ІІІ, колони 3 и 4, </w:t>
      </w:r>
    </w:p>
    <w:p>
      <w:pPr>
        <w:pStyle w:val="Tiret3"/>
        <w:keepNext/>
        <w:keepLines/>
        <w:rPr>
          <w:noProof/>
        </w:rPr>
      </w:pPr>
      <w:r>
        <w:rPr>
          <w:noProof/>
        </w:rPr>
        <w:t xml:space="preserve">Директива 66/402/ЕИО, приложение ІІІ, колони 3 и 4, </w:t>
      </w:r>
    </w:p>
    <w:p>
      <w:pPr>
        <w:pStyle w:val="Tiret3"/>
        <w:rPr>
          <w:noProof/>
        </w:rPr>
      </w:pPr>
      <w:r>
        <w:rPr>
          <w:noProof/>
        </w:rPr>
        <w:t xml:space="preserve">Директива 2002/54/ЕО, приложение ІІ, втори ред, </w:t>
      </w:r>
    </w:p>
    <w:p>
      <w:pPr>
        <w:pStyle w:val="Tiret3"/>
        <w:rPr>
          <w:noProof/>
        </w:rPr>
      </w:pPr>
      <w:r>
        <w:rPr>
          <w:noProof/>
        </w:rPr>
        <w:t>Директива 2002/55/ЕО, приложение III,</w:t>
      </w:r>
    </w:p>
    <w:p>
      <w:pPr>
        <w:pStyle w:val="Tiret3"/>
        <w:rPr>
          <w:noProof/>
        </w:rPr>
      </w:pPr>
      <w:r>
        <w:rPr>
          <w:noProof/>
        </w:rPr>
        <w:t>Директива 2002/57/ЕО, приложение ІІІ, колони 3 и 4.“</w:t>
      </w:r>
    </w:p>
    <w:p>
      <w:pPr>
        <w:pStyle w:val="Point2"/>
        <w:rPr>
          <w:noProof/>
        </w:rPr>
      </w:pPr>
      <w:r>
        <w:rPr>
          <w:noProof/>
        </w:rPr>
        <w:t>iv)</w:t>
      </w:r>
      <w:r>
        <w:rPr>
          <w:noProof/>
        </w:rPr>
        <w:tab/>
        <w:t>в подточка 3.1 второто тире се заменя със следното:</w:t>
      </w:r>
    </w:p>
    <w:p>
      <w:pPr>
        <w:pStyle w:val="Point3"/>
        <w:rPr>
          <w:noProof/>
        </w:rPr>
      </w:pPr>
      <w:r>
        <w:rPr>
          <w:noProof/>
        </w:rPr>
        <w:t>„—</w:t>
      </w:r>
      <w:r>
        <w:rPr>
          <w:noProof/>
        </w:rPr>
        <w:tab/>
        <w:t>декларация, че от семената са взети проби, които са изпитани в съответствие със съществуващите в момента международни методи: „Взети са проби, които са изпитани в съответствие с правилата на ISTA за оранжев или син сертификат от ... (наименование или инициали станцията на ISTA за изпитване на семена)“,“</w:t>
      </w:r>
    </w:p>
    <w:p>
      <w:pPr>
        <w:pStyle w:val="Point2"/>
        <w:rPr>
          <w:noProof/>
        </w:rPr>
      </w:pPr>
      <w:r>
        <w:rPr>
          <w:noProof/>
        </w:rPr>
        <w:t>v)</w:t>
      </w:r>
      <w:r>
        <w:rPr>
          <w:noProof/>
        </w:rPr>
        <w:tab/>
        <w:t>параграф 4 се заменя със следното:</w:t>
      </w:r>
    </w:p>
    <w:p>
      <w:pPr>
        <w:pStyle w:val="Point3"/>
        <w:rPr>
          <w:noProof/>
        </w:rPr>
      </w:pPr>
      <w:r>
        <w:rPr>
          <w:noProof/>
        </w:rPr>
        <w:t>„4.</w:t>
      </w:r>
      <w:r>
        <w:rPr>
          <w:noProof/>
        </w:rPr>
        <w:tab/>
        <w:t>Партидите на семената се придружават от оранжев или син сертификат на ISTA, който съдържа информацията по отношение на условията в точка 2.“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727C2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B1C61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7E2E5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61A75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396F6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906E8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3040F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4C64B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0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DQCDateTime" w:val="2017-11-07 10:45:0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RRIGENDUM" w:val="&lt;UNUSED&gt;"/>
    <w:docVar w:name="LW_COVERPAGE_EXISTS" w:val="True"/>
    <w:docVar w:name="LW_COVERPAGE_GUID" w:val="CCF27493-09CD-4E06-85F4-AF7897A75619"/>
    <w:docVar w:name="LW_COVERPAGE_TYPE" w:val="1"/>
    <w:docVar w:name="LW_CROSSREFERENCE" w:val="&lt;UNUSED&gt;"/>
    <w:docVar w:name="LW_DocType" w:val="ANNEX"/>
    <w:docVar w:name="LW_EMISSION" w:val="14.11.2017"/>
    <w:docVar w:name="LW_EMISSION_ISODATE" w:val="2017-11-14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96?\u1077?\u1085?\u1080?\u1077?&lt;LWCR:NBS&gt;2003/17/\u1045?\u1054? \u1085?\u1072? \u1057?\u1098?\u1074?\u1077?\u1090?\u1072? \u1087?\u1086? \u1086?\u1090?\u1085?\u1086?\u1096?\u1077?\u1085?\u1080?\u1077? \u1085?\u1072? \u1077?\u1082?\u1074?\u1080?\u1074?\u1072?\u1083?\u1077?\u1085?\u1090?\u1085?\u1086?\u1089?\u1090?\u1090?\u1072? \u1085?\u1072? \u1087?\u1086?\u1083?\u1089?\u1082?\u1080?\u1090?\u1077? \u1080?\u1085?\u1089?\u1087?\u1077?\u1082?\u1094?\u1080?\u1080?, \u1080?\u1079?\u1074?\u1098?\u1088?\u1096?\u1074?\u1072?\u1085?\u1080? \u1074? \u1041?\u1088?\u1072?\u1079?\u1080?\u1083?\u1080?\u1103?, \u1085?\u1072? \u1082?\u1091?\u1083?\u1090?\u1091?\u1088?\u1080?\u1090?\u1077? \u1079?\u1072? \u1087?\u1088?\u1086?\u1080?\u1079?\u1074?\u1086?\u1076?\u1089?\u1090?\u1074?\u1086? \u1085?\u1072? \u1092?\u1091?\u1088?\u1072?\u1078?\u1085?\u1080? \u1089?\u1077?\u1084?\u1077?\u1085?\u1072? \u1080? \u1085?\u1072? \u1082?\u1091?\u1083?\u1090?\u1091?\u1088?\u1080?\u1090?\u1077? \u1079?\u1072? \u1087?\u1088?\u1086?\u1080?\u1079?\u1074?\u1086?\u1076?\u1089?\u1090?\u1074?\u1086? \u1085?\u1072? \u1079?\u1098?\u1088?\u1085?\u1077?\u1085?\u1086?-\u1078?\u1080?\u1090?\u1085?\u1080? \u1089?\u1077?\u1084?\u1077?\u1085?\u1072? \u1080? \u1085?\u1072? \u1077?\u1082?\u1074?\u1080?\u1074?\u1072?\u1083?\u1077?\u1085?\u1090?\u1085?\u1086?\u1089?\u1090?\u1090?\u1072? \u1085?\u1072? \u1092?\u1091?\u1088?\u1072?\u1078?\u1085?\u1080?\u1090?\u1077? \u1089?\u1077?\u1084?\u1077?\u1085?\u1072? \u1080? \u1079?\u1098?\u1088?\u1085?\u1077?\u1085?\u1086?-\u1078?\u1080?\u1090?\u1085?\u1080?\u1090?\u1077? \u1089?\u1077?\u1084?\u1077?\u1085?\u1072?, \u1087?\u1088?\u1086?\u1080?\u1079?\u1074?\u1077?\u1076?\u1077?\u1085?\u1080? \u1074? \u1041?\u1088?\u1072?\u1079?\u1080?\u1083?\u1080?\u1103?, \u1082?\u1072?\u1082?\u1090?\u1086? \u1080? \u1087?\u1086? \u1086?\u1090?\u1085?\u1086?\u1096?\u1077?\u1085?\u1080?\u1077? \u1085?\u1072? \u1077?\u1082?\u1074?\u1080?\u1074?\u1072?\u1083?\u1077?\u1085?\u1090?\u1085?\u1086?\u1089?\u1090?\u1090?\u1072? \u1085?\u1072? \u1087?\u1086?\u1083?\u1089?\u1082?\u1080?\u1090?\u1077? \u1080?\u1085?\u1089?\u1087?\u1077?\u1082?\u1094?\u1080?\u1080?, \u1080?\u1079?\u1074?\u1098?\u1088?\u1096?\u1074?\u1072?\u1085?\u1080? \u1074? \u1052?\u1086?\u1083?\u1076?\u1086?\u1074?\u1072?, \u1085?\u1072? \u1082?\u1091?\u1083?\u1090?\u1091?\u1088?\u1080?\u1090?\u1077? \u1079?\u1072? \u1087?\u1088?\u1086?\u1080?\u1079?\u1074?\u1086?\u1076?\u1089?\u1090?\u1074?\u1086? \u1085?\u1072? \u1079?\u1098?\u1088?\u1085?\u1077?\u1085?\u1086?-\u1078?\u1080?\u1090?\u1085?\u1080? \u1089?\u1077?\u1084?\u1077?\u1085?\u1072?, \u1082?\u1091?\u1083?\u1090?\u1091?\u1088?\u1080?\u1090?\u1077? \u1079?\u1072? \u1087?\u1088?\u1086?\u1080?\u1079?\u1074?\u1086?\u1076?\u1089?\u1090?\u1074?\u1086? \u1085?\u1072? \u1079?\u1077?\u1083?\u1077?\u1085?\u1095?\u1091?\u1082?\u1086?\u1074?\u1080? \u1089?\u1077?\u1084?\u1077?\u1085?\u1072? \u1080? \u1082?\u1091?\u1083?\u1090?\u1091?\u1088?\u1080?\u1090?\u1077? \u1079?\u1072? \u1087?\u1088?\u1086?\u1080?\u1079?\u1074?\u1086?\u1076?\u1089?\u1090?\u1074?\u1086? \u1085?\u1072? \u1084?\u1072?\u1089?\u1083?\u1086?\u1076?\u1072?\u1081?\u1085?\u1080? \u1080? \u1074?\u1083?\u1072?\u1082?\u1085?\u1086?\u1076?\u1072?\u1081?\u1085?\u1080? \u1089?\u1077?\u1084?\u1077?\u1085?\u1072? \u1080? \u1085?\u1072? \u1077?\u1082?\u1074?\u1080?\u1074?\u1072?\u1083?\u1077?\u1085?\u1090?\u1085?\u1086?\u1089?\u1090?\u1090?\u1072? \u1085?\u1072? \u1079?\u1098?\u1088?\u1085?\u1077?\u1085?\u1086?-\u1078?\u1080?\u1090?\u1085?\u1080?\u1090?\u1077? \u1089?\u1077?\u1084?\u1077?\u1085?\u1072?, \u1079?\u1077?\u1083?\u1077?\u1085?\u1095?\u1091?\u1082?\u1086?\u1074?\u1080?\u1090?\u1077? \u1089?\u1077?\u1084?\u1077?\u1085?\u1072? \u1080? \u1084?\u1072?\u1089?\u1083?\u1086?\u1076?\u1072?\u1081?\u1085?\u1080?\u1090?\u1077? \u1080? \u1074?\u1083?\u1072?\u1082?\u1085?\u1086?\u1076?\u1072?\u1081?\u1085?\u1080?\u1090?\u1077? \u1089?\u1077?\u1084?\u1077?\u1085?\u1072?, \u1087?\u1088?\u1086?\u1080?\u1079?\u1074?\u1077?\u1076?\u1077?\u1085?\u1080? \u1074? \u1052?\u1086?\u1083?\u1076?\u1086?\u1074?\u1072?"/>
    <w:docVar w:name="LW_OBJETACTEPRINCIPAL.CP" w:val="\u1079?\u1072? \u1080?\u1079?\u1084?\u1077?\u1085?\u1077?\u1085?\u1080?\u1077? \u1085?\u1072? \u1056?\u1077?\u1096?\u1077?\u1085?\u1080?\u1077? 2003/17/\u1045?\u1054? \u1085?\u1072? \u1057?\u1098?\u1074?\u1077?\u1090?\u1072? \u1087?\u1086? \u1086?\u1090?\u1085?\u1086?\u1096?\u1077?\u1085?\u1080?\u1077? \u1085?\u1072? \u1077?\u1082?\u1074?\u1080?\u1074?\u1072?\u1083?\u1077?\u1085?\u1090?\u1085?\u1086?\u1089?\u1090?\u1090?\u1072? \u1085?\u1072? \u1087?\u1086?\u1083?\u1089?\u1082?\u1080?\u1090?\u1077? \u1080?\u1085?\u1089?\u1087?\u1077?\u1082?\u1094?\u1080?\u1080?, \u1080?\u1079?\u1074?\u1098?\u1088?\u1096?\u1074?\u1072?\u1085?\u1080? \u1074? \u1041?\u1088?\u1072?\u1079?\u1080?\u1083?\u1080?\u1103?, \u1085?\u1072? \u1082?\u1091?\u1083?\u1090?\u1091?\u1088?\u1080?\u1090?\u1077? \u1079?\u1072? \u1087?\u1088?\u1086?\u1080?\u1079?\u1074?\u1086?\u1076?\u1089?\u1090?\u1074?\u1086? \u1085?\u1072? \u1092?\u1091?\u1088?\u1072?\u1078?\u1085?\u1080? \u1089?\u1077?\u1084?\u1077?\u1085?\u1072? \u1080? \u1085?\u1072? \u1082?\u1091?\u1083?\u1090?\u1091?\u1088?\u1080?\u1090?\u1077? \u1079?\u1072? \u1087?\u1088?\u1086?\u1080?\u1079?\u1074?\u1086?\u1076?\u1089?\u1090?\u1074?\u1086? \u1085?\u1072? \u1079?\u1098?\u1088?\u1085?\u1077?\u1085?\u1086?-\u1078?\u1080?\u1090?\u1085?\u1080? \u1089?\u1077?\u1084?\u1077?\u1085?\u1072? \u1080? \u1085?\u1072? \u1077?\u1082?\u1074?\u1080?\u1074?\u1072?\u1083?\u1077?\u1085?\u1090?\u1085?\u1086?\u1089?\u1090?\u1090?\u1072? \u1085?\u1072? \u1092?\u1091?\u1088?\u1072?\u1078?\u1085?\u1080?\u1090?\u1077? \u1089?\u1077?\u1084?\u1077?\u1085?\u1072? \u1080? \u1079?\u1098?\u1088?\u1085?\u1077?\u1085?\u1086?-\u1078?\u1080?\u1090?\u1085?\u1080?\u1090?\u1077? \u1089?\u1077?\u1084?\u1077?\u1085?\u1072?, \u1087?\u1088?\u1086?\u1080?\u1079?\u1074?\u1077?\u1076?\u1077?\u1085?\u1080? \u1074? \u1041?\u1088?\u1072?\u1079?\u1080?\u1083?\u1080?\u1103?, \u1082?\u1072?\u1082?\u1090?\u1086? \u1080? \u1087?\u1086? \u1086?\u1090?\u1085?\u1086?\u1096?\u1077?\u1085?\u1080?\u1077? \u1085?\u1072? \u1077?\u1082?\u1074?\u1080?\u1074?\u1072?\u1083?\u1077?\u1085?\u1090?\u1085?\u1086?\u1089?\u1090?\u1090?\u1072? \u1085?\u1072? \u1087?\u1086?\u1083?\u1089?\u1082?\u1080?\u1090?\u1077? \u1080?\u1085?\u1089?\u1087?\u1077?\u1082?\u1094?\u1080?\u1080?, \u1080?\u1079?\u1074?\u1098?\u1088?\u1096?\u1074?\u1072?\u1085?\u1080? \u1074? \u1052?\u1086?\u1083?\u1076?\u1086?\u1074?\u1072?, \u1085?\u1072? \u1082?\u1091?\u1083?\u1090?\u1091?\u1088?\u1080?\u1090?\u1077? \u1079?\u1072? \u1087?\u1088?\u1086?\u1080?\u1079?\u1074?\u1086?\u1076?\u1089?\u1090?\u1074?\u1086? \u1085?\u1072? \u1079?\u1098?\u1088?\u1085?\u1077?\u1085?\u1086?-\u1078?\u1080?\u1090?\u1085?\u1080? \u1089?\u1077?\u1084?\u1077?\u1085?\u1072?, \u1082?\u1091?\u1083?\u1090?\u1091?\u1088?\u1080?\u1090?\u1077? \u1079?\u1072? \u1087?\u1088?\u1086?\u1080?\u1079?\u1074?\u1086?\u1076?\u1089?\u1090?\u1074?\u1086? \u1085?\u1072? \u1079?\u1077?\u1083?\u1077?\u1085?\u1095?\u1091?\u1082?\u1086?\u1074?\u1080? \u1089?\u1077?\u1084?\u1077?\u1085?\u1072? \u1080? \u1082?\u1091?\u1083?\u1090?\u1091?\u1088?\u1080?\u1090?\u1077? \u1079?\u1072? \u1087?\u1088?\u1086?\u1080?\u1079?\u1074?\u1086?\u1076?\u1089?\u1090?\u1074?\u1086? \u1085?\u1072? \u1084?\u1072?\u1089?\u1083?\u1086?\u1076?\u1072?\u1081?\u1085?\u1080? \u1080? \u1074?\u1083?\u1072?\u1082?\u1085?\u1086?\u1076?\u1072?\u1081?\u1085?\u1080? \u1089?\u1077?\u1084?\u1077?\u1085?\u1072? \u1080? \u1085?\u1072? \u1077?\u1082?\u1074?\u1080?\u1074?\u1072?\u1083?\u1077?\u1085?\u1090?\u1085?\u1086?\u1089?\u1090?\u1090?\u1072? \u1085?\u1072? \u1079?\u1098?\u1088?\u1085?\u1077?\u1085?\u1086?-\u1078?\u1080?\u1090?\u1085?\u1080?\u1090?\u1077? \u1089?\u1077?\u1084?\u1077?\u1085?\u1072?, \u1079?\u1077?\u1083?\u1077?\u1085?\u1095?\u1091?\u1082?\u1086?\u1074?\u1080?\u1090?\u1077? \u1089?\u1077?\u1084?\u1077?\u1085?\u1072? \u1080? \u1084?\u1072?\u1089?\u1083?\u1086?\u1076?\u1072?\u1081?\u1085?\u1080?\u1090?\u1077? \u1080? \u1074?\u1083?\u1072?\u1082?\u1085?\u1086?\u1076?\u1072?\u1081?\u1085?\u1080?\u1090?\u1077? \u1089?\u1077?\u1084?\u1077?\u1085?\u1072?, \u1087?\u1088?\u1086?\u1080?\u1079?\u1074?\u1077?\u1076?\u1077?\u1085?\u1080? \u1074? \u1052?\u1086?\u1083?\u1076?\u1086?\u1074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7) 6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Theme="minorHAnsi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rFonts w:eastAsiaTheme="minorHAns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335</Words>
  <Characters>1905</Characters>
  <Application>Microsoft Office Word</Application>
  <DocSecurity>0</DocSecurity>
  <Lines>65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SANTE/10724/2017-EN ANNEX</vt:lpstr>
    </vt:vector>
  </TitlesOfParts>
  <Company>European Commission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SANTE/10724/2017-EN ANNEX</dc:title>
  <dc:subject>ANNEX</dc:subject>
  <dc:creator>BOSSCHAERT - uyttersprot</dc:creator>
  <cp:keywords>10724</cp:keywords>
  <dc:description>Outlook 27.9.2017</dc:description>
  <cp:lastModifiedBy>DIGIT/A3</cp:lastModifiedBy>
  <cp:revision>8</cp:revision>
  <dcterms:created xsi:type="dcterms:W3CDTF">2017-10-23T10:23:00Z</dcterms:created>
  <dcterms:modified xsi:type="dcterms:W3CDTF">2017-11-07T09:45:00Z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5.8.4, Build 20150407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DQCStatus">
    <vt:lpwstr>Green (DQC version 03)</vt:lpwstr>
  </property>
  <property fmtid="{D5CDD505-2E9C-101B-9397-08002B2CF9AE}" pid="12" name="Level of sensitivity">
    <vt:lpwstr>Standard treatment</vt:lpwstr>
  </property>
</Properties>
</file>