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5D" w:rsidRDefault="003515B0" w:rsidP="003515B0">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0791C72-5F52-4472-9E61-E30343BA2CAB" style="width:450.75pt;height:321pt">
            <v:imagedata r:id="rId9" o:title=""/>
          </v:shape>
        </w:pict>
      </w:r>
    </w:p>
    <w:bookmarkEnd w:id="0"/>
    <w:p w:rsidR="00F02F5D" w:rsidRDefault="00F02F5D">
      <w:pPr>
        <w:spacing w:after="120" w:line="240" w:lineRule="auto"/>
        <w:jc w:val="both"/>
        <w:rPr>
          <w:noProof/>
          <w:lang w:val="fr-BE"/>
        </w:rPr>
        <w:sectPr w:rsidR="00F02F5D" w:rsidSect="003515B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F02F5D" w:rsidRDefault="007C4C0E">
      <w:pPr>
        <w:spacing w:before="120" w:after="240" w:line="240" w:lineRule="auto"/>
        <w:jc w:val="both"/>
        <w:rPr>
          <w:rFonts w:ascii="Times New Roman" w:hAnsi="Times New Roman"/>
          <w:b/>
          <w:noProof/>
          <w:sz w:val="24"/>
          <w:szCs w:val="24"/>
        </w:rPr>
      </w:pPr>
      <w:r>
        <w:rPr>
          <w:rFonts w:ascii="Times New Roman" w:hAnsi="Times New Roman"/>
          <w:b/>
          <w:noProof/>
          <w:sz w:val="24"/>
          <w:szCs w:val="24"/>
        </w:rPr>
        <w:lastRenderedPageBreak/>
        <w:t>1.</w:t>
      </w:r>
      <w:r>
        <w:rPr>
          <w:rFonts w:ascii="Times New Roman" w:hAnsi="Times New Roman"/>
          <w:b/>
          <w:noProof/>
          <w:sz w:val="24"/>
          <w:szCs w:val="24"/>
        </w:rPr>
        <w:tab/>
        <w:t xml:space="preserve">INTRODUCTION </w:t>
      </w:r>
    </w:p>
    <w:p w:rsidR="00F02F5D" w:rsidRDefault="007C4C0E">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The Cooperation and Verification Mechanism (CVM) was set up at the accession of Romania to the European Union in 2007</w:t>
      </w:r>
      <w:r>
        <w:rPr>
          <w:rFonts w:ascii="Times New Roman" w:hAnsi="Times New Roman"/>
          <w:noProof/>
          <w:sz w:val="24"/>
          <w:szCs w:val="24"/>
          <w:vertAlign w:val="superscript"/>
        </w:rPr>
        <w:footnoteReference w:id="1"/>
      </w:r>
      <w:r>
        <w:rPr>
          <w:rFonts w:ascii="Times New Roman" w:hAnsi="Times New Roman"/>
          <w:noProof/>
          <w:sz w:val="24"/>
          <w:szCs w:val="24"/>
          <w:vertAlign w:val="superscript"/>
        </w:rPr>
        <w:t xml:space="preserve"> </w:t>
      </w:r>
      <w:r>
        <w:rPr>
          <w:rFonts w:ascii="Times New Roman" w:hAnsi="Times New Roman"/>
          <w:noProof/>
          <w:sz w:val="24"/>
          <w:szCs w:val="24"/>
          <w:lang w:eastAsia="en-GB"/>
        </w:rPr>
        <w:t xml:space="preserve">to address </w:t>
      </w:r>
      <w:r>
        <w:rPr>
          <w:rFonts w:ascii="Times New Roman" w:hAnsi="Times New Roman"/>
          <w:noProof/>
          <w:sz w:val="24"/>
          <w:szCs w:val="24"/>
          <w:lang w:eastAsia="en-GB"/>
        </w:rPr>
        <w:t>shortcomings in judicial reform and the fight against corruption. Since then, CVM reports have sought to help focus the efforts of the Romanian authorities through specific recommendations, and have charted the progress made. As underlined by the Council</w:t>
      </w:r>
      <w:r>
        <w:rPr>
          <w:rStyle w:val="FootnoteReference"/>
          <w:rFonts w:ascii="Times New Roman" w:hAnsi="Times New Roman"/>
          <w:noProof/>
          <w:sz w:val="24"/>
          <w:szCs w:val="24"/>
          <w:lang w:eastAsia="en-GB"/>
        </w:rPr>
        <w:footnoteReference w:id="2"/>
      </w:r>
      <w:r>
        <w:rPr>
          <w:rFonts w:ascii="Times New Roman" w:hAnsi="Times New Roman"/>
          <w:noProof/>
          <w:sz w:val="24"/>
          <w:szCs w:val="24"/>
          <w:lang w:eastAsia="en-GB"/>
        </w:rPr>
        <w:t>,</w:t>
      </w:r>
      <w:r>
        <w:rPr>
          <w:rFonts w:ascii="Times New Roman" w:hAnsi="Times New Roman"/>
          <w:noProof/>
          <w:sz w:val="24"/>
          <w:szCs w:val="24"/>
          <w:lang w:eastAsia="en-GB"/>
        </w:rPr>
        <w:t xml:space="preserve"> the CVM will end when all four benchmarks applying to Romania are satisfactorily met.</w:t>
      </w:r>
    </w:p>
    <w:p w:rsidR="00F02F5D" w:rsidRDefault="007C4C0E">
      <w:pPr>
        <w:autoSpaceDE w:val="0"/>
        <w:autoSpaceDN w:val="0"/>
        <w:adjustRightInd w:val="0"/>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 the January 2017 CVM report,</w:t>
      </w:r>
      <w:r>
        <w:rPr>
          <w:rStyle w:val="FootnoteReference"/>
          <w:rFonts w:ascii="Times New Roman" w:hAnsi="Times New Roman"/>
          <w:noProof/>
          <w:sz w:val="24"/>
          <w:szCs w:val="24"/>
          <w:lang w:eastAsia="en-GB"/>
        </w:rPr>
        <w:footnoteReference w:id="3"/>
      </w:r>
      <w:r>
        <w:rPr>
          <w:rFonts w:ascii="Times New Roman" w:hAnsi="Times New Roman"/>
          <w:noProof/>
          <w:sz w:val="24"/>
          <w:szCs w:val="24"/>
          <w:lang w:eastAsia="en-GB"/>
        </w:rPr>
        <w:t xml:space="preserve"> the Commission took stock with an overview of the achievements, the challenges outstanding, and set out the key remaining steps needed t</w:t>
      </w:r>
      <w:r>
        <w:rPr>
          <w:rFonts w:ascii="Times New Roman" w:hAnsi="Times New Roman"/>
          <w:noProof/>
          <w:sz w:val="24"/>
          <w:szCs w:val="24"/>
          <w:lang w:eastAsia="en-GB"/>
        </w:rPr>
        <w:t>o achieve the CVM's objectives. To this end, the Commission made twelve key recommendations that if followed up will lead to the conclusion of the CVM process. The report highlighted that the speed of the process would depend on how quickly Romania will be</w:t>
      </w:r>
      <w:r>
        <w:rPr>
          <w:rFonts w:ascii="Times New Roman" w:hAnsi="Times New Roman"/>
          <w:noProof/>
          <w:sz w:val="24"/>
          <w:szCs w:val="24"/>
          <w:lang w:eastAsia="en-GB"/>
        </w:rPr>
        <w:t xml:space="preserve"> able to fulfil the recommendations in an irreversible way and also on avoiding negative steps which call into question the progress made in past 10 years.</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Therefore, at this stage of the CVM process, this report presents the progress made in following up </w:t>
      </w:r>
      <w:r>
        <w:rPr>
          <w:rFonts w:ascii="Times New Roman" w:hAnsi="Times New Roman"/>
          <w:noProof/>
          <w:sz w:val="24"/>
          <w:szCs w:val="24"/>
        </w:rPr>
        <w:t>the recommendations set out in the January 2017 report. As in previous years, this report is the result of a careful process of analysis by the Commission, drawing on close cooperation with Romanian institutions, as well as the input of civil society and o</w:t>
      </w:r>
      <w:r>
        <w:rPr>
          <w:rFonts w:ascii="Times New Roman" w:hAnsi="Times New Roman"/>
          <w:noProof/>
          <w:sz w:val="24"/>
          <w:szCs w:val="24"/>
        </w:rPr>
        <w:t>ther stakeholders, including other Member States.</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lang w:eastAsia="en-GB"/>
        </w:rPr>
        <w:t>In his September 2017 State of the Union address, President Juncker emphasised the importance of the rule of law and of the independence of the judiciary:</w:t>
      </w:r>
      <w:r>
        <w:rPr>
          <w:rStyle w:val="FootnoteReference"/>
          <w:rFonts w:ascii="Times New Roman" w:hAnsi="Times New Roman"/>
          <w:noProof/>
          <w:sz w:val="24"/>
          <w:szCs w:val="24"/>
          <w:lang w:eastAsia="en-GB"/>
        </w:rPr>
        <w:footnoteReference w:id="4"/>
      </w:r>
      <w:r>
        <w:rPr>
          <w:rFonts w:ascii="Times New Roman" w:hAnsi="Times New Roman"/>
          <w:noProof/>
        </w:rPr>
        <w:t xml:space="preserve"> </w:t>
      </w:r>
      <w:r>
        <w:rPr>
          <w:rFonts w:ascii="Times New Roman" w:hAnsi="Times New Roman"/>
          <w:noProof/>
          <w:sz w:val="24"/>
          <w:szCs w:val="24"/>
        </w:rPr>
        <w:t xml:space="preserve">an imperative valid for all EU Member States, not </w:t>
      </w:r>
      <w:r>
        <w:rPr>
          <w:rFonts w:ascii="Times New Roman" w:hAnsi="Times New Roman"/>
          <w:noProof/>
          <w:sz w:val="24"/>
          <w:szCs w:val="24"/>
        </w:rPr>
        <w:t>just those involved in the CVM. This underlines the importance of avoiding a climate of confrontation between the different branches of the state with damaging consequences for judicial independence, a problem which was noted in the January 2017 report and</w:t>
      </w:r>
      <w:r>
        <w:rPr>
          <w:rFonts w:ascii="Times New Roman" w:hAnsi="Times New Roman"/>
          <w:noProof/>
          <w:sz w:val="24"/>
          <w:szCs w:val="24"/>
        </w:rPr>
        <w:t xml:space="preserve"> which has remained during the period of reference of the present report.</w:t>
      </w:r>
    </w:p>
    <w:p w:rsidR="00F02F5D" w:rsidRDefault="007C4C0E">
      <w:pPr>
        <w:spacing w:before="120" w:after="120" w:line="240" w:lineRule="auto"/>
        <w:jc w:val="both"/>
        <w:rPr>
          <w:rFonts w:ascii="Times New Roman" w:hAnsi="Times New Roman"/>
          <w:noProof/>
          <w:sz w:val="24"/>
          <w:szCs w:val="24"/>
          <w:lang w:eastAsia="en-GB"/>
        </w:rPr>
      </w:pPr>
      <w:r>
        <w:rPr>
          <w:rFonts w:ascii="Times New Roman" w:hAnsi="Times New Roman"/>
          <w:noProof/>
          <w:sz w:val="24"/>
          <w:szCs w:val="24"/>
        </w:rPr>
        <w:t xml:space="preserve">Based on its analysis of progress in Romania over the entire CVM process since 2007 and on progress made since January 2017 report, the Commission remains of the opinion that with </w:t>
      </w:r>
      <w:r>
        <w:rPr>
          <w:rFonts w:ascii="Times New Roman" w:hAnsi="Times New Roman"/>
          <w:noProof/>
          <w:sz w:val="24"/>
          <w:szCs w:val="24"/>
        </w:rPr>
        <w:t>loyal cooperation between State institutions, a resolute political steer holding firm to progress already achieved and respect for judicial independence, Romania will be able to fulfil the remaining outstanding CVM recommendations in a near future.</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Com</w:t>
      </w:r>
      <w:r>
        <w:rPr>
          <w:rFonts w:ascii="Times New Roman" w:hAnsi="Times New Roman"/>
          <w:noProof/>
          <w:sz w:val="24"/>
          <w:szCs w:val="24"/>
        </w:rPr>
        <w:t xml:space="preserve">mission intends to assess progress towards the end of 2018, and stands ready to provide further assistance to help Romania meet the outstanding recommendations with a view to reinforce the irreversibility of progress and therefore bring the mechanism to a </w:t>
      </w:r>
      <w:r>
        <w:rPr>
          <w:rFonts w:ascii="Times New Roman" w:hAnsi="Times New Roman"/>
          <w:noProof/>
          <w:sz w:val="24"/>
          <w:szCs w:val="24"/>
        </w:rPr>
        <w:t>conclusion.</w:t>
      </w:r>
    </w:p>
    <w:p w:rsidR="00F02F5D" w:rsidRDefault="007C4C0E">
      <w:pPr>
        <w:keepNext/>
        <w:spacing w:before="360" w:after="240" w:line="240" w:lineRule="auto"/>
        <w:ind w:left="567" w:hanging="567"/>
        <w:jc w:val="both"/>
        <w:rPr>
          <w:rFonts w:ascii="Times New Roman" w:hAnsi="Times New Roman"/>
          <w:b/>
          <w:noProof/>
          <w:sz w:val="24"/>
          <w:szCs w:val="24"/>
        </w:rPr>
      </w:pPr>
      <w:r>
        <w:rPr>
          <w:rFonts w:ascii="Times New Roman" w:hAnsi="Times New Roman"/>
          <w:b/>
          <w:noProof/>
          <w:sz w:val="24"/>
          <w:szCs w:val="24"/>
        </w:rPr>
        <w:t xml:space="preserve">2. </w:t>
      </w:r>
      <w:r>
        <w:rPr>
          <w:rFonts w:ascii="Times New Roman" w:hAnsi="Times New Roman"/>
          <w:b/>
          <w:noProof/>
          <w:sz w:val="24"/>
          <w:szCs w:val="24"/>
        </w:rPr>
        <w:tab/>
        <w:t>GENERAL SITUATION</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In the January 2017 report, the ten years' perspective showed that Romania had made major progress towards CVM benchmarks. A number of key institutions and much important legislation had been put in place. The reform of th</w:t>
      </w:r>
      <w:r>
        <w:rPr>
          <w:rFonts w:ascii="Times New Roman" w:hAnsi="Times New Roman"/>
          <w:noProof/>
          <w:sz w:val="24"/>
          <w:szCs w:val="24"/>
        </w:rPr>
        <w:t xml:space="preserve">e criminal and civil codes was close to finalisalisation. The report confirmed that the Romanian judicial system had profoundly </w:t>
      </w:r>
      <w:r>
        <w:rPr>
          <w:rFonts w:ascii="Times New Roman" w:hAnsi="Times New Roman"/>
          <w:noProof/>
          <w:sz w:val="24"/>
          <w:szCs w:val="24"/>
        </w:rPr>
        <w:lastRenderedPageBreak/>
        <w:t>reformed itself and that the judiciary had repeatedly demonstrated its professionalism, independence and accountability. A numbe</w:t>
      </w:r>
      <w:r>
        <w:rPr>
          <w:rFonts w:ascii="Times New Roman" w:hAnsi="Times New Roman"/>
          <w:noProof/>
          <w:sz w:val="24"/>
          <w:szCs w:val="24"/>
        </w:rPr>
        <w:t>r of internal safeguards against abrupt reversals of progress had also been noted. The twelve key recommendations from the January 2017 report were set out to address the remaining identified shortcomings. Most of them focus on the responsibility and accou</w:t>
      </w:r>
      <w:r>
        <w:rPr>
          <w:rFonts w:ascii="Times New Roman" w:hAnsi="Times New Roman"/>
          <w:noProof/>
          <w:sz w:val="24"/>
          <w:szCs w:val="24"/>
        </w:rPr>
        <w:t>ntability required from the Romanian authorities and the internal safeguards needed to ensure the irreversibility of the results.</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Romanian Government expressed its appreciation of this approach and repeatedly affirmed its commitment to fulfil the CVM r</w:t>
      </w:r>
      <w:r>
        <w:rPr>
          <w:rFonts w:ascii="Times New Roman" w:hAnsi="Times New Roman"/>
          <w:noProof/>
          <w:sz w:val="24"/>
          <w:szCs w:val="24"/>
        </w:rPr>
        <w:t xml:space="preserve">ecommendations. In Parliament, both the parliamentary majority and the opposition also showed a willingness to have a constructive dialogue, and responded positively to certain recommendations.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However, despite the commitment of the Government to seek to </w:t>
      </w:r>
      <w:r>
        <w:rPr>
          <w:rFonts w:ascii="Times New Roman" w:hAnsi="Times New Roman"/>
          <w:noProof/>
          <w:sz w:val="24"/>
          <w:szCs w:val="24"/>
        </w:rPr>
        <w:t>close the CVM as soon as possible, progress in addressing the January 2017 CVM recommendations has been  affected by the political situation. Within a nine months period since the January 2017 report, Romania has seen two governments, while growing tension</w:t>
      </w:r>
      <w:r>
        <w:rPr>
          <w:rFonts w:ascii="Times New Roman" w:hAnsi="Times New Roman"/>
          <w:noProof/>
          <w:sz w:val="24"/>
          <w:szCs w:val="24"/>
        </w:rPr>
        <w:t>s between State powers (Parliament, Government and Judiciary) made the cooperation between them increasingly difficult.</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Furthermore, the positive progress and the continued good results of the judicial institutions in the fight against corruption were larg</w:t>
      </w:r>
      <w:r>
        <w:rPr>
          <w:rFonts w:ascii="Times New Roman" w:hAnsi="Times New Roman"/>
          <w:noProof/>
          <w:sz w:val="24"/>
          <w:szCs w:val="24"/>
        </w:rPr>
        <w:t xml:space="preserve">ely questioned by events, such as in January </w:t>
      </w:r>
      <w:r>
        <w:rPr>
          <w:rFonts w:ascii="Times New Roman" w:hAnsi="Times New Roman"/>
          <w:noProof/>
          <w:sz w:val="24"/>
          <w:szCs w:val="24"/>
          <w:lang w:eastAsia="en-GB"/>
        </w:rPr>
        <w:t>2017 the adoption by the previous Government of a Government Emergency Ordinance to de-criminalise certain corruption offences, such as abuse of office and the proposal for a pardon law.</w:t>
      </w:r>
      <w:r>
        <w:rPr>
          <w:rStyle w:val="FootnoteReference"/>
          <w:rFonts w:ascii="Times New Roman" w:hAnsi="Times New Roman"/>
          <w:noProof/>
          <w:sz w:val="24"/>
          <w:szCs w:val="24"/>
          <w:lang w:eastAsia="en-GB"/>
        </w:rPr>
        <w:footnoteReference w:id="5"/>
      </w:r>
      <w:r>
        <w:rPr>
          <w:rFonts w:ascii="Times New Roman" w:hAnsi="Times New Roman"/>
          <w:noProof/>
          <w:sz w:val="24"/>
          <w:szCs w:val="24"/>
          <w:lang w:eastAsia="en-GB"/>
        </w:rPr>
        <w:t xml:space="preserve"> </w:t>
      </w:r>
      <w:r>
        <w:rPr>
          <w:rFonts w:ascii="Times New Roman" w:hAnsi="Times New Roman"/>
          <w:noProof/>
          <w:sz w:val="24"/>
          <w:szCs w:val="24"/>
        </w:rPr>
        <w:t>Widespread protests thr</w:t>
      </w:r>
      <w:r>
        <w:rPr>
          <w:rFonts w:ascii="Times New Roman" w:hAnsi="Times New Roman"/>
          <w:noProof/>
          <w:sz w:val="24"/>
          <w:szCs w:val="24"/>
        </w:rPr>
        <w:t xml:space="preserve">oughout Romania contested these measures. Even though the Emergency Ordinance was abrogated by the Government and also repealed by the Parliament, the events left a legacy of public doubts.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A controversy also emerged with the discussion of proposed revisi</w:t>
      </w:r>
      <w:r>
        <w:rPr>
          <w:rFonts w:ascii="Times New Roman" w:hAnsi="Times New Roman"/>
          <w:noProof/>
          <w:sz w:val="24"/>
          <w:szCs w:val="24"/>
        </w:rPr>
        <w:t xml:space="preserve">ons to the Justice laws since the end of August. When consulted, the </w:t>
      </w:r>
      <w:r>
        <w:rPr>
          <w:rFonts w:ascii="Times New Roman" w:eastAsiaTheme="minorHAnsi" w:hAnsi="Times New Roman"/>
          <w:noProof/>
          <w:sz w:val="24"/>
          <w:szCs w:val="24"/>
        </w:rPr>
        <w:t>Superior Council of the Magistracy</w:t>
      </w:r>
      <w:r>
        <w:rPr>
          <w:rFonts w:ascii="Times New Roman" w:hAnsi="Times New Roman"/>
          <w:noProof/>
          <w:sz w:val="24"/>
          <w:szCs w:val="24"/>
        </w:rPr>
        <w:t xml:space="preserve"> has twice rejected drafts, noting issues like judicial independence.</w:t>
      </w:r>
      <w:r>
        <w:rPr>
          <w:rStyle w:val="FootnoteReference"/>
          <w:rFonts w:ascii="Times New Roman" w:hAnsi="Times New Roman"/>
          <w:noProof/>
          <w:sz w:val="24"/>
          <w:szCs w:val="24"/>
        </w:rPr>
        <w:footnoteReference w:id="6"/>
      </w:r>
      <w:r>
        <w:rPr>
          <w:rFonts w:ascii="Times New Roman" w:hAnsi="Times New Roman"/>
          <w:noProof/>
          <w:sz w:val="24"/>
          <w:szCs w:val="24"/>
        </w:rPr>
        <w:t xml:space="preserve"> Concerns have also been raised by the President of Romania and in civil society. T</w:t>
      </w:r>
      <w:r>
        <w:rPr>
          <w:rFonts w:ascii="Times New Roman" w:hAnsi="Times New Roman"/>
          <w:noProof/>
          <w:sz w:val="24"/>
          <w:szCs w:val="24"/>
        </w:rPr>
        <w:t xml:space="preserve">here was also a petition issued demanding that the opinion of the Superior Council be respected, signed by a majority of Romanian magistrates. The three Justice laws, dating back to 2004, regulate the status of judges and prosecutors, and the organisation </w:t>
      </w:r>
      <w:r>
        <w:rPr>
          <w:rFonts w:ascii="Times New Roman" w:hAnsi="Times New Roman"/>
          <w:noProof/>
          <w:sz w:val="24"/>
          <w:szCs w:val="24"/>
        </w:rPr>
        <w:t>and functioning of the courts, prosecution offices and the Superior Council itself. They have a direct impact on judicial independence and the justice system more broadly, and the laws as they stand were an important element in the positive evaluation by t</w:t>
      </w:r>
      <w:r>
        <w:rPr>
          <w:rFonts w:ascii="Times New Roman" w:hAnsi="Times New Roman"/>
          <w:noProof/>
          <w:sz w:val="24"/>
          <w:szCs w:val="24"/>
        </w:rPr>
        <w:t>he Commission last January. Some of the proposed changes covered issues like the role of the Judicial Inspection and the personal responsibility of magistrates, as well as the appointment of senior prosecutors: issues which touch on judicial independence a</w:t>
      </w:r>
      <w:r>
        <w:rPr>
          <w:rFonts w:ascii="Times New Roman" w:hAnsi="Times New Roman"/>
          <w:noProof/>
          <w:sz w:val="24"/>
          <w:szCs w:val="24"/>
        </w:rPr>
        <w:t xml:space="preserve">nd where changes raised questions about whether the January 2017 report assessment with regard to progress on the independence of the judicial system would have to be reconsidered. The strong negative reaction from the judiciary and parts of civil society </w:t>
      </w:r>
      <w:r>
        <w:rPr>
          <w:rFonts w:ascii="Times New Roman" w:hAnsi="Times New Roman"/>
          <w:noProof/>
          <w:sz w:val="24"/>
          <w:szCs w:val="24"/>
        </w:rPr>
        <w:t>focused heavily on the issue of judicial independence.</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capacity of the Government and the Parliament to ensure an open, transparent and constructive legislative process on the justice laws will be crucial. In general, a process in which the judicial in</w:t>
      </w:r>
      <w:r>
        <w:rPr>
          <w:rFonts w:ascii="Times New Roman" w:hAnsi="Times New Roman"/>
          <w:noProof/>
          <w:sz w:val="24"/>
          <w:szCs w:val="24"/>
        </w:rPr>
        <w:t xml:space="preserve">dependence and the opinion of the judiciary is valued and given due </w:t>
      </w:r>
      <w:r>
        <w:rPr>
          <w:rFonts w:ascii="Times New Roman" w:hAnsi="Times New Roman"/>
          <w:noProof/>
          <w:sz w:val="24"/>
          <w:szCs w:val="24"/>
        </w:rPr>
        <w:lastRenderedPageBreak/>
        <w:t>account,</w:t>
      </w:r>
      <w:r>
        <w:rPr>
          <w:rStyle w:val="FootnoteReference"/>
          <w:rFonts w:ascii="Times New Roman" w:hAnsi="Times New Roman"/>
          <w:noProof/>
          <w:sz w:val="24"/>
          <w:szCs w:val="24"/>
        </w:rPr>
        <w:footnoteReference w:id="7"/>
      </w:r>
      <w:r>
        <w:rPr>
          <w:rFonts w:ascii="Times New Roman" w:hAnsi="Times New Roman"/>
          <w:noProof/>
          <w:sz w:val="24"/>
          <w:szCs w:val="24"/>
        </w:rPr>
        <w:t xml:space="preserve"> as well as drawing on the opinion of the Venice Commission, is a prerequisite for sustainability of reform and is an important element in fulfilling the CVM benchmarks.</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Criticism</w:t>
      </w:r>
      <w:r>
        <w:rPr>
          <w:rFonts w:ascii="Times New Roman" w:hAnsi="Times New Roman"/>
          <w:noProof/>
          <w:sz w:val="24"/>
          <w:szCs w:val="24"/>
        </w:rPr>
        <w:t xml:space="preserve"> against the judiciary and judicial decisions remains a problematic feature in the public debate.</w:t>
      </w:r>
      <w:r>
        <w:rPr>
          <w:rStyle w:val="FootnoteReference"/>
          <w:rFonts w:ascii="Times New Roman" w:hAnsi="Times New Roman"/>
          <w:noProof/>
          <w:sz w:val="24"/>
          <w:szCs w:val="24"/>
        </w:rPr>
        <w:footnoteReference w:id="8"/>
      </w:r>
      <w:r>
        <w:rPr>
          <w:rFonts w:ascii="Times New Roman" w:hAnsi="Times New Roman"/>
          <w:noProof/>
          <w:sz w:val="24"/>
          <w:szCs w:val="24"/>
        </w:rPr>
        <w:t xml:space="preserve"> This is in contradiction with the positive findings of the Commission about the role of the magistracy in pursuing reform,</w:t>
      </w:r>
      <w:r>
        <w:rPr>
          <w:rStyle w:val="FootnoteReference"/>
          <w:rFonts w:ascii="Times New Roman" w:hAnsi="Times New Roman"/>
          <w:noProof/>
          <w:sz w:val="24"/>
          <w:szCs w:val="24"/>
        </w:rPr>
        <w:footnoteReference w:id="9"/>
      </w:r>
      <w:r>
        <w:rPr>
          <w:rFonts w:ascii="Times New Roman" w:hAnsi="Times New Roman"/>
          <w:noProof/>
          <w:sz w:val="24"/>
          <w:szCs w:val="24"/>
        </w:rPr>
        <w:t xml:space="preserve"> supported by the Council,</w:t>
      </w:r>
      <w:r>
        <w:rPr>
          <w:rStyle w:val="FootnoteReference"/>
          <w:rFonts w:ascii="Times New Roman" w:hAnsi="Times New Roman"/>
          <w:noProof/>
          <w:sz w:val="24"/>
          <w:szCs w:val="24"/>
        </w:rPr>
        <w:footnoteReference w:id="10"/>
      </w:r>
      <w:r>
        <w:rPr>
          <w:rFonts w:ascii="Times New Roman" w:hAnsi="Times New Roman"/>
          <w:noProof/>
          <w:sz w:val="24"/>
          <w:szCs w:val="24"/>
        </w:rPr>
        <w:t xml:space="preserve"> and wi</w:t>
      </w:r>
      <w:r>
        <w:rPr>
          <w:rFonts w:ascii="Times New Roman" w:hAnsi="Times New Roman"/>
          <w:noProof/>
          <w:sz w:val="24"/>
          <w:szCs w:val="24"/>
        </w:rPr>
        <w:t>th the need to respect the independence of the judiciary. Accepting and respecting final court judgements and allowing the magistrates to fulfil their duty unhindered is essential, including to meet the condition set in the January report.</w:t>
      </w:r>
    </w:p>
    <w:p w:rsidR="00F02F5D" w:rsidRDefault="007C4C0E">
      <w:pPr>
        <w:keepNext/>
        <w:spacing w:before="360" w:after="240" w:line="240" w:lineRule="auto"/>
        <w:ind w:left="567" w:hanging="567"/>
        <w:jc w:val="both"/>
        <w:rPr>
          <w:rFonts w:ascii="Times New Roman" w:hAnsi="Times New Roman"/>
          <w:b/>
          <w:noProof/>
          <w:sz w:val="24"/>
          <w:szCs w:val="24"/>
        </w:rPr>
      </w:pPr>
      <w:r>
        <w:rPr>
          <w:rFonts w:ascii="Times New Roman" w:hAnsi="Times New Roman"/>
          <w:b/>
          <w:noProof/>
          <w:sz w:val="24"/>
          <w:szCs w:val="24"/>
        </w:rPr>
        <w:t>3.</w:t>
      </w:r>
      <w:r>
        <w:rPr>
          <w:rFonts w:ascii="Times New Roman" w:hAnsi="Times New Roman"/>
          <w:b/>
          <w:noProof/>
          <w:sz w:val="24"/>
          <w:szCs w:val="24"/>
        </w:rPr>
        <w:tab/>
        <w:t>ASSESSMENT OF</w:t>
      </w:r>
      <w:r>
        <w:rPr>
          <w:rFonts w:ascii="Times New Roman" w:hAnsi="Times New Roman"/>
          <w:b/>
          <w:noProof/>
          <w:sz w:val="24"/>
          <w:szCs w:val="24"/>
        </w:rPr>
        <w:t xml:space="preserve"> PROGRESS ON THE FULFILMENT OF THE CVM BENCHMARKS ON THE BASIS OF THE RECOMMENDATIONS SET OUT IN THE JANUARY 2017 CVM REPORT </w:t>
      </w:r>
    </w:p>
    <w:p w:rsidR="00F02F5D" w:rsidRDefault="007C4C0E">
      <w:pPr>
        <w:keepNext/>
        <w:spacing w:before="120" w:after="120" w:line="240" w:lineRule="auto"/>
        <w:jc w:val="both"/>
        <w:rPr>
          <w:rFonts w:ascii="Times New Roman" w:hAnsi="Times New Roman"/>
          <w:b/>
          <w:noProof/>
          <w:sz w:val="24"/>
          <w:szCs w:val="24"/>
        </w:rPr>
      </w:pPr>
      <w:r>
        <w:rPr>
          <w:rFonts w:ascii="Times New Roman" w:hAnsi="Times New Roman"/>
          <w:b/>
          <w:noProof/>
          <w:sz w:val="24"/>
          <w:szCs w:val="24"/>
        </w:rPr>
        <w:t xml:space="preserve">3.1. </w:t>
      </w:r>
      <w:r>
        <w:rPr>
          <w:rFonts w:ascii="Times New Roman" w:hAnsi="Times New Roman"/>
          <w:b/>
          <w:noProof/>
          <w:sz w:val="24"/>
          <w:szCs w:val="24"/>
        </w:rPr>
        <w:tab/>
        <w:t>Benchmark one: Judicial independence and Judicial reform</w:t>
      </w:r>
    </w:p>
    <w:p w:rsidR="00F02F5D" w:rsidRDefault="007C4C0E">
      <w:pPr>
        <w:keepNext/>
        <w:spacing w:before="120" w:after="120" w:line="240" w:lineRule="auto"/>
        <w:jc w:val="both"/>
        <w:rPr>
          <w:rFonts w:ascii="Times New Roman" w:hAnsi="Times New Roman"/>
          <w:b/>
          <w:i/>
          <w:noProof/>
          <w:sz w:val="24"/>
          <w:szCs w:val="24"/>
        </w:rPr>
      </w:pPr>
      <w:r>
        <w:rPr>
          <w:rFonts w:ascii="Times New Roman" w:hAnsi="Times New Roman"/>
          <w:b/>
          <w:i/>
          <w:noProof/>
          <w:sz w:val="24"/>
          <w:szCs w:val="24"/>
        </w:rPr>
        <w:t>3.1.1.</w:t>
      </w:r>
      <w:r>
        <w:rPr>
          <w:rFonts w:ascii="Times New Roman" w:hAnsi="Times New Roman"/>
          <w:b/>
          <w:i/>
          <w:noProof/>
          <w:sz w:val="24"/>
          <w:szCs w:val="24"/>
        </w:rPr>
        <w:tab/>
        <w:t>Judicial independence</w:t>
      </w: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1:</w:t>
      </w:r>
      <w:r>
        <w:rPr>
          <w:rFonts w:ascii="Times New Roman" w:hAnsi="Times New Roman"/>
          <w:i/>
          <w:noProof/>
          <w:sz w:val="24"/>
          <w:szCs w:val="24"/>
        </w:rPr>
        <w:t xml:space="preserve"> Put in place a robust and independent system of appointing top prosecutors, based on clear and transparent criteria, drawing on the support of the Venice Commission. </w:t>
      </w: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2</w:t>
      </w:r>
      <w:r>
        <w:rPr>
          <w:rFonts w:ascii="Times New Roman" w:hAnsi="Times New Roman"/>
          <w:i/>
          <w:noProof/>
          <w:sz w:val="24"/>
          <w:szCs w:val="24"/>
        </w:rPr>
        <w:t>: Ensure that the Code of Conduct for parliamentarians now being develop</w:t>
      </w:r>
      <w:r>
        <w:rPr>
          <w:rFonts w:ascii="Times New Roman" w:hAnsi="Times New Roman"/>
          <w:i/>
          <w:noProof/>
          <w:sz w:val="24"/>
          <w:szCs w:val="24"/>
        </w:rPr>
        <w:t>ed in Parliament includes clear provisions on mutual respect between institutions and making clear that parliamentarians and the parliamentary process should respect the independence of the judiciary. A similar Code of Conduct could be adopted for Minister</w:t>
      </w:r>
      <w:r>
        <w:rPr>
          <w:rFonts w:ascii="Times New Roman" w:hAnsi="Times New Roman"/>
          <w:i/>
          <w:noProof/>
          <w:sz w:val="24"/>
          <w:szCs w:val="24"/>
        </w:rPr>
        <w:t>s.</w:t>
      </w:r>
    </w:p>
    <w:p w:rsidR="00F02F5D" w:rsidRDefault="007C4C0E">
      <w:pPr>
        <w:keepNext/>
        <w:spacing w:before="120" w:after="120" w:line="240" w:lineRule="auto"/>
        <w:jc w:val="both"/>
        <w:rPr>
          <w:rFonts w:ascii="Times New Roman" w:hAnsi="Times New Roman"/>
          <w:i/>
          <w:noProof/>
          <w:sz w:val="24"/>
          <w:szCs w:val="24"/>
        </w:rPr>
      </w:pPr>
      <w:r>
        <w:rPr>
          <w:rFonts w:ascii="Times New Roman" w:hAnsi="Times New Roman"/>
          <w:i/>
          <w:noProof/>
          <w:sz w:val="24"/>
          <w:szCs w:val="24"/>
        </w:rPr>
        <w:t>Appointments</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In January, the Commission</w:t>
      </w:r>
      <w:r>
        <w:rPr>
          <w:rFonts w:ascii="Times New Roman" w:hAnsi="Times New Roman"/>
          <w:b/>
          <w:noProof/>
          <w:sz w:val="24"/>
          <w:szCs w:val="24"/>
        </w:rPr>
        <w:t xml:space="preserve"> </w:t>
      </w:r>
      <w:r>
        <w:rPr>
          <w:rFonts w:ascii="Times New Roman" w:hAnsi="Times New Roman"/>
          <w:noProof/>
          <w:sz w:val="24"/>
          <w:szCs w:val="24"/>
        </w:rPr>
        <w:t>reiterated its recommendation</w:t>
      </w:r>
      <w:r>
        <w:rPr>
          <w:rFonts w:ascii="Times New Roman" w:hAnsi="Times New Roman"/>
          <w:b/>
          <w:noProof/>
          <w:sz w:val="24"/>
          <w:szCs w:val="24"/>
        </w:rPr>
        <w:t xml:space="preserve"> </w:t>
      </w:r>
      <w:r>
        <w:rPr>
          <w:rFonts w:ascii="Times New Roman" w:hAnsi="Times New Roman"/>
          <w:noProof/>
          <w:sz w:val="24"/>
          <w:szCs w:val="24"/>
        </w:rPr>
        <w:t xml:space="preserve">to put in place a system of transparent and-merit based appointments of top prosecutors which would provide sufficient safeguards against politicisation. The appointment procedure of </w:t>
      </w:r>
      <w:r>
        <w:rPr>
          <w:rFonts w:ascii="Times New Roman" w:hAnsi="Times New Roman"/>
          <w:noProof/>
          <w:sz w:val="24"/>
          <w:szCs w:val="24"/>
        </w:rPr>
        <w:t xml:space="preserve">top prosecutors has been a key part of the debate around proposed amendments to the laws on Justice since August. It formed part of the first </w:t>
      </w:r>
      <w:r>
        <w:rPr>
          <w:rFonts w:ascii="Times New Roman" w:eastAsiaTheme="minorHAnsi" w:hAnsi="Times New Roman"/>
          <w:noProof/>
          <w:sz w:val="24"/>
          <w:szCs w:val="24"/>
        </w:rPr>
        <w:t>negative opinion of the Superior Council of the Magistracy in September, and has been further changed in the curre</w:t>
      </w:r>
      <w:r>
        <w:rPr>
          <w:rFonts w:ascii="Times New Roman" w:eastAsiaTheme="minorHAnsi" w:hAnsi="Times New Roman"/>
          <w:noProof/>
          <w:sz w:val="24"/>
          <w:szCs w:val="24"/>
        </w:rPr>
        <w:t xml:space="preserve">nt draft. </w:t>
      </w:r>
      <w:r>
        <w:rPr>
          <w:rFonts w:ascii="Times New Roman" w:hAnsi="Times New Roman"/>
          <w:noProof/>
          <w:sz w:val="24"/>
          <w:szCs w:val="24"/>
        </w:rPr>
        <w:t xml:space="preserve"> </w:t>
      </w:r>
    </w:p>
    <w:p w:rsidR="00F02F5D" w:rsidRDefault="007C4C0E">
      <w:pPr>
        <w:spacing w:before="120" w:after="120" w:line="240" w:lineRule="auto"/>
        <w:jc w:val="both"/>
        <w:rPr>
          <w:rFonts w:ascii="Times New Roman" w:hAnsi="Times New Roman"/>
          <w:noProof/>
          <w:sz w:val="24"/>
          <w:szCs w:val="24"/>
        </w:rPr>
      </w:pPr>
      <w:r>
        <w:rPr>
          <w:rFonts w:ascii="Times New Roman" w:eastAsia="SimSun" w:hAnsi="Times New Roman"/>
          <w:noProof/>
          <w:sz w:val="24"/>
          <w:szCs w:val="24"/>
        </w:rPr>
        <w:t>The Venice Commission has acknowledged that there are different models with regard to the appointment to the position of Prosecutor General (or similar top prosecution posts). However, it has underlined the need for an adequate balance "</w:t>
      </w:r>
      <w:r>
        <w:rPr>
          <w:rFonts w:ascii="Times New Roman" w:eastAsia="SimSun" w:hAnsi="Times New Roman"/>
          <w:i/>
          <w:noProof/>
          <w:sz w:val="24"/>
          <w:szCs w:val="24"/>
        </w:rPr>
        <w:t>such as</w:t>
      </w:r>
      <w:r>
        <w:rPr>
          <w:rFonts w:ascii="Times New Roman" w:eastAsia="SimSun" w:hAnsi="Times New Roman"/>
          <w:i/>
          <w:noProof/>
          <w:sz w:val="24"/>
          <w:szCs w:val="24"/>
        </w:rPr>
        <w:t xml:space="preserve"> to gain the confidence of the public and the respect of the judiciary and the legal profession</w:t>
      </w:r>
      <w:r>
        <w:rPr>
          <w:rFonts w:ascii="Times New Roman" w:eastAsia="SimSun" w:hAnsi="Times New Roman"/>
          <w:noProof/>
          <w:sz w:val="24"/>
          <w:szCs w:val="24"/>
        </w:rPr>
        <w:t>."</w:t>
      </w:r>
      <w:r>
        <w:rPr>
          <w:rStyle w:val="FootnoteReference"/>
          <w:rFonts w:ascii="Times New Roman" w:eastAsia="SimSun" w:hAnsi="Times New Roman"/>
          <w:noProof/>
          <w:sz w:val="24"/>
          <w:szCs w:val="24"/>
        </w:rPr>
        <w:footnoteReference w:id="11"/>
      </w:r>
      <w:r>
        <w:rPr>
          <w:rFonts w:ascii="Times New Roman" w:eastAsia="SimSun" w:hAnsi="Times New Roman"/>
          <w:noProof/>
          <w:sz w:val="24"/>
          <w:szCs w:val="24"/>
        </w:rPr>
        <w:t xml:space="preserve"> The role of the President and the degree of discretion for the Minister of Justice to select candidates</w:t>
      </w:r>
      <w:r>
        <w:rPr>
          <w:noProof/>
        </w:rPr>
        <w:t xml:space="preserve"> </w:t>
      </w:r>
      <w:r>
        <w:rPr>
          <w:rFonts w:ascii="Times New Roman" w:eastAsia="SimSun" w:hAnsi="Times New Roman"/>
          <w:noProof/>
          <w:sz w:val="24"/>
          <w:szCs w:val="24"/>
        </w:rPr>
        <w:t xml:space="preserve">have been part of the debate here, as has the extent </w:t>
      </w:r>
      <w:r>
        <w:rPr>
          <w:rFonts w:ascii="Times New Roman" w:eastAsia="SimSun" w:hAnsi="Times New Roman"/>
          <w:noProof/>
          <w:sz w:val="24"/>
          <w:szCs w:val="24"/>
        </w:rPr>
        <w:t xml:space="preserve">to which the  same appointment and dismissal procedure would apply at lower management levels within the prosecution. </w:t>
      </w:r>
    </w:p>
    <w:p w:rsidR="00F02F5D" w:rsidRDefault="007C4C0E">
      <w:pPr>
        <w:spacing w:before="120" w:after="120" w:line="240" w:lineRule="auto"/>
        <w:jc w:val="both"/>
        <w:rPr>
          <w:rFonts w:ascii="Times New Roman" w:eastAsia="SimSun" w:hAnsi="Times New Roman"/>
          <w:noProof/>
          <w:sz w:val="24"/>
          <w:szCs w:val="24"/>
        </w:rPr>
      </w:pPr>
      <w:r>
        <w:rPr>
          <w:rFonts w:ascii="Times New Roman" w:hAnsi="Times New Roman"/>
          <w:noProof/>
          <w:sz w:val="24"/>
          <w:szCs w:val="24"/>
        </w:rPr>
        <w:lastRenderedPageBreak/>
        <w:t xml:space="preserve">The January recommendation specified the need to draw on the support of the Venice Commission to help bring this long-standing debate to </w:t>
      </w:r>
      <w:r>
        <w:rPr>
          <w:rFonts w:ascii="Times New Roman" w:hAnsi="Times New Roman"/>
          <w:noProof/>
          <w:sz w:val="24"/>
          <w:szCs w:val="24"/>
        </w:rPr>
        <w:t>a close.</w:t>
      </w:r>
      <w:r>
        <w:rPr>
          <w:rStyle w:val="FootnoteReference"/>
          <w:rFonts w:ascii="Times New Roman" w:hAnsi="Times New Roman"/>
          <w:noProof/>
          <w:sz w:val="24"/>
          <w:szCs w:val="24"/>
        </w:rPr>
        <w:footnoteReference w:id="12"/>
      </w:r>
      <w:r>
        <w:rPr>
          <w:rFonts w:ascii="Times New Roman" w:hAnsi="Times New Roman"/>
          <w:noProof/>
          <w:sz w:val="24"/>
          <w:szCs w:val="24"/>
        </w:rPr>
        <w:t xml:space="preserve"> </w:t>
      </w:r>
      <w:r>
        <w:rPr>
          <w:rFonts w:ascii="Times New Roman" w:eastAsia="SimSun" w:hAnsi="Times New Roman"/>
          <w:noProof/>
          <w:sz w:val="24"/>
          <w:szCs w:val="24"/>
        </w:rPr>
        <w:t>. It remains the requirement of the recommendation that Romania calls on the advice of the Venice Commission.</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fulfilment of this recommendation will also need to ensure appropriate safeguards in terms of transparency, independence and checks </w:t>
      </w:r>
      <w:r>
        <w:rPr>
          <w:rFonts w:ascii="Times New Roman" w:hAnsi="Times New Roman"/>
          <w:noProof/>
          <w:sz w:val="24"/>
          <w:szCs w:val="24"/>
        </w:rPr>
        <w:t>and balances, even if the final decision were to remain with the political level.</w:t>
      </w:r>
    </w:p>
    <w:p w:rsidR="00F02F5D" w:rsidRDefault="007C4C0E">
      <w:pPr>
        <w:keepNext/>
        <w:spacing w:before="120" w:after="120" w:line="240" w:lineRule="auto"/>
        <w:jc w:val="both"/>
        <w:rPr>
          <w:rFonts w:ascii="Times New Roman" w:hAnsi="Times New Roman"/>
          <w:noProof/>
          <w:sz w:val="24"/>
          <w:szCs w:val="24"/>
        </w:rPr>
      </w:pPr>
      <w:r>
        <w:rPr>
          <w:rFonts w:ascii="Times New Roman" w:hAnsi="Times New Roman"/>
          <w:i/>
          <w:noProof/>
          <w:sz w:val="24"/>
          <w:szCs w:val="24"/>
        </w:rPr>
        <w:t>Codes of conduct</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Since the last CVM report, criticism of the judicial system and magistrates in the media has been particularly strong. This confirms the validity of recommen</w:t>
      </w:r>
      <w:r>
        <w:rPr>
          <w:rFonts w:ascii="Times New Roman" w:hAnsi="Times New Roman"/>
          <w:noProof/>
          <w:sz w:val="24"/>
          <w:szCs w:val="24"/>
        </w:rPr>
        <w:t xml:space="preserve">dations to ensure that measures are taken to discourage behaviour which amounts to open challenges to the independence of justice and the authority of court decisions. Attempts to bring redress have been tried through the </w:t>
      </w:r>
      <w:r>
        <w:rPr>
          <w:rFonts w:ascii="Times New Roman" w:eastAsiaTheme="minorHAnsi" w:hAnsi="Times New Roman"/>
          <w:noProof/>
          <w:sz w:val="24"/>
          <w:szCs w:val="24"/>
        </w:rPr>
        <w:t>Superior Council of the Magistracy</w:t>
      </w:r>
      <w:r>
        <w:rPr>
          <w:rFonts w:ascii="Times New Roman" w:hAnsi="Times New Roman"/>
          <w:noProof/>
          <w:sz w:val="24"/>
          <w:szCs w:val="24"/>
        </w:rPr>
        <w:t xml:space="preserve"> and through individual magistrates bringing their own cases to court. But the Commission's recommendation sought an institutional recognition of the problem, and a decision to take steps to address it. This underlies the recommendation for a Parliamentary</w:t>
      </w:r>
      <w:r>
        <w:rPr>
          <w:rFonts w:ascii="Times New Roman" w:hAnsi="Times New Roman"/>
          <w:noProof/>
          <w:sz w:val="24"/>
          <w:szCs w:val="24"/>
        </w:rPr>
        <w:t xml:space="preserve"> Code of Conduct which would include provisions on respect for the independence of the judiciary.</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Parliament adopted a Code of Conduct on 11 October 2017. The inclusion of a broad provision on the respect of the separation of powers is a positive step. Alt</w:t>
      </w:r>
      <w:r>
        <w:rPr>
          <w:rFonts w:ascii="Times New Roman" w:hAnsi="Times New Roman"/>
          <w:noProof/>
          <w:sz w:val="24"/>
          <w:szCs w:val="24"/>
        </w:rPr>
        <w:t>hough it did not follow up on the Commission's recommendation to specifically refer to the independence of the judiciary, the implementation of the Code could achieve the same effect in different ways. The next step will therefore be to see how the Code ha</w:t>
      </w:r>
      <w:r>
        <w:rPr>
          <w:rFonts w:ascii="Times New Roman" w:hAnsi="Times New Roman"/>
          <w:noProof/>
          <w:sz w:val="24"/>
          <w:szCs w:val="24"/>
        </w:rPr>
        <w:t>s a practical effect in terms of defining what actions would go beyond the boundaries set by the Code, and what steps are taken when these boundaries are crossed. The Code of Conduct could for instance benefit from being accompanied by guidance, examples a</w:t>
      </w:r>
      <w:r>
        <w:rPr>
          <w:rFonts w:ascii="Times New Roman" w:hAnsi="Times New Roman"/>
          <w:noProof/>
          <w:sz w:val="24"/>
          <w:szCs w:val="24"/>
        </w:rPr>
        <w:t>nd awareness-raising on how to deal with concrete situations,</w:t>
      </w:r>
      <w:r>
        <w:rPr>
          <w:rFonts w:ascii="Times New Roman" w:hAnsi="Times New Roman"/>
          <w:noProof/>
          <w:sz w:val="24"/>
          <w:szCs w:val="24"/>
          <w:vertAlign w:val="superscript"/>
        </w:rPr>
        <w:footnoteReference w:id="13"/>
      </w:r>
      <w:r>
        <w:rPr>
          <w:rFonts w:ascii="Times New Roman" w:hAnsi="Times New Roman"/>
          <w:noProof/>
          <w:sz w:val="24"/>
          <w:szCs w:val="24"/>
        </w:rPr>
        <w:t xml:space="preserve"> to help it to become an effective tool in reducing public criticism of magistrates and improving respect for the judiciary and judicial decisions. It would for example be to be expected that wh</w:t>
      </w:r>
      <w:r>
        <w:rPr>
          <w:rFonts w:ascii="Times New Roman" w:hAnsi="Times New Roman"/>
          <w:noProof/>
          <w:sz w:val="24"/>
          <w:szCs w:val="24"/>
        </w:rPr>
        <w:t xml:space="preserve">enever the Superior Council of Magistracy condemns statements of a Member of Parliament criticising a magistrate or the judicial system, there would be a clear follow-up in Parliament to assess whether the Code had been breached.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January report also s</w:t>
      </w:r>
      <w:r>
        <w:rPr>
          <w:rFonts w:ascii="Times New Roman" w:hAnsi="Times New Roman"/>
          <w:noProof/>
          <w:sz w:val="24"/>
          <w:szCs w:val="24"/>
        </w:rPr>
        <w:t>uggested that the Government might usefully adopt a Code of Conduct for Ministers. In July 2017, the newly-appointed Government adopted a ministerial Code of Conduct which includes a similar provision on the respect of separation of powers.</w:t>
      </w:r>
    </w:p>
    <w:p w:rsidR="00F02F5D" w:rsidRDefault="007C4C0E">
      <w:pPr>
        <w:spacing w:after="0" w:line="240" w:lineRule="auto"/>
        <w:jc w:val="both"/>
        <w:rPr>
          <w:rFonts w:ascii="Times New Roman" w:hAnsi="Times New Roman"/>
          <w:noProof/>
          <w:sz w:val="24"/>
          <w:szCs w:val="24"/>
        </w:rPr>
      </w:pPr>
      <w:r>
        <w:rPr>
          <w:rFonts w:ascii="Times New Roman" w:hAnsi="Times New Roman"/>
          <w:noProof/>
          <w:sz w:val="24"/>
          <w:szCs w:val="24"/>
        </w:rPr>
        <w:t>The practical a</w:t>
      </w:r>
      <w:r>
        <w:rPr>
          <w:rFonts w:ascii="Times New Roman" w:hAnsi="Times New Roman"/>
          <w:noProof/>
          <w:sz w:val="24"/>
          <w:szCs w:val="24"/>
        </w:rPr>
        <w:t>pplication of the Codes of Conduct, in terms of reacting to Members of Parliament and Government criticising the judiciary, is therefore also important.</w:t>
      </w:r>
    </w:p>
    <w:p w:rsidR="00F02F5D" w:rsidRPr="003515B0" w:rsidRDefault="007C4C0E">
      <w:pPr>
        <w:keepNext/>
        <w:spacing w:before="240" w:after="120" w:line="240" w:lineRule="auto"/>
        <w:jc w:val="both"/>
        <w:rPr>
          <w:rFonts w:ascii="Times New Roman" w:hAnsi="Times New Roman"/>
          <w:b/>
          <w:i/>
          <w:noProof/>
          <w:sz w:val="24"/>
          <w:szCs w:val="24"/>
        </w:rPr>
      </w:pPr>
      <w:bookmarkStart w:id="1" w:name="_GoBack"/>
      <w:r w:rsidRPr="003515B0">
        <w:rPr>
          <w:rFonts w:ascii="Times New Roman" w:hAnsi="Times New Roman"/>
          <w:b/>
          <w:i/>
          <w:noProof/>
          <w:sz w:val="24"/>
          <w:szCs w:val="24"/>
        </w:rPr>
        <w:t xml:space="preserve">3.1.2. </w:t>
      </w:r>
      <w:r w:rsidRPr="003515B0">
        <w:rPr>
          <w:rFonts w:ascii="Times New Roman" w:hAnsi="Times New Roman"/>
          <w:b/>
          <w:i/>
          <w:noProof/>
          <w:sz w:val="24"/>
          <w:szCs w:val="24"/>
        </w:rPr>
        <w:tab/>
        <w:t>Judicial reform</w:t>
      </w:r>
    </w:p>
    <w:bookmarkEnd w:id="1"/>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3</w:t>
      </w:r>
      <w:r>
        <w:rPr>
          <w:rFonts w:ascii="Times New Roman" w:hAnsi="Times New Roman"/>
          <w:i/>
          <w:noProof/>
          <w:sz w:val="24"/>
          <w:szCs w:val="24"/>
        </w:rPr>
        <w:t>: The current phase in the reform of Romania's Criminal Codes s</w:t>
      </w:r>
      <w:r>
        <w:rPr>
          <w:rFonts w:ascii="Times New Roman" w:hAnsi="Times New Roman"/>
          <w:i/>
          <w:noProof/>
          <w:sz w:val="24"/>
          <w:szCs w:val="24"/>
        </w:rPr>
        <w:t xml:space="preserve">hould be concluded, with Parliament taking forward its plans to adopt the amendments presented by the government in 2016 after consultation with the judicial authorities. The Minister of Justice, the </w:t>
      </w:r>
      <w:r>
        <w:rPr>
          <w:rFonts w:ascii="Times New Roman" w:eastAsiaTheme="minorHAnsi" w:hAnsi="Times New Roman"/>
          <w:i/>
          <w:noProof/>
          <w:sz w:val="24"/>
          <w:szCs w:val="24"/>
        </w:rPr>
        <w:t>Superior Council of the Magistracy</w:t>
      </w:r>
      <w:r>
        <w:rPr>
          <w:rFonts w:ascii="Times New Roman" w:eastAsiaTheme="minorHAnsi" w:hAnsi="Times New Roman"/>
          <w:noProof/>
          <w:sz w:val="24"/>
          <w:szCs w:val="24"/>
        </w:rPr>
        <w:t xml:space="preserve"> </w:t>
      </w:r>
      <w:r>
        <w:rPr>
          <w:rFonts w:ascii="Times New Roman" w:hAnsi="Times New Roman"/>
          <w:i/>
          <w:noProof/>
          <w:sz w:val="24"/>
          <w:szCs w:val="24"/>
        </w:rPr>
        <w:t>and the High Court of</w:t>
      </w:r>
      <w:r>
        <w:rPr>
          <w:rFonts w:ascii="Times New Roman" w:hAnsi="Times New Roman"/>
          <w:i/>
          <w:noProof/>
          <w:sz w:val="24"/>
          <w:szCs w:val="24"/>
        </w:rPr>
        <w:t xml:space="preserve"> Cassation and Justice should finalise an action plan to ensure that the new deadline for the implementation of the remaining provisions of the Code of Civil Procedures can be respected.</w:t>
      </w: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lastRenderedPageBreak/>
        <w:t>Recommendation 4</w:t>
      </w:r>
      <w:r>
        <w:rPr>
          <w:rFonts w:ascii="Times New Roman" w:hAnsi="Times New Roman"/>
          <w:i/>
          <w:noProof/>
          <w:sz w:val="24"/>
          <w:szCs w:val="24"/>
        </w:rPr>
        <w:t>: In order to improve further the transparency and pr</w:t>
      </w:r>
      <w:r>
        <w:rPr>
          <w:rFonts w:ascii="Times New Roman" w:hAnsi="Times New Roman"/>
          <w:i/>
          <w:noProof/>
          <w:sz w:val="24"/>
          <w:szCs w:val="24"/>
        </w:rPr>
        <w:t>edictability of the legislative process, and strengthen internal safeguards in the interest of irreversibility,  the Government and Parliament should ensure full transparency and take proper account of consultations with the relevant authorities and stakeh</w:t>
      </w:r>
      <w:r>
        <w:rPr>
          <w:rFonts w:ascii="Times New Roman" w:hAnsi="Times New Roman"/>
          <w:i/>
          <w:noProof/>
          <w:sz w:val="24"/>
          <w:szCs w:val="24"/>
        </w:rPr>
        <w:t>olders in decision-making and legislative activity on the Criminal Code and Code for Criminal Procedures, on corruption laws, on integrity laws (incompatibilities, conflicts of interest, unjustified wealth), on the laws of justice (pertaining to the organi</w:t>
      </w:r>
      <w:r>
        <w:rPr>
          <w:rFonts w:ascii="Times New Roman" w:hAnsi="Times New Roman"/>
          <w:i/>
          <w:noProof/>
          <w:sz w:val="24"/>
          <w:szCs w:val="24"/>
        </w:rPr>
        <w:t>sation of the justice system) and on the Civil Code and Code for Civil Procedures, taking inspiration from the transparency in decision-making put in place by the Government in 2016.</w:t>
      </w:r>
    </w:p>
    <w:p w:rsidR="00F02F5D" w:rsidRDefault="007C4C0E">
      <w:pPr>
        <w:keepNext/>
        <w:spacing w:before="120" w:after="120" w:line="240" w:lineRule="auto"/>
        <w:jc w:val="both"/>
        <w:rPr>
          <w:rFonts w:ascii="Times New Roman" w:hAnsi="Times New Roman"/>
          <w:i/>
          <w:noProof/>
          <w:sz w:val="24"/>
          <w:szCs w:val="24"/>
        </w:rPr>
      </w:pPr>
      <w:r>
        <w:rPr>
          <w:rFonts w:ascii="Times New Roman" w:hAnsi="Times New Roman"/>
          <w:i/>
          <w:noProof/>
          <w:sz w:val="24"/>
          <w:szCs w:val="24"/>
        </w:rPr>
        <w:t>New Codes</w:t>
      </w:r>
    </w:p>
    <w:p w:rsidR="00F02F5D" w:rsidRDefault="007C4C0E">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In 2017 there have been a number of developments with regard to the Criminal Code and the Code of Criminal Procedures. While some of these developments serve the objectives underpinning the Commission recommendations, others have held back the goal of more</w:t>
      </w:r>
      <w:r>
        <w:rPr>
          <w:rFonts w:ascii="Times New Roman" w:eastAsia="Times New Roman" w:hAnsi="Times New Roman"/>
          <w:noProof/>
          <w:sz w:val="24"/>
          <w:szCs w:val="24"/>
        </w:rPr>
        <w:t xml:space="preserve"> certainty and stability in the reform of the Codes. </w:t>
      </w:r>
      <w:r>
        <w:rPr>
          <w:rFonts w:ascii="Times New Roman" w:hAnsi="Times New Roman"/>
          <w:noProof/>
          <w:sz w:val="24"/>
          <w:szCs w:val="24"/>
        </w:rPr>
        <w:t>It is to be noted that many of the debates around the Criminal Codes focus on provisions relevant to high level corruption crimes.</w:t>
      </w:r>
    </w:p>
    <w:p w:rsidR="00F02F5D" w:rsidRDefault="007C4C0E">
      <w:pPr>
        <w:spacing w:before="120" w:after="120" w:line="240" w:lineRule="auto"/>
        <w:jc w:val="both"/>
        <w:rPr>
          <w:rFonts w:ascii="Times New Roman" w:eastAsia="Times New Roman" w:hAnsi="Times New Roman"/>
          <w:noProof/>
          <w:sz w:val="24"/>
          <w:szCs w:val="24"/>
        </w:rPr>
      </w:pPr>
      <w:r>
        <w:rPr>
          <w:rFonts w:ascii="Times New Roman" w:eastAsiaTheme="minorHAnsi" w:hAnsi="Times New Roman"/>
          <w:noProof/>
          <w:sz w:val="24"/>
          <w:szCs w:val="24"/>
        </w:rPr>
        <w:t>The recommendation to conclude the current phase of the reform of Romani</w:t>
      </w:r>
      <w:r>
        <w:rPr>
          <w:rFonts w:ascii="Times New Roman" w:eastAsiaTheme="minorHAnsi" w:hAnsi="Times New Roman"/>
          <w:noProof/>
          <w:sz w:val="24"/>
          <w:szCs w:val="24"/>
        </w:rPr>
        <w:t>a's Criminal Codes remains outstanding. Parliament has so far adopted none of the draft amendments proposed by the Government in 2016, which had been the result of broad consultations with the judiciary.</w:t>
      </w:r>
      <w:r>
        <w:rPr>
          <w:rFonts w:ascii="Times New Roman" w:eastAsiaTheme="minorHAnsi" w:hAnsi="Times New Roman"/>
          <w:noProof/>
          <w:sz w:val="24"/>
          <w:szCs w:val="24"/>
          <w:vertAlign w:val="superscript"/>
        </w:rPr>
        <w:footnoteReference w:id="14"/>
      </w:r>
      <w:r>
        <w:rPr>
          <w:rFonts w:ascii="Times New Roman" w:eastAsiaTheme="minorHAnsi" w:hAnsi="Times New Roman"/>
          <w:noProof/>
          <w:sz w:val="24"/>
          <w:szCs w:val="24"/>
        </w:rPr>
        <w:t xml:space="preserve"> Parliament has however adopted other amendments to </w:t>
      </w:r>
      <w:r>
        <w:rPr>
          <w:rFonts w:ascii="Times New Roman" w:eastAsiaTheme="minorHAnsi" w:hAnsi="Times New Roman"/>
          <w:noProof/>
          <w:sz w:val="24"/>
          <w:szCs w:val="24"/>
        </w:rPr>
        <w:t>the Criminal Code, notably those with the effect of decriminalising conflict of interests.</w:t>
      </w:r>
      <w:r>
        <w:rPr>
          <w:rStyle w:val="FootnoteReference"/>
          <w:rFonts w:ascii="Times New Roman" w:eastAsiaTheme="minorHAnsi" w:hAnsi="Times New Roman"/>
          <w:noProof/>
          <w:sz w:val="24"/>
          <w:szCs w:val="24"/>
        </w:rPr>
        <w:footnoteReference w:id="15"/>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rapid succession of Constitutional Court decisions declaring provisions of the Codes unconstitutional has added to the challenge of stability. The Ministry of J</w:t>
      </w:r>
      <w:r>
        <w:rPr>
          <w:rFonts w:ascii="Times New Roman" w:hAnsi="Times New Roman"/>
          <w:noProof/>
          <w:sz w:val="24"/>
          <w:szCs w:val="24"/>
        </w:rPr>
        <w:t>ustice has started to address this through consultations with the judiciary, legal professions and civil society and the Government has indicated its intent to adopt relevant amendments. However, none of the proposed changes have yet translated into legisl</w:t>
      </w:r>
      <w:r>
        <w:rPr>
          <w:rFonts w:ascii="Times New Roman" w:hAnsi="Times New Roman"/>
          <w:noProof/>
          <w:sz w:val="24"/>
          <w:szCs w:val="24"/>
        </w:rPr>
        <w:t>ative amendments and such delays can result in divergent interpretations. Responding swiftly and consistently to the need to adapt laws to reflect Constitutional Court rulings should be an important priority, without compromising on the quality of the prep</w:t>
      </w:r>
      <w:r>
        <w:rPr>
          <w:rFonts w:ascii="Times New Roman" w:hAnsi="Times New Roman"/>
          <w:noProof/>
          <w:sz w:val="24"/>
          <w:szCs w:val="24"/>
        </w:rPr>
        <w:t xml:space="preserve">aration of the amendments. The Government has expressed its intention to translate the  Constitutional Court decisions into a new set of amendments.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recommendation also covers the finalisation of the reform of the Code of Civil Procedures. In December</w:t>
      </w:r>
      <w:r>
        <w:rPr>
          <w:rFonts w:ascii="Times New Roman" w:hAnsi="Times New Roman"/>
          <w:noProof/>
          <w:sz w:val="24"/>
          <w:szCs w:val="24"/>
        </w:rPr>
        <w:t xml:space="preserve"> 2016, a new deadline of January 2019 was set for the entry into application of the remaining provisions of this Code. Discussions between the Minister of Justice, the Superior Council of the Magistracy and the High Court of Cassation and Justice are under</w:t>
      </w:r>
      <w:r>
        <w:rPr>
          <w:rFonts w:ascii="Times New Roman" w:hAnsi="Times New Roman"/>
          <w:noProof/>
          <w:sz w:val="24"/>
          <w:szCs w:val="24"/>
        </w:rPr>
        <w:t xml:space="preserve">way. The first steps to provide for the necessary infrastructure for the new Council Chambers have been taken and the Minister of Justice is finalising a plan for adoption by the Government. Regarding the stability of the Civil Codes, Constitutional Court </w:t>
      </w:r>
      <w:r>
        <w:rPr>
          <w:rFonts w:ascii="Times New Roman" w:hAnsi="Times New Roman"/>
          <w:noProof/>
          <w:sz w:val="24"/>
          <w:szCs w:val="24"/>
        </w:rPr>
        <w:t>decisions also create challenges. In particular, a recent ruling of the Constitutional Court concerning the threshold previously in place to limit the possibility for second instance appeal could result in a major extra case load for the High Court of Cass</w:t>
      </w:r>
      <w:r>
        <w:rPr>
          <w:rFonts w:ascii="Times New Roman" w:hAnsi="Times New Roman"/>
          <w:noProof/>
          <w:sz w:val="24"/>
          <w:szCs w:val="24"/>
        </w:rPr>
        <w:t>ation and Justice.</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The Minister of Justice is looking at ways to mitigate the impact on the workload of the High Court, with more cases to be handled by lower courts. The High Court already faces a heavy workload and the </w:t>
      </w:r>
      <w:r>
        <w:rPr>
          <w:rFonts w:ascii="Times New Roman" w:hAnsi="Times New Roman"/>
          <w:noProof/>
          <w:sz w:val="24"/>
          <w:szCs w:val="24"/>
        </w:rPr>
        <w:lastRenderedPageBreak/>
        <w:t>January report underlined the impo</w:t>
      </w:r>
      <w:r>
        <w:rPr>
          <w:rFonts w:ascii="Times New Roman" w:hAnsi="Times New Roman"/>
          <w:noProof/>
          <w:sz w:val="24"/>
          <w:szCs w:val="24"/>
        </w:rPr>
        <w:t>rtance of its work on cassation and interpretation of the law.</w:t>
      </w:r>
      <w:r>
        <w:rPr>
          <w:rStyle w:val="FootnoteReference"/>
          <w:rFonts w:ascii="Times New Roman" w:hAnsi="Times New Roman"/>
          <w:noProof/>
          <w:sz w:val="24"/>
          <w:szCs w:val="24"/>
        </w:rPr>
        <w:footnoteReference w:id="17"/>
      </w:r>
    </w:p>
    <w:p w:rsidR="00F02F5D" w:rsidRDefault="007C4C0E">
      <w:pPr>
        <w:spacing w:before="120" w:after="120" w:line="240" w:lineRule="auto"/>
        <w:jc w:val="both"/>
        <w:rPr>
          <w:rFonts w:ascii="Times New Roman" w:hAnsi="Times New Roman"/>
          <w:noProof/>
          <w:sz w:val="24"/>
          <w:szCs w:val="24"/>
        </w:rPr>
      </w:pPr>
      <w:r>
        <w:rPr>
          <w:rFonts w:ascii="Times New Roman" w:hAnsi="Times New Roman"/>
          <w:i/>
          <w:noProof/>
          <w:sz w:val="24"/>
          <w:szCs w:val="24"/>
        </w:rPr>
        <w:t>Transparency and predictability of the legislative process for legislation on judicial reform and anti-corruption</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Since the January report, there have been a series of cases raising concerns a</w:t>
      </w:r>
      <w:r>
        <w:rPr>
          <w:rFonts w:ascii="Times New Roman" w:hAnsi="Times New Roman"/>
          <w:noProof/>
          <w:sz w:val="24"/>
          <w:szCs w:val="24"/>
        </w:rPr>
        <w:t>bout the transparency and predictability of the legislative process, whether initiated by the Government or the Parliament. Several measures and amendments have been adopted by Parliament with little or no opportunity for consultation and public debate.</w:t>
      </w:r>
      <w:r>
        <w:rPr>
          <w:rFonts w:ascii="Times New Roman" w:hAnsi="Times New Roman"/>
          <w:noProof/>
          <w:sz w:val="24"/>
          <w:szCs w:val="24"/>
          <w:vertAlign w:val="superscript"/>
        </w:rPr>
        <w:footnoteReference w:id="18"/>
      </w:r>
      <w:r>
        <w:rPr>
          <w:rFonts w:ascii="Times New Roman" w:hAnsi="Times New Roman"/>
          <w:noProof/>
          <w:sz w:val="24"/>
          <w:szCs w:val="24"/>
        </w:rPr>
        <w:t xml:space="preserve"> O</w:t>
      </w:r>
      <w:r>
        <w:rPr>
          <w:rFonts w:ascii="Times New Roman" w:hAnsi="Times New Roman"/>
          <w:noProof/>
          <w:sz w:val="24"/>
          <w:szCs w:val="24"/>
        </w:rPr>
        <w:t>ther problematic and uncoordinated proposals have been introduced and while many never progress in the parliamentary process, the fact that they remain on the parliamentary table introduces an important level of uncertainty: examples include the law on par</w:t>
      </w:r>
      <w:r>
        <w:rPr>
          <w:rFonts w:ascii="Times New Roman" w:hAnsi="Times New Roman"/>
          <w:noProof/>
          <w:sz w:val="24"/>
          <w:szCs w:val="24"/>
        </w:rPr>
        <w:t xml:space="preserve">dons or on the liability of magistrates.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Civil society has also been an important voice to highlight potential consequences for judicial reform and the fight against corruption. The current controversy around the Justice laws will be an important test of </w:t>
      </w:r>
      <w:r>
        <w:rPr>
          <w:rFonts w:ascii="Times New Roman" w:hAnsi="Times New Roman"/>
          <w:noProof/>
          <w:sz w:val="24"/>
          <w:szCs w:val="24"/>
        </w:rPr>
        <w:t xml:space="preserve">the extent to which the legitimate interests of judicial and other stakeholders are given an opportunity to be voiced, and are taken sufficiently into account, in the final decisions.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One initiative to help remedy this situation was made by the President of the Legal Committee of the Senate, who invited the Minister of Justice and the Superior Council of the Magistracy to set up a permanent dialogue between State institutions on amendme</w:t>
      </w:r>
      <w:r>
        <w:rPr>
          <w:rFonts w:ascii="Times New Roman" w:hAnsi="Times New Roman"/>
          <w:noProof/>
          <w:sz w:val="24"/>
          <w:szCs w:val="24"/>
        </w:rPr>
        <w:t>nts to the criminal codes and other important legislation. The objective was to set up a predictable amendment process, ensuring debate and public consultation. The Parliament has taken up the idea and at the start of October, it created a Special Parliame</w:t>
      </w:r>
      <w:r>
        <w:rPr>
          <w:rFonts w:ascii="Times New Roman" w:hAnsi="Times New Roman"/>
          <w:noProof/>
          <w:sz w:val="24"/>
          <w:szCs w:val="24"/>
        </w:rPr>
        <w:t xml:space="preserve">ntary Committee on Systematisation, Unification and Ensuring Legislative Stability in the Judiciary. </w:t>
      </w:r>
    </w:p>
    <w:p w:rsidR="00F02F5D" w:rsidRDefault="007C4C0E">
      <w:pPr>
        <w:spacing w:before="120" w:after="120" w:line="240" w:lineRule="auto"/>
        <w:jc w:val="both"/>
        <w:rPr>
          <w:rFonts w:ascii="Times New Roman" w:eastAsiaTheme="minorHAnsi" w:hAnsi="Times New Roman"/>
          <w:noProof/>
          <w:sz w:val="24"/>
          <w:szCs w:val="24"/>
        </w:rPr>
      </w:pPr>
      <w:r>
        <w:rPr>
          <w:rFonts w:ascii="Times New Roman" w:hAnsi="Times New Roman"/>
          <w:noProof/>
          <w:sz w:val="24"/>
          <w:szCs w:val="24"/>
        </w:rPr>
        <w:t>For the fulfilment of recommendation 4, this Committee will need to demonstrate its capacity to build trust between the Parliament, the Government and the</w:t>
      </w:r>
      <w:r>
        <w:rPr>
          <w:rFonts w:ascii="Times New Roman" w:hAnsi="Times New Roman"/>
          <w:noProof/>
          <w:sz w:val="24"/>
          <w:szCs w:val="24"/>
        </w:rPr>
        <w:t xml:space="preserve"> judiciary and to facilitate constructive cooperation on key legislation. </w:t>
      </w:r>
      <w:r>
        <w:rPr>
          <w:rFonts w:ascii="Times New Roman" w:eastAsiaTheme="minorHAnsi" w:hAnsi="Times New Roman"/>
          <w:noProof/>
          <w:sz w:val="24"/>
          <w:szCs w:val="24"/>
        </w:rPr>
        <w:t>This Committee has the opportunity to resolve the uncertainty surrounding the Codes and underlying recommendation 3, through a consensual adoption of amendments preserving the progre</w:t>
      </w:r>
      <w:r>
        <w:rPr>
          <w:rFonts w:ascii="Times New Roman" w:eastAsiaTheme="minorHAnsi" w:hAnsi="Times New Roman"/>
          <w:noProof/>
          <w:sz w:val="24"/>
          <w:szCs w:val="24"/>
        </w:rPr>
        <w:t>ss brought by the reforms of these four codes. The Committee could also help to ensure a consistent process to provide legal certainty following decisions of the Constitutional Court.</w:t>
      </w:r>
    </w:p>
    <w:p w:rsidR="00F02F5D" w:rsidRDefault="00F02F5D">
      <w:pPr>
        <w:spacing w:after="120" w:line="240" w:lineRule="auto"/>
        <w:jc w:val="both"/>
        <w:rPr>
          <w:rFonts w:ascii="Times New Roman" w:hAnsi="Times New Roman"/>
          <w:noProof/>
          <w:sz w:val="24"/>
          <w:szCs w:val="24"/>
        </w:rPr>
      </w:pP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5:</w:t>
      </w:r>
      <w:r>
        <w:rPr>
          <w:rFonts w:ascii="Times New Roman" w:hAnsi="Times New Roman"/>
          <w:i/>
          <w:noProof/>
          <w:sz w:val="24"/>
          <w:szCs w:val="24"/>
        </w:rPr>
        <w:t xml:space="preserve"> The Government should put in place an appropriate Action Plan to address the issue of implementation of court decisions and application of jurisprudence of the courts by public administration, including a mechanism to provide accurate statistics to enable</w:t>
      </w:r>
      <w:r>
        <w:rPr>
          <w:rFonts w:ascii="Times New Roman" w:hAnsi="Times New Roman"/>
          <w:i/>
          <w:noProof/>
          <w:sz w:val="24"/>
          <w:szCs w:val="24"/>
        </w:rPr>
        <w:t xml:space="preserve"> future monitoring. It should also develop a system of internal monitoring involving the </w:t>
      </w:r>
      <w:r>
        <w:rPr>
          <w:rFonts w:ascii="Times New Roman" w:eastAsiaTheme="minorHAnsi" w:hAnsi="Times New Roman"/>
          <w:i/>
          <w:noProof/>
          <w:sz w:val="24"/>
          <w:szCs w:val="24"/>
        </w:rPr>
        <w:t xml:space="preserve">Superior Council of the Magistracy </w:t>
      </w:r>
      <w:r>
        <w:rPr>
          <w:rFonts w:ascii="Times New Roman" w:hAnsi="Times New Roman"/>
          <w:i/>
          <w:noProof/>
          <w:sz w:val="24"/>
          <w:szCs w:val="24"/>
        </w:rPr>
        <w:t>and Court of Auditors in order to ensure proper implementation of the Action Plan.</w:t>
      </w: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6:</w:t>
      </w:r>
      <w:r>
        <w:rPr>
          <w:rFonts w:ascii="Times New Roman" w:hAnsi="Times New Roman"/>
          <w:i/>
          <w:noProof/>
          <w:sz w:val="24"/>
          <w:szCs w:val="24"/>
        </w:rPr>
        <w:t xml:space="preserve"> The Strategic Judicial Manageme</w:t>
      </w:r>
      <w:r>
        <w:rPr>
          <w:rFonts w:ascii="Times New Roman" w:hAnsi="Times New Roman"/>
          <w:i/>
          <w:noProof/>
          <w:sz w:val="24"/>
          <w:szCs w:val="24"/>
        </w:rPr>
        <w:t xml:space="preserve">nt, i.e. the Minister of Justice, the </w:t>
      </w:r>
      <w:r>
        <w:rPr>
          <w:rFonts w:ascii="Times New Roman" w:eastAsiaTheme="minorHAnsi" w:hAnsi="Times New Roman"/>
          <w:i/>
          <w:noProof/>
          <w:sz w:val="24"/>
          <w:szCs w:val="24"/>
        </w:rPr>
        <w:t>Superior Council Of the Magistracy</w:t>
      </w:r>
      <w:r>
        <w:rPr>
          <w:rFonts w:ascii="Times New Roman" w:hAnsi="Times New Roman"/>
          <w:i/>
          <w:noProof/>
          <w:sz w:val="24"/>
          <w:szCs w:val="24"/>
        </w:rPr>
        <w:t xml:space="preserve">, the High Court of Cassation and Justice and the Prosecutor-General should ensure the implementation of the Action Plan as adopted and put </w:t>
      </w:r>
      <w:r>
        <w:rPr>
          <w:rFonts w:ascii="Times New Roman" w:hAnsi="Times New Roman"/>
          <w:i/>
          <w:noProof/>
          <w:sz w:val="24"/>
          <w:szCs w:val="24"/>
        </w:rPr>
        <w:lastRenderedPageBreak/>
        <w:t xml:space="preserve">in place regular common public reporting on </w:t>
      </w:r>
      <w:r>
        <w:rPr>
          <w:rFonts w:ascii="Times New Roman" w:hAnsi="Times New Roman"/>
          <w:i/>
          <w:noProof/>
          <w:sz w:val="24"/>
          <w:szCs w:val="24"/>
        </w:rPr>
        <w:t>its implementation, including solutions to the issues of shortages of court clerks, excessive workload and delays in motivation of decisions.</w:t>
      </w:r>
    </w:p>
    <w:p w:rsidR="00F02F5D" w:rsidRDefault="007C4C0E">
      <w:pPr>
        <w:keepNext/>
        <w:spacing w:before="120" w:after="120" w:line="240" w:lineRule="auto"/>
        <w:jc w:val="both"/>
        <w:rPr>
          <w:rFonts w:ascii="Times New Roman" w:hAnsi="Times New Roman"/>
          <w:i/>
          <w:noProof/>
          <w:sz w:val="24"/>
          <w:szCs w:val="24"/>
        </w:rPr>
      </w:pPr>
      <w:r>
        <w:rPr>
          <w:rFonts w:ascii="Times New Roman" w:hAnsi="Times New Roman"/>
          <w:i/>
          <w:noProof/>
          <w:sz w:val="24"/>
          <w:szCs w:val="24"/>
        </w:rPr>
        <w:t>Respect for court decisions</w:t>
      </w:r>
    </w:p>
    <w:p w:rsidR="00F02F5D" w:rsidRDefault="007C4C0E">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rPr>
        <w:t>This recommendation concerns enforcement of decisions against the State, in which a pu</w:t>
      </w:r>
      <w:r>
        <w:rPr>
          <w:rFonts w:ascii="Times New Roman" w:eastAsia="Times New Roman" w:hAnsi="Times New Roman"/>
          <w:noProof/>
          <w:sz w:val="24"/>
          <w:szCs w:val="24"/>
        </w:rPr>
        <w:t xml:space="preserve">blic institution has to pay an amount of money or to fulfil an action following a court decision. </w:t>
      </w:r>
      <w:r>
        <w:rPr>
          <w:rFonts w:ascii="Times New Roman" w:hAnsi="Times New Roman"/>
          <w:noProof/>
          <w:sz w:val="24"/>
          <w:szCs w:val="24"/>
        </w:rPr>
        <w:t>The Minister of Justice has acknowledged that the effective implementation of all court decisions against the State is essential.</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At the end of August, Romani</w:t>
      </w:r>
      <w:r>
        <w:rPr>
          <w:rFonts w:ascii="Times New Roman" w:hAnsi="Times New Roman"/>
          <w:noProof/>
          <w:sz w:val="24"/>
          <w:szCs w:val="24"/>
        </w:rPr>
        <w:t>a updated its 2016 action plan, prepared for the Council of Europe in order to address the structural problems of non-enforcement of court decisions against the State identified by European Court of Human Rights.</w:t>
      </w:r>
      <w:r>
        <w:rPr>
          <w:rStyle w:val="FootnoteReference"/>
          <w:rFonts w:ascii="Times New Roman" w:hAnsi="Times New Roman"/>
          <w:noProof/>
          <w:sz w:val="24"/>
          <w:szCs w:val="24"/>
        </w:rPr>
        <w:footnoteReference w:id="19"/>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implementation of this action plan wou</w:t>
      </w:r>
      <w:r>
        <w:rPr>
          <w:rFonts w:ascii="Times New Roman" w:hAnsi="Times New Roman"/>
          <w:noProof/>
          <w:sz w:val="24"/>
          <w:szCs w:val="24"/>
        </w:rPr>
        <w:t>ld largely address recommendation 5. To assess the extent of progress on implementing this recommendation, the Commission looks forward to receiving concrete solutions and a detailed timetable to address the problems identified.</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other action needed to </w:t>
      </w:r>
      <w:r>
        <w:rPr>
          <w:rFonts w:ascii="Times New Roman" w:hAnsi="Times New Roman"/>
          <w:noProof/>
          <w:sz w:val="24"/>
          <w:szCs w:val="24"/>
        </w:rPr>
        <w:t>implement this recommendation is to develop procedures within the public administration to ensure that the public administrations consistently apply the solution provided by the courts in similar cases when there has been a final appeal decision or an inte</w:t>
      </w:r>
      <w:r>
        <w:rPr>
          <w:rFonts w:ascii="Times New Roman" w:hAnsi="Times New Roman"/>
          <w:noProof/>
          <w:sz w:val="24"/>
          <w:szCs w:val="24"/>
        </w:rPr>
        <w:t>rpretative decision from the High Court of Cassation and Justice. Such a procedure would reduce the risk of repetitive cases going to court and increase the confidence of citizens and businesses in the decisions of public administrations.</w:t>
      </w:r>
    </w:p>
    <w:p w:rsidR="00F02F5D" w:rsidRDefault="007C4C0E">
      <w:pPr>
        <w:keepNext/>
        <w:spacing w:before="120" w:after="120" w:line="240" w:lineRule="auto"/>
        <w:jc w:val="both"/>
        <w:rPr>
          <w:rFonts w:ascii="Times New Roman" w:eastAsia="Times New Roman" w:hAnsi="Times New Roman"/>
          <w:i/>
          <w:noProof/>
          <w:sz w:val="24"/>
          <w:szCs w:val="24"/>
        </w:rPr>
      </w:pPr>
      <w:r>
        <w:rPr>
          <w:rFonts w:ascii="Times New Roman" w:hAnsi="Times New Roman"/>
          <w:i/>
          <w:noProof/>
          <w:sz w:val="24"/>
          <w:szCs w:val="24"/>
        </w:rPr>
        <w:t>Structural reform</w:t>
      </w:r>
      <w:r>
        <w:rPr>
          <w:rFonts w:ascii="Times New Roman" w:hAnsi="Times New Roman"/>
          <w:i/>
          <w:noProof/>
          <w:sz w:val="24"/>
          <w:szCs w:val="24"/>
        </w:rPr>
        <w:t>s to the judicial system</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After a delay earlier in the year, the Judicial Strategic Management Council met in June and September 2017. In the last meeting, an overall monitoring of the implementation of the action plan on the Strategy for the Development of</w:t>
      </w:r>
      <w:r>
        <w:rPr>
          <w:rFonts w:ascii="Times New Roman" w:hAnsi="Times New Roman"/>
          <w:noProof/>
          <w:sz w:val="24"/>
          <w:szCs w:val="24"/>
        </w:rPr>
        <w:t xml:space="preserve"> the Judiciary 2015-2020, with quarterly reports, was set up. Individual judicial institutions report that they are implementing the action plan, and the Ministry of Justice has successfully applied for EU structural funds to finance the action plan. These</w:t>
      </w:r>
      <w:r>
        <w:rPr>
          <w:rFonts w:ascii="Times New Roman" w:hAnsi="Times New Roman"/>
          <w:noProof/>
          <w:sz w:val="24"/>
          <w:szCs w:val="24"/>
        </w:rPr>
        <w:t xml:space="preserve"> steps would need to be accompanied by clear monitoring and regular use of the Council as a real coordination body </w:t>
      </w:r>
      <w:r>
        <w:rPr>
          <w:rFonts w:ascii="Times New Roman" w:eastAsia="MS Mincho" w:hAnsi="Times New Roman"/>
          <w:noProof/>
          <w:sz w:val="24"/>
          <w:szCs w:val="24"/>
        </w:rPr>
        <w:t>to foster dialogue and cooperation on the common issues that affect the functioning of the judicial system.</w:t>
      </w:r>
    </w:p>
    <w:p w:rsidR="00F02F5D" w:rsidRDefault="00F02F5D">
      <w:pPr>
        <w:spacing w:after="120" w:line="240" w:lineRule="auto"/>
        <w:jc w:val="both"/>
        <w:rPr>
          <w:rFonts w:ascii="Times New Roman" w:hAnsi="Times New Roman"/>
          <w:noProof/>
          <w:sz w:val="24"/>
          <w:szCs w:val="24"/>
        </w:rPr>
      </w:pP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7</w:t>
      </w:r>
      <w:r>
        <w:rPr>
          <w:rFonts w:ascii="Times New Roman" w:hAnsi="Times New Roman"/>
          <w:i/>
          <w:noProof/>
          <w:sz w:val="24"/>
          <w:szCs w:val="24"/>
        </w:rPr>
        <w:t xml:space="preserve">: The new </w:t>
      </w:r>
      <w:r>
        <w:rPr>
          <w:rFonts w:ascii="Times New Roman" w:eastAsiaTheme="minorHAnsi" w:hAnsi="Times New Roman"/>
          <w:i/>
          <w:noProof/>
          <w:sz w:val="24"/>
          <w:szCs w:val="24"/>
        </w:rPr>
        <w:t>Superi</w:t>
      </w:r>
      <w:r>
        <w:rPr>
          <w:rFonts w:ascii="Times New Roman" w:eastAsiaTheme="minorHAnsi" w:hAnsi="Times New Roman"/>
          <w:i/>
          <w:noProof/>
          <w:sz w:val="24"/>
          <w:szCs w:val="24"/>
        </w:rPr>
        <w:t>or Council of the Magistracy</w:t>
      </w:r>
      <w:r>
        <w:rPr>
          <w:rFonts w:ascii="Times New Roman" w:eastAsiaTheme="minorHAnsi" w:hAnsi="Times New Roman"/>
          <w:noProof/>
          <w:sz w:val="24"/>
          <w:szCs w:val="24"/>
        </w:rPr>
        <w:t xml:space="preserve"> </w:t>
      </w:r>
      <w:r>
        <w:rPr>
          <w:rFonts w:ascii="Times New Roman" w:hAnsi="Times New Roman"/>
          <w:i/>
          <w:noProof/>
          <w:sz w:val="24"/>
          <w:szCs w:val="24"/>
        </w:rPr>
        <w:t>should prepare a collective programme for its mandate, including measures to promote transparency and accountability. It should include a strategy on outreach, with regular open meetings with assemblies of judges and prosecutor</w:t>
      </w:r>
      <w:r>
        <w:rPr>
          <w:rFonts w:ascii="Times New Roman" w:hAnsi="Times New Roman"/>
          <w:i/>
          <w:noProof/>
          <w:sz w:val="24"/>
          <w:szCs w:val="24"/>
        </w:rPr>
        <w:t>s at all levels, as well as with civil society and professional organisations, and set up annual reporting to be discussed in courts' and prosecutors' general assemblies.</w:t>
      </w:r>
    </w:p>
    <w:p w:rsidR="00F02F5D" w:rsidRDefault="007C4C0E">
      <w:pPr>
        <w:pStyle w:val="PlainText"/>
        <w:keepNext/>
        <w:spacing w:before="120" w:after="120"/>
        <w:jc w:val="both"/>
        <w:rPr>
          <w:rFonts w:ascii="Times New Roman" w:hAnsi="Times New Roman"/>
          <w:i/>
          <w:noProof/>
          <w:sz w:val="24"/>
          <w:szCs w:val="24"/>
          <w:lang w:val="en-GB"/>
        </w:rPr>
      </w:pPr>
      <w:r>
        <w:rPr>
          <w:rFonts w:ascii="Times New Roman" w:hAnsi="Times New Roman"/>
          <w:i/>
          <w:noProof/>
          <w:sz w:val="24"/>
          <w:szCs w:val="24"/>
          <w:lang w:val="en-GB"/>
        </w:rPr>
        <w:t xml:space="preserve">Transparency and accountability of the </w:t>
      </w:r>
      <w:r>
        <w:rPr>
          <w:rFonts w:ascii="Times New Roman" w:eastAsiaTheme="minorHAnsi" w:hAnsi="Times New Roman"/>
          <w:i/>
          <w:noProof/>
          <w:sz w:val="24"/>
          <w:szCs w:val="24"/>
          <w:lang w:val="en-GB"/>
        </w:rPr>
        <w:t>Superior Council of the Magistracy</w:t>
      </w:r>
      <w:r>
        <w:rPr>
          <w:rFonts w:ascii="Times New Roman" w:eastAsiaTheme="minorHAnsi" w:hAnsi="Times New Roman"/>
          <w:noProof/>
          <w:sz w:val="24"/>
          <w:szCs w:val="24"/>
          <w:lang w:val="en-GB"/>
        </w:rPr>
        <w:t xml:space="preserve"> </w:t>
      </w:r>
    </w:p>
    <w:p w:rsidR="00F02F5D" w:rsidRDefault="007C4C0E">
      <w:pPr>
        <w:spacing w:before="120" w:after="120" w:line="240" w:lineRule="auto"/>
        <w:jc w:val="both"/>
        <w:rPr>
          <w:rFonts w:ascii="Times New Roman" w:eastAsia="SimSun" w:hAnsi="Times New Roman"/>
          <w:noProof/>
          <w:sz w:val="24"/>
          <w:szCs w:val="24"/>
        </w:rPr>
      </w:pPr>
      <w:r>
        <w:rPr>
          <w:rFonts w:ascii="Times New Roman" w:eastAsia="SimSun" w:hAnsi="Times New Roman"/>
          <w:noProof/>
          <w:sz w:val="24"/>
          <w:szCs w:val="24"/>
        </w:rPr>
        <w:t xml:space="preserve">On 6 </w:t>
      </w:r>
      <w:r>
        <w:rPr>
          <w:rFonts w:ascii="Times New Roman" w:eastAsia="SimSun" w:hAnsi="Times New Roman"/>
          <w:noProof/>
          <w:sz w:val="24"/>
          <w:szCs w:val="24"/>
        </w:rPr>
        <w:t>January 2017, the new Council started its activity.</w:t>
      </w:r>
      <w:r>
        <w:rPr>
          <w:rFonts w:ascii="Times New Roman" w:eastAsia="SimSun" w:hAnsi="Times New Roman"/>
          <w:noProof/>
          <w:sz w:val="24"/>
          <w:szCs w:val="24"/>
          <w:vertAlign w:val="superscript"/>
        </w:rPr>
        <w:footnoteReference w:id="20"/>
      </w:r>
      <w:r>
        <w:rPr>
          <w:rFonts w:ascii="Times New Roman" w:eastAsia="SimSun" w:hAnsi="Times New Roman"/>
          <w:noProof/>
          <w:sz w:val="24"/>
          <w:szCs w:val="24"/>
        </w:rPr>
        <w:t xml:space="preserve"> The new Council has had to face challenging circumstances. It has however shown its readiness to take difficult decisions through the negative opinions on the Executive Ordinance in February, and again o</w:t>
      </w:r>
      <w:r>
        <w:rPr>
          <w:rFonts w:ascii="Times New Roman" w:eastAsia="SimSun" w:hAnsi="Times New Roman"/>
          <w:noProof/>
          <w:sz w:val="24"/>
          <w:szCs w:val="24"/>
        </w:rPr>
        <w:t xml:space="preserve">n the amendments to the laws on Justice in September and November. The Council has also faced the need to defend the independence and reputation of magistrates, in particular prosecutors, </w:t>
      </w:r>
      <w:r>
        <w:rPr>
          <w:rFonts w:ascii="Times New Roman" w:eastAsia="SimSun" w:hAnsi="Times New Roman"/>
          <w:noProof/>
          <w:sz w:val="24"/>
          <w:szCs w:val="24"/>
        </w:rPr>
        <w:lastRenderedPageBreak/>
        <w:t>and the complication of receiving repeated disciplinary or manageria</w:t>
      </w:r>
      <w:r>
        <w:rPr>
          <w:rFonts w:ascii="Times New Roman" w:eastAsia="SimSun" w:hAnsi="Times New Roman"/>
          <w:noProof/>
          <w:sz w:val="24"/>
          <w:szCs w:val="24"/>
        </w:rPr>
        <w:t xml:space="preserve">l complaints against the same magistrates from other State powers. The Council can therefore be seen to have fulfilled its tasks and showed the strength and resilience of the institution. </w:t>
      </w:r>
    </w:p>
    <w:p w:rsidR="00F02F5D" w:rsidRDefault="007C4C0E">
      <w:pPr>
        <w:spacing w:before="120" w:after="120" w:line="240" w:lineRule="auto"/>
        <w:jc w:val="both"/>
        <w:rPr>
          <w:rFonts w:ascii="Times New Roman" w:eastAsiaTheme="minorHAnsi" w:hAnsi="Times New Roman"/>
          <w:noProof/>
          <w:sz w:val="24"/>
          <w:szCs w:val="24"/>
        </w:rPr>
      </w:pPr>
      <w:r>
        <w:rPr>
          <w:rFonts w:ascii="Times New Roman" w:eastAsia="SimSun" w:hAnsi="Times New Roman"/>
          <w:noProof/>
          <w:sz w:val="24"/>
          <w:szCs w:val="24"/>
        </w:rPr>
        <w:t>In line with the recommendation, at the end of February 2017, the S</w:t>
      </w:r>
      <w:r>
        <w:rPr>
          <w:rFonts w:ascii="Times New Roman" w:eastAsia="SimSun" w:hAnsi="Times New Roman"/>
          <w:noProof/>
          <w:sz w:val="24"/>
          <w:szCs w:val="24"/>
        </w:rPr>
        <w:t xml:space="preserve">uperior Council of the Magistracy set out its priorities for its mandate (2017–2022). They provide a first basis to promote the accountability of the institution. The Council </w:t>
      </w:r>
      <w:r>
        <w:rPr>
          <w:rFonts w:ascii="Times New Roman" w:hAnsi="Times New Roman"/>
          <w:noProof/>
          <w:sz w:val="24"/>
          <w:szCs w:val="24"/>
        </w:rPr>
        <w:t>has taken measures to promote transparency and openness, such as a new website, a</w:t>
      </w:r>
      <w:r>
        <w:rPr>
          <w:rFonts w:ascii="Times New Roman" w:hAnsi="Times New Roman"/>
          <w:noProof/>
          <w:sz w:val="24"/>
          <w:szCs w:val="24"/>
        </w:rPr>
        <w:t>nd the direct participation of representatives of courts, magistrates' professional associations or NGOs in Council meetings. The Council has also organised ongoing consultations of courts and prosecutor’s offices, which has proved an important channel for</w:t>
      </w:r>
      <w:r>
        <w:rPr>
          <w:rFonts w:ascii="Times New Roman" w:hAnsi="Times New Roman"/>
          <w:noProof/>
          <w:sz w:val="24"/>
          <w:szCs w:val="24"/>
        </w:rPr>
        <w:t xml:space="preserve"> communication and consultation. </w:t>
      </w:r>
      <w:r>
        <w:rPr>
          <w:rFonts w:ascii="Times New Roman" w:eastAsiaTheme="minorHAnsi" w:hAnsi="Times New Roman"/>
          <w:noProof/>
          <w:sz w:val="24"/>
          <w:szCs w:val="24"/>
        </w:rPr>
        <w:t>The Council is also working on a collective programme and strategy which will cover areas including outreach, measures to improve the public image of the judiciary, relations with mass-media and the cooperation with the Gov</w:t>
      </w:r>
      <w:r>
        <w:rPr>
          <w:rFonts w:ascii="Times New Roman" w:eastAsiaTheme="minorHAnsi" w:hAnsi="Times New Roman"/>
          <w:noProof/>
          <w:sz w:val="24"/>
          <w:szCs w:val="24"/>
        </w:rPr>
        <w:t>ernment and the Parliament.</w:t>
      </w:r>
    </w:p>
    <w:p w:rsidR="00F02F5D" w:rsidRDefault="007C4C0E">
      <w:pPr>
        <w:spacing w:before="120" w:after="120" w:line="240" w:lineRule="auto"/>
        <w:jc w:val="both"/>
        <w:rPr>
          <w:rFonts w:ascii="Times New Roman" w:eastAsia="SimSun" w:hAnsi="Times New Roman"/>
          <w:noProof/>
          <w:sz w:val="24"/>
          <w:szCs w:val="24"/>
        </w:rPr>
      </w:pPr>
      <w:r>
        <w:rPr>
          <w:rFonts w:ascii="Times New Roman" w:eastAsiaTheme="minorHAnsi" w:hAnsi="Times New Roman"/>
          <w:noProof/>
          <w:sz w:val="24"/>
          <w:szCs w:val="24"/>
        </w:rPr>
        <w:t xml:space="preserve">The Council should continue to consolidate its work to defend the reputation of the magistracy in a consistent and effective way, and to contribute to </w:t>
      </w:r>
      <w:r>
        <w:rPr>
          <w:rFonts w:ascii="Times New Roman" w:eastAsia="SimSun" w:hAnsi="Times New Roman"/>
          <w:noProof/>
          <w:sz w:val="24"/>
          <w:szCs w:val="24"/>
        </w:rPr>
        <w:t>a constructive and transparent dialogue with the Government and Parliament. T</w:t>
      </w:r>
      <w:r>
        <w:rPr>
          <w:rFonts w:ascii="Times New Roman" w:eastAsia="SimSun" w:hAnsi="Times New Roman"/>
          <w:noProof/>
          <w:sz w:val="24"/>
          <w:szCs w:val="24"/>
        </w:rPr>
        <w:t xml:space="preserve">he Council should also promote further strengthening of cooperation between judicial institutions on key outstanding issues, including the functioning of the Judicial Inspection. </w:t>
      </w:r>
    </w:p>
    <w:p w:rsidR="00F02F5D" w:rsidRDefault="00F02F5D">
      <w:pPr>
        <w:spacing w:before="120" w:after="120" w:line="240" w:lineRule="auto"/>
        <w:jc w:val="both"/>
        <w:rPr>
          <w:rFonts w:ascii="Times New Roman" w:hAnsi="Times New Roman"/>
          <w:i/>
          <w:noProof/>
          <w:sz w:val="24"/>
          <w:szCs w:val="24"/>
        </w:rPr>
      </w:pPr>
    </w:p>
    <w:p w:rsidR="00F02F5D" w:rsidRDefault="007C4C0E">
      <w:pPr>
        <w:spacing w:before="120" w:after="120" w:line="240" w:lineRule="auto"/>
        <w:jc w:val="both"/>
        <w:rPr>
          <w:rFonts w:ascii="Times New Roman" w:hAnsi="Times New Roman"/>
          <w:i/>
          <w:noProof/>
          <w:sz w:val="24"/>
          <w:szCs w:val="24"/>
        </w:rPr>
      </w:pPr>
      <w:r>
        <w:rPr>
          <w:rFonts w:ascii="Times New Roman" w:hAnsi="Times New Roman"/>
          <w:i/>
          <w:noProof/>
          <w:sz w:val="24"/>
          <w:szCs w:val="24"/>
        </w:rPr>
        <w:t>On the basis of an analysis of recommendations 1 to 7, the Commission considers that further work is needed to fulfil benchmark one. Several positive developments have taken place, in particular in relation to the codes of conduct, the Civil Codes, as well</w:t>
      </w:r>
      <w:r>
        <w:rPr>
          <w:rFonts w:ascii="Times New Roman" w:hAnsi="Times New Roman"/>
          <w:i/>
          <w:noProof/>
          <w:sz w:val="24"/>
          <w:szCs w:val="24"/>
        </w:rPr>
        <w:t xml:space="preserve"> as steps taken to implement the Strategy for the Developments of the Judiciary and in relation to the activities of the new Superior Council of Magistracy. However, the political situation and legislative proposals that risk having a negative impact on re</w:t>
      </w:r>
      <w:r>
        <w:rPr>
          <w:rFonts w:ascii="Times New Roman" w:hAnsi="Times New Roman"/>
          <w:i/>
          <w:noProof/>
          <w:sz w:val="24"/>
          <w:szCs w:val="24"/>
        </w:rPr>
        <w:t xml:space="preserve">form have held back progress. The analysis of the recommendations points at several initiatives and processes that, if carried through, offer promising possibilities for Romania to swiftly resume progress under benchmark one. </w:t>
      </w:r>
    </w:p>
    <w:p w:rsidR="00F02F5D" w:rsidRDefault="00F02F5D">
      <w:pPr>
        <w:keepNext/>
        <w:spacing w:before="240" w:after="120" w:line="240" w:lineRule="auto"/>
        <w:jc w:val="both"/>
        <w:rPr>
          <w:rFonts w:ascii="Times New Roman" w:hAnsi="Times New Roman"/>
          <w:b/>
          <w:noProof/>
          <w:sz w:val="24"/>
          <w:szCs w:val="24"/>
        </w:rPr>
      </w:pPr>
    </w:p>
    <w:p w:rsidR="00F02F5D" w:rsidRDefault="007C4C0E">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3.2. </w:t>
      </w:r>
      <w:r>
        <w:rPr>
          <w:rFonts w:ascii="Times New Roman" w:hAnsi="Times New Roman"/>
          <w:b/>
          <w:noProof/>
          <w:sz w:val="24"/>
          <w:szCs w:val="24"/>
        </w:rPr>
        <w:tab/>
        <w:t>Benchmark two: Integri</w:t>
      </w:r>
      <w:r>
        <w:rPr>
          <w:rFonts w:ascii="Times New Roman" w:hAnsi="Times New Roman"/>
          <w:b/>
          <w:noProof/>
          <w:sz w:val="24"/>
          <w:szCs w:val="24"/>
        </w:rPr>
        <w:t>ty framework and the National Integrity Agency</w:t>
      </w: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8:</w:t>
      </w:r>
      <w:r>
        <w:rPr>
          <w:rFonts w:ascii="Times New Roman" w:hAnsi="Times New Roman"/>
          <w:i/>
          <w:noProof/>
          <w:sz w:val="24"/>
          <w:szCs w:val="24"/>
        </w:rPr>
        <w:t xml:space="preserve"> Ensure the entry into operation of the PREVENT system. The National Integrity Agency and the National Public Procurement Agency should put in place reporting on the ex-ante checks of public procurement procedures and their follow-up, including ex post che</w:t>
      </w:r>
      <w:r>
        <w:rPr>
          <w:rFonts w:ascii="Times New Roman" w:hAnsi="Times New Roman"/>
          <w:i/>
          <w:noProof/>
          <w:sz w:val="24"/>
          <w:szCs w:val="24"/>
        </w:rPr>
        <w:t>cks, as well as on cases of conflicts of interest or corruption discovered, and the organisation of public debates so that the government, local authorities, the judiciary and civil society are invited to respond.</w:t>
      </w:r>
    </w:p>
    <w:p w:rsidR="00F02F5D" w:rsidRDefault="007C4C0E">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rPr>
      </w:pPr>
      <w:r>
        <w:rPr>
          <w:rFonts w:ascii="Times New Roman" w:hAnsi="Times New Roman"/>
          <w:b/>
          <w:i/>
          <w:noProof/>
          <w:sz w:val="24"/>
          <w:szCs w:val="24"/>
        </w:rPr>
        <w:t>Recommendation 9</w:t>
      </w:r>
      <w:r>
        <w:rPr>
          <w:rFonts w:ascii="Times New Roman" w:hAnsi="Times New Roman"/>
          <w:i/>
          <w:noProof/>
          <w:sz w:val="24"/>
          <w:szCs w:val="24"/>
        </w:rPr>
        <w:t>: The Parliament should be</w:t>
      </w:r>
      <w:r>
        <w:rPr>
          <w:rFonts w:ascii="Times New Roman" w:hAnsi="Times New Roman"/>
          <w:i/>
          <w:noProof/>
          <w:sz w:val="24"/>
          <w:szCs w:val="24"/>
        </w:rPr>
        <w:t xml:space="preserve"> transparent in its decision-making with regard to the follow-up to final and irrevocable decisions on incompatibilities, conflicts of interests and unjustified wealth against its members.</w:t>
      </w:r>
    </w:p>
    <w:p w:rsidR="00F02F5D" w:rsidRDefault="007C4C0E">
      <w:pPr>
        <w:spacing w:after="120" w:line="240" w:lineRule="auto"/>
        <w:jc w:val="both"/>
        <w:rPr>
          <w:rFonts w:ascii="Times New Roman" w:hAnsi="Times New Roman"/>
          <w:noProof/>
          <w:sz w:val="24"/>
          <w:szCs w:val="24"/>
        </w:rPr>
      </w:pPr>
      <w:r>
        <w:rPr>
          <w:rFonts w:ascii="Times New Roman" w:hAnsi="Times New Roman"/>
          <w:noProof/>
          <w:sz w:val="24"/>
          <w:szCs w:val="24"/>
        </w:rPr>
        <w:t>The PREVENT system is designed to prevent conflicts of interests in</w:t>
      </w:r>
      <w:r>
        <w:rPr>
          <w:rFonts w:ascii="Times New Roman" w:hAnsi="Times New Roman"/>
          <w:noProof/>
          <w:sz w:val="24"/>
          <w:szCs w:val="24"/>
        </w:rPr>
        <w:t xml:space="preserve"> public procurement procedures by setting up an ex-ante verification mechanism and allowing the contracting authorities to remedy these situations prior to the award of the contract. The system</w:t>
      </w:r>
      <w:r>
        <w:rPr>
          <w:rFonts w:ascii="Times New Roman" w:hAnsi="Times New Roman"/>
          <w:noProof/>
          <w:sz w:val="24"/>
          <w:szCs w:val="24"/>
          <w:vertAlign w:val="superscript"/>
        </w:rPr>
        <w:t xml:space="preserve"> </w:t>
      </w:r>
      <w:r>
        <w:rPr>
          <w:rFonts w:ascii="Times New Roman" w:hAnsi="Times New Roman"/>
          <w:noProof/>
          <w:sz w:val="24"/>
          <w:szCs w:val="24"/>
        </w:rPr>
        <w:t>entered into operation at the end of June. It is the result of</w:t>
      </w:r>
      <w:r>
        <w:rPr>
          <w:rFonts w:ascii="Times New Roman" w:hAnsi="Times New Roman"/>
          <w:noProof/>
          <w:sz w:val="24"/>
          <w:szCs w:val="24"/>
        </w:rPr>
        <w:t xml:space="preserve"> a close collaboration between the National Integrity Agency, the Agency for Public Procurement and the Digital Agenda Agency, as well as with the Government. It has now been operating for four months and is delivering its first results. </w:t>
      </w:r>
    </w:p>
    <w:p w:rsidR="00F02F5D" w:rsidRDefault="007C4C0E">
      <w:pPr>
        <w:spacing w:before="240" w:after="120" w:line="240" w:lineRule="auto"/>
        <w:jc w:val="both"/>
        <w:rPr>
          <w:rFonts w:ascii="Times New Roman" w:hAnsi="Times New Roman"/>
          <w:noProof/>
          <w:sz w:val="24"/>
          <w:szCs w:val="24"/>
        </w:rPr>
      </w:pPr>
      <w:r>
        <w:rPr>
          <w:rFonts w:ascii="Times New Roman" w:hAnsi="Times New Roman"/>
          <w:noProof/>
          <w:sz w:val="24"/>
          <w:szCs w:val="24"/>
        </w:rPr>
        <w:lastRenderedPageBreak/>
        <w:t>Successive CVM re</w:t>
      </w:r>
      <w:r>
        <w:rPr>
          <w:rFonts w:ascii="Times New Roman" w:hAnsi="Times New Roman"/>
          <w:noProof/>
          <w:sz w:val="24"/>
          <w:szCs w:val="24"/>
        </w:rPr>
        <w:t>ports have highlighted the delay and inconsistency of application of sanctions for Members of Parliament found incompatible or in conflict of interest following a final court decision on a report of the National Integrity Agency. The Commission had therefo</w:t>
      </w:r>
      <w:r>
        <w:rPr>
          <w:rFonts w:ascii="Times New Roman" w:hAnsi="Times New Roman"/>
          <w:noProof/>
          <w:sz w:val="24"/>
          <w:szCs w:val="24"/>
        </w:rPr>
        <w:t>re recommended that the Parliament should be transparent in its decision-making with regard to the follow-up to final and irrevocable decisions on incompatibilities, conflicts of interests and unjustified wealth against its members. The Commission has rece</w:t>
      </w:r>
      <w:r>
        <w:rPr>
          <w:rFonts w:ascii="Times New Roman" w:hAnsi="Times New Roman"/>
          <w:noProof/>
          <w:sz w:val="24"/>
          <w:szCs w:val="24"/>
        </w:rPr>
        <w:t>ived information on the applicable procedures and on the publicity of parliamentary debates, but not yet on whether debates and decisions have indeed been taken on pending cases. Although the rules and procedures in Parliament to apply sanctions seem to be</w:t>
      </w:r>
      <w:r>
        <w:rPr>
          <w:rFonts w:ascii="Times New Roman" w:hAnsi="Times New Roman"/>
          <w:noProof/>
          <w:sz w:val="24"/>
          <w:szCs w:val="24"/>
        </w:rPr>
        <w:t xml:space="preserve"> clear, the National Integrity Agency reports that there are three pending cases of Members of Parliament where final integrity decisions ruled by the courts in 2017 have still not been implemented. It is not clear whether there are deadlines for the Parli</w:t>
      </w:r>
      <w:r>
        <w:rPr>
          <w:rFonts w:ascii="Times New Roman" w:hAnsi="Times New Roman"/>
          <w:noProof/>
          <w:sz w:val="24"/>
          <w:szCs w:val="24"/>
        </w:rPr>
        <w:t>ament to implement the sanction. Furthermore, there are also three cases of Members of Parliament whose mandates have been confirmed after the elections at the end of 2016 despite the fact that they are under a three-year ban from occupying an elected func</w:t>
      </w:r>
      <w:r>
        <w:rPr>
          <w:rFonts w:ascii="Times New Roman" w:hAnsi="Times New Roman"/>
          <w:noProof/>
          <w:sz w:val="24"/>
          <w:szCs w:val="24"/>
        </w:rPr>
        <w:t>tion following a final court decision. The National Integrity Agency informed the Parliament in February 2017, but the Parliament has not yet taken steps to resolve these three cases.</w:t>
      </w:r>
    </w:p>
    <w:p w:rsidR="00F02F5D" w:rsidRDefault="007C4C0E">
      <w:pPr>
        <w:spacing w:before="240" w:after="120" w:line="240" w:lineRule="auto"/>
        <w:jc w:val="both"/>
        <w:rPr>
          <w:rFonts w:ascii="Times New Roman" w:hAnsi="Times New Roman"/>
          <w:noProof/>
          <w:sz w:val="24"/>
          <w:szCs w:val="24"/>
        </w:rPr>
      </w:pPr>
      <w:r>
        <w:rPr>
          <w:rFonts w:ascii="Times New Roman" w:hAnsi="Times New Roman"/>
          <w:noProof/>
          <w:sz w:val="24"/>
          <w:szCs w:val="24"/>
        </w:rPr>
        <w:t xml:space="preserve">Concrete steps which could give reality to the transparency proposed in </w:t>
      </w:r>
      <w:r>
        <w:rPr>
          <w:rFonts w:ascii="Times New Roman" w:hAnsi="Times New Roman"/>
          <w:noProof/>
          <w:sz w:val="24"/>
          <w:szCs w:val="24"/>
        </w:rPr>
        <w:t>the recommendation would be for example that the President of the respective chamber of Parliament publically acknowledges receipt of the final court decision (or a report of the National Integrity Agency which has not been challenged in court); announcing</w:t>
      </w:r>
      <w:r>
        <w:rPr>
          <w:rFonts w:ascii="Times New Roman" w:hAnsi="Times New Roman"/>
          <w:noProof/>
          <w:sz w:val="24"/>
          <w:szCs w:val="24"/>
        </w:rPr>
        <w:t xml:space="preserve"> a calendar for decision; and providing information to the public and to the National Integrity Agency once this decision process is completed. Action from the Parliament on these six cases would allow rapid positive progress on this recommendation.</w:t>
      </w:r>
    </w:p>
    <w:p w:rsidR="00F02F5D" w:rsidRDefault="007C4C0E">
      <w:pPr>
        <w:spacing w:before="240" w:after="120" w:line="240" w:lineRule="auto"/>
        <w:jc w:val="both"/>
        <w:rPr>
          <w:rFonts w:ascii="Times New Roman" w:hAnsi="Times New Roman"/>
          <w:noProof/>
          <w:sz w:val="24"/>
          <w:szCs w:val="24"/>
        </w:rPr>
      </w:pPr>
      <w:r>
        <w:rPr>
          <w:rFonts w:ascii="Times New Roman" w:hAnsi="Times New Roman"/>
          <w:i/>
          <w:noProof/>
          <w:sz w:val="24"/>
          <w:szCs w:val="24"/>
        </w:rPr>
        <w:t>On the</w:t>
      </w:r>
      <w:r>
        <w:rPr>
          <w:rFonts w:ascii="Times New Roman" w:hAnsi="Times New Roman"/>
          <w:i/>
          <w:noProof/>
          <w:sz w:val="24"/>
          <w:szCs w:val="24"/>
        </w:rPr>
        <w:t xml:space="preserve"> basis of an analysis of recommendations 8 and 9, the Commission considers that overall Romania has made significant progress on benchmark two. The implementation of recommendation 8 is satisfactory. Rapid decision on all outstanding cases of Members of Pa</w:t>
      </w:r>
      <w:r>
        <w:rPr>
          <w:rFonts w:ascii="Times New Roman" w:hAnsi="Times New Roman"/>
          <w:i/>
          <w:noProof/>
          <w:sz w:val="24"/>
          <w:szCs w:val="24"/>
        </w:rPr>
        <w:t>rliament subject to final integrity decisions would allow rapid positive progress on benchmark two.</w:t>
      </w:r>
    </w:p>
    <w:p w:rsidR="00F02F5D" w:rsidRDefault="007C4C0E">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 xml:space="preserve">3.3 </w:t>
      </w:r>
      <w:r>
        <w:rPr>
          <w:rFonts w:ascii="Times New Roman" w:hAnsi="Times New Roman"/>
          <w:b/>
          <w:noProof/>
          <w:sz w:val="24"/>
          <w:szCs w:val="24"/>
        </w:rPr>
        <w:tab/>
        <w:t>Benchmark three: Tackling High-level corruption</w:t>
      </w:r>
    </w:p>
    <w:p w:rsidR="00F02F5D" w:rsidRDefault="007C4C0E">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SimSun" w:hAnsi="Times New Roman"/>
          <w:i/>
          <w:noProof/>
          <w:sz w:val="24"/>
          <w:szCs w:val="24"/>
        </w:rPr>
      </w:pPr>
      <w:r>
        <w:rPr>
          <w:rFonts w:ascii="Times New Roman" w:eastAsia="SimSun" w:hAnsi="Times New Roman"/>
          <w:b/>
          <w:i/>
          <w:noProof/>
          <w:sz w:val="24"/>
          <w:szCs w:val="24"/>
        </w:rPr>
        <w:t>Recommendation 10:</w:t>
      </w:r>
      <w:r>
        <w:rPr>
          <w:rFonts w:ascii="Times New Roman" w:eastAsia="SimSun" w:hAnsi="Times New Roman"/>
          <w:i/>
          <w:noProof/>
          <w:sz w:val="24"/>
          <w:szCs w:val="24"/>
        </w:rPr>
        <w:t xml:space="preserve"> Adopt objective criteria for deciding on and motivating lifting of immunity of Membe</w:t>
      </w:r>
      <w:r>
        <w:rPr>
          <w:rFonts w:ascii="Times New Roman" w:eastAsia="SimSun" w:hAnsi="Times New Roman"/>
          <w:i/>
          <w:noProof/>
          <w:sz w:val="24"/>
          <w:szCs w:val="24"/>
        </w:rPr>
        <w:t>rs of Parliament to help ensure that immunity is not used to avoid investigation and prosecution of corruption crimes. The government could also consider modifying the law to limit immunity of ministers to time in office. These steps could be assisted by t</w:t>
      </w:r>
      <w:r>
        <w:rPr>
          <w:rFonts w:ascii="Times New Roman" w:eastAsia="SimSun" w:hAnsi="Times New Roman"/>
          <w:i/>
          <w:noProof/>
          <w:sz w:val="24"/>
          <w:szCs w:val="24"/>
        </w:rPr>
        <w:t>he Venice Commission and GRECO.</w:t>
      </w:r>
      <w:r>
        <w:rPr>
          <w:rFonts w:ascii="Times New Roman" w:eastAsia="SimSun" w:hAnsi="Times New Roman"/>
          <w:i/>
          <w:noProof/>
          <w:sz w:val="24"/>
          <w:szCs w:val="24"/>
          <w:vertAlign w:val="superscript"/>
        </w:rPr>
        <w:footnoteReference w:id="21"/>
      </w:r>
      <w:r>
        <w:rPr>
          <w:rFonts w:ascii="Times New Roman" w:eastAsia="SimSun" w:hAnsi="Times New Roman"/>
          <w:i/>
          <w:noProof/>
          <w:sz w:val="24"/>
          <w:szCs w:val="24"/>
        </w:rPr>
        <w:t xml:space="preserve"> The Parliament should set up a system to report regularly on decisions taken by its Chambers on requests for lifting immunities and could organise a public debate so that the Superior Council of Magistracy and civil society</w:t>
      </w:r>
      <w:r>
        <w:rPr>
          <w:rFonts w:ascii="Times New Roman" w:eastAsia="SimSun" w:hAnsi="Times New Roman"/>
          <w:i/>
          <w:noProof/>
          <w:sz w:val="24"/>
          <w:szCs w:val="24"/>
        </w:rPr>
        <w:t xml:space="preserve"> can respond.</w:t>
      </w:r>
    </w:p>
    <w:p w:rsidR="00F02F5D" w:rsidRDefault="007C4C0E">
      <w:pPr>
        <w:spacing w:before="120" w:after="120" w:line="240" w:lineRule="auto"/>
        <w:jc w:val="both"/>
        <w:rPr>
          <w:rFonts w:ascii="Times New Roman" w:eastAsia="SimSun" w:hAnsi="Times New Roman"/>
          <w:noProof/>
          <w:sz w:val="24"/>
          <w:szCs w:val="24"/>
        </w:rPr>
      </w:pPr>
      <w:r>
        <w:rPr>
          <w:rFonts w:ascii="Times New Roman" w:eastAsia="SimSun" w:hAnsi="Times New Roman"/>
          <w:noProof/>
          <w:sz w:val="24"/>
          <w:szCs w:val="24"/>
        </w:rPr>
        <w:t xml:space="preserve">Recommendation 10 concerns the accountability of the Parliament in its decisions on requests from the prosecution to authorise preventative measures such as searches or arrest and on requests to authorise the investigation of </w:t>
      </w:r>
      <w:r>
        <w:rPr>
          <w:rFonts w:ascii="Times New Roman" w:hAnsi="Times New Roman"/>
          <w:noProof/>
          <w:sz w:val="24"/>
          <w:szCs w:val="24"/>
        </w:rPr>
        <w:t xml:space="preserve">Members of Parliament </w:t>
      </w:r>
      <w:r>
        <w:rPr>
          <w:rFonts w:ascii="Times New Roman" w:eastAsia="SimSun" w:hAnsi="Times New Roman"/>
          <w:noProof/>
          <w:sz w:val="24"/>
          <w:szCs w:val="24"/>
        </w:rPr>
        <w:t xml:space="preserve">when they are or have been a Minister (referred to as "lifting of immunity"). Previous CVM reports have highlighted that such decisions had appeared to the public as attempts to limit or avoid investigation and </w:t>
      </w:r>
      <w:r>
        <w:rPr>
          <w:rFonts w:ascii="Times New Roman" w:eastAsia="SimSun" w:hAnsi="Times New Roman"/>
          <w:noProof/>
          <w:sz w:val="24"/>
          <w:szCs w:val="24"/>
        </w:rPr>
        <w:lastRenderedPageBreak/>
        <w:t>prosecution of corrupti</w:t>
      </w:r>
      <w:r>
        <w:rPr>
          <w:rFonts w:ascii="Times New Roman" w:eastAsia="SimSun" w:hAnsi="Times New Roman"/>
          <w:noProof/>
          <w:sz w:val="24"/>
          <w:szCs w:val="24"/>
        </w:rPr>
        <w:t>on offences. Therefore having criteria for deciding on such requests from the prosecution is one way of being able to show that decisions have an objective basis.</w:t>
      </w:r>
      <w:r>
        <w:rPr>
          <w:rFonts w:ascii="Times New Roman" w:eastAsia="SimSun" w:hAnsi="Times New Roman"/>
          <w:noProof/>
          <w:sz w:val="24"/>
          <w:szCs w:val="24"/>
          <w:vertAlign w:val="superscript"/>
        </w:rPr>
        <w:footnoteReference w:id="22"/>
      </w:r>
      <w:r>
        <w:rPr>
          <w:rFonts w:ascii="Times New Roman" w:eastAsia="SimSun" w:hAnsi="Times New Roman"/>
          <w:noProof/>
          <w:sz w:val="24"/>
          <w:szCs w:val="24"/>
        </w:rPr>
        <w:t xml:space="preserve">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Three recent requests for lifting immunities of Members of Parliament were rejected. In a s</w:t>
      </w:r>
      <w:r>
        <w:rPr>
          <w:rFonts w:ascii="Times New Roman" w:hAnsi="Times New Roman"/>
          <w:noProof/>
          <w:sz w:val="24"/>
          <w:szCs w:val="24"/>
        </w:rPr>
        <w:t>tep to improve transparency, the Chamber of Deputies has started to release the arguments of the Legal Committee for rejection or agreeing before the plenary vote. In two cases the arguments for rejection invoked by the Legal Committee was that the deeds h</w:t>
      </w:r>
      <w:r>
        <w:rPr>
          <w:rFonts w:ascii="Times New Roman" w:hAnsi="Times New Roman"/>
          <w:noProof/>
          <w:sz w:val="24"/>
          <w:szCs w:val="24"/>
        </w:rPr>
        <w:t xml:space="preserve">ave no legal ground – though opposition parties challenged this on the grounds that only judges can assess whether a person has committed a crime. The Commission welcomes the fact that consideration is given to the need for more transparency on the follow </w:t>
      </w:r>
      <w:r>
        <w:rPr>
          <w:rFonts w:ascii="Times New Roman" w:hAnsi="Times New Roman"/>
          <w:noProof/>
          <w:sz w:val="24"/>
          <w:szCs w:val="24"/>
        </w:rPr>
        <w:t>up to</w:t>
      </w:r>
      <w:r>
        <w:rPr>
          <w:noProof/>
        </w:rPr>
        <w:t xml:space="preserve"> </w:t>
      </w:r>
      <w:r>
        <w:rPr>
          <w:rFonts w:ascii="Times New Roman" w:hAnsi="Times New Roman"/>
          <w:noProof/>
          <w:sz w:val="24"/>
          <w:szCs w:val="24"/>
        </w:rPr>
        <w:t>requests from the prosecution but considers that more work is needed on recommendation 10. It reiterates its advice to seek assistance</w:t>
      </w:r>
      <w:r>
        <w:rPr>
          <w:rFonts w:ascii="Times New Roman" w:hAnsi="Times New Roman"/>
          <w:b/>
          <w:noProof/>
          <w:sz w:val="24"/>
          <w:szCs w:val="24"/>
        </w:rPr>
        <w:t xml:space="preserve"> </w:t>
      </w:r>
      <w:r>
        <w:rPr>
          <w:rFonts w:ascii="Times New Roman" w:hAnsi="Times New Roman"/>
          <w:noProof/>
          <w:sz w:val="24"/>
          <w:szCs w:val="24"/>
        </w:rPr>
        <w:t>of the Venice Commission and GRECO who are in the position to provide valuable expertise on practices in this area.</w:t>
      </w:r>
      <w:r>
        <w:rPr>
          <w:rFonts w:ascii="Times New Roman" w:hAnsi="Times New Roman"/>
          <w:noProof/>
          <w:sz w:val="24"/>
          <w:szCs w:val="24"/>
        </w:rPr>
        <w:t xml:space="preserve">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In the January report, the Commission made clear that weakening or shrinking the scope of corruption as an offence, or major challenges to the independence and effectiveness of the anti-corruption prosecution office, would constitute backtracking. </w:t>
      </w:r>
    </w:p>
    <w:p w:rsidR="00F02F5D" w:rsidRDefault="007C4C0E">
      <w:pPr>
        <w:spacing w:before="120" w:after="120" w:line="240" w:lineRule="auto"/>
        <w:jc w:val="both"/>
        <w:rPr>
          <w:rFonts w:ascii="Times New Roman" w:hAnsi="Times New Roman"/>
          <w:i/>
          <w:noProof/>
          <w:sz w:val="24"/>
          <w:szCs w:val="24"/>
        </w:rPr>
      </w:pPr>
      <w:r>
        <w:rPr>
          <w:rFonts w:ascii="Times New Roman" w:hAnsi="Times New Roman"/>
          <w:i/>
          <w:noProof/>
          <w:sz w:val="24"/>
          <w:szCs w:val="24"/>
        </w:rPr>
        <w:t xml:space="preserve">The </w:t>
      </w:r>
      <w:r>
        <w:rPr>
          <w:rFonts w:ascii="Times New Roman" w:hAnsi="Times New Roman"/>
          <w:i/>
          <w:noProof/>
          <w:sz w:val="24"/>
          <w:szCs w:val="24"/>
        </w:rPr>
        <w:t>Commission considers that more work is needed on recommendation 10. Overall, a positive assessment of progress under benchmark three relies on an independent National Anti-Corruption Directorate to be in a position to perform its activities with all the to</w:t>
      </w:r>
      <w:r>
        <w:rPr>
          <w:rFonts w:ascii="Times New Roman" w:hAnsi="Times New Roman"/>
          <w:i/>
          <w:noProof/>
          <w:sz w:val="24"/>
          <w:szCs w:val="24"/>
        </w:rPr>
        <w:t>ols at its disposal and maintain its track record. In previous reports, the fact that the National Anti-Corruption Directorate had maintained its track record in the face of intense pressure was noted as a sign of sustainability. For this reason, the Commi</w:t>
      </w:r>
      <w:r>
        <w:rPr>
          <w:rFonts w:ascii="Times New Roman" w:hAnsi="Times New Roman"/>
          <w:i/>
          <w:noProof/>
          <w:sz w:val="24"/>
          <w:szCs w:val="24"/>
        </w:rPr>
        <w:t>ssion limited its recommendation under benchmark three to a single one. Were that pressure to start to harm the fight against corruption, the Commission may have to reassess this conclusion.</w:t>
      </w:r>
    </w:p>
    <w:p w:rsidR="00F02F5D" w:rsidRDefault="00F02F5D">
      <w:pPr>
        <w:keepNext/>
        <w:spacing w:before="240" w:after="120" w:line="240" w:lineRule="auto"/>
        <w:jc w:val="both"/>
        <w:rPr>
          <w:rFonts w:ascii="Times New Roman" w:hAnsi="Times New Roman"/>
          <w:b/>
          <w:noProof/>
          <w:sz w:val="24"/>
          <w:szCs w:val="24"/>
        </w:rPr>
      </w:pPr>
    </w:p>
    <w:p w:rsidR="00F02F5D" w:rsidRDefault="007C4C0E">
      <w:pPr>
        <w:keepNext/>
        <w:spacing w:before="240" w:after="120" w:line="240" w:lineRule="auto"/>
        <w:jc w:val="both"/>
        <w:rPr>
          <w:rFonts w:ascii="Times New Roman" w:hAnsi="Times New Roman"/>
          <w:b/>
          <w:noProof/>
          <w:sz w:val="24"/>
          <w:szCs w:val="24"/>
        </w:rPr>
      </w:pPr>
      <w:r>
        <w:rPr>
          <w:rFonts w:ascii="Times New Roman" w:hAnsi="Times New Roman"/>
          <w:b/>
          <w:noProof/>
          <w:sz w:val="24"/>
          <w:szCs w:val="24"/>
        </w:rPr>
        <w:t>3.4</w:t>
      </w:r>
      <w:r>
        <w:rPr>
          <w:rFonts w:ascii="Times New Roman" w:hAnsi="Times New Roman"/>
          <w:b/>
          <w:noProof/>
          <w:sz w:val="24"/>
          <w:szCs w:val="24"/>
        </w:rPr>
        <w:tab/>
        <w:t>Benchmark four: Tackling Corruption at all levels</w:t>
      </w:r>
    </w:p>
    <w:p w:rsidR="00F02F5D" w:rsidRDefault="007C4C0E">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SimSun" w:hAnsi="Times New Roman"/>
          <w:i/>
          <w:noProof/>
          <w:sz w:val="24"/>
          <w:szCs w:val="24"/>
        </w:rPr>
      </w:pPr>
      <w:r>
        <w:rPr>
          <w:rFonts w:ascii="Times New Roman" w:eastAsia="SimSun" w:hAnsi="Times New Roman"/>
          <w:b/>
          <w:i/>
          <w:noProof/>
          <w:sz w:val="24"/>
          <w:szCs w:val="24"/>
        </w:rPr>
        <w:t>Recommenda</w:t>
      </w:r>
      <w:r>
        <w:rPr>
          <w:rFonts w:ascii="Times New Roman" w:eastAsia="SimSun" w:hAnsi="Times New Roman"/>
          <w:b/>
          <w:i/>
          <w:noProof/>
          <w:sz w:val="24"/>
          <w:szCs w:val="24"/>
        </w:rPr>
        <w:t xml:space="preserve">tion 11: </w:t>
      </w:r>
      <w:r>
        <w:rPr>
          <w:rFonts w:ascii="Times New Roman" w:eastAsia="SimSun" w:hAnsi="Times New Roman"/>
          <w:i/>
          <w:noProof/>
          <w:sz w:val="24"/>
          <w:szCs w:val="24"/>
        </w:rPr>
        <w:t>Continue to implement the National Anti-corruption Strategy, respecting the deadlines set by the government in August 2016. The Minister of Justice should put in place a reporting system on the effective implementation of the National Anti-corrupt</w:t>
      </w:r>
      <w:r>
        <w:rPr>
          <w:rFonts w:ascii="Times New Roman" w:eastAsia="SimSun" w:hAnsi="Times New Roman"/>
          <w:i/>
          <w:noProof/>
          <w:sz w:val="24"/>
          <w:szCs w:val="24"/>
        </w:rPr>
        <w:t>ion Strategy (including statistics on integrity incidents in public administration, details of disciplinary procedures and sanctions and information on the structural measures applied in vulnerable areas).</w:t>
      </w:r>
    </w:p>
    <w:p w:rsidR="00F02F5D" w:rsidRDefault="007C4C0E">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b/>
          <w:i/>
          <w:noProof/>
          <w:sz w:val="24"/>
          <w:szCs w:val="24"/>
        </w:rPr>
      </w:pPr>
      <w:r>
        <w:rPr>
          <w:rFonts w:ascii="Times New Roman" w:hAnsi="Times New Roman"/>
          <w:b/>
          <w:i/>
          <w:noProof/>
          <w:sz w:val="24"/>
          <w:szCs w:val="24"/>
        </w:rPr>
        <w:t xml:space="preserve">Recommendation 12: </w:t>
      </w:r>
      <w:r>
        <w:rPr>
          <w:rFonts w:ascii="Times New Roman" w:hAnsi="Times New Roman"/>
          <w:i/>
          <w:noProof/>
          <w:sz w:val="24"/>
          <w:szCs w:val="24"/>
        </w:rPr>
        <w:t>Ensure that the National Agency</w:t>
      </w:r>
      <w:r>
        <w:rPr>
          <w:rFonts w:ascii="Times New Roman" w:hAnsi="Times New Roman"/>
          <w:i/>
          <w:noProof/>
          <w:sz w:val="24"/>
          <w:szCs w:val="24"/>
        </w:rPr>
        <w:t xml:space="preserve"> for the Management of Seized Assets is fully and effectively operational so that it can issue a first annual report with reliable statistical information on confiscation of criminal assets. The Agency should put in place a system to report regularly on de</w:t>
      </w:r>
      <w:r>
        <w:rPr>
          <w:rFonts w:ascii="Times New Roman" w:hAnsi="Times New Roman"/>
          <w:i/>
          <w:noProof/>
          <w:sz w:val="24"/>
          <w:szCs w:val="24"/>
        </w:rPr>
        <w:t>velopment of administrative capacity, results in confiscation and managing criminal assets.</w:t>
      </w:r>
      <w:r>
        <w:rPr>
          <w:rFonts w:ascii="Times New Roman" w:hAnsi="Times New Roman"/>
          <w:b/>
          <w:i/>
          <w:noProof/>
          <w:sz w:val="24"/>
          <w:szCs w:val="24"/>
        </w:rPr>
        <w:t xml:space="preserve"> </w:t>
      </w:r>
    </w:p>
    <w:p w:rsidR="00F02F5D" w:rsidRDefault="007C4C0E">
      <w:pPr>
        <w:keepNext/>
        <w:spacing w:before="120" w:after="120" w:line="240" w:lineRule="auto"/>
        <w:jc w:val="both"/>
        <w:rPr>
          <w:rFonts w:ascii="Times New Roman" w:hAnsi="Times New Roman"/>
          <w:i/>
          <w:noProof/>
          <w:sz w:val="24"/>
          <w:szCs w:val="24"/>
        </w:rPr>
      </w:pPr>
      <w:r>
        <w:rPr>
          <w:rFonts w:ascii="Times New Roman" w:hAnsi="Times New Roman"/>
          <w:i/>
          <w:noProof/>
          <w:sz w:val="24"/>
          <w:szCs w:val="24"/>
        </w:rPr>
        <w:t>National Anti-Corruption Strategy</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 National Anti-Corruption Strategy 2016-2020 (NAS) presented by the Government in August 2016 has the potential to be an effec</w:t>
      </w:r>
      <w:r>
        <w:rPr>
          <w:rFonts w:ascii="Times New Roman" w:hAnsi="Times New Roman"/>
          <w:noProof/>
          <w:sz w:val="24"/>
          <w:szCs w:val="24"/>
        </w:rPr>
        <w:t>tive corruption prevention policy if it is properly implemented and followed up on the ground. The strategy is addressed to central and local public institutions. At technical level, the Strategy's technical secretariat within the Ministry of Justice has p</w:t>
      </w:r>
      <w:r>
        <w:rPr>
          <w:rFonts w:ascii="Times New Roman" w:hAnsi="Times New Roman"/>
          <w:noProof/>
          <w:sz w:val="24"/>
          <w:szCs w:val="24"/>
        </w:rPr>
        <w:t xml:space="preserve">ursued implementation. </w:t>
      </w:r>
      <w:r>
        <w:rPr>
          <w:rFonts w:ascii="Times New Roman" w:hAnsi="Times New Roman"/>
          <w:noProof/>
          <w:sz w:val="24"/>
          <w:szCs w:val="24"/>
          <w:lang w:val="en-US"/>
        </w:rPr>
        <w:t xml:space="preserve">A positive development is that a high number of </w:t>
      </w:r>
      <w:r>
        <w:rPr>
          <w:rFonts w:ascii="Times New Roman" w:hAnsi="Times New Roman"/>
          <w:noProof/>
          <w:sz w:val="24"/>
          <w:szCs w:val="24"/>
          <w:lang w:val="en-US"/>
        </w:rPr>
        <w:lastRenderedPageBreak/>
        <w:t>public institutions have decided to participate in the Anti-Corruption Strategy. A large part of the year was devoted to the development of integrity plans within each public institutio</w:t>
      </w:r>
      <w:r>
        <w:rPr>
          <w:rFonts w:ascii="Times New Roman" w:hAnsi="Times New Roman"/>
          <w:noProof/>
          <w:sz w:val="24"/>
          <w:szCs w:val="24"/>
          <w:lang w:val="en-US"/>
        </w:rPr>
        <w:t>n and the set-up of the first peer-review monitoring cycle. Other institutions such as the National Integrity Agency, and the judicial anti-corruption police from the Ministry of Interior are also involved in prevention measures.</w:t>
      </w:r>
      <w:r>
        <w:rPr>
          <w:rStyle w:val="FootnoteReference"/>
          <w:rFonts w:ascii="Times New Roman" w:hAnsi="Times New Roman"/>
          <w:noProof/>
          <w:sz w:val="24"/>
          <w:szCs w:val="24"/>
          <w:lang w:val="en-US"/>
        </w:rPr>
        <w:footnoteReference w:id="23"/>
      </w:r>
      <w:r>
        <w:rPr>
          <w:rFonts w:ascii="Times New Roman" w:hAnsi="Times New Roman"/>
          <w:noProof/>
          <w:sz w:val="24"/>
          <w:szCs w:val="24"/>
          <w:lang w:val="en-US"/>
        </w:rPr>
        <w:t xml:space="preserve"> The Strategy will also be</w:t>
      </w:r>
      <w:r>
        <w:rPr>
          <w:rFonts w:ascii="Times New Roman" w:hAnsi="Times New Roman"/>
          <w:noProof/>
          <w:sz w:val="24"/>
          <w:szCs w:val="24"/>
          <w:lang w:val="en-US"/>
        </w:rPr>
        <w:t xml:space="preserve"> supported by EU funds. The first reporting on the implementation of the measures will take place at the beginning of 2018, which will then provide a comprehensive view of progress.</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As the implementation of the anti-corruption strategy has kicked-off at te</w:t>
      </w:r>
      <w:r>
        <w:rPr>
          <w:rFonts w:ascii="Times New Roman" w:hAnsi="Times New Roman"/>
          <w:noProof/>
          <w:sz w:val="24"/>
          <w:szCs w:val="24"/>
        </w:rPr>
        <w:t>chnical level, the strategy now needs visible political support from the Government and local authorities to demonstrate progress, as it was the case when the initial strategy was implemented and efforts were made to spread best practice and encourage publ</w:t>
      </w:r>
      <w:r>
        <w:rPr>
          <w:rFonts w:ascii="Times New Roman" w:hAnsi="Times New Roman"/>
          <w:noProof/>
          <w:sz w:val="24"/>
          <w:szCs w:val="24"/>
        </w:rPr>
        <w:t>ic bodies to devote resource and attention to anticorruption work. Ministers responsible for central and public administration, and Ministers in key sectors such as Education or Health, could play a particularly important role. In June, the Minister of Jus</w:t>
      </w:r>
      <w:r>
        <w:rPr>
          <w:rFonts w:ascii="Times New Roman" w:hAnsi="Times New Roman"/>
          <w:noProof/>
          <w:sz w:val="24"/>
          <w:szCs w:val="24"/>
        </w:rPr>
        <w:t>tice invited the two Chambers of Parliament to sign a joint statement supporting the National Anti-Corruption Strategy 2016-2020. This has not yet taken place. In general, a political priority should be set on corruption prevention, notably by putting in p</w:t>
      </w:r>
      <w:r>
        <w:rPr>
          <w:rFonts w:ascii="Times New Roman" w:hAnsi="Times New Roman"/>
          <w:noProof/>
          <w:sz w:val="24"/>
          <w:szCs w:val="24"/>
        </w:rPr>
        <w:t>lace the necessary measures to fully support the implementation of the National Anti-Corruption Strategy at central and local level, ensuring the stability of the relevant legal framework, as well as maintaining the positive track record of the General Pro</w:t>
      </w:r>
      <w:r>
        <w:rPr>
          <w:rFonts w:ascii="Times New Roman" w:hAnsi="Times New Roman"/>
          <w:noProof/>
          <w:sz w:val="24"/>
          <w:szCs w:val="24"/>
        </w:rPr>
        <w:t>secution.</w:t>
      </w:r>
    </w:p>
    <w:p w:rsidR="00F02F5D" w:rsidRDefault="007C4C0E">
      <w:pPr>
        <w:spacing w:before="120" w:after="120" w:line="240" w:lineRule="auto"/>
        <w:jc w:val="both"/>
        <w:rPr>
          <w:rFonts w:ascii="Times New Roman" w:eastAsia="Times New Roman" w:hAnsi="Times New Roman"/>
          <w:i/>
          <w:noProof/>
          <w:sz w:val="24"/>
          <w:szCs w:val="24"/>
          <w:lang w:val="en-US" w:eastAsia="ro-RO"/>
        </w:rPr>
      </w:pPr>
      <w:r>
        <w:rPr>
          <w:rFonts w:ascii="Times New Roman" w:eastAsia="Times New Roman" w:hAnsi="Times New Roman"/>
          <w:i/>
          <w:noProof/>
          <w:sz w:val="24"/>
          <w:szCs w:val="24"/>
          <w:lang w:val="en-US" w:eastAsia="ro-RO"/>
        </w:rPr>
        <w:t>National Agency for the Management of Seized Assets</w:t>
      </w:r>
    </w:p>
    <w:p w:rsidR="00F02F5D" w:rsidRDefault="007C4C0E">
      <w:pPr>
        <w:spacing w:before="120" w:after="120" w:line="240" w:lineRule="auto"/>
        <w:jc w:val="both"/>
        <w:rPr>
          <w:rFonts w:ascii="Times New Roman" w:hAnsi="Times New Roman"/>
          <w:noProof/>
          <w:sz w:val="24"/>
          <w:szCs w:val="24"/>
        </w:rPr>
      </w:pPr>
      <w:r>
        <w:rPr>
          <w:rFonts w:ascii="Times New Roman" w:eastAsia="Times New Roman" w:hAnsi="Times New Roman"/>
          <w:noProof/>
          <w:sz w:val="24"/>
          <w:szCs w:val="24"/>
          <w:lang w:val="en-US" w:eastAsia="ro-RO"/>
        </w:rPr>
        <w:t xml:space="preserve">The National Agency for the Management of Seized Assets (ANABI) </w:t>
      </w:r>
      <w:r>
        <w:rPr>
          <w:rFonts w:ascii="Times New Roman" w:hAnsi="Times New Roman"/>
          <w:noProof/>
          <w:sz w:val="24"/>
          <w:szCs w:val="24"/>
        </w:rPr>
        <w:t>is now fully operational. The Agency published its first annual report in February 2017 and with the help of the fiscal administra</w:t>
      </w:r>
      <w:r>
        <w:rPr>
          <w:rFonts w:ascii="Times New Roman" w:hAnsi="Times New Roman"/>
          <w:noProof/>
          <w:sz w:val="24"/>
          <w:szCs w:val="24"/>
        </w:rPr>
        <w:t xml:space="preserve">tion, was able to pin down the total sums of money resulting from the selling of confiscated assets in 2016 (about EUR 5 million), part of which is to be redistributed for social and public re-use. The first call for proposal will be launched in 2018.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The</w:t>
      </w:r>
      <w:r>
        <w:rPr>
          <w:rFonts w:ascii="Times New Roman" w:hAnsi="Times New Roman"/>
          <w:noProof/>
          <w:sz w:val="24"/>
          <w:szCs w:val="24"/>
        </w:rPr>
        <w:t xml:space="preserve"> January 2017 report highlighted that the Agency should </w:t>
      </w:r>
      <w:r>
        <w:rPr>
          <w:rFonts w:ascii="Times New Roman" w:eastAsia="Times New Roman" w:hAnsi="Times New Roman"/>
          <w:noProof/>
          <w:sz w:val="24"/>
          <w:szCs w:val="24"/>
          <w:lang w:val="en-US" w:eastAsia="ro-RO"/>
        </w:rPr>
        <w:t xml:space="preserve">eventually contribute to increase the proportion of assets effectively recovered. This work is already under way, with the </w:t>
      </w:r>
      <w:r>
        <w:rPr>
          <w:rFonts w:ascii="Times New Roman" w:hAnsi="Times New Roman"/>
          <w:noProof/>
          <w:sz w:val="24"/>
          <w:szCs w:val="24"/>
        </w:rPr>
        <w:t xml:space="preserve"> collection of data from all courts and with the launch of a project to keep </w:t>
      </w:r>
      <w:r>
        <w:rPr>
          <w:rFonts w:ascii="Times New Roman" w:hAnsi="Times New Roman"/>
          <w:noProof/>
          <w:sz w:val="24"/>
          <w:szCs w:val="24"/>
        </w:rPr>
        <w:t>track of all relevant court decisions in relation to confiscation of criminal assets, linked with the execution database from the fiscal administration. This project should be complete by the end of 2018 and should provide a clearer picture, so that approp</w:t>
      </w:r>
      <w:r>
        <w:rPr>
          <w:rFonts w:ascii="Times New Roman" w:hAnsi="Times New Roman"/>
          <w:noProof/>
          <w:sz w:val="24"/>
          <w:szCs w:val="24"/>
        </w:rPr>
        <w:t xml:space="preserve">riate measures can be taken to increase the proportion of assets effectively recovered. </w:t>
      </w:r>
    </w:p>
    <w:p w:rsidR="00F02F5D" w:rsidRDefault="007C4C0E">
      <w:pPr>
        <w:spacing w:before="120" w:after="120" w:line="240" w:lineRule="auto"/>
        <w:jc w:val="both"/>
        <w:rPr>
          <w:rFonts w:ascii="Times New Roman" w:hAnsi="Times New Roman"/>
          <w:noProof/>
          <w:sz w:val="24"/>
          <w:szCs w:val="24"/>
        </w:rPr>
      </w:pPr>
      <w:r>
        <w:rPr>
          <w:rFonts w:ascii="Times New Roman" w:hAnsi="Times New Roman"/>
          <w:noProof/>
          <w:sz w:val="24"/>
          <w:szCs w:val="24"/>
        </w:rPr>
        <w:t xml:space="preserve">The next annual report of </w:t>
      </w:r>
      <w:r>
        <w:rPr>
          <w:rFonts w:ascii="Times New Roman" w:eastAsia="Times New Roman" w:hAnsi="Times New Roman"/>
          <w:noProof/>
          <w:sz w:val="24"/>
          <w:szCs w:val="24"/>
          <w:lang w:val="en-US" w:eastAsia="ro-RO"/>
        </w:rPr>
        <w:t>National Agency for the Management of Seized Assets</w:t>
      </w:r>
      <w:r>
        <w:rPr>
          <w:rFonts w:ascii="Times New Roman" w:hAnsi="Times New Roman"/>
          <w:noProof/>
          <w:sz w:val="24"/>
          <w:szCs w:val="24"/>
        </w:rPr>
        <w:t xml:space="preserve"> in 2018 should give clear indications on the results achieved by the agency in 2017.</w:t>
      </w:r>
    </w:p>
    <w:p w:rsidR="00F02F5D" w:rsidRDefault="007C4C0E">
      <w:pPr>
        <w:spacing w:before="120" w:after="120" w:line="240" w:lineRule="auto"/>
        <w:jc w:val="both"/>
        <w:rPr>
          <w:rFonts w:ascii="Times New Roman" w:hAnsi="Times New Roman"/>
          <w:i/>
          <w:noProof/>
          <w:sz w:val="24"/>
          <w:szCs w:val="24"/>
        </w:rPr>
      </w:pPr>
      <w:r>
        <w:rPr>
          <w:rFonts w:ascii="Times New Roman" w:hAnsi="Times New Roman"/>
          <w:i/>
          <w:noProof/>
          <w:sz w:val="24"/>
          <w:szCs w:val="24"/>
        </w:rPr>
        <w:t xml:space="preserve">The </w:t>
      </w:r>
      <w:r>
        <w:rPr>
          <w:rFonts w:ascii="Times New Roman" w:hAnsi="Times New Roman"/>
          <w:i/>
          <w:noProof/>
          <w:sz w:val="24"/>
          <w:szCs w:val="24"/>
        </w:rPr>
        <w:t>Commission considers that more work is still needed to progress towards the completion of benchmark four. The Commission considers that stronger political priority should be given to promote corruption prevention and support the implementation of the Natio</w:t>
      </w:r>
      <w:r>
        <w:rPr>
          <w:rFonts w:ascii="Times New Roman" w:hAnsi="Times New Roman"/>
          <w:i/>
          <w:noProof/>
          <w:sz w:val="24"/>
          <w:szCs w:val="24"/>
        </w:rPr>
        <w:t>nal Anti-Corruption Strategy, and concrete indications that corruption prevention is taking root are needed for the implementation of recommendation 11. Concerning recommendation 12, if good operational results are confirmed, this would allow the Commissio</w:t>
      </w:r>
      <w:r>
        <w:rPr>
          <w:rFonts w:ascii="Times New Roman" w:hAnsi="Times New Roman"/>
          <w:i/>
          <w:noProof/>
          <w:sz w:val="24"/>
          <w:szCs w:val="24"/>
        </w:rPr>
        <w:t>n to conclude this recommendation is fulfilled.</w:t>
      </w:r>
    </w:p>
    <w:p w:rsidR="00F02F5D" w:rsidRDefault="00F02F5D">
      <w:pPr>
        <w:spacing w:before="120" w:after="120" w:line="240" w:lineRule="auto"/>
        <w:jc w:val="both"/>
        <w:rPr>
          <w:rFonts w:ascii="Times New Roman" w:hAnsi="Times New Roman"/>
          <w:noProof/>
          <w:sz w:val="24"/>
          <w:szCs w:val="24"/>
        </w:rPr>
      </w:pPr>
    </w:p>
    <w:p w:rsidR="00F02F5D" w:rsidRDefault="007C4C0E">
      <w:pPr>
        <w:keepNext/>
        <w:spacing w:before="120" w:after="120" w:line="240" w:lineRule="auto"/>
        <w:jc w:val="both"/>
        <w:rPr>
          <w:rFonts w:ascii="Times New Roman" w:hAnsi="Times New Roman"/>
          <w:b/>
          <w:noProof/>
          <w:sz w:val="24"/>
          <w:szCs w:val="24"/>
        </w:rPr>
      </w:pPr>
      <w:r>
        <w:rPr>
          <w:rFonts w:ascii="Times New Roman" w:hAnsi="Times New Roman"/>
          <w:b/>
          <w:noProof/>
          <w:sz w:val="24"/>
          <w:szCs w:val="24"/>
        </w:rPr>
        <w:lastRenderedPageBreak/>
        <w:t xml:space="preserve">4. CONCLUSION </w:t>
      </w:r>
    </w:p>
    <w:p w:rsidR="00F02F5D" w:rsidRDefault="007C4C0E">
      <w:pPr>
        <w:spacing w:line="240" w:lineRule="auto"/>
        <w:jc w:val="both"/>
        <w:rPr>
          <w:rFonts w:ascii="Times New Roman" w:hAnsi="Times New Roman"/>
          <w:noProof/>
          <w:sz w:val="24"/>
          <w:szCs w:val="24"/>
        </w:rPr>
      </w:pPr>
      <w:r>
        <w:rPr>
          <w:rFonts w:ascii="Times New Roman" w:hAnsi="Times New Roman"/>
          <w:noProof/>
          <w:sz w:val="24"/>
          <w:szCs w:val="24"/>
        </w:rPr>
        <w:t xml:space="preserve">During the nine-month period since the January 2017 report setting out the key recommendations to fulfil all CVM benchmarks, progress has been achieved on a number of recommendations, in </w:t>
      </w:r>
      <w:r>
        <w:rPr>
          <w:rFonts w:ascii="Times New Roman" w:hAnsi="Times New Roman"/>
          <w:noProof/>
          <w:sz w:val="24"/>
          <w:szCs w:val="24"/>
        </w:rPr>
        <w:t>particular recommendation 8, which has been satisfactorily implemented, and, subject to practical application, recommendations 2, 7 and 12. While progress in meeting some recommendations was advancing well, the reform momentum in course of 2017 was lost ov</w:t>
      </w:r>
      <w:r>
        <w:rPr>
          <w:rFonts w:ascii="Times New Roman" w:hAnsi="Times New Roman"/>
          <w:noProof/>
          <w:sz w:val="24"/>
          <w:szCs w:val="24"/>
        </w:rPr>
        <w:t>erall, slowing down the fulfilment of the remaining recommendations, and with the risk of re-opening issues which the January 2017 report had considered as fulfilled. Challenges to and questioning judicial independence have also been a persistent source of</w:t>
      </w:r>
      <w:r>
        <w:rPr>
          <w:rFonts w:ascii="Times New Roman" w:hAnsi="Times New Roman"/>
          <w:noProof/>
          <w:sz w:val="24"/>
          <w:szCs w:val="24"/>
        </w:rPr>
        <w:t xml:space="preserve"> concern.</w:t>
      </w:r>
    </w:p>
    <w:p w:rsidR="00F02F5D" w:rsidRDefault="007C4C0E">
      <w:pPr>
        <w:spacing w:line="240" w:lineRule="auto"/>
        <w:jc w:val="both"/>
        <w:rPr>
          <w:rFonts w:ascii="Times New Roman" w:hAnsi="Times New Roman"/>
          <w:noProof/>
          <w:sz w:val="24"/>
          <w:szCs w:val="24"/>
          <w:lang w:eastAsia="en-GB"/>
        </w:rPr>
      </w:pPr>
      <w:r>
        <w:rPr>
          <w:rFonts w:ascii="Times New Roman" w:hAnsi="Times New Roman"/>
          <w:noProof/>
          <w:sz w:val="24"/>
          <w:szCs w:val="24"/>
        </w:rPr>
        <w:t>On this basis, though progress has brought some benchmarks closer to the point of fulfilment, the Commission cannot yet conclude that any of the benchmarks are at this stage satisfactorily fulfilled.</w:t>
      </w:r>
      <w:r>
        <w:rPr>
          <w:noProof/>
        </w:rPr>
        <w:t xml:space="preserve"> </w:t>
      </w:r>
      <w:r>
        <w:rPr>
          <w:rFonts w:ascii="Times New Roman" w:hAnsi="Times New Roman"/>
          <w:noProof/>
          <w:sz w:val="24"/>
          <w:szCs w:val="24"/>
        </w:rPr>
        <w:t>The Commission remains of the opinion that wit</w:t>
      </w:r>
      <w:r>
        <w:rPr>
          <w:rFonts w:ascii="Times New Roman" w:hAnsi="Times New Roman"/>
          <w:noProof/>
          <w:sz w:val="24"/>
          <w:szCs w:val="24"/>
        </w:rPr>
        <w:t xml:space="preserve">h loyal cooperation between State institutions, a political steer holding firm to past achievements and with respect for judicial independence, Romania will be able to fulfil the remaining outstanding CVM recommendations in the near future. </w:t>
      </w:r>
    </w:p>
    <w:p w:rsidR="00F02F5D" w:rsidRDefault="007C4C0E">
      <w:pPr>
        <w:spacing w:line="240" w:lineRule="auto"/>
        <w:jc w:val="both"/>
        <w:rPr>
          <w:rFonts w:ascii="Times New Roman" w:hAnsi="Times New Roman"/>
          <w:noProof/>
          <w:sz w:val="24"/>
          <w:szCs w:val="24"/>
        </w:rPr>
      </w:pPr>
      <w:r>
        <w:rPr>
          <w:rFonts w:ascii="Times New Roman" w:hAnsi="Times New Roman"/>
          <w:noProof/>
          <w:sz w:val="24"/>
          <w:szCs w:val="24"/>
        </w:rPr>
        <w:t>The Commission</w:t>
      </w:r>
      <w:r>
        <w:rPr>
          <w:rFonts w:ascii="Times New Roman" w:hAnsi="Times New Roman"/>
          <w:noProof/>
          <w:sz w:val="24"/>
          <w:szCs w:val="24"/>
        </w:rPr>
        <w:t xml:space="preserve"> invites Romania to implement the necessary actions and fullfil all recommendations, and will assess progress again towards the end of 2018.</w:t>
      </w:r>
    </w:p>
    <w:sectPr w:rsidR="00F02F5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C0E" w:rsidRDefault="007C4C0E">
      <w:pPr>
        <w:spacing w:after="0" w:line="240" w:lineRule="auto"/>
      </w:pPr>
      <w:r>
        <w:separator/>
      </w:r>
    </w:p>
  </w:endnote>
  <w:endnote w:type="continuationSeparator" w:id="0">
    <w:p w:rsidR="007C4C0E" w:rsidRDefault="007C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0" w:rsidRPr="003515B0" w:rsidRDefault="003515B0" w:rsidP="0035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0" w:rsidRPr="003515B0" w:rsidRDefault="003515B0" w:rsidP="003515B0">
    <w:pPr>
      <w:pStyle w:val="FooterCoverPage"/>
      <w:rPr>
        <w:rFonts w:ascii="Arial" w:hAnsi="Arial" w:cs="Arial"/>
        <w:b/>
        <w:sz w:val="48"/>
      </w:rPr>
    </w:pPr>
    <w:r w:rsidRPr="003515B0">
      <w:rPr>
        <w:rFonts w:ascii="Arial" w:hAnsi="Arial" w:cs="Arial"/>
        <w:b/>
        <w:sz w:val="48"/>
      </w:rPr>
      <w:t>EN</w:t>
    </w:r>
    <w:r w:rsidRPr="003515B0">
      <w:rPr>
        <w:rFonts w:ascii="Arial" w:hAnsi="Arial" w:cs="Arial"/>
        <w:b/>
        <w:sz w:val="48"/>
      </w:rPr>
      <w:tab/>
    </w:r>
    <w:r w:rsidRPr="003515B0">
      <w:rPr>
        <w:rFonts w:ascii="Arial" w:hAnsi="Arial" w:cs="Arial"/>
        <w:b/>
        <w:sz w:val="48"/>
      </w:rPr>
      <w:tab/>
    </w:r>
    <w:r w:rsidRPr="003515B0">
      <w:tab/>
    </w:r>
    <w:r w:rsidRPr="003515B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0" w:rsidRPr="003515B0" w:rsidRDefault="003515B0" w:rsidP="003515B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5D" w:rsidRDefault="00F02F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5D" w:rsidRDefault="007C4C0E">
    <w:pPr>
      <w:pStyle w:val="Footer"/>
      <w:jc w:val="center"/>
    </w:pPr>
    <w:r>
      <w:fldChar w:fldCharType="begin"/>
    </w:r>
    <w:r>
      <w:instrText xml:space="preserve"> PAGE   \* MERGEFORMAT </w:instrText>
    </w:r>
    <w:r>
      <w:fldChar w:fldCharType="separate"/>
    </w:r>
    <w:r w:rsidR="003515B0">
      <w:rPr>
        <w:noProof/>
      </w:rPr>
      <w:t>12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5D" w:rsidRDefault="00F02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C0E" w:rsidRDefault="007C4C0E">
      <w:pPr>
        <w:spacing w:after="0" w:line="240" w:lineRule="auto"/>
      </w:pPr>
      <w:r>
        <w:separator/>
      </w:r>
    </w:p>
  </w:footnote>
  <w:footnote w:type="continuationSeparator" w:id="0">
    <w:p w:rsidR="007C4C0E" w:rsidRDefault="007C4C0E">
      <w:pPr>
        <w:spacing w:after="0" w:line="240" w:lineRule="auto"/>
      </w:pPr>
      <w:r>
        <w:continuationSeparator/>
      </w:r>
    </w:p>
  </w:footnote>
  <w:footnote w:id="1">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Conclusions of the Council of Ministers, 17 October 2006 (13339/06); Commis</w:t>
      </w:r>
      <w:r>
        <w:rPr>
          <w:rFonts w:ascii="Times New Roman" w:hAnsi="Times New Roman"/>
        </w:rPr>
        <w:t>sion Decision establishing a mechanism for cooperation and verification of progress in Romania to address specific benchmarks in the areas of judicial reform and the fight against corruption, 13 December 2006 (C (2006) 6569 final).</w:t>
      </w:r>
    </w:p>
  </w:footnote>
  <w:footnote w:id="2">
    <w:p w:rsidR="00F02F5D" w:rsidRDefault="007C4C0E">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Council conclusions o</w:t>
      </w:r>
      <w:r>
        <w:rPr>
          <w:rFonts w:ascii="Times New Roman" w:hAnsi="Times New Roman"/>
        </w:rPr>
        <w:t>n the CVM.</w:t>
      </w:r>
    </w:p>
  </w:footnote>
  <w:footnote w:id="3">
    <w:p w:rsidR="00F02F5D" w:rsidRDefault="007C4C0E">
      <w:pPr>
        <w:pStyle w:val="FootnoteText"/>
        <w:spacing w:after="0" w:line="240" w:lineRule="auto"/>
        <w:ind w:left="284" w:hanging="284"/>
        <w:contextualSpacing/>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COM (2017) 44.</w:t>
      </w:r>
    </w:p>
  </w:footnote>
  <w:footnote w:id="4">
    <w:p w:rsidR="00F02F5D" w:rsidRDefault="007C4C0E">
      <w:pPr>
        <w:pStyle w:val="FootnoteText"/>
        <w:spacing w:after="0" w:line="240" w:lineRule="auto"/>
        <w:ind w:left="284" w:hanging="284"/>
        <w:contextualSpacing/>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rFonts w:ascii="Times New Roman" w:hAnsi="Times New Roman"/>
          <w:lang w:val="pt-PT"/>
        </w:rPr>
        <w:tab/>
        <w:t>http://europa.eu/rapid/press-release_SPEECH-17-3165_en.htm</w:t>
      </w:r>
    </w:p>
  </w:footnote>
  <w:footnote w:id="5">
    <w:p w:rsidR="00F02F5D" w:rsidRDefault="007C4C0E">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Emergency Ordinance 13/2017, amending the Criminal Code and Code of Criminal Procedures.</w:t>
      </w:r>
    </w:p>
  </w:footnote>
  <w:footnote w:id="6">
    <w:p w:rsidR="00F02F5D" w:rsidRDefault="007C4C0E">
      <w:pPr>
        <w:pStyle w:val="FootnoteText"/>
        <w:spacing w:after="0" w:line="240" w:lineRule="auto"/>
        <w:ind w:left="284" w:hanging="284"/>
        <w:jc w:val="both"/>
      </w:pPr>
      <w:r>
        <w:rPr>
          <w:rStyle w:val="FootnoteReference"/>
        </w:rPr>
        <w:footnoteRef/>
      </w:r>
      <w:r>
        <w:t xml:space="preserve"> </w:t>
      </w:r>
      <w:r>
        <w:tab/>
      </w:r>
      <w:r>
        <w:rPr>
          <w:rFonts w:ascii="Times New Roman" w:hAnsi="Times New Roman"/>
        </w:rPr>
        <w:t>On 9 November the Superior Council of Magistracy gave a second negativ</w:t>
      </w:r>
      <w:r>
        <w:rPr>
          <w:rFonts w:ascii="Times New Roman" w:hAnsi="Times New Roman"/>
        </w:rPr>
        <w:t>e opinion on the drafts on the Justice laws currently in Parliament, though the motivation of this decision has yet to be issued.</w:t>
      </w:r>
    </w:p>
  </w:footnote>
  <w:footnote w:id="7">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Council of Europe Consultative Council of European Judges (CCJE) recommended in past opinions that “</w:t>
      </w:r>
      <w:r>
        <w:rPr>
          <w:rFonts w:ascii="Times New Roman" w:hAnsi="Times New Roman"/>
          <w:i/>
        </w:rPr>
        <w:t>the judiciary shoul</w:t>
      </w:r>
      <w:r>
        <w:rPr>
          <w:rFonts w:ascii="Times New Roman" w:hAnsi="Times New Roman"/>
          <w:i/>
        </w:rPr>
        <w:t>d be consulted and play an active part in the preparation of any legislation concerning their status and the functioning of the judicial system</w:t>
      </w:r>
      <w:r>
        <w:rPr>
          <w:rFonts w:ascii="Times New Roman" w:hAnsi="Times New Roman"/>
        </w:rPr>
        <w:t>”. "The position of the judiciary and its relation with the other powers of state in a modern democracy", Opinion</w:t>
      </w:r>
      <w:r>
        <w:rPr>
          <w:rFonts w:ascii="Times New Roman" w:hAnsi="Times New Roman"/>
        </w:rPr>
        <w:t xml:space="preserve"> No 18 (2015).</w:t>
      </w:r>
    </w:p>
  </w:footnote>
  <w:footnote w:id="8">
    <w:p w:rsidR="00F02F5D" w:rsidRDefault="007C4C0E">
      <w:pPr>
        <w:pStyle w:val="FootnoteText"/>
        <w:spacing w:after="0" w:line="240" w:lineRule="auto"/>
        <w:ind w:left="284" w:hanging="284"/>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example, public statements from the authorities that the whole judicial system is dysfunctional or that the status quo needs to be brought "back to normality".</w:t>
      </w:r>
    </w:p>
  </w:footnote>
  <w:footnote w:id="9">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CVM Report January 2017, COM (2017) 44 final. </w:t>
      </w:r>
    </w:p>
  </w:footnote>
  <w:footnote w:id="10">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Council Conclusions </w:t>
      </w:r>
      <w:r>
        <w:rPr>
          <w:rFonts w:ascii="Times New Roman" w:hAnsi="Times New Roman"/>
        </w:rPr>
        <w:t>on the CVM, March 2017 https://ec.europa.eu/info/sites/info/files/st-7048-2017-init_en.pdf.</w:t>
      </w:r>
    </w:p>
  </w:footnote>
  <w:footnote w:id="11">
    <w:p w:rsidR="00F02F5D" w:rsidRDefault="007C4C0E">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Report on European standards as regards the independence of the judicial system – Part II: The prosecution service, CDL-AD(2010)040.</w:t>
      </w:r>
    </w:p>
  </w:footnote>
  <w:footnote w:id="12">
    <w:p w:rsidR="00F02F5D" w:rsidRDefault="007C4C0E">
      <w:pPr>
        <w:pStyle w:val="FootnoteText"/>
        <w:spacing w:after="0" w:line="240" w:lineRule="auto"/>
        <w:ind w:left="284" w:hanging="284"/>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The Venice Commission has set out a list of European standards: </w:t>
      </w:r>
      <w:hyperlink r:id="rId1" w:history="1">
        <w:r>
          <w:rPr>
            <w:rStyle w:val="Hyperlink"/>
            <w:rFonts w:ascii="Times New Roman" w:hAnsi="Times New Roman"/>
          </w:rPr>
          <w:t>http://www.venice.coe.int/webforms/documents/default.aspx?pdffile=CDL-AD(2010)040-e</w:t>
        </w:r>
      </w:hyperlink>
      <w:r>
        <w:rPr>
          <w:rFonts w:ascii="Times New Roman" w:hAnsi="Times New Roman"/>
        </w:rPr>
        <w:t xml:space="preserve"> </w:t>
      </w:r>
    </w:p>
  </w:footnote>
  <w:footnote w:id="13">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eastAsiaTheme="minorHAnsi" w:hAnsi="Times New Roman"/>
        </w:rPr>
        <w:t>A si</w:t>
      </w:r>
      <w:r>
        <w:rPr>
          <w:rFonts w:ascii="Times New Roman" w:eastAsiaTheme="minorHAnsi" w:hAnsi="Times New Roman"/>
        </w:rPr>
        <w:t xml:space="preserve">milar analysis was made in the 4th evaluation of the Group of States Against Corruption (GRECO) </w:t>
      </w:r>
      <w:hyperlink r:id="rId2" w:history="1">
        <w:r>
          <w:rPr>
            <w:rFonts w:ascii="Times New Roman" w:eastAsiaTheme="minorHAnsi" w:hAnsi="Times New Roman"/>
            <w:color w:val="0000FF"/>
            <w:u w:val="single"/>
          </w:rPr>
          <w:t>http://www.coe.int/t/dghl/monitorin</w:t>
        </w:r>
        <w:r>
          <w:rPr>
            <w:rFonts w:ascii="Times New Roman" w:eastAsiaTheme="minorHAnsi" w:hAnsi="Times New Roman"/>
            <w:color w:val="0000FF"/>
            <w:u w:val="single"/>
          </w:rPr>
          <w:t>g/greco/evaluations/round4/Eval%20IV/GrecoEval4%282015%294_Romania_EN.pdf</w:t>
        </w:r>
      </w:hyperlink>
    </w:p>
  </w:footnote>
  <w:footnote w:id="14">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progress reports from the Government and the Parliament do not mention progress on these pending proposals.</w:t>
      </w:r>
    </w:p>
  </w:footnote>
  <w:footnote w:id="15">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Three deeds out of four have been decriminalised. See also Techn</w:t>
      </w:r>
      <w:r>
        <w:rPr>
          <w:rFonts w:ascii="Times New Roman" w:hAnsi="Times New Roman"/>
        </w:rPr>
        <w:t>ical Report SWD(2017) 701. This amendment was not subject to consultation with the judicial authorities.</w:t>
      </w:r>
    </w:p>
  </w:footnote>
  <w:footnote w:id="16">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Decision no 369/2017, published in the Romanian Official Gazette, Part I, no. 582 on 20th July 2017.</w:t>
      </w:r>
    </w:p>
  </w:footnote>
  <w:footnote w:id="17">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 (2016) 41, COM (2017) 16.</w:t>
      </w:r>
    </w:p>
  </w:footnote>
  <w:footnote w:id="18">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For example</w:t>
      </w:r>
      <w:r>
        <w:rPr>
          <w:rFonts w:ascii="Times New Roman" w:hAnsi="Times New Roman"/>
        </w:rPr>
        <w:t>, the modification of the incompatibility regime for MPs and removing most conflicts of interest from criminalisation. In addition, there are other examples of legislation adopted without consultation which has also impact on the justice system and the fig</w:t>
      </w:r>
      <w:r>
        <w:rPr>
          <w:rFonts w:ascii="Times New Roman" w:hAnsi="Times New Roman"/>
        </w:rPr>
        <w:t>ht against corruption such as the on the status of local administrations, the law on financing of political parties and a proposal to allow the review of all judgements of the last 20 years, the latter being eventually squashed by the Constitutional Court.</w:t>
      </w:r>
      <w:r>
        <w:rPr>
          <w:rFonts w:ascii="Times New Roman" w:hAnsi="Times New Roman"/>
        </w:rPr>
        <w:t xml:space="preserve"> </w:t>
      </w:r>
    </w:p>
  </w:footnote>
  <w:footnote w:id="19">
    <w:p w:rsidR="00F02F5D" w:rsidRDefault="007C4C0E">
      <w:pPr>
        <w:pStyle w:val="FootnoteText"/>
      </w:pPr>
      <w:r>
        <w:rPr>
          <w:rStyle w:val="FootnoteReference"/>
        </w:rPr>
        <w:footnoteRef/>
      </w:r>
      <w:r>
        <w:t xml:space="preserve">   </w:t>
      </w:r>
      <w:r>
        <w:rPr>
          <w:rFonts w:ascii="Times New Roman" w:hAnsi="Times New Roman"/>
        </w:rPr>
        <w:t>Technical report SWD(2017) 701. Proposal made to the Council of Europe Committee of Ministers.</w:t>
      </w:r>
    </w:p>
  </w:footnote>
  <w:footnote w:id="20">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After several adjournments, the Senate appointed the two members of the Superior Council of Magistracy representing the civil society in early September</w:t>
      </w:r>
      <w:r>
        <w:rPr>
          <w:rFonts w:ascii="Times New Roman" w:hAnsi="Times New Roman"/>
        </w:rPr>
        <w:t>.</w:t>
      </w:r>
    </w:p>
  </w:footnote>
  <w:footnote w:id="21">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bCs/>
        </w:rPr>
        <w:t>The Group of States against Corruption (GRECO)</w:t>
      </w:r>
      <w:r>
        <w:rPr>
          <w:rFonts w:ascii="Times New Roman" w:hAnsi="Times New Roman"/>
        </w:rPr>
        <w:t xml:space="preserve"> was established in 1999 by the Council of Europe to monitor compliance with the organisation’s anti-corruption standards</w:t>
      </w:r>
      <w:r>
        <w:rPr>
          <w:rFonts w:ascii="Times New Roman" w:hAnsi="Times New Roman"/>
          <w:color w:val="444444"/>
        </w:rPr>
        <w:t>.</w:t>
      </w:r>
    </w:p>
  </w:footnote>
  <w:footnote w:id="22">
    <w:p w:rsidR="00F02F5D" w:rsidRDefault="007C4C0E">
      <w:pPr>
        <w:pStyle w:val="FootnoteText"/>
        <w:spacing w:after="0" w:line="240" w:lineRule="auto"/>
        <w:ind w:left="284" w:hanging="284"/>
        <w:contextualSpacing/>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Based on guidelines from the Venice Commission and GRECO.</w:t>
      </w:r>
    </w:p>
  </w:footnote>
  <w:footnote w:id="23">
    <w:p w:rsidR="00F02F5D" w:rsidRDefault="007C4C0E">
      <w:pPr>
        <w:pStyle w:val="FootnoteText"/>
        <w:spacing w:after="0" w:line="240" w:lineRule="auto"/>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As reported in a </w:t>
      </w:r>
      <w:r>
        <w:rPr>
          <w:rFonts w:ascii="Times New Roman" w:hAnsi="Times New Roman"/>
        </w:rPr>
        <w:t>Report on the progress registered by Romania in the framework of the Cooperation and Verification Mechanism provided by the Ministry of Justice, September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0" w:rsidRPr="003515B0" w:rsidRDefault="003515B0" w:rsidP="003515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0" w:rsidRPr="003515B0" w:rsidRDefault="003515B0" w:rsidP="003515B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5B0" w:rsidRPr="003515B0" w:rsidRDefault="003515B0" w:rsidP="003515B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5D" w:rsidRDefault="00F02F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5D" w:rsidRDefault="00F02F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F5D" w:rsidRDefault="00F02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A98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252E1"/>
    <w:multiLevelType w:val="hybridMultilevel"/>
    <w:tmpl w:val="F2622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BE03C6"/>
    <w:multiLevelType w:val="hybridMultilevel"/>
    <w:tmpl w:val="A08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0791C72-5F52-4472-9E61-E30343BA2CAB"/>
    <w:docVar w:name="LW_COVERPAGE_TYPE" w:val="1"/>
    <w:docVar w:name="LW_CROSSREFERENCE" w:val="{SWD(2017) 701 final}"/>
    <w:docVar w:name="LW_DocType" w:val="NORMAL"/>
    <w:docVar w:name="LW_EMISSION" w:val="15.11.2017"/>
    <w:docVar w:name="LW_EMISSION_ISODATE" w:val="2017-11-15"/>
    <w:docVar w:name="LW_EMISSION_LOCATION" w:val="BRX"/>
    <w:docVar w:name="LW_EMISSION_PREFIX" w:val="Brussels,"/>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Progress in Romania under the Co-operation and Verification Mechanism"/>
    <w:docVar w:name="LW_TYPE.DOC.CP" w:val="REPORT FROM THE COMMISSION TO THE EUROPEAN PARLIAMENT AND THE COUNCIL"/>
  </w:docVars>
  <w:rsids>
    <w:rsidRoot w:val="00F02F5D"/>
    <w:rsid w:val="003515B0"/>
    <w:rsid w:val="007C4C0E"/>
    <w:rsid w:val="00F02F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val="fr-LU" w:eastAsia="zh-TW"/>
    </w:rPr>
  </w:style>
  <w:style w:type="character" w:customStyle="1" w:styleId="PlainTextChar">
    <w:name w:val="Plain Text Char"/>
    <w:link w:val="PlainText"/>
    <w:uiPriority w:val="99"/>
    <w:rPr>
      <w:rFonts w:eastAsia="SimSun"/>
      <w:sz w:val="22"/>
      <w:szCs w:val="21"/>
      <w:lang w:val="fr-LU"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val="fr-LU" w:eastAsia="zh-TW"/>
    </w:rPr>
  </w:style>
  <w:style w:type="character" w:customStyle="1" w:styleId="PlainTextChar">
    <w:name w:val="Plain Text Char"/>
    <w:link w:val="PlainText"/>
    <w:uiPriority w:val="99"/>
    <w:rPr>
      <w:rFonts w:eastAsia="SimSun"/>
      <w:sz w:val="22"/>
      <w:szCs w:val="21"/>
      <w:lang w:val="fr-LU"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t/dghl/monitoring/greco/evaluations/round4/Eval%20IV/GrecoEval4%282015%294_Romania_EN.pdf" TargetMode="External"/><Relationship Id="rId1" Type="http://schemas.openxmlformats.org/officeDocument/2006/relationships/hyperlink" Target="http://www.venice.coe.int/webforms/documents/default.aspx?pdffile=CDL-AD(2010)04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6613-9143-49B6-9B5F-34DE649E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5847</Words>
  <Characters>32339</Characters>
  <Application>Microsoft Office Word</Application>
  <DocSecurity>0</DocSecurity>
  <Lines>475</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38085</CharactersWithSpaces>
  <SharedDoc>false</SharedDoc>
  <HLinks>
    <vt:vector size="24" baseType="variant">
      <vt:variant>
        <vt:i4>3407895</vt:i4>
      </vt:variant>
      <vt:variant>
        <vt:i4>9</vt:i4>
      </vt:variant>
      <vt:variant>
        <vt:i4>0</vt:i4>
      </vt:variant>
      <vt:variant>
        <vt:i4>5</vt:i4>
      </vt:variant>
      <vt:variant>
        <vt:lpwstr>http://www.echr.coe.int/Documents/Guide_Art_6_ENG.pdf</vt:lpwstr>
      </vt:variant>
      <vt:variant>
        <vt:lpwstr/>
      </vt:variant>
      <vt:variant>
        <vt:i4>6946874</vt:i4>
      </vt:variant>
      <vt:variant>
        <vt:i4>6</vt:i4>
      </vt:variant>
      <vt:variant>
        <vt:i4>0</vt:i4>
      </vt:variant>
      <vt:variant>
        <vt:i4>5</vt:i4>
      </vt:variant>
      <vt:variant>
        <vt:lpwstr>http://ec.europa.eu/COMMFrontOffice/PublicOpinion/index.cfm/Survey/getSurveyDetail/instruments/FLASH/surveyKy/2084</vt:lpwstr>
      </vt:variant>
      <vt:variant>
        <vt:lpwstr/>
      </vt:variant>
      <vt:variant>
        <vt:i4>1441889</vt:i4>
      </vt:variant>
      <vt:variant>
        <vt:i4>3</vt:i4>
      </vt:variant>
      <vt:variant>
        <vt:i4>0</vt:i4>
      </vt:variant>
      <vt:variant>
        <vt:i4>5</vt:i4>
      </vt:variant>
      <vt:variant>
        <vt:lpwstr>https://search.coe.int/cm/Pages/result_details.aspx?ObjectId=09000016806d8adb</vt:lpwstr>
      </vt:variant>
      <vt:variant>
        <vt:lpwstr/>
      </vt:variant>
      <vt:variant>
        <vt:i4>7209018</vt:i4>
      </vt:variant>
      <vt:variant>
        <vt:i4>0</vt:i4>
      </vt:variant>
      <vt:variant>
        <vt:i4>0</vt:i4>
      </vt:variant>
      <vt:variant>
        <vt:i4>5</vt:i4>
      </vt:variant>
      <vt:variant>
        <vt:lpwstr>http://www.inscop.ro/wp-content/uploads/2016/04/INSCOP-raport-martie-2016-INCREDERE-INSTITUTII.pdf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17</cp:revision>
  <cp:lastPrinted>2017-11-13T11:27:00Z</cp:lastPrinted>
  <dcterms:created xsi:type="dcterms:W3CDTF">2017-11-14T08:25:00Z</dcterms:created>
  <dcterms:modified xsi:type="dcterms:W3CDTF">2017-11-14T10:06:00Z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