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30" w:rsidRDefault="0069035A" w:rsidP="0069035A">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0DB8FCA-C3CD-44A3-89F6-10C93D6B1AF2" style="width:450.75pt;height:307.5pt">
            <v:imagedata r:id="rId9" o:title=""/>
          </v:shape>
        </w:pict>
      </w:r>
    </w:p>
    <w:bookmarkEnd w:id="0"/>
    <w:p w:rsidR="000F6A30" w:rsidRDefault="000F6A30">
      <w:pPr>
        <w:rPr>
          <w:noProof/>
          <w:lang w:val="bg-BG"/>
        </w:rPr>
        <w:sectPr w:rsidR="000F6A30" w:rsidSect="0069035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F6A30" w:rsidRDefault="0069035A">
      <w:pPr>
        <w:spacing w:before="120" w:after="240" w:line="240" w:lineRule="auto"/>
        <w:jc w:val="both"/>
        <w:rPr>
          <w:rFonts w:ascii="Times New Roman" w:hAnsi="Times New Roman"/>
          <w:b/>
          <w:noProof/>
          <w:sz w:val="24"/>
          <w:szCs w:val="24"/>
          <w:lang w:val="bg-BG"/>
        </w:rPr>
      </w:pPr>
      <w:bookmarkStart w:id="1" w:name="_GoBack"/>
      <w:bookmarkEnd w:id="1"/>
      <w:r>
        <w:rPr>
          <w:rFonts w:ascii="Times New Roman" w:hAnsi="Times New Roman"/>
          <w:b/>
          <w:noProof/>
          <w:sz w:val="24"/>
          <w:lang w:val="bg-BG"/>
        </w:rPr>
        <w:lastRenderedPageBreak/>
        <w:t>1.</w:t>
      </w:r>
      <w:r>
        <w:rPr>
          <w:noProof/>
          <w:lang w:val="bg-BG"/>
        </w:rPr>
        <w:tab/>
      </w:r>
      <w:r>
        <w:rPr>
          <w:rFonts w:ascii="Times New Roman" w:hAnsi="Times New Roman"/>
          <w:b/>
          <w:noProof/>
          <w:sz w:val="24"/>
          <w:lang w:val="bg-BG"/>
        </w:rPr>
        <w:t xml:space="preserve">ВЪВЕДЕНИЕ </w:t>
      </w:r>
    </w:p>
    <w:p w:rsidR="000F6A30" w:rsidRDefault="0069035A">
      <w:pPr>
        <w:autoSpaceDE w:val="0"/>
        <w:autoSpaceDN w:val="0"/>
        <w:adjustRightInd w:val="0"/>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Механизмът за сътрудничество и проверка (МСП) беше създаден при присъединяването на България към Европейския съюз през 2007 г.,</w:t>
      </w:r>
      <w:r>
        <w:rPr>
          <w:noProof/>
          <w:vertAlign w:val="superscript"/>
          <w:lang w:val="bg-BG"/>
        </w:rPr>
        <w:footnoteReference w:id="2"/>
      </w:r>
      <w:r>
        <w:rPr>
          <w:rFonts w:ascii="Times New Roman" w:hAnsi="Times New Roman"/>
          <w:noProof/>
          <w:sz w:val="24"/>
          <w:vertAlign w:val="superscript"/>
          <w:lang w:val="bg-BG"/>
        </w:rPr>
        <w:t xml:space="preserve"> </w:t>
      </w:r>
      <w:r>
        <w:rPr>
          <w:rFonts w:ascii="Times New Roman" w:hAnsi="Times New Roman"/>
          <w:noProof/>
          <w:sz w:val="24"/>
          <w:lang w:val="bg-BG"/>
        </w:rPr>
        <w:t xml:space="preserve">за да се </w:t>
      </w:r>
      <w:r>
        <w:rPr>
          <w:rFonts w:ascii="Times New Roman" w:hAnsi="Times New Roman"/>
          <w:noProof/>
          <w:sz w:val="24"/>
          <w:lang w:val="bg-BG"/>
        </w:rPr>
        <w:t xml:space="preserve">преодолеят слабостите в съдебната реформа и борбата срещу корупцията и организираната престъпност. Оттогава досега докладите по МСП са имали за задача да способстват за насочването на усилията на българските органи чрез конкретни препоръки и са отразявали </w:t>
      </w:r>
      <w:r>
        <w:rPr>
          <w:rFonts w:ascii="Times New Roman" w:hAnsi="Times New Roman"/>
          <w:noProof/>
          <w:sz w:val="24"/>
          <w:lang w:val="bg-BG"/>
        </w:rPr>
        <w:t>постигнатия напредък. Както Съветът</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подчерта, прилагането на МСП ще приключи, когато всеки един от шестте показателя, приложими за България, бъде изпълнен по задоволителен начин.</w:t>
      </w:r>
    </w:p>
    <w:p w:rsidR="000F6A30" w:rsidRDefault="0069035A">
      <w:pPr>
        <w:autoSpaceDE w:val="0"/>
        <w:autoSpaceDN w:val="0"/>
        <w:adjustRightInd w:val="0"/>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доклада по МСП</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от януари 2017 г. Комисията направи равносметка и преглед </w:t>
      </w:r>
      <w:r>
        <w:rPr>
          <w:rFonts w:ascii="Times New Roman" w:hAnsi="Times New Roman"/>
          <w:noProof/>
          <w:sz w:val="24"/>
          <w:lang w:val="bg-BG"/>
        </w:rPr>
        <w:t>на постиженията и на предизвикателства, които все още не са преодолени, като също така определели ключовите оставащи стъпки, необходими за постигането на целите на МСП. В тази връзка Комисията отправи седемнадесет ключови препоръки, чието евентуално изпълн</w:t>
      </w:r>
      <w:r>
        <w:rPr>
          <w:rFonts w:ascii="Times New Roman" w:hAnsi="Times New Roman"/>
          <w:noProof/>
          <w:sz w:val="24"/>
          <w:lang w:val="bg-BG"/>
        </w:rPr>
        <w:t xml:space="preserve">ение ще доведе до приключването на процеса по МСП. Отправените през януари 2017 г. препоръки може следователно да се считат за достатъчни с оглед на прекратяването на действието на действието на МСП, освен ако определени промени не доведат до ясен обрат в </w:t>
      </w:r>
      <w:r>
        <w:rPr>
          <w:rFonts w:ascii="Times New Roman" w:hAnsi="Times New Roman"/>
          <w:noProof/>
          <w:sz w:val="24"/>
          <w:lang w:val="bg-BG"/>
        </w:rPr>
        <w:t xml:space="preserve">хода на напредъка. В доклада бе подчертано, че темпът на процеса ще зависи от това колко бързо България ще успее да изпълни препоръките по необратим начин. </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Ето защо на този етап от процеса по МСП в настоящия доклад се представя напредъкът, който е постигн</w:t>
      </w:r>
      <w:r>
        <w:rPr>
          <w:rFonts w:ascii="Times New Roman" w:hAnsi="Times New Roman"/>
          <w:noProof/>
          <w:sz w:val="24"/>
          <w:lang w:val="bg-BG"/>
        </w:rPr>
        <w:t>ат след отправянето на препоръките в доклада от януари 2017 г. Както и в предишните години, той е резултат от внимателен процес на анализ от страна на Комисията, който се основава на тясното сътрудничество с българските институции, както и на информацията,</w:t>
      </w:r>
      <w:r>
        <w:rPr>
          <w:rFonts w:ascii="Times New Roman" w:hAnsi="Times New Roman"/>
          <w:noProof/>
          <w:sz w:val="24"/>
          <w:lang w:val="bg-BG"/>
        </w:rPr>
        <w:t xml:space="preserve"> предоставена от гражданското общество и други заинтересовани страни, включително други държави членки. </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речта си от септември 2017 г. относно състоянието на Съюза председателят Юнкер подчерта значението на върховенството на закона и независимостта на съ</w:t>
      </w:r>
      <w:r>
        <w:rPr>
          <w:rFonts w:ascii="Times New Roman" w:hAnsi="Times New Roman"/>
          <w:noProof/>
          <w:sz w:val="24"/>
          <w:lang w:val="bg-BG"/>
        </w:rPr>
        <w:t>дебната власт</w:t>
      </w:r>
      <w:r>
        <w:rPr>
          <w:rStyle w:val="FootnoteReference"/>
          <w:rFonts w:ascii="Times New Roman" w:hAnsi="Times New Roman"/>
          <w:noProof/>
          <w:sz w:val="24"/>
          <w:lang w:val="bg-BG"/>
        </w:rPr>
        <w:footnoteReference w:id="5"/>
      </w:r>
      <w:r>
        <w:rPr>
          <w:noProof/>
          <w:lang w:val="bg-BG"/>
        </w:rPr>
        <w:t>,</w:t>
      </w:r>
      <w:r>
        <w:rPr>
          <w:rFonts w:ascii="Times New Roman" w:hAnsi="Times New Roman"/>
          <w:noProof/>
          <w:lang w:val="bg-BG"/>
        </w:rPr>
        <w:t xml:space="preserve"> </w:t>
      </w:r>
      <w:r>
        <w:rPr>
          <w:rFonts w:ascii="Times New Roman" w:hAnsi="Times New Roman"/>
          <w:noProof/>
          <w:sz w:val="24"/>
          <w:lang w:val="bg-BG"/>
        </w:rPr>
        <w:t xml:space="preserve">които са императив, валиден за всички държави — членки на ЕС, а не само за тези, които участват в МСП. </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Въз основа на своя анализ на напредъка, постигнат от България през целия период на процеса по МСП от 2007 г насам,</w:t>
      </w:r>
      <w:r>
        <w:rPr>
          <w:noProof/>
          <w:lang w:val="bg-BG"/>
        </w:rPr>
        <w:t xml:space="preserve"> </w:t>
      </w:r>
      <w:r>
        <w:rPr>
          <w:rFonts w:ascii="Times New Roman" w:hAnsi="Times New Roman"/>
          <w:noProof/>
          <w:sz w:val="24"/>
          <w:lang w:val="bg-BG"/>
        </w:rPr>
        <w:t xml:space="preserve">, както и въз основа </w:t>
      </w:r>
      <w:r>
        <w:rPr>
          <w:rFonts w:ascii="Times New Roman" w:hAnsi="Times New Roman"/>
          <w:noProof/>
          <w:sz w:val="24"/>
          <w:lang w:val="bg-BG"/>
        </w:rPr>
        <w:t>на напредъка, постигнат след публикуването на доклада през януари 2017 г., Комисията остава на мнение, че с непрекъснато политическо лидерство и решимост за постигане на напредък в реформата, България би трябвало да може да изпълни оставащите неизпълнени п</w:t>
      </w:r>
      <w:r>
        <w:rPr>
          <w:rFonts w:ascii="Times New Roman" w:hAnsi="Times New Roman"/>
          <w:noProof/>
          <w:sz w:val="24"/>
          <w:lang w:val="bg-BG"/>
        </w:rPr>
        <w:t>репоръки по МСП в близко бъдеще. В анализа се подчертава, че е важно оставащите предизвикателства да бъдат преодолени в дух на добро сътрудничество между институциите.</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Комисията възнамерява да извърши оценка на постигнатия напредък в края на 2018 г. и е готова да предостави допълнителна помощ, за да спомогне за утвърждаването на </w:t>
      </w:r>
      <w:r>
        <w:rPr>
          <w:rFonts w:ascii="Times New Roman" w:hAnsi="Times New Roman"/>
          <w:noProof/>
          <w:sz w:val="24"/>
          <w:lang w:val="bg-BG"/>
        </w:rPr>
        <w:lastRenderedPageBreak/>
        <w:t>необратимия характер на напредъка и следователно за прекратяването действието на механизма.</w:t>
      </w:r>
    </w:p>
    <w:p w:rsidR="000F6A30" w:rsidRDefault="0069035A">
      <w:pPr>
        <w:keepNext/>
        <w:spacing w:before="360" w:after="240" w:line="240" w:lineRule="auto"/>
        <w:ind w:left="567" w:hanging="567"/>
        <w:jc w:val="both"/>
        <w:rPr>
          <w:rFonts w:ascii="Times New Roman" w:hAnsi="Times New Roman"/>
          <w:b/>
          <w:noProof/>
          <w:sz w:val="24"/>
          <w:szCs w:val="24"/>
          <w:lang w:val="bg-BG"/>
        </w:rPr>
      </w:pPr>
      <w:r>
        <w:rPr>
          <w:rFonts w:ascii="Times New Roman" w:hAnsi="Times New Roman"/>
          <w:b/>
          <w:noProof/>
          <w:sz w:val="24"/>
          <w:lang w:val="bg-BG"/>
        </w:rPr>
        <w:t>2</w:t>
      </w:r>
      <w:r>
        <w:rPr>
          <w:rFonts w:ascii="Times New Roman" w:hAnsi="Times New Roman"/>
          <w:b/>
          <w:noProof/>
          <w:sz w:val="24"/>
          <w:lang w:val="bg-BG"/>
        </w:rPr>
        <w:t xml:space="preserve">. </w:t>
      </w:r>
      <w:r>
        <w:rPr>
          <w:noProof/>
          <w:lang w:val="bg-BG"/>
        </w:rPr>
        <w:tab/>
      </w:r>
      <w:r>
        <w:rPr>
          <w:rFonts w:ascii="Times New Roman" w:hAnsi="Times New Roman"/>
          <w:b/>
          <w:noProof/>
          <w:sz w:val="24"/>
          <w:lang w:val="bg-BG"/>
        </w:rPr>
        <w:t>ОБЩО ПОЛОЖЕНИЕ</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Както беше отбелязано в доклада от 2017 г, политическата нестабилност през годините оказа отрицателно въздействие върху капацитета за реформа. През май встъпи в длъжност ново правителство</w:t>
      </w:r>
      <w:r>
        <w:rPr>
          <w:rStyle w:val="FootnoteReference"/>
          <w:rFonts w:ascii="Times New Roman" w:hAnsi="Times New Roman"/>
          <w:noProof/>
          <w:sz w:val="24"/>
          <w:lang w:val="bg-BG"/>
        </w:rPr>
        <w:footnoteReference w:id="6"/>
      </w:r>
      <w:r>
        <w:rPr>
          <w:noProof/>
          <w:lang w:val="bg-BG"/>
        </w:rPr>
        <w:t>.</w:t>
      </w:r>
      <w:r>
        <w:rPr>
          <w:rFonts w:ascii="Times New Roman" w:hAnsi="Times New Roman"/>
          <w:noProof/>
          <w:sz w:val="24"/>
          <w:lang w:val="bg-BG"/>
        </w:rPr>
        <w:t xml:space="preserve"> При наличието на новото правителство бе възобнов</w:t>
      </w:r>
      <w:r>
        <w:rPr>
          <w:rFonts w:ascii="Times New Roman" w:hAnsi="Times New Roman"/>
          <w:noProof/>
          <w:sz w:val="24"/>
          <w:lang w:val="bg-BG"/>
        </w:rPr>
        <w:t>ена работата по различните направления, в които предишното правителство беше осъществявало дейност през 2016 г., което позволи на реформите да продължат с известна степен на приемственост в политиката чрез поемане на работата от предишното правителство. Но</w:t>
      </w:r>
      <w:r>
        <w:rPr>
          <w:rFonts w:ascii="Times New Roman" w:hAnsi="Times New Roman"/>
          <w:noProof/>
          <w:sz w:val="24"/>
          <w:lang w:val="bg-BG"/>
        </w:rPr>
        <w:t xml:space="preserve">вото правителство показа решителност да навакса изгубеното време чрез бързо прокарване на законодателни инициативи, насочени към завършване на редица значителни реформи преди края на годината. В някои случаи отделни заинтересовани страни изразиха опасения </w:t>
      </w:r>
      <w:r>
        <w:rPr>
          <w:rFonts w:ascii="Times New Roman" w:hAnsi="Times New Roman"/>
          <w:noProof/>
          <w:sz w:val="24"/>
          <w:lang w:val="bg-BG"/>
        </w:rPr>
        <w:t>за качеството на законодателството или за своето участие в процеса</w:t>
      </w:r>
      <w:r>
        <w:rPr>
          <w:rStyle w:val="FootnoteReference"/>
          <w:rFonts w:ascii="Times New Roman" w:hAnsi="Times New Roman"/>
          <w:noProof/>
          <w:sz w:val="24"/>
          <w:lang w:val="bg-BG"/>
        </w:rPr>
        <w:footnoteReference w:id="7"/>
      </w:r>
      <w:r>
        <w:rPr>
          <w:noProof/>
          <w:lang w:val="bg-BG"/>
        </w:rPr>
        <w:t>.</w:t>
      </w:r>
      <w:r>
        <w:rPr>
          <w:rFonts w:ascii="Times New Roman" w:hAnsi="Times New Roman"/>
          <w:noProof/>
          <w:sz w:val="24"/>
          <w:lang w:val="bg-BG"/>
        </w:rPr>
        <w:t xml:space="preserve"> Важни законодателни инициативи все още са в процес на подготовка или обсъждане и ще е важно те да бъдат представени в контекст на широки обществени дебати и консултации със засегнатите за</w:t>
      </w:r>
      <w:r>
        <w:rPr>
          <w:rFonts w:ascii="Times New Roman" w:hAnsi="Times New Roman"/>
          <w:noProof/>
          <w:sz w:val="24"/>
          <w:lang w:val="bg-BG"/>
        </w:rPr>
        <w:t>интересовани страни. Комисията счита, че приобщаващите законодателни процеси, основаващи се на принципите за по-добро регулиране, имат основно значение за устойчивостта на реформата.</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Междувременно последните събития в Народното събрание отново привлякоха в</w:t>
      </w:r>
      <w:r>
        <w:rPr>
          <w:rFonts w:ascii="Times New Roman" w:hAnsi="Times New Roman"/>
          <w:noProof/>
          <w:sz w:val="24"/>
          <w:lang w:val="bg-BG"/>
        </w:rPr>
        <w:t>ниманието към въздействието от непредвидимия процес на вземане на законодателни решения. През юли пакет от проекти за предложения за изменения в Закона за съдебната власт беше включен в дневния ред на Народното събрание от народни представители без обществ</w:t>
      </w:r>
      <w:r>
        <w:rPr>
          <w:rFonts w:ascii="Times New Roman" w:hAnsi="Times New Roman"/>
          <w:noProof/>
          <w:sz w:val="24"/>
          <w:lang w:val="bg-BG"/>
        </w:rPr>
        <w:t>ен дебат или консултация със заинтересованите страни. Проектоизмененията породиха множество критики, тъй като мнозина от магистратските среди и от гражданското общество видяха в тях непосредствено посегателство върху независимостта на съдебната власт. Мака</w:t>
      </w:r>
      <w:r>
        <w:rPr>
          <w:rFonts w:ascii="Times New Roman" w:hAnsi="Times New Roman"/>
          <w:noProof/>
          <w:sz w:val="24"/>
          <w:lang w:val="bg-BG"/>
        </w:rPr>
        <w:t>р че най-широкообхватните изменения бяха оттеглени преди окончателното гласуване</w:t>
      </w:r>
      <w:r>
        <w:rPr>
          <w:rStyle w:val="FootnoteReference"/>
          <w:rFonts w:ascii="Times New Roman" w:hAnsi="Times New Roman"/>
          <w:noProof/>
          <w:sz w:val="24"/>
          <w:lang w:val="bg-BG"/>
        </w:rPr>
        <w:footnoteReference w:id="8"/>
      </w:r>
      <w:r>
        <w:rPr>
          <w:rFonts w:ascii="Times New Roman" w:hAnsi="Times New Roman"/>
          <w:noProof/>
          <w:sz w:val="24"/>
          <w:lang w:val="bg-BG"/>
        </w:rPr>
        <w:t xml:space="preserve">, някои от приетите изменения бяха критикувани за това, че биха могли да доведат до накърняване на независимостта на съдиите, а според някои наблюдатели съществува възможност </w:t>
      </w:r>
      <w:r>
        <w:rPr>
          <w:rFonts w:ascii="Times New Roman" w:hAnsi="Times New Roman"/>
          <w:noProof/>
          <w:sz w:val="24"/>
          <w:lang w:val="bg-BG"/>
        </w:rPr>
        <w:t>те да са противоконституционни</w:t>
      </w:r>
      <w:r>
        <w:rPr>
          <w:rStyle w:val="FootnoteReference"/>
          <w:rFonts w:ascii="Times New Roman" w:hAnsi="Times New Roman"/>
          <w:noProof/>
          <w:sz w:val="24"/>
          <w:lang w:val="bg-BG"/>
        </w:rPr>
        <w:footnoteReference w:id="9"/>
      </w:r>
      <w:r>
        <w:rPr>
          <w:noProof/>
          <w:lang w:val="bg-BG"/>
        </w:rPr>
        <w:t>.</w:t>
      </w:r>
      <w:r>
        <w:rPr>
          <w:rFonts w:ascii="Times New Roman" w:hAnsi="Times New Roman"/>
          <w:noProof/>
          <w:sz w:val="24"/>
          <w:lang w:val="bg-BG"/>
        </w:rPr>
        <w:t xml:space="preserve"> Допълнителни проектоизменения на </w:t>
      </w:r>
      <w:r>
        <w:rPr>
          <w:rFonts w:ascii="Times New Roman" w:hAnsi="Times New Roman"/>
          <w:noProof/>
          <w:sz w:val="24"/>
          <w:lang w:val="bg-BG"/>
        </w:rPr>
        <w:lastRenderedPageBreak/>
        <w:t>Закона за съдебната власт бяха внесени по същия начин в началото на октомври от отделни народни представители без обществен дебат или консултация със заинтересованите страни и отново бяха кр</w:t>
      </w:r>
      <w:r>
        <w:rPr>
          <w:rFonts w:ascii="Times New Roman" w:hAnsi="Times New Roman"/>
          <w:noProof/>
          <w:sz w:val="24"/>
          <w:lang w:val="bg-BG"/>
        </w:rPr>
        <w:t>итикувани от наблюдатели, че представляват стъпки назад по ключови елементи от реформите от 2016 г.</w:t>
      </w:r>
      <w:r>
        <w:rPr>
          <w:rStyle w:val="FootnoteReference"/>
          <w:rFonts w:ascii="Times New Roman" w:hAnsi="Times New Roman"/>
          <w:noProof/>
          <w:sz w:val="24"/>
          <w:lang w:val="bg-BG"/>
        </w:rPr>
        <w:footnoteReference w:id="10"/>
      </w:r>
      <w:r>
        <w:rPr>
          <w:noProof/>
          <w:lang w:val="bg-BG"/>
        </w:rPr>
        <w:t>.</w:t>
      </w:r>
      <w:r>
        <w:rPr>
          <w:rFonts w:ascii="Times New Roman" w:hAnsi="Times New Roman"/>
          <w:noProof/>
          <w:sz w:val="24"/>
          <w:lang w:val="bg-BG"/>
        </w:rPr>
        <w:t xml:space="preserve"> България следва да гарантира необратимостта и надеждността на процеса на съдебна реформа, като създаде среда на взаимно доверие и сътрудничество между инс</w:t>
      </w:r>
      <w:r>
        <w:rPr>
          <w:rFonts w:ascii="Times New Roman" w:hAnsi="Times New Roman"/>
          <w:noProof/>
          <w:sz w:val="24"/>
          <w:lang w:val="bg-BG"/>
        </w:rPr>
        <w:t xml:space="preserve">титуциите, която е от решаващо значение за успешното осъществяване на реформите. Въпреки че съществува ясна необходимост да се ускори темпът на реформите, това не следва да води до заобикаляне на процедурите на консултации, което крие риск от създаване на </w:t>
      </w:r>
      <w:r>
        <w:rPr>
          <w:rFonts w:ascii="Times New Roman" w:hAnsi="Times New Roman"/>
          <w:noProof/>
          <w:sz w:val="24"/>
          <w:lang w:val="bg-BG"/>
        </w:rPr>
        <w:t>климат на несигурност и липса на ангажираност.</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съдебната система наскоро избраният Висш съдебен съвет (ВСС) има възможност да подобри отрицателната като цяло атмосфера за дебати в съдебната система, която преобладаваше по времето на предишния ВСС и се ха</w:t>
      </w:r>
      <w:r>
        <w:rPr>
          <w:rFonts w:ascii="Times New Roman" w:hAnsi="Times New Roman"/>
          <w:noProof/>
          <w:sz w:val="24"/>
          <w:lang w:val="bg-BG"/>
        </w:rPr>
        <w:t>рактеризираше с очевидни разногласия и взаимни подозрения, възпрепятстващи безпристрастния процес на вземане на решения. Наскорошните реформи въведоха безспорни подобрения, по-специално чрез създаването на отделни колегии във ВСС за съдии и прокурори. Съмн</w:t>
      </w:r>
      <w:r>
        <w:rPr>
          <w:rFonts w:ascii="Times New Roman" w:hAnsi="Times New Roman"/>
          <w:noProof/>
          <w:sz w:val="24"/>
          <w:lang w:val="bg-BG"/>
        </w:rPr>
        <w:t>енията, които обаче продължават да съществуват във връзка с възможно неправомерно влияние от страна на ВСС върху съдии биха накърнили представата за независим процес на вземане на решения в тази ключова институция</w:t>
      </w:r>
      <w:r>
        <w:rPr>
          <w:rStyle w:val="FootnoteReference"/>
          <w:rFonts w:ascii="Times New Roman" w:hAnsi="Times New Roman"/>
          <w:noProof/>
          <w:sz w:val="24"/>
          <w:lang w:val="bg-BG"/>
        </w:rPr>
        <w:footnoteReference w:id="11"/>
      </w:r>
      <w:r>
        <w:rPr>
          <w:noProof/>
          <w:lang w:val="bg-BG"/>
        </w:rPr>
        <w:t>.</w:t>
      </w:r>
      <w:r>
        <w:rPr>
          <w:rFonts w:ascii="Times New Roman" w:hAnsi="Times New Roman"/>
          <w:noProof/>
          <w:sz w:val="24"/>
          <w:lang w:val="bg-BG"/>
        </w:rPr>
        <w:t xml:space="preserve"> Предвид това предизвикателство за новия </w:t>
      </w:r>
      <w:r>
        <w:rPr>
          <w:rFonts w:ascii="Times New Roman" w:hAnsi="Times New Roman"/>
          <w:noProof/>
          <w:sz w:val="24"/>
          <w:lang w:val="bg-BG"/>
        </w:rPr>
        <w:t>състав на ВСС следователно ще бъде важно да създаде атмосфера на открит дебат и прозрачност по ключови решения, така че да възвърне доверието на магистратите и широката общественост, което е от съществено значение за доброто функциониране на съдебната сист</w:t>
      </w:r>
      <w:r>
        <w:rPr>
          <w:rFonts w:ascii="Times New Roman" w:hAnsi="Times New Roman"/>
          <w:noProof/>
          <w:sz w:val="24"/>
          <w:lang w:val="bg-BG"/>
        </w:rPr>
        <w:t xml:space="preserve">ема. </w:t>
      </w:r>
    </w:p>
    <w:p w:rsidR="000F6A30" w:rsidRDefault="0069035A">
      <w:pPr>
        <w:keepNext/>
        <w:spacing w:before="360" w:after="240" w:line="240" w:lineRule="auto"/>
        <w:ind w:left="567" w:hanging="567"/>
        <w:jc w:val="both"/>
        <w:rPr>
          <w:rFonts w:ascii="Times New Roman" w:hAnsi="Times New Roman"/>
          <w:b/>
          <w:noProof/>
          <w:sz w:val="24"/>
          <w:szCs w:val="24"/>
          <w:lang w:val="bg-BG"/>
        </w:rPr>
      </w:pPr>
      <w:r>
        <w:rPr>
          <w:rFonts w:ascii="Times New Roman" w:hAnsi="Times New Roman"/>
          <w:b/>
          <w:noProof/>
          <w:sz w:val="24"/>
          <w:lang w:val="bg-BG"/>
        </w:rPr>
        <w:t>3.</w:t>
      </w:r>
      <w:r>
        <w:rPr>
          <w:noProof/>
          <w:lang w:val="bg-BG"/>
        </w:rPr>
        <w:tab/>
      </w:r>
      <w:r>
        <w:rPr>
          <w:rFonts w:ascii="Times New Roman" w:hAnsi="Times New Roman"/>
          <w:b/>
          <w:noProof/>
          <w:sz w:val="24"/>
          <w:lang w:val="bg-BG"/>
        </w:rPr>
        <w:t xml:space="preserve">ОЦЕНКА НА НАПРЕДЪКА В ИЗПЪЛНЕНИЕТО НА ПОКАЗАТЕЛИТЕ ПО МСП ВЪЗ ОСНОВА НА ПРЕПОРЪКИТЕ, СЪДЪРЖАЩИ СЕ В ДОКЛАДА ПО МСП ОТ ЯНУАРИ 2017 г. </w:t>
      </w:r>
    </w:p>
    <w:p w:rsidR="000F6A30" w:rsidRDefault="0069035A">
      <w:pPr>
        <w:keepNext/>
        <w:spacing w:before="12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3.1 </w:t>
      </w:r>
      <w:r>
        <w:rPr>
          <w:noProof/>
          <w:lang w:val="bg-BG"/>
        </w:rPr>
        <w:tab/>
      </w:r>
      <w:r>
        <w:rPr>
          <w:rFonts w:ascii="Times New Roman" w:hAnsi="Times New Roman"/>
          <w:b/>
          <w:noProof/>
          <w:sz w:val="24"/>
          <w:lang w:val="bg-BG"/>
        </w:rPr>
        <w:t>Първи показател: Независимост на съдебната власт</w:t>
      </w:r>
    </w:p>
    <w:p w:rsidR="000F6A30" w:rsidRDefault="0069035A">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 xml:space="preserve">Препоръка 1: </w:t>
      </w:r>
      <w:r>
        <w:rPr>
          <w:rFonts w:ascii="Times New Roman" w:hAnsi="Times New Roman"/>
          <w:i/>
          <w:noProof/>
          <w:lang w:val="bg-BG"/>
        </w:rPr>
        <w:t>да се гарантира прозрачен избор на членовете н</w:t>
      </w:r>
      <w:r>
        <w:rPr>
          <w:rFonts w:ascii="Times New Roman" w:hAnsi="Times New Roman"/>
          <w:i/>
          <w:noProof/>
          <w:lang w:val="bg-BG"/>
        </w:rPr>
        <w:t>а бъдещия ВСС, като преди избора на членовете от парламентарната квота следва да се проведе публично изслушване в Народното събрание и да се даде възможност на представителите на гражданското общество да коментират кандидатите.</w:t>
      </w:r>
    </w:p>
    <w:p w:rsidR="000F6A30" w:rsidRDefault="0069035A">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2:</w:t>
      </w:r>
      <w:r>
        <w:rPr>
          <w:rFonts w:ascii="Times New Roman" w:hAnsi="Times New Roman"/>
          <w:i/>
          <w:noProof/>
          <w:lang w:val="bg-BG"/>
        </w:rPr>
        <w:t xml:space="preserve"> да се установи </w:t>
      </w:r>
      <w:r>
        <w:rPr>
          <w:rFonts w:ascii="Times New Roman" w:hAnsi="Times New Roman"/>
          <w:i/>
          <w:noProof/>
          <w:lang w:val="bg-BG"/>
        </w:rPr>
        <w:t>практика назначаването на висши съдебни длъжности да бъде прозрачно и да се основава на качествата на кандидатите, като това следва да важи и за предстоящото назначаване на нов председател на Върховния административен съд.</w:t>
      </w:r>
    </w:p>
    <w:p w:rsidR="000F6A30" w:rsidRDefault="0069035A">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3:</w:t>
      </w:r>
      <w:r>
        <w:rPr>
          <w:rFonts w:ascii="Times New Roman" w:hAnsi="Times New Roman"/>
          <w:i/>
          <w:noProof/>
          <w:lang w:val="bg-BG"/>
        </w:rPr>
        <w:t xml:space="preserve"> да се подобрят практ</w:t>
      </w:r>
      <w:r>
        <w:rPr>
          <w:rFonts w:ascii="Times New Roman" w:hAnsi="Times New Roman"/>
          <w:i/>
          <w:noProof/>
          <w:lang w:val="bg-BG"/>
        </w:rPr>
        <w:t xml:space="preserve">ическото функциониране на ИВСС и последващите действия на Висшия съдебен съвет в отговор на констатациите на Инспектората, особено по отношение на въпроси, свързани с почтеността на магистратите; да се обмисли възможността за отправяне на искане за външна </w:t>
      </w:r>
      <w:r>
        <w:rPr>
          <w:rFonts w:ascii="Times New Roman" w:hAnsi="Times New Roman"/>
          <w:i/>
          <w:noProof/>
          <w:lang w:val="bg-BG"/>
        </w:rPr>
        <w:t>помощ, например от СПСР и/или Съвета на Европа.</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Най-важното развитие през тази година по отношение на съдебната власт бе избирането на нов състав на Висшия съдебен съвет (ВСС), който встъпи в длъжност на 3 октомври. Изборите за съдебната квота бяха проведе</w:t>
      </w:r>
      <w:r>
        <w:rPr>
          <w:rFonts w:ascii="Times New Roman" w:hAnsi="Times New Roman"/>
          <w:noProof/>
          <w:sz w:val="24"/>
          <w:lang w:val="bg-BG"/>
        </w:rPr>
        <w:t>ни през юни в съответствие с принципа „един магистрат — един глас“, чието значение беше подчертавано по-рано от Комисията, и въпреки някои опасения, изразени по време на провеждането на изборите, процесът бе счетен като цяло за справедлив. Това беше значит</w:t>
      </w:r>
      <w:r>
        <w:rPr>
          <w:rFonts w:ascii="Times New Roman" w:hAnsi="Times New Roman"/>
          <w:noProof/>
          <w:sz w:val="24"/>
          <w:lang w:val="bg-BG"/>
        </w:rPr>
        <w:t>елно подобрение в сравнение с изборите за предишния ВСС през есента на 2012 г.</w:t>
      </w:r>
      <w:r>
        <w:rPr>
          <w:rStyle w:val="FootnoteReference"/>
          <w:rFonts w:ascii="Times New Roman" w:hAnsi="Times New Roman"/>
          <w:noProof/>
          <w:sz w:val="24"/>
          <w:lang w:val="bg-BG"/>
        </w:rPr>
        <w:footnoteReference w:id="12"/>
      </w:r>
      <w:r>
        <w:rPr>
          <w:noProof/>
          <w:lang w:val="bg-BG"/>
        </w:rPr>
        <w:t>.</w:t>
      </w:r>
      <w:r>
        <w:rPr>
          <w:rFonts w:ascii="Times New Roman" w:hAnsi="Times New Roman"/>
          <w:noProof/>
          <w:sz w:val="24"/>
          <w:lang w:val="bg-BG"/>
        </w:rPr>
        <w:t xml:space="preserve"> Изборът за парламентарната квота бе проведен от Народното събрание на 20 септември, като успешните кандидати бяха избрани с мнозинство, значително надвишаващо изискваното мноз</w:t>
      </w:r>
      <w:r>
        <w:rPr>
          <w:rFonts w:ascii="Times New Roman" w:hAnsi="Times New Roman"/>
          <w:noProof/>
          <w:sz w:val="24"/>
          <w:lang w:val="bg-BG"/>
        </w:rPr>
        <w:t xml:space="preserve">инство от две трети. В медиите и гражданското общество бяха изразени критики, че резултатът е бил предопределен чрез договорки между основните политически партии и че дебатът е бил повърхностен и не е отразил открито разглеждане на съответните качества на </w:t>
      </w:r>
      <w:r>
        <w:rPr>
          <w:rFonts w:ascii="Times New Roman" w:hAnsi="Times New Roman"/>
          <w:noProof/>
          <w:sz w:val="24"/>
          <w:lang w:val="bg-BG"/>
        </w:rPr>
        <w:t>кандидатите.</w:t>
      </w:r>
      <w:r>
        <w:rPr>
          <w:rStyle w:val="FootnoteReference"/>
          <w:rFonts w:ascii="Times New Roman" w:hAnsi="Times New Roman"/>
          <w:noProof/>
          <w:sz w:val="24"/>
          <w:lang w:val="bg-BG"/>
        </w:rPr>
        <w:t xml:space="preserve"> </w:t>
      </w:r>
      <w:r>
        <w:rPr>
          <w:rStyle w:val="FootnoteReference"/>
          <w:rFonts w:ascii="Times New Roman" w:hAnsi="Times New Roman"/>
          <w:noProof/>
          <w:sz w:val="24"/>
          <w:lang w:val="bg-BG"/>
        </w:rPr>
        <w:footnoteReference w:id="13"/>
      </w:r>
      <w:r>
        <w:rPr>
          <w:rFonts w:ascii="Times New Roman" w:hAnsi="Times New Roman"/>
          <w:noProof/>
          <w:sz w:val="24"/>
          <w:lang w:val="bg-BG"/>
        </w:rPr>
        <w:t xml:space="preserve"> Конкретна критика бе отправена относно обстоятелството, че при проведеното по-рано публичното изслушване в Комисията по правни въпроси не е било предоставено време за разглеждането на съществени въпроси, повдигнати от гражданското общество, въпреки че тез</w:t>
      </w:r>
      <w:r>
        <w:rPr>
          <w:rFonts w:ascii="Times New Roman" w:hAnsi="Times New Roman"/>
          <w:noProof/>
          <w:sz w:val="24"/>
          <w:lang w:val="bg-BG"/>
        </w:rPr>
        <w:t>и въпроси са били получени и до тях е бил предоставен обществен достъп на уебсайта на Народното събрание. Като цяло обаче изборите за новия състав на ВСС показаха предимствата на новата законодателна рамка, която беше въведена през 2016 г. Сега от новия съ</w:t>
      </w:r>
      <w:r>
        <w:rPr>
          <w:rFonts w:ascii="Times New Roman" w:hAnsi="Times New Roman"/>
          <w:noProof/>
          <w:sz w:val="24"/>
          <w:lang w:val="bg-BG"/>
        </w:rPr>
        <w:t xml:space="preserve">став на ВСС зависи да покаже своята независимост на практика чрез постигане на трайни резултати при вземането на безпристрастни и професионални решения в ключови области. </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Важна отговорност на ВСС са назначенията на високи длъжности в съдебната система. Ва</w:t>
      </w:r>
      <w:r>
        <w:rPr>
          <w:rFonts w:ascii="Times New Roman" w:hAnsi="Times New Roman"/>
          <w:noProof/>
          <w:sz w:val="24"/>
          <w:lang w:val="bg-BG"/>
        </w:rPr>
        <w:t xml:space="preserve">жно ще бъде да се установи, че такива решения се вземат въз основа на качествата на кандидатите и по прозрачен начин. Особено важно решение през 2017 г. беше предложението за назначаване на нов председател на Върховния административен съд. Въпреки че това </w:t>
      </w:r>
      <w:r>
        <w:rPr>
          <w:rFonts w:ascii="Times New Roman" w:hAnsi="Times New Roman"/>
          <w:noProof/>
          <w:sz w:val="24"/>
          <w:lang w:val="bg-BG"/>
        </w:rPr>
        <w:t>решение можеше да бъде прието от новия състав на ВСС, предишният състав на ВСС реши да избере своя кандидат на 11 септември и да представи неговата кандидатура за утвърждаване от президента на републиката.</w:t>
      </w:r>
      <w:r>
        <w:rPr>
          <w:rFonts w:ascii="Times New Roman" w:hAnsi="Times New Roman"/>
          <w:noProof/>
          <w:sz w:val="24"/>
          <w:vertAlign w:val="superscript"/>
          <w:lang w:val="bg-BG"/>
        </w:rPr>
        <w:footnoteReference w:id="14"/>
      </w:r>
      <w:r>
        <w:rPr>
          <w:noProof/>
          <w:lang w:val="bg-BG"/>
        </w:rPr>
        <w:t xml:space="preserve"> </w:t>
      </w:r>
      <w:r>
        <w:rPr>
          <w:rFonts w:ascii="Times New Roman" w:hAnsi="Times New Roman"/>
          <w:noProof/>
          <w:sz w:val="24"/>
          <w:lang w:val="bg-BG"/>
        </w:rPr>
        <w:t>Междувременно президентът върна кандидатурата с м</w:t>
      </w:r>
      <w:r>
        <w:rPr>
          <w:rFonts w:ascii="Times New Roman" w:hAnsi="Times New Roman"/>
          <w:noProof/>
          <w:sz w:val="24"/>
          <w:lang w:val="bg-BG"/>
        </w:rPr>
        <w:t>отива, че би било по-легитимно, ако процесът на номиниране бъде извършен от новия встъпващ в длъжност състав на ВСС. Това даде възможност на новия състав на ВСС да преразгледа номинацията на заседание, проведено на 19 октомври, на което назначаването на из</w:t>
      </w:r>
      <w:r>
        <w:rPr>
          <w:rFonts w:ascii="Times New Roman" w:hAnsi="Times New Roman"/>
          <w:noProof/>
          <w:sz w:val="24"/>
          <w:lang w:val="bg-BG"/>
        </w:rPr>
        <w:t xml:space="preserve">брания кандидат бе утвърдено след повторно гласуване с голямо мнозинство. </w:t>
      </w:r>
    </w:p>
    <w:p w:rsidR="000F6A30" w:rsidRDefault="0069035A">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Другата основна институция, създадена съгласно Конституцията за защита на независимостта на съдебната власт, е Инспекторатът. Измененията на Конституцията, приети през 2015 г., пред</w:t>
      </w:r>
      <w:r>
        <w:rPr>
          <w:rFonts w:ascii="Times New Roman" w:hAnsi="Times New Roman"/>
          <w:noProof/>
          <w:sz w:val="24"/>
          <w:lang w:val="bg-BG"/>
        </w:rPr>
        <w:t>оставиха на Инспектората по-силни правомощия в ключови области, като например проверките за почтеност, включително тези отнасящи се до конфликт на интереси и лично имущество на магистратите, както и по-централна роля в подготовката на дисциплинарни произво</w:t>
      </w:r>
      <w:r>
        <w:rPr>
          <w:rFonts w:ascii="Times New Roman" w:hAnsi="Times New Roman"/>
          <w:noProof/>
          <w:sz w:val="24"/>
          <w:lang w:val="bg-BG"/>
        </w:rPr>
        <w:t>дства. Въпреки че окончателните решения относно такива производства продължават да бъдат в правомощията на ВСС, тези правомощия неизбежно повдигат чувствителни въпроси — дисциплинарни решения на ВСС в миналото са били повод за спорове — и следователно тряб</w:t>
      </w:r>
      <w:r>
        <w:rPr>
          <w:rFonts w:ascii="Times New Roman" w:hAnsi="Times New Roman"/>
          <w:noProof/>
          <w:sz w:val="24"/>
          <w:lang w:val="bg-BG"/>
        </w:rPr>
        <w:t xml:space="preserve">ва да се упражняват внимателно. В доклада от януари 2017 г, като беше взет предвид този контекст, беше отправена препоръка до българските органи да използват външен експертен опит за подобряване на практическото функциониране на новата система за проверки </w:t>
      </w:r>
      <w:r>
        <w:rPr>
          <w:rFonts w:ascii="Times New Roman" w:hAnsi="Times New Roman"/>
          <w:noProof/>
          <w:sz w:val="24"/>
          <w:lang w:val="bg-BG"/>
        </w:rPr>
        <w:t>и дисциплинарни производства</w:t>
      </w:r>
      <w:r>
        <w:rPr>
          <w:rStyle w:val="FootnoteReference"/>
          <w:rFonts w:ascii="Times New Roman" w:hAnsi="Times New Roman"/>
          <w:noProof/>
          <w:sz w:val="24"/>
          <w:lang w:val="bg-BG"/>
        </w:rPr>
        <w:footnoteReference w:id="15"/>
      </w:r>
      <w:r>
        <w:rPr>
          <w:noProof/>
          <w:lang w:val="bg-BG"/>
        </w:rPr>
        <w:t>.</w:t>
      </w:r>
      <w:r>
        <w:rPr>
          <w:rFonts w:ascii="Times New Roman" w:hAnsi="Times New Roman"/>
          <w:noProof/>
          <w:sz w:val="24"/>
          <w:lang w:val="bg-BG"/>
        </w:rPr>
        <w:t xml:space="preserve"> През октомври Венецианската комисия прие становище по отношение на България, което съдържа важни елементи, които биха могли да послужат за основа за допълнителна оценка в контекста на тези изменения</w:t>
      </w:r>
      <w:r>
        <w:rPr>
          <w:rStyle w:val="FootnoteReference"/>
          <w:rFonts w:ascii="Times New Roman" w:hAnsi="Times New Roman"/>
          <w:noProof/>
          <w:sz w:val="24"/>
          <w:lang w:val="bg-BG"/>
        </w:rPr>
        <w:footnoteReference w:id="16"/>
      </w:r>
      <w:r>
        <w:rPr>
          <w:noProof/>
          <w:lang w:val="bg-BG"/>
        </w:rPr>
        <w:t>.</w:t>
      </w:r>
      <w:r>
        <w:rPr>
          <w:rFonts w:ascii="Times New Roman" w:hAnsi="Times New Roman"/>
          <w:noProof/>
          <w:sz w:val="24"/>
          <w:lang w:val="bg-BG"/>
        </w:rPr>
        <w:t xml:space="preserve"> </w:t>
      </w:r>
    </w:p>
    <w:p w:rsidR="000F6A30" w:rsidRDefault="0069035A">
      <w:pPr>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Заключението въз основа</w:t>
      </w:r>
      <w:r>
        <w:rPr>
          <w:rFonts w:ascii="Times New Roman" w:hAnsi="Times New Roman"/>
          <w:i/>
          <w:noProof/>
          <w:sz w:val="24"/>
          <w:lang w:val="bg-BG"/>
        </w:rPr>
        <w:t xml:space="preserve"> на анализа на изпълнението на препоръки 1, 2 и 3 е, че като цяло България е постигнала допълнителен значителен напредък по първия показател. Въпреки това някои елементи от препоръки 2 и 3 все още не са изпълнени и ще изискват допълнителни последващи дейст</w:t>
      </w:r>
      <w:r>
        <w:rPr>
          <w:rFonts w:ascii="Times New Roman" w:hAnsi="Times New Roman"/>
          <w:i/>
          <w:noProof/>
          <w:sz w:val="24"/>
          <w:lang w:val="bg-BG"/>
        </w:rPr>
        <w:t xml:space="preserve">вия през идните месеци.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3.2 </w:t>
      </w:r>
      <w:r>
        <w:rPr>
          <w:noProof/>
          <w:lang w:val="bg-BG"/>
        </w:rPr>
        <w:tab/>
      </w:r>
      <w:r>
        <w:rPr>
          <w:rFonts w:ascii="Times New Roman" w:hAnsi="Times New Roman"/>
          <w:b/>
          <w:noProof/>
          <w:sz w:val="24"/>
          <w:lang w:val="bg-BG"/>
        </w:rPr>
        <w:t>Втори показател: Нормативна уредба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Italic" w:hAnsi="Times New Roman Italic"/>
          <w:i/>
          <w:noProof/>
          <w:lang w:val="bg-BG"/>
        </w:rPr>
      </w:pPr>
      <w:r>
        <w:rPr>
          <w:rFonts w:ascii="Times New Roman Italic" w:hAnsi="Times New Roman Italic"/>
          <w:b/>
          <w:i/>
          <w:noProof/>
          <w:lang w:val="bg-BG"/>
        </w:rPr>
        <w:t>Препоръка 4:</w:t>
      </w:r>
      <w:r>
        <w:rPr>
          <w:rFonts w:ascii="Times New Roman Italic" w:hAnsi="Times New Roman Italic"/>
          <w:i/>
          <w:noProof/>
          <w:lang w:val="bg-BG"/>
        </w:rPr>
        <w:t xml:space="preserve"> да се приемат изменения на Наказателно-процесуалния кодекс и Наказателния кодекс за подобряване на нормативната уредба на наказателното преследване на корупцията по високите етажи на властта и тежката организирана престъпност.</w:t>
      </w:r>
    </w:p>
    <w:p w:rsidR="000F6A30" w:rsidRDefault="0069035A">
      <w:pPr>
        <w:spacing w:line="240" w:lineRule="auto"/>
        <w:jc w:val="both"/>
        <w:rPr>
          <w:rFonts w:ascii="Times New Roman" w:hAnsi="Times New Roman"/>
          <w:noProof/>
          <w:sz w:val="24"/>
          <w:szCs w:val="24"/>
          <w:lang w:val="bg-BG"/>
        </w:rPr>
      </w:pPr>
      <w:r>
        <w:rPr>
          <w:rFonts w:ascii="Times New Roman" w:hAnsi="Times New Roman"/>
          <w:noProof/>
          <w:sz w:val="24"/>
          <w:lang w:val="bg-BG"/>
        </w:rPr>
        <w:t>Що се отнася до наказателнит</w:t>
      </w:r>
      <w:r>
        <w:rPr>
          <w:rFonts w:ascii="Times New Roman" w:hAnsi="Times New Roman"/>
          <w:noProof/>
          <w:sz w:val="24"/>
          <w:lang w:val="bg-BG"/>
        </w:rPr>
        <w:t>е производства, през юли Народното събрание прие пакет от изменения на Наказателно-процесуалния кодекс. Тези предложения имат за цел преодоляване на забавянията при наказателните производства, по-специално чрез ограничаване на възможността за съдилищата да</w:t>
      </w:r>
      <w:r>
        <w:rPr>
          <w:rFonts w:ascii="Times New Roman" w:hAnsi="Times New Roman"/>
          <w:noProof/>
          <w:sz w:val="24"/>
          <w:lang w:val="bg-BG"/>
        </w:rPr>
        <w:t xml:space="preserve"> връщат дела на прокуратурата на формалистични основания. Въпреки че много от измененията са в съответствие с предложенията, които бяха представени още през есента на 2016 г., бяха изразени опасения, че окончателният пакет беше прокаран в Народното събрани</w:t>
      </w:r>
      <w:r>
        <w:rPr>
          <w:rFonts w:ascii="Times New Roman" w:hAnsi="Times New Roman"/>
          <w:noProof/>
          <w:sz w:val="24"/>
          <w:lang w:val="bg-BG"/>
        </w:rPr>
        <w:t>е без много време за по-широк дебат в рамките на съдебната система, като по този начин не беше обърнато внимание на възможни опасения. Една от последиците от тези новоприети изменения беше прехвърлянето на подсъдността на делата за корупционни престъпления</w:t>
      </w:r>
      <w:r>
        <w:rPr>
          <w:rFonts w:ascii="Times New Roman" w:hAnsi="Times New Roman"/>
          <w:noProof/>
          <w:sz w:val="24"/>
          <w:lang w:val="bg-BG"/>
        </w:rPr>
        <w:t xml:space="preserve"> срещу лица на ръководни длъжности, включително министри, депутати и магистрати, на специализирания съд, на когото са подсъдни делата за организирана престъпност. Изключително краткият срок, който беше предоставен за осъществяването на тази промяна създаде</w:t>
      </w:r>
      <w:r>
        <w:rPr>
          <w:rFonts w:ascii="Times New Roman" w:hAnsi="Times New Roman"/>
          <w:noProof/>
          <w:sz w:val="24"/>
          <w:lang w:val="bg-BG"/>
        </w:rPr>
        <w:t xml:space="preserve"> организационни трудности</w:t>
      </w:r>
      <w:r>
        <w:rPr>
          <w:rStyle w:val="FootnoteReference"/>
          <w:rFonts w:ascii="Times New Roman" w:hAnsi="Times New Roman"/>
          <w:noProof/>
          <w:sz w:val="24"/>
          <w:lang w:val="bg-BG"/>
        </w:rPr>
        <w:footnoteReference w:id="17"/>
      </w:r>
      <w:r>
        <w:rPr>
          <w:noProof/>
          <w:lang w:val="bg-BG"/>
        </w:rPr>
        <w:t>.</w:t>
      </w:r>
      <w:r>
        <w:rPr>
          <w:rFonts w:ascii="Times New Roman" w:hAnsi="Times New Roman"/>
          <w:noProof/>
          <w:sz w:val="24"/>
          <w:lang w:val="bg-BG"/>
        </w:rPr>
        <w:t xml:space="preserve"> Както беше отбелязано в януарския доклад, такива промени трябва да бъдат внимателно подготвени и придружени от подходящ анализ на нуждите от ресурси и на възможните правни последици от промените. Освен това измененията в Наказат</w:t>
      </w:r>
      <w:r>
        <w:rPr>
          <w:rFonts w:ascii="Times New Roman" w:hAnsi="Times New Roman"/>
          <w:noProof/>
          <w:sz w:val="24"/>
          <w:lang w:val="bg-BG"/>
        </w:rPr>
        <w:t>елно-процесуалния кодекс бяха придружени от специфични изменения на Закона за съдебната власт, предвиждащи нова възможност за отстраняване от длъжност на магистрати, по отношение на която Венецианската комисия изрази опасения</w:t>
      </w:r>
      <w:r>
        <w:rPr>
          <w:rStyle w:val="FootnoteReference"/>
          <w:rFonts w:ascii="Times New Roman" w:hAnsi="Times New Roman"/>
          <w:noProof/>
          <w:sz w:val="24"/>
          <w:lang w:val="bg-BG"/>
        </w:rPr>
        <w:footnoteReference w:id="18"/>
      </w:r>
      <w:r>
        <w:rPr>
          <w:noProof/>
          <w:lang w:val="bg-BG"/>
        </w:rPr>
        <w:t>.</w:t>
      </w:r>
      <w:r>
        <w:rPr>
          <w:rFonts w:ascii="Times New Roman" w:hAnsi="Times New Roman"/>
          <w:noProof/>
          <w:sz w:val="24"/>
          <w:lang w:val="bg-BG"/>
        </w:rPr>
        <w:t xml:space="preserve"> В по-общ план въздействието от все още скорошните промени се очаква да се прояви в резултатите по делата в хода на прилагането на различните разпоредби на практика. </w:t>
      </w:r>
    </w:p>
    <w:p w:rsidR="000F6A30" w:rsidRDefault="0069035A">
      <w:pPr>
        <w:spacing w:line="240" w:lineRule="auto"/>
        <w:jc w:val="both"/>
        <w:rPr>
          <w:rFonts w:ascii="Times New Roman" w:hAnsi="Times New Roman"/>
          <w:noProof/>
          <w:sz w:val="24"/>
          <w:szCs w:val="24"/>
          <w:lang w:val="bg-BG"/>
        </w:rPr>
      </w:pPr>
      <w:r>
        <w:rPr>
          <w:rFonts w:ascii="Times New Roman" w:hAnsi="Times New Roman"/>
          <w:noProof/>
          <w:sz w:val="24"/>
          <w:lang w:val="bg-BG"/>
        </w:rPr>
        <w:t>Понастоящем в работни групи на Министерството на правосъдието, които получават техническа</w:t>
      </w:r>
      <w:r>
        <w:rPr>
          <w:rFonts w:ascii="Times New Roman" w:hAnsi="Times New Roman"/>
          <w:noProof/>
          <w:sz w:val="24"/>
          <w:lang w:val="bg-BG"/>
        </w:rPr>
        <w:t xml:space="preserve"> информация от прокуратурата и други източници, тече обсъждане на редица допълнителни области на възможни законодателни изменения, отнасящи се до Наказателно-процесуалния кодекс и Наказателния кодекс, с оглед на разрешаването на проблеми, установени в конт</w:t>
      </w:r>
      <w:r>
        <w:rPr>
          <w:rFonts w:ascii="Times New Roman" w:hAnsi="Times New Roman"/>
          <w:noProof/>
          <w:sz w:val="24"/>
          <w:lang w:val="bg-BG"/>
        </w:rPr>
        <w:t xml:space="preserve">екста на третия и четвъртия показател </w:t>
      </w:r>
      <w:r>
        <w:rPr>
          <w:rStyle w:val="FootnoteReference"/>
          <w:rFonts w:ascii="Times New Roman" w:hAnsi="Times New Roman"/>
          <w:i/>
          <w:noProof/>
          <w:sz w:val="24"/>
          <w:lang w:val="bg-BG"/>
        </w:rPr>
        <w:footnoteReference w:id="19"/>
      </w:r>
      <w:r>
        <w:rPr>
          <w:noProof/>
          <w:lang w:val="bg-BG"/>
        </w:rPr>
        <w:t>.</w:t>
      </w:r>
      <w:r>
        <w:rPr>
          <w:rFonts w:ascii="Times New Roman" w:hAnsi="Times New Roman"/>
          <w:noProof/>
          <w:sz w:val="24"/>
          <w:lang w:val="bg-BG"/>
        </w:rPr>
        <w:t xml:space="preserve"> Експерти и български органи установиха, че въпросните проблеми засягат по-ефективното разследване и наказателно преследване на тежки престъпления, свързани с корупция и организирана престъпност. С цел обаче да се на</w:t>
      </w:r>
      <w:r>
        <w:rPr>
          <w:rFonts w:ascii="Times New Roman" w:hAnsi="Times New Roman"/>
          <w:noProof/>
          <w:sz w:val="24"/>
          <w:lang w:val="bg-BG"/>
        </w:rPr>
        <w:t>сърчи необходимото доверие в този процес сред широката общественост, както и приемането в съдебната система на предложените промени, от решаващо значение е съществени промени в наказателноправната уредба да се извършват по прозрачен начин след провеждане н</w:t>
      </w:r>
      <w:r>
        <w:rPr>
          <w:rFonts w:ascii="Times New Roman" w:hAnsi="Times New Roman"/>
          <w:noProof/>
          <w:sz w:val="24"/>
          <w:lang w:val="bg-BG"/>
        </w:rPr>
        <w:t xml:space="preserve">а обществен дебат в магистратските среди и след консултации с гражданското общество. Въздействие върху устойчивостта на напредъка оказва не само съдържанието на законодателните промени, но също и процедурата, използвана за тяхното изготвяне и приемане. </w:t>
      </w:r>
    </w:p>
    <w:p w:rsidR="000F6A30" w:rsidRDefault="0069035A">
      <w:pPr>
        <w:spacing w:line="240" w:lineRule="auto"/>
        <w:jc w:val="both"/>
        <w:rPr>
          <w:rFonts w:ascii="Times New Roman" w:hAnsi="Times New Roman"/>
          <w:i/>
          <w:noProof/>
          <w:sz w:val="24"/>
          <w:szCs w:val="24"/>
          <w:lang w:val="bg-BG"/>
        </w:rPr>
      </w:pPr>
      <w:r>
        <w:rPr>
          <w:rFonts w:ascii="Times New Roman" w:hAnsi="Times New Roman"/>
          <w:i/>
          <w:noProof/>
          <w:sz w:val="24"/>
          <w:lang w:val="bg-BG"/>
        </w:rPr>
        <w:t>Ка</w:t>
      </w:r>
      <w:r>
        <w:rPr>
          <w:rFonts w:ascii="Times New Roman" w:hAnsi="Times New Roman"/>
          <w:i/>
          <w:noProof/>
          <w:sz w:val="24"/>
          <w:lang w:val="bg-BG"/>
        </w:rPr>
        <w:t>то цяло България е предприела конкретни стъпки за изпълнение на препоръка 4 с цел постигане на целите на втория показател. Вече са приети редица изменения на Наказателно-процесуалния кодекс, а допълнителни законодателни предложения във връзка с третия и че</w:t>
      </w:r>
      <w:r>
        <w:rPr>
          <w:rFonts w:ascii="Times New Roman" w:hAnsi="Times New Roman"/>
          <w:i/>
          <w:noProof/>
          <w:sz w:val="24"/>
          <w:lang w:val="bg-BG"/>
        </w:rPr>
        <w:t>твъртия показател са в процес на изготвяне, включително за изменения в Наказателния кодекс. В допълнение към обществения дебат и консултациите със съответните заинтересовани страни в съдебната система и гражданското общество успешното осъществяване на тези</w:t>
      </w:r>
      <w:r>
        <w:rPr>
          <w:rFonts w:ascii="Times New Roman" w:hAnsi="Times New Roman"/>
          <w:i/>
          <w:noProof/>
          <w:sz w:val="24"/>
          <w:lang w:val="bg-BG"/>
        </w:rPr>
        <w:t xml:space="preserve"> реформи ще изисква внимателни подготвителни и последващи действия.</w:t>
      </w:r>
      <w:r>
        <w:rPr>
          <w:rFonts w:ascii="Times New Roman" w:hAnsi="Times New Roman"/>
          <w:i/>
          <w:noProof/>
          <w:sz w:val="24"/>
          <w:szCs w:val="24"/>
          <w:lang w:val="bg-BG"/>
        </w:rPr>
        <w:t xml:space="preserve">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3.3 </w:t>
      </w:r>
      <w:r>
        <w:rPr>
          <w:noProof/>
          <w:lang w:val="bg-BG"/>
        </w:rPr>
        <w:tab/>
      </w:r>
      <w:r>
        <w:rPr>
          <w:rFonts w:ascii="Times New Roman" w:hAnsi="Times New Roman"/>
          <w:b/>
          <w:noProof/>
          <w:sz w:val="24"/>
          <w:lang w:val="bg-BG"/>
        </w:rPr>
        <w:t>Трети показател: продължаване на съдебната реформа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5:</w:t>
      </w:r>
      <w:r>
        <w:rPr>
          <w:rFonts w:ascii="Times New Roman" w:hAnsi="Times New Roman"/>
          <w:i/>
          <w:noProof/>
          <w:lang w:val="bg-BG"/>
        </w:rPr>
        <w:t xml:space="preserve"> да се публикува за обществена консултация доклад, в който подробно се отчита напредъкът по изпълнението на национална</w:t>
      </w:r>
      <w:r>
        <w:rPr>
          <w:rFonts w:ascii="Times New Roman" w:hAnsi="Times New Roman"/>
          <w:i/>
          <w:noProof/>
          <w:lang w:val="bg-BG"/>
        </w:rPr>
        <w:t>та стратегия за съдебна реформа и се определят оставащите стъпки, които трябва да бъдат предприети. Да се създаде механизъм за непрекъснато публично отчитане на напредъка през оставащата част от периода за изпълнение на стратегията.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6:</w:t>
      </w:r>
      <w:r>
        <w:rPr>
          <w:rFonts w:ascii="Times New Roman" w:hAnsi="Times New Roman"/>
          <w:i/>
          <w:noProof/>
          <w:lang w:val="bg-BG"/>
        </w:rPr>
        <w:t xml:space="preserve"> да се наме</w:t>
      </w:r>
      <w:r>
        <w:rPr>
          <w:rFonts w:ascii="Times New Roman" w:hAnsi="Times New Roman"/>
          <w:i/>
          <w:noProof/>
          <w:lang w:val="bg-BG"/>
        </w:rPr>
        <w:t>ри решение на положението с натовареността в най-заетите съдилища въз основа новите стандарти за натовареност и да се постигне съгласие по пътна карта за реформа на съдебната карта едновременно с развитието на електронното правосъдие.</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7:</w:t>
      </w:r>
      <w:r>
        <w:rPr>
          <w:rFonts w:ascii="Times New Roman" w:hAnsi="Times New Roman"/>
          <w:i/>
          <w:noProof/>
          <w:lang w:val="bg-BG"/>
        </w:rPr>
        <w:t xml:space="preserve"> да се из</w:t>
      </w:r>
      <w:r>
        <w:rPr>
          <w:rFonts w:ascii="Times New Roman" w:hAnsi="Times New Roman"/>
          <w:i/>
          <w:noProof/>
          <w:lang w:val="bg-BG"/>
        </w:rPr>
        <w:t>готви пътна карта за изпълнение на препоръките на доклада на СПСР във връзка с реформата на прокуратурата и взаимодействието ѝ с другите институции, включително механизъм за отчитане на постигнатия напредък пред широката общественост.</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8:</w:t>
      </w:r>
      <w:r>
        <w:rPr>
          <w:rFonts w:ascii="Times New Roman" w:hAnsi="Times New Roman"/>
          <w:i/>
          <w:noProof/>
          <w:lang w:val="bg-BG"/>
        </w:rPr>
        <w:t xml:space="preserve"> да се из</w:t>
      </w:r>
      <w:r>
        <w:rPr>
          <w:rFonts w:ascii="Times New Roman" w:hAnsi="Times New Roman"/>
          <w:i/>
          <w:noProof/>
          <w:lang w:val="bg-BG"/>
        </w:rPr>
        <w:t>готви пътна карта за изпълнението на препоръките, съдържащи се в изследването [върху решенията на ЕСПЧ], включително механизъм за отчитане на постигнатия напредък пред широката общественост.</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Четири препоръки в доклада от януари 2017 г. бяха насочени към ув</w:t>
      </w:r>
      <w:r>
        <w:rPr>
          <w:rFonts w:ascii="Times New Roman" w:hAnsi="Times New Roman"/>
          <w:noProof/>
          <w:sz w:val="24"/>
          <w:lang w:val="bg-BG"/>
        </w:rPr>
        <w:t>еличаване на отчетността пред широката общественост и сътрудничеството между институциите. Целта бе да се насърчи по-голямата ангажираност на обществото с процеса на реформи, като по този начин се осигури по-висока степен на необратимост на процеса. Това е</w:t>
      </w:r>
      <w:r>
        <w:rPr>
          <w:rFonts w:ascii="Times New Roman" w:hAnsi="Times New Roman"/>
          <w:noProof/>
          <w:sz w:val="24"/>
          <w:lang w:val="bg-BG"/>
        </w:rPr>
        <w:t xml:space="preserve"> от особено значение в контекста на продължаващата реформа на съдебната система. Въпреки че успешното изпълнение на стратегията за съдебна реформа в крайна сметка трябва да се основава на участието на множество отделни институции, както в рамките на съдебн</w:t>
      </w:r>
      <w:r>
        <w:rPr>
          <w:rFonts w:ascii="Times New Roman" w:hAnsi="Times New Roman"/>
          <w:noProof/>
          <w:sz w:val="24"/>
          <w:lang w:val="bg-BG"/>
        </w:rPr>
        <w:t>ата система, така и извън нея, правителството и ВСС имат ключова роля в този процес, включително по отношение на осигуряването на всеобхватна рамка за открит дебат и междуинституционални консултации. Българското правителство предприе някои стъпки в тази по</w:t>
      </w:r>
      <w:r>
        <w:rPr>
          <w:rFonts w:ascii="Times New Roman" w:hAnsi="Times New Roman"/>
          <w:noProof/>
          <w:sz w:val="24"/>
          <w:lang w:val="bg-BG"/>
        </w:rPr>
        <w:t xml:space="preserve">сока, като се ангажира да публикува редовни доклади за напредъка по стратегията. Тези доклади биха могли да послужат за основа на обществен дебат, както и на диалог с ВСС и съдебната система като цяло по отношение на конкретните мерки и специфичните цели, </w:t>
      </w:r>
      <w:r>
        <w:rPr>
          <w:rFonts w:ascii="Times New Roman" w:hAnsi="Times New Roman"/>
          <w:noProof/>
          <w:sz w:val="24"/>
          <w:lang w:val="bg-BG"/>
        </w:rPr>
        <w:t>които трябва да бъдат преследвани с оглед постигане на общите стратегически цели, определени в стратегията от 2014 г. за оставащия период до 2020 г.</w:t>
      </w:r>
      <w:r>
        <w:rPr>
          <w:rStyle w:val="FootnoteReference"/>
          <w:rFonts w:ascii="Times New Roman" w:hAnsi="Times New Roman"/>
          <w:noProof/>
          <w:sz w:val="24"/>
          <w:lang w:val="bg-BG"/>
        </w:rPr>
        <w:footnoteReference w:id="20"/>
      </w:r>
      <w:r>
        <w:rPr>
          <w:rFonts w:ascii="Times New Roman" w:hAnsi="Times New Roman"/>
          <w:noProof/>
          <w:sz w:val="24"/>
          <w:lang w:val="bg-BG"/>
        </w:rPr>
        <w:t xml:space="preserve"> Очаква се през идните месеци по този процес да бъде постигнат напредък в сътрудничество с новоизбрания състав на ВСС.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Реформата на съдебната карта и въвеждането на всеобхватна система за електронно правосъдие са на дневен ред от няколко години, като пред</w:t>
      </w:r>
      <w:r>
        <w:rPr>
          <w:rFonts w:ascii="Times New Roman" w:hAnsi="Times New Roman"/>
          <w:noProof/>
          <w:sz w:val="24"/>
          <w:lang w:val="bg-BG"/>
        </w:rPr>
        <w:t>ходният състав на ВСС извърши значителна по обем подготвителна работа, а в момента се извършва по-нататъшен анализ в рамките на проект, финансиран със средства на ЕС. Изглежда все още това е по-дългосрочен проект, който ще бъде разработен от новия състав н</w:t>
      </w:r>
      <w:r>
        <w:rPr>
          <w:rFonts w:ascii="Times New Roman" w:hAnsi="Times New Roman"/>
          <w:noProof/>
          <w:sz w:val="24"/>
          <w:lang w:val="bg-BG"/>
        </w:rPr>
        <w:t>а ВСС и ще изисква също така по-широка политическа подкрепа. Въпреки това по някои елементи може да бъде осъществен по-бърз напредък. По-специално главният прокурор вече представи конкретен модел за окрупняване на районните прокуратури в 28-те области, кое</w:t>
      </w:r>
      <w:r>
        <w:rPr>
          <w:rFonts w:ascii="Times New Roman" w:hAnsi="Times New Roman"/>
          <w:noProof/>
          <w:sz w:val="24"/>
          <w:lang w:val="bg-BG"/>
        </w:rPr>
        <w:t>то няма да изисква обезателно паралелно окрупняване на районните съдилища. По-конкретно съществува неотложна необходимост от разрешаване на проблема с неравномерното разпределение на натовареността между съдилищата, изразяващ се в частност в това, че по-го</w:t>
      </w:r>
      <w:r>
        <w:rPr>
          <w:rFonts w:ascii="Times New Roman" w:hAnsi="Times New Roman"/>
          <w:noProof/>
          <w:sz w:val="24"/>
          <w:lang w:val="bg-BG"/>
        </w:rPr>
        <w:t>лемите съдилища в столицата имат по-високо натоварване в сравнение със средното за страната</w:t>
      </w:r>
      <w:r>
        <w:rPr>
          <w:rStyle w:val="FootnoteReference"/>
          <w:rFonts w:ascii="Times New Roman" w:hAnsi="Times New Roman"/>
          <w:noProof/>
          <w:sz w:val="24"/>
          <w:lang w:val="bg-BG"/>
        </w:rPr>
        <w:footnoteReference w:id="21"/>
      </w:r>
      <w:r>
        <w:rPr>
          <w:noProof/>
          <w:lang w:val="bg-BG"/>
        </w:rPr>
        <w:t>.</w:t>
      </w:r>
      <w:r>
        <w:rPr>
          <w:rFonts w:ascii="Times New Roman" w:hAnsi="Times New Roman"/>
          <w:noProof/>
          <w:sz w:val="24"/>
          <w:lang w:val="bg-BG"/>
        </w:rPr>
        <w:t xml:space="preserve"> Този въпрос е неизбежно един от важните въпроси в дневния ред на новия състав на ВСС при встъпването му в длъжност. Освен предоставянето на допълнителен персонал </w:t>
      </w:r>
      <w:r>
        <w:rPr>
          <w:rFonts w:ascii="Times New Roman" w:hAnsi="Times New Roman"/>
          <w:noProof/>
          <w:sz w:val="24"/>
          <w:lang w:val="bg-BG"/>
        </w:rPr>
        <w:t>на претоварените съдилища, друг възможен подход за действие се състои в преразглеждане на подсъдността за някои видове дела. Правителството проучва определени възможности в тази насока. Такива промени разбира изискват подходящи консултации и дебати със съо</w:t>
      </w:r>
      <w:r>
        <w:rPr>
          <w:rFonts w:ascii="Times New Roman" w:hAnsi="Times New Roman"/>
          <w:noProof/>
          <w:sz w:val="24"/>
          <w:lang w:val="bg-BG"/>
        </w:rPr>
        <w:t xml:space="preserve">тветните заинтересовани страни, по-специално като се има предвид въздействието върху достъпа до правосъдие.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Важни възможности за евентуални по-нататъшни реформи бяха набелязани през миналата година в анализ, отнасящ се до българската прокуратура, който бе</w:t>
      </w:r>
      <w:r>
        <w:rPr>
          <w:rFonts w:ascii="Times New Roman" w:hAnsi="Times New Roman"/>
          <w:noProof/>
          <w:sz w:val="24"/>
          <w:lang w:val="bg-BG"/>
        </w:rPr>
        <w:t xml:space="preserve"> извършен с подкрепата на Службата на Комисията за подкрепа на структурните реформи (СПСР) от екип от прокурори на ръководни длъжности от Германия, Нидерландия, Испания и Обединеното кралство. Българските органи — с прокуратурата във водеща позиция и с под</w:t>
      </w:r>
      <w:r>
        <w:rPr>
          <w:rFonts w:ascii="Times New Roman" w:hAnsi="Times New Roman"/>
          <w:noProof/>
          <w:sz w:val="24"/>
          <w:lang w:val="bg-BG"/>
        </w:rPr>
        <w:t xml:space="preserve">крепата на Министерство на правосъдието — изготвиха пътна карта, съдържаща редица действия, като последваща мярка във връзка с този анализ. Предвид сложността им, много от действията, предвидени в пътната карта, все още предстоят да бъдат трансформирани в </w:t>
      </w:r>
      <w:r>
        <w:rPr>
          <w:rFonts w:ascii="Times New Roman" w:hAnsi="Times New Roman"/>
          <w:noProof/>
          <w:sz w:val="24"/>
          <w:lang w:val="bg-BG"/>
        </w:rPr>
        <w:t>конкретни резултати и решения относно начина, по който да се процедира</w:t>
      </w:r>
      <w:r>
        <w:rPr>
          <w:rStyle w:val="FootnoteReference"/>
          <w:rFonts w:ascii="Times New Roman" w:hAnsi="Times New Roman"/>
          <w:noProof/>
          <w:sz w:val="24"/>
          <w:lang w:val="bg-BG"/>
        </w:rPr>
        <w:footnoteReference w:id="22"/>
      </w:r>
      <w:r>
        <w:rPr>
          <w:noProof/>
          <w:lang w:val="bg-BG"/>
        </w:rPr>
        <w:t>.</w:t>
      </w:r>
      <w:r>
        <w:rPr>
          <w:rFonts w:ascii="Times New Roman" w:hAnsi="Times New Roman"/>
          <w:noProof/>
          <w:sz w:val="24"/>
          <w:lang w:val="bg-BG"/>
        </w:rPr>
        <w:t xml:space="preserve"> Предстои да се види дали ще е възможно да се постигне консенсус между различните участващи институции относно промените, необходими за цялостно изпълнение на препоръките, съдържащи се</w:t>
      </w:r>
      <w:r>
        <w:rPr>
          <w:rFonts w:ascii="Times New Roman" w:hAnsi="Times New Roman"/>
          <w:noProof/>
          <w:sz w:val="24"/>
          <w:lang w:val="bg-BG"/>
        </w:rPr>
        <w:t xml:space="preserve"> в експертния доклад</w:t>
      </w:r>
      <w:r>
        <w:rPr>
          <w:rStyle w:val="FootnoteReference"/>
          <w:rFonts w:ascii="Times New Roman" w:hAnsi="Times New Roman"/>
          <w:noProof/>
          <w:sz w:val="24"/>
          <w:lang w:val="bg-BG"/>
        </w:rPr>
        <w:footnoteReference w:id="23"/>
      </w:r>
      <w:r>
        <w:rPr>
          <w:noProof/>
          <w:lang w:val="bg-BG"/>
        </w:rPr>
        <w:t>.</w:t>
      </w:r>
      <w:r>
        <w:rPr>
          <w:rFonts w:ascii="Times New Roman" w:hAnsi="Times New Roman"/>
          <w:noProof/>
          <w:sz w:val="24"/>
          <w:lang w:val="bg-BG"/>
        </w:rPr>
        <w:t xml:space="preserve">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В отделна инициатива през 2016 г. прокуратурата сама извърши анализ на решенията на Европейския съд по правата на човека (ЕСПЧ) относно неефективните наказателни разследвания в България. Последващите действия във връзка с този анали</w:t>
      </w:r>
      <w:r>
        <w:rPr>
          <w:rFonts w:ascii="Times New Roman" w:hAnsi="Times New Roman"/>
          <w:noProof/>
          <w:sz w:val="24"/>
          <w:lang w:val="bg-BG"/>
        </w:rPr>
        <w:t xml:space="preserve">з също напредват в контекста на пътна карта, изготвена от прокуратурата, която е в процес на изпълнение. </w:t>
      </w:r>
    </w:p>
    <w:p w:rsidR="000F6A30" w:rsidRDefault="0069035A">
      <w:pPr>
        <w:spacing w:before="240" w:after="120" w:line="240" w:lineRule="auto"/>
        <w:jc w:val="both"/>
        <w:rPr>
          <w:rFonts w:ascii="Times New Roman" w:hAnsi="Times New Roman"/>
          <w:i/>
          <w:noProof/>
          <w:sz w:val="24"/>
          <w:szCs w:val="24"/>
          <w:lang w:val="bg-BG"/>
        </w:rPr>
      </w:pPr>
      <w:r>
        <w:rPr>
          <w:rFonts w:ascii="Times New Roman" w:hAnsi="Times New Roman"/>
          <w:i/>
          <w:noProof/>
          <w:sz w:val="24"/>
          <w:lang w:val="bg-BG"/>
        </w:rPr>
        <w:t>Като цяло България предприе по-нататъшни стъпки за изпълнение на четирите препоръки по третия показател. Все още обаче предстои тези инициативи да бъд</w:t>
      </w:r>
      <w:r>
        <w:rPr>
          <w:rFonts w:ascii="Times New Roman" w:hAnsi="Times New Roman"/>
          <w:i/>
          <w:noProof/>
          <w:sz w:val="24"/>
          <w:lang w:val="bg-BG"/>
        </w:rPr>
        <w:t xml:space="preserve">ат приключени и трябва да бъдат трансформирани в ясен план за действия, които да бъдат предприети в ключови области.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3.4 </w:t>
      </w:r>
      <w:r>
        <w:rPr>
          <w:noProof/>
          <w:lang w:val="bg-BG"/>
        </w:rPr>
        <w:tab/>
      </w:r>
      <w:r>
        <w:rPr>
          <w:rFonts w:ascii="Times New Roman" w:hAnsi="Times New Roman"/>
          <w:b/>
          <w:noProof/>
          <w:sz w:val="24"/>
          <w:lang w:val="bg-BG"/>
        </w:rPr>
        <w:t>Четвърти показател: корупция по високите етажи на властта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9:</w:t>
      </w:r>
      <w:r>
        <w:rPr>
          <w:rFonts w:ascii="Times New Roman" w:hAnsi="Times New Roman"/>
          <w:i/>
          <w:noProof/>
          <w:lang w:val="bg-BG"/>
        </w:rPr>
        <w:t xml:space="preserve"> да се приеме нова нормативна уредба относно борбата с корупци</w:t>
      </w:r>
      <w:r>
        <w:rPr>
          <w:rFonts w:ascii="Times New Roman" w:hAnsi="Times New Roman"/>
          <w:i/>
          <w:noProof/>
          <w:lang w:val="bg-BG"/>
        </w:rPr>
        <w:t>ята в съответствие с целите, изложени в стратегията за борба с корупцията, и да се осигури прилагането на тази уредба. Да се създаде ефективен орган за борба с корупцията.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10:</w:t>
      </w:r>
      <w:r>
        <w:rPr>
          <w:rFonts w:ascii="Times New Roman" w:hAnsi="Times New Roman"/>
          <w:i/>
          <w:noProof/>
          <w:lang w:val="bg-BG"/>
        </w:rPr>
        <w:t xml:space="preserve"> да се приеме и осъществи реформа на Закона за администрацията с цел ук</w:t>
      </w:r>
      <w:r>
        <w:rPr>
          <w:rFonts w:ascii="Times New Roman" w:hAnsi="Times New Roman"/>
          <w:i/>
          <w:noProof/>
          <w:lang w:val="bg-BG"/>
        </w:rPr>
        <w:t>репване на вътрешните инспекторати в държавната администрация.</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 xml:space="preserve">Препоръка 11: </w:t>
      </w:r>
      <w:r>
        <w:rPr>
          <w:rFonts w:ascii="Times New Roman" w:hAnsi="Times New Roman"/>
          <w:i/>
          <w:noProof/>
          <w:lang w:val="bg-BG"/>
        </w:rPr>
        <w:t xml:space="preserve">на основата на анализа на приключили дела да се изготви пътна карта за взаимодействие между всички съответни институции за отстраняване на слабостите при разследването и </w:t>
      </w:r>
      <w:r>
        <w:rPr>
          <w:rFonts w:ascii="Times New Roman" w:hAnsi="Times New Roman"/>
          <w:i/>
          <w:noProof/>
          <w:lang w:val="bg-BG"/>
        </w:rPr>
        <w:t>наказателното преследване на случаи на корупция по високите етажи на властта, като тази карта следва да включва и механизъм за отчитане на постигнатия напредък пред широката общественост.</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12:</w:t>
      </w:r>
      <w:r>
        <w:rPr>
          <w:rFonts w:ascii="Times New Roman" w:hAnsi="Times New Roman"/>
          <w:i/>
          <w:noProof/>
          <w:lang w:val="bg-BG"/>
        </w:rPr>
        <w:t xml:space="preserve"> да се създаде механизъм за публично отчитане на напред</w:t>
      </w:r>
      <w:r>
        <w:rPr>
          <w:rFonts w:ascii="Times New Roman" w:hAnsi="Times New Roman"/>
          <w:i/>
          <w:noProof/>
          <w:lang w:val="bg-BG"/>
        </w:rPr>
        <w:t>ъка по дела за корупция по високите етажи на властта, за които вече има информация в общественото пространство. При зачитане на презумпцията за невиновност, главният прокурор следва да докладва за разследванията и за повдигнатите обвинения. Върховният каса</w:t>
      </w:r>
      <w:r>
        <w:rPr>
          <w:rFonts w:ascii="Times New Roman" w:hAnsi="Times New Roman"/>
          <w:i/>
          <w:noProof/>
          <w:lang w:val="bg-BG"/>
        </w:rPr>
        <w:t>ционен съд и Министерството на правосъдието следва да докладват за постановените осъдителни присъди, както и за изпълнението на наказанията.</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доклада по МСП от януари борбата срещу корупцията беше посочена като областта, в която е постигнат най-малък напр</w:t>
      </w:r>
      <w:r>
        <w:rPr>
          <w:rFonts w:ascii="Times New Roman" w:hAnsi="Times New Roman"/>
          <w:noProof/>
          <w:sz w:val="24"/>
          <w:lang w:val="bg-BG"/>
        </w:rPr>
        <w:t>едък в България през десетте години, през които се прилага МСП, включително в контекста на изпълнението на стратегията за борба с корупцията, която беше приета през 2015 г.</w:t>
      </w:r>
      <w:r>
        <w:rPr>
          <w:rStyle w:val="FootnoteReference"/>
          <w:rFonts w:ascii="Times New Roman" w:hAnsi="Times New Roman"/>
          <w:noProof/>
          <w:sz w:val="24"/>
          <w:lang w:val="bg-BG"/>
        </w:rPr>
        <w:footnoteReference w:id="24"/>
      </w:r>
      <w:r>
        <w:rPr>
          <w:rFonts w:ascii="Times New Roman" w:hAnsi="Times New Roman"/>
          <w:noProof/>
          <w:sz w:val="24"/>
          <w:lang w:val="bg-BG"/>
        </w:rPr>
        <w:t xml:space="preserve">, и свързаните с нея усилия да се приеме цялостна реформа на нормативната уредба и </w:t>
      </w:r>
      <w:r>
        <w:rPr>
          <w:rFonts w:ascii="Times New Roman" w:hAnsi="Times New Roman"/>
          <w:noProof/>
          <w:sz w:val="24"/>
          <w:lang w:val="bg-BG"/>
        </w:rPr>
        <w:t>да се създаде единна агенция за борба с корупцията. На 4 октомври новото правителство представи изменен проект пред Народното събрание с изричната цел тази значителна законодателна реформа да бъде приета до края на годината. Когато законът бъде приет, нова</w:t>
      </w:r>
      <w:r>
        <w:rPr>
          <w:rFonts w:ascii="Times New Roman" w:hAnsi="Times New Roman"/>
          <w:noProof/>
          <w:sz w:val="24"/>
          <w:lang w:val="bg-BG"/>
        </w:rPr>
        <w:t>та институция ще трябва да бъде създадена и да започне работа</w:t>
      </w:r>
      <w:r>
        <w:rPr>
          <w:rStyle w:val="FootnoteReference"/>
          <w:rFonts w:ascii="Times New Roman" w:hAnsi="Times New Roman"/>
          <w:noProof/>
          <w:sz w:val="24"/>
          <w:lang w:val="bg-BG"/>
        </w:rPr>
        <w:footnoteReference w:id="25"/>
      </w:r>
      <w:r>
        <w:rPr>
          <w:noProof/>
          <w:lang w:val="bg-BG"/>
        </w:rPr>
        <w:t>.</w:t>
      </w:r>
      <w:r>
        <w:rPr>
          <w:rFonts w:ascii="Times New Roman" w:hAnsi="Times New Roman"/>
          <w:noProof/>
          <w:sz w:val="24"/>
          <w:lang w:val="bg-BG"/>
        </w:rPr>
        <w:t xml:space="preserve"> Ключов аспект ще бъде назначаването на ръководството на новата институция в рамките на открита и прозрачна процедура, за да се създадат условия тя да се ползва с широко доверие във всички слое</w:t>
      </w:r>
      <w:r>
        <w:rPr>
          <w:rFonts w:ascii="Times New Roman" w:hAnsi="Times New Roman"/>
          <w:noProof/>
          <w:sz w:val="24"/>
          <w:lang w:val="bg-BG"/>
        </w:rPr>
        <w:t xml:space="preserve">ве на обществото, както и сред държавните служители.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Друг важен елемент от стратегията от 2015 г. за борба с корупцията засяга работата на вътрешните инспекторати в държавната администрация. Тези важни структури са отговорни за вътрешния контрол на добрата административна практика, но досега работиха без ясн</w:t>
      </w:r>
      <w:r>
        <w:rPr>
          <w:rFonts w:ascii="Times New Roman" w:hAnsi="Times New Roman"/>
          <w:noProof/>
          <w:sz w:val="24"/>
          <w:lang w:val="bg-BG"/>
        </w:rPr>
        <w:t>а правна рамка и общи оперативни стандарти. С цел да се засили ролята на инспекторатите през септември 2017 г. бяха предложени изменения на Закона за администрацията, които бяха приети от Народното събрание на 12 октомври. Новият закон сега трябва да се пр</w:t>
      </w:r>
      <w:r>
        <w:rPr>
          <w:rFonts w:ascii="Times New Roman" w:hAnsi="Times New Roman"/>
          <w:noProof/>
          <w:sz w:val="24"/>
          <w:lang w:val="bg-BG"/>
        </w:rPr>
        <w:t xml:space="preserve">иложи в конкретно организационно отношение.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Освен че трябва да осъществи тези реформи на ключови институционални структури, България трябва също така да постигне трайни резултати в областта на ефективното разследване, разкриване и наказателно преследване </w:t>
      </w:r>
      <w:r>
        <w:rPr>
          <w:rFonts w:ascii="Times New Roman" w:hAnsi="Times New Roman"/>
          <w:noProof/>
          <w:sz w:val="24"/>
          <w:lang w:val="bg-BG"/>
        </w:rPr>
        <w:t>на корупцията. Много от предизвикателствата, отбелязани по втория и третия показател по-горе, са от особено значение и в този контекст. Въпреки това, за да се гарантира, че се обръща специално внимание на предизвикателствата, свързани с дела за корупция по</w:t>
      </w:r>
      <w:r>
        <w:rPr>
          <w:rFonts w:ascii="Times New Roman" w:hAnsi="Times New Roman"/>
          <w:noProof/>
          <w:sz w:val="24"/>
          <w:lang w:val="bg-BG"/>
        </w:rPr>
        <w:t xml:space="preserve"> високите етажи на властта, прокуратурата извърши анализ на извадка от дела, разгледани от 2013 г. насам, с цел да се извлекат евентуални поуки и да се набележат мерките, които да бъдат предприети, за да станат разследванията и производствата в тази област</w:t>
      </w:r>
      <w:r>
        <w:rPr>
          <w:rFonts w:ascii="Times New Roman" w:hAnsi="Times New Roman"/>
          <w:noProof/>
          <w:sz w:val="24"/>
          <w:lang w:val="bg-BG"/>
        </w:rPr>
        <w:t xml:space="preserve"> по-ефикасни в бъдеще. Въз основа на този анализ бе изготвена пътна карта, която сега се изпълнява от съответните институции. Резултатите от изпълнението на тази пътна карта ще бъдат отчитани редовно в рамките на Националния съвет по антикорупционни полити</w:t>
      </w:r>
      <w:r>
        <w:rPr>
          <w:rFonts w:ascii="Times New Roman" w:hAnsi="Times New Roman"/>
          <w:noProof/>
          <w:sz w:val="24"/>
          <w:lang w:val="bg-BG"/>
        </w:rPr>
        <w:t>ки, създаден от предишното правителство с цел координиране на работата на различните институции, участващи в антикорупционните политики, и председателстван от национален координатор по антикорупционните политики</w:t>
      </w:r>
      <w:r>
        <w:rPr>
          <w:rStyle w:val="FootnoteReference"/>
          <w:rFonts w:ascii="Times New Roman" w:hAnsi="Times New Roman"/>
          <w:noProof/>
          <w:sz w:val="24"/>
          <w:lang w:val="bg-BG"/>
        </w:rPr>
        <w:footnoteReference w:id="26"/>
      </w:r>
      <w:r>
        <w:rPr>
          <w:noProof/>
          <w:lang w:val="bg-BG"/>
        </w:rPr>
        <w:t>.</w:t>
      </w:r>
      <w:r>
        <w:rPr>
          <w:rFonts w:ascii="Times New Roman" w:hAnsi="Times New Roman"/>
          <w:noProof/>
          <w:sz w:val="24"/>
          <w:lang w:val="bg-BG"/>
        </w:rPr>
        <w:t xml:space="preserve"> Както и при другите пътни карти, посочени </w:t>
      </w:r>
      <w:r>
        <w:rPr>
          <w:rFonts w:ascii="Times New Roman" w:hAnsi="Times New Roman"/>
          <w:noProof/>
          <w:sz w:val="24"/>
          <w:lang w:val="bg-BG"/>
        </w:rPr>
        <w:t xml:space="preserve">по третия показател по-горе, много от предвидените в тази пътна карта мерки са само формулирани в общи линии и все още не са изразени в конкретни действия.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И накрая, важен елемент в основата на една надеждна стратегия за разследване и наказателно преследв</w:t>
      </w:r>
      <w:r>
        <w:rPr>
          <w:rFonts w:ascii="Times New Roman" w:hAnsi="Times New Roman"/>
          <w:noProof/>
          <w:sz w:val="24"/>
          <w:lang w:val="bg-BG"/>
        </w:rPr>
        <w:t>ане на корупцията по високите етажи на властта е наличието на съгласувана рамка за информиране на обществеността относно постигнатите резултати. В отговор на препоръката, съдържаща се в доклада от януари 2017 г., Върховният касационен съд на Република Бълг</w:t>
      </w:r>
      <w:r>
        <w:rPr>
          <w:rFonts w:ascii="Times New Roman" w:hAnsi="Times New Roman"/>
          <w:noProof/>
          <w:sz w:val="24"/>
          <w:lang w:val="bg-BG"/>
        </w:rPr>
        <w:t>ария създаде механизъм за проследяване и отчет по делата за корупция при движението им в системата на съдилищата. Това е в допълнение към предоставянето на информация от страна на прокуратурата за предприетите от нея действия по конкретни случаи</w:t>
      </w:r>
      <w:r>
        <w:rPr>
          <w:rStyle w:val="FootnoteReference"/>
          <w:rFonts w:ascii="Times New Roman" w:hAnsi="Times New Roman"/>
          <w:noProof/>
          <w:sz w:val="24"/>
          <w:lang w:val="bg-BG"/>
        </w:rPr>
        <w:footnoteReference w:id="27"/>
      </w:r>
      <w:r>
        <w:rPr>
          <w:noProof/>
          <w:lang w:val="bg-BG"/>
        </w:rPr>
        <w:t>.</w:t>
      </w:r>
      <w:r>
        <w:rPr>
          <w:rFonts w:ascii="Times New Roman" w:hAnsi="Times New Roman"/>
          <w:noProof/>
          <w:sz w:val="24"/>
          <w:lang w:val="bg-BG"/>
        </w:rPr>
        <w:t xml:space="preserve"> </w:t>
      </w:r>
    </w:p>
    <w:p w:rsidR="000F6A30" w:rsidRDefault="0069035A">
      <w:pPr>
        <w:spacing w:before="240" w:after="120" w:line="240" w:lineRule="auto"/>
        <w:jc w:val="both"/>
        <w:rPr>
          <w:rFonts w:ascii="Times New Roman" w:hAnsi="Times New Roman"/>
          <w:i/>
          <w:noProof/>
          <w:sz w:val="24"/>
          <w:szCs w:val="24"/>
          <w:lang w:val="bg-BG"/>
        </w:rPr>
      </w:pPr>
      <w:r>
        <w:rPr>
          <w:rFonts w:ascii="Times New Roman" w:hAnsi="Times New Roman"/>
          <w:i/>
          <w:noProof/>
          <w:sz w:val="24"/>
          <w:lang w:val="bg-BG"/>
        </w:rPr>
        <w:t>Като ця</w:t>
      </w:r>
      <w:r>
        <w:rPr>
          <w:rFonts w:ascii="Times New Roman" w:hAnsi="Times New Roman"/>
          <w:i/>
          <w:noProof/>
          <w:sz w:val="24"/>
          <w:lang w:val="bg-BG"/>
        </w:rPr>
        <w:t xml:space="preserve">ло България предприе по-нататъшни стъпки за изпълнение на четирите препоръки по четвъртия показател, съдържащи се в доклада от януари. Въпреки това редица ключови инициативи все още не са приети и изпълнени. Други са в начален етап на изпълнение и все още </w:t>
      </w:r>
      <w:r>
        <w:rPr>
          <w:rFonts w:ascii="Times New Roman" w:hAnsi="Times New Roman"/>
          <w:i/>
          <w:noProof/>
          <w:sz w:val="24"/>
          <w:lang w:val="bg-BG"/>
        </w:rPr>
        <w:t xml:space="preserve">предстои ясното определяне на конкретни действия.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3.5 </w:t>
      </w:r>
      <w:r>
        <w:rPr>
          <w:noProof/>
          <w:lang w:val="bg-BG"/>
        </w:rPr>
        <w:tab/>
      </w:r>
      <w:r>
        <w:rPr>
          <w:rFonts w:ascii="Times New Roman" w:hAnsi="Times New Roman"/>
          <w:b/>
          <w:noProof/>
          <w:sz w:val="24"/>
          <w:lang w:val="bg-BG"/>
        </w:rPr>
        <w:t>Пети показател: Корупцията в по-общ план, включително на местно равнище и по границите</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13:</w:t>
      </w:r>
      <w:r>
        <w:rPr>
          <w:rFonts w:ascii="Times New Roman" w:hAnsi="Times New Roman"/>
          <w:i/>
          <w:noProof/>
          <w:lang w:val="bg-BG"/>
        </w:rPr>
        <w:t xml:space="preserve"> да се осъществява външен контрол върху предварителните проверки на процедурите за обществени поръч</w:t>
      </w:r>
      <w:r>
        <w:rPr>
          <w:rFonts w:ascii="Times New Roman" w:hAnsi="Times New Roman"/>
          <w:i/>
          <w:noProof/>
          <w:lang w:val="bg-BG"/>
        </w:rPr>
        <w:t>ки и върху свързаните с тях последващи действия, включително върху последващите проверки, както и във връзка с разкритите случаи на конфликт на интереси или корупция и коригиращите мерки за отстраняване на установените пропуски.</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14:</w:t>
      </w:r>
      <w:r>
        <w:rPr>
          <w:rFonts w:ascii="Times New Roman" w:hAnsi="Times New Roman"/>
          <w:i/>
          <w:noProof/>
          <w:lang w:val="bg-BG"/>
        </w:rPr>
        <w:t xml:space="preserve"> да бъдат въве</w:t>
      </w:r>
      <w:r>
        <w:rPr>
          <w:rFonts w:ascii="Times New Roman" w:hAnsi="Times New Roman"/>
          <w:i/>
          <w:noProof/>
          <w:lang w:val="bg-BG"/>
        </w:rPr>
        <w:t>дени основани на риска мерки за противодействие на корупцията по ниските етажи на властта във високорискови сектори в рамките на държавната администрация, като се черпи вдъхновение от постиженията в Министерството на вътрешните работи. Следва да бъдат прод</w:t>
      </w:r>
      <w:r>
        <w:rPr>
          <w:rFonts w:ascii="Times New Roman" w:hAnsi="Times New Roman"/>
          <w:i/>
          <w:noProof/>
          <w:lang w:val="bg-BG"/>
        </w:rPr>
        <w:t>ължени усилията в Министерството на вътрешните работи.</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15:</w:t>
      </w:r>
      <w:r>
        <w:rPr>
          <w:rFonts w:ascii="Times New Roman" w:hAnsi="Times New Roman"/>
          <w:i/>
          <w:noProof/>
          <w:lang w:val="bg-BG"/>
        </w:rPr>
        <w:t xml:space="preserve"> да се създаде механизъм за публично отчитане на напредъка по изпълнението националната стратегия за борба с корупцията за оставащата част от периода на изпълнение на стратегията.</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w:t>
      </w:r>
      <w:r>
        <w:rPr>
          <w:rFonts w:ascii="Times New Roman" w:hAnsi="Times New Roman"/>
          <w:noProof/>
          <w:sz w:val="24"/>
          <w:lang w:val="bg-BG"/>
        </w:rPr>
        <w:t>а от януари 2017 г. се отчете напредък в областта на обществените поръчки и се препоръча на България да извърши външна оценка на функционирането на новата система за предварителни проверки и последващите действия във връзка с тях. Има информация, че в отго</w:t>
      </w:r>
      <w:r>
        <w:rPr>
          <w:rFonts w:ascii="Times New Roman" w:hAnsi="Times New Roman"/>
          <w:noProof/>
          <w:sz w:val="24"/>
          <w:lang w:val="bg-BG"/>
        </w:rPr>
        <w:t>вор на тази препоръка българските органи предвиждат да възложат на външен изпълнител извършването на такава оценка през 2018 г</w:t>
      </w:r>
      <w:r>
        <w:rPr>
          <w:rStyle w:val="FootnoteReference"/>
          <w:rFonts w:ascii="Times New Roman" w:hAnsi="Times New Roman"/>
          <w:noProof/>
          <w:sz w:val="24"/>
          <w:lang w:val="bg-BG"/>
        </w:rPr>
        <w:footnoteReference w:id="28"/>
      </w:r>
      <w:r>
        <w:rPr>
          <w:noProof/>
          <w:lang w:val="bg-BG"/>
        </w:rPr>
        <w:t>.</w:t>
      </w:r>
      <w:r>
        <w:rPr>
          <w:rFonts w:ascii="Times New Roman" w:hAnsi="Times New Roman"/>
          <w:noProof/>
          <w:sz w:val="24"/>
          <w:lang w:val="bg-BG"/>
        </w:rPr>
        <w:t xml:space="preserve">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Друга насока на работата в рамките на стратегията е въвеждането на планове за противодействие на корупцията с целенасочени и п</w:t>
      </w:r>
      <w:r>
        <w:rPr>
          <w:rFonts w:ascii="Times New Roman" w:hAnsi="Times New Roman"/>
          <w:noProof/>
          <w:sz w:val="24"/>
          <w:lang w:val="bg-BG"/>
        </w:rPr>
        <w:t>рактически мерки за превенция на корупцията в различни високорискови сектори. Националният съвет по антикорупционни политики реши през юли да започне преглед на съществуващите секторни планове за противодействие на корупцията в държавната администрация с ц</w:t>
      </w:r>
      <w:r>
        <w:rPr>
          <w:rFonts w:ascii="Times New Roman" w:hAnsi="Times New Roman"/>
          <w:noProof/>
          <w:sz w:val="24"/>
          <w:lang w:val="bg-BG"/>
        </w:rPr>
        <w:t>ел да се установят възможностите за по-нататъшни координирани действия в тази област. Прегледът се очаква да приключи преди края на годината, след което различните секторни администрации ще трябва да предприемат последващи действия във връзка с констатации</w:t>
      </w:r>
      <w:r>
        <w:rPr>
          <w:rFonts w:ascii="Times New Roman" w:hAnsi="Times New Roman"/>
          <w:noProof/>
          <w:sz w:val="24"/>
          <w:lang w:val="bg-BG"/>
        </w:rPr>
        <w:t xml:space="preserve">те от него. Това е област, в която е необходимо ръководните органи, инспекторатите и другите единици от държавната администрация да извършват непрекъснати и решителни действия.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Последната препоръка по този показател има за цел да гарантира непрекъснатостт</w:t>
      </w:r>
      <w:r>
        <w:rPr>
          <w:rFonts w:ascii="Times New Roman" w:hAnsi="Times New Roman"/>
          <w:noProof/>
          <w:sz w:val="24"/>
          <w:lang w:val="bg-BG"/>
        </w:rPr>
        <w:t>а на обществения дебат и политическото внимание върху прилагането и по-нататъшното развитие на стратегията за противодействие на корупцията чрез механизъм за публично отчитане. Българските органи решиха да продължат мандата на Националния съвет по антикору</w:t>
      </w:r>
      <w:r>
        <w:rPr>
          <w:rFonts w:ascii="Times New Roman" w:hAnsi="Times New Roman"/>
          <w:noProof/>
          <w:sz w:val="24"/>
          <w:lang w:val="bg-BG"/>
        </w:rPr>
        <w:t xml:space="preserve">пционни политики и да му възложат задача да извършва редовна оценка на напредъка и да информира обществеността за резултатите. </w:t>
      </w:r>
    </w:p>
    <w:p w:rsidR="000F6A30" w:rsidRDefault="0069035A">
      <w:pPr>
        <w:spacing w:before="240" w:after="120" w:line="240" w:lineRule="auto"/>
        <w:jc w:val="both"/>
        <w:rPr>
          <w:rFonts w:ascii="Times New Roman" w:hAnsi="Times New Roman"/>
          <w:i/>
          <w:noProof/>
          <w:sz w:val="24"/>
          <w:szCs w:val="24"/>
          <w:lang w:val="bg-BG"/>
        </w:rPr>
      </w:pPr>
      <w:r>
        <w:rPr>
          <w:rFonts w:ascii="Times New Roman" w:hAnsi="Times New Roman"/>
          <w:i/>
          <w:noProof/>
          <w:sz w:val="24"/>
          <w:lang w:val="bg-BG"/>
        </w:rPr>
        <w:t>Като цяло България е предприела стъпки за изпълнение на трите препоръки по петия показател, съдържащи се в доклада от януари. Въ</w:t>
      </w:r>
      <w:r>
        <w:rPr>
          <w:rFonts w:ascii="Times New Roman" w:hAnsi="Times New Roman"/>
          <w:i/>
          <w:noProof/>
          <w:sz w:val="24"/>
          <w:lang w:val="bg-BG"/>
        </w:rPr>
        <w:t xml:space="preserve">з основа на предприетите стъпки следва да бъдат предприети необходими действия през 2018 г.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3.6 </w:t>
      </w:r>
      <w:r>
        <w:rPr>
          <w:noProof/>
          <w:lang w:val="bg-BG"/>
        </w:rPr>
        <w:tab/>
      </w:r>
      <w:r>
        <w:rPr>
          <w:rFonts w:ascii="Times New Roman" w:hAnsi="Times New Roman"/>
          <w:b/>
          <w:noProof/>
          <w:sz w:val="24"/>
          <w:lang w:val="bg-BG"/>
        </w:rPr>
        <w:t>Шести показател: Организирана престъпност</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Препоръка 16:</w:t>
      </w:r>
      <w:r>
        <w:rPr>
          <w:rFonts w:ascii="Times New Roman" w:hAnsi="Times New Roman"/>
          <w:i/>
          <w:noProof/>
          <w:lang w:val="bg-BG"/>
        </w:rPr>
        <w:t xml:space="preserve"> да се създаде механизъм за публично отчитане на напредъка по дела за организираната престъпност на високо равнище, за които вече има информация в общественото пространство. При зачитане на презумпцията за невиновност, главният прокурор следва да докладва </w:t>
      </w:r>
      <w:r>
        <w:rPr>
          <w:rFonts w:ascii="Times New Roman" w:hAnsi="Times New Roman"/>
          <w:i/>
          <w:noProof/>
          <w:lang w:val="bg-BG"/>
        </w:rPr>
        <w:t>за разследванията и за повдигнатите обвинения. Върховният касационен съд и Министерството на правосъдието следва да докладват за постановените осъдителни присъди, както и за изпълнението на наказанията.</w:t>
      </w:r>
    </w:p>
    <w:p w:rsidR="000F6A30" w:rsidRDefault="00690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b/>
          <w:i/>
          <w:noProof/>
          <w:lang w:val="bg-BG"/>
        </w:rPr>
        <w:t xml:space="preserve">Препоръка 17: </w:t>
      </w:r>
      <w:r>
        <w:rPr>
          <w:rFonts w:ascii="Times New Roman" w:hAnsi="Times New Roman"/>
          <w:i/>
          <w:noProof/>
          <w:lang w:val="bg-BG"/>
        </w:rPr>
        <w:t>да се приемат необходимите изменения на</w:t>
      </w:r>
      <w:r>
        <w:rPr>
          <w:rFonts w:ascii="Times New Roman" w:hAnsi="Times New Roman"/>
          <w:i/>
          <w:noProof/>
          <w:lang w:val="bg-BG"/>
        </w:rPr>
        <w:t xml:space="preserve"> Закона за отнемане в полза на държавата на незаконно придобито имущество и да се гарантира, че Комисията за отнемане на незаконно придобито имущество ще продължи да работи независимо и ефективно.</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доклада от януари 2017 г. се потвърждава, че през последните десет години в престъпната среда е настъпила мащабна промяна, като при организираната престъпност се наблюдава спад на нивото на видимо насилие и тя представлява по-малка заплаха за стабилностт</w:t>
      </w:r>
      <w:r>
        <w:rPr>
          <w:rFonts w:ascii="Times New Roman" w:hAnsi="Times New Roman"/>
          <w:noProof/>
          <w:sz w:val="24"/>
          <w:lang w:val="bg-BG"/>
        </w:rPr>
        <w:t>а на обществото отколкото в миналото, както и че поради тази причина като цяло положението в България се приближава до това в някои други държави членки. Освен това беше отбелязано, че специализираните институции, създадени през 2012 г., са започнали да по</w:t>
      </w:r>
      <w:r>
        <w:rPr>
          <w:rFonts w:ascii="Times New Roman" w:hAnsi="Times New Roman"/>
          <w:noProof/>
          <w:sz w:val="24"/>
          <w:lang w:val="bg-BG"/>
        </w:rPr>
        <w:t xml:space="preserve">стигат съгласувани резултати, що се отнася до влезлите в сила присъди по дела за организирана престъпност и отнемането на незаконно придобито имущество.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При все това в доклада са включени някои ключови заключителни препоръки, насочени към по-нататъшно кон</w:t>
      </w:r>
      <w:r>
        <w:rPr>
          <w:rFonts w:ascii="Times New Roman" w:hAnsi="Times New Roman"/>
          <w:noProof/>
          <w:sz w:val="24"/>
          <w:lang w:val="bg-BG"/>
        </w:rPr>
        <w:t xml:space="preserve">солидиране на тази положителна тенденция. На първо място, беше препоръчано да се създаде система за отчитане по дела за тежка организирана престъпност, която да позволи на обществеността и медиите да следят напредъка по тях. Тази препоръка е аналогична на </w:t>
      </w:r>
      <w:r>
        <w:rPr>
          <w:rFonts w:ascii="Times New Roman" w:hAnsi="Times New Roman"/>
          <w:noProof/>
          <w:sz w:val="24"/>
          <w:lang w:val="bg-BG"/>
        </w:rPr>
        <w:t>подобната препоръка за делата за корупция по високите етажи на властта и предприетите мерки са в отговор и на двете препоръки. Както беше отбелязано по-горе, в доклада от януари 2017 г. се отчитат постигнатите трайни резултатите в работата на специализиран</w:t>
      </w:r>
      <w:r>
        <w:rPr>
          <w:rFonts w:ascii="Times New Roman" w:hAnsi="Times New Roman"/>
          <w:noProof/>
          <w:sz w:val="24"/>
          <w:lang w:val="bg-BG"/>
        </w:rPr>
        <w:t>ия съд и специализираната прокуратура за борба с организираната престъпност. Комисията обаче отбелязва, че съгласно неотдавнашните промени в Наказателно-процесуалния кодекс се предвиждат съществени организационни промени, като подсъдността на делата за кор</w:t>
      </w:r>
      <w:r>
        <w:rPr>
          <w:rFonts w:ascii="Times New Roman" w:hAnsi="Times New Roman"/>
          <w:noProof/>
          <w:sz w:val="24"/>
          <w:lang w:val="bg-BG"/>
        </w:rPr>
        <w:t xml:space="preserve">упция по високите етажи на властта се прехвърля на специализирания съд. България следва да гарантира, че тези промени ще утвърдят постигнатия напредък в тази област. </w:t>
      </w:r>
    </w:p>
    <w:p w:rsidR="000F6A30" w:rsidRDefault="0069035A">
      <w:pPr>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На второ място, беше препоръчано да се приемат изменения в Закона за отнемане в полза на </w:t>
      </w:r>
      <w:r>
        <w:rPr>
          <w:rFonts w:ascii="Times New Roman" w:hAnsi="Times New Roman"/>
          <w:noProof/>
          <w:sz w:val="24"/>
          <w:lang w:val="bg-BG"/>
        </w:rPr>
        <w:t>държавата на незаконно придобито имущество с цел да се отстранят редица предизвикателства, които бяха установени от Комисията за отнемане на незаконно придобито имущество (КОНПИ). В отговор на тази препоръка компетентните български органи уведомиха Комисия</w:t>
      </w:r>
      <w:r>
        <w:rPr>
          <w:rFonts w:ascii="Times New Roman" w:hAnsi="Times New Roman"/>
          <w:noProof/>
          <w:sz w:val="24"/>
          <w:lang w:val="bg-BG"/>
        </w:rPr>
        <w:t>та, че измененията на закона са приети. Независимо от това Комисията отбелязва, че в новия закон за борба с корупцията, който понастоящем се разглежда от Народното събрание, са включени разпоредби относно отнемането на незаконно придобито имущество и се пр</w:t>
      </w:r>
      <w:r>
        <w:rPr>
          <w:rFonts w:ascii="Times New Roman" w:hAnsi="Times New Roman"/>
          <w:noProof/>
          <w:sz w:val="24"/>
          <w:lang w:val="bg-BG"/>
        </w:rPr>
        <w:t>едвижда нова институционална структура. Както бе отбелязано в доклада от януари 2017 г., ще бъде важно да се гарантира, че тези промени не поставят под въпрос постигнатия вече напредък в тази област и способността на институциите да запазят положителната т</w:t>
      </w:r>
      <w:r>
        <w:rPr>
          <w:rFonts w:ascii="Times New Roman" w:hAnsi="Times New Roman"/>
          <w:noProof/>
          <w:sz w:val="24"/>
          <w:lang w:val="bg-BG"/>
        </w:rPr>
        <w:t xml:space="preserve">енденция, наблюдавана до този момент. </w:t>
      </w:r>
    </w:p>
    <w:p w:rsidR="000F6A30" w:rsidRDefault="0069035A">
      <w:pPr>
        <w:spacing w:before="240" w:after="120" w:line="240" w:lineRule="auto"/>
        <w:jc w:val="both"/>
        <w:rPr>
          <w:rFonts w:ascii="Times New Roman" w:hAnsi="Times New Roman"/>
          <w:i/>
          <w:noProof/>
          <w:sz w:val="24"/>
          <w:szCs w:val="24"/>
          <w:lang w:val="bg-BG"/>
        </w:rPr>
      </w:pPr>
      <w:r>
        <w:rPr>
          <w:rFonts w:ascii="Times New Roman" w:hAnsi="Times New Roman"/>
          <w:i/>
          <w:noProof/>
          <w:sz w:val="24"/>
          <w:lang w:val="bg-BG"/>
        </w:rPr>
        <w:t>Като цяло България е предприела стъпки за изпълнение на препоръки 16 и 17 по шестия показател. При все това българските власти следва да гарантират, че скорошните решения, свързани с организационни и правни промени, с</w:t>
      </w:r>
      <w:r>
        <w:rPr>
          <w:rFonts w:ascii="Times New Roman" w:hAnsi="Times New Roman"/>
          <w:i/>
          <w:noProof/>
          <w:sz w:val="24"/>
          <w:lang w:val="bg-BG"/>
        </w:rPr>
        <w:t xml:space="preserve">е изпълняват по начин, който консолидира постигнатия напредък. </w:t>
      </w:r>
    </w:p>
    <w:p w:rsidR="000F6A30" w:rsidRDefault="000F6A30">
      <w:pPr>
        <w:keepNext/>
        <w:spacing w:before="120" w:after="120" w:line="240" w:lineRule="auto"/>
        <w:jc w:val="both"/>
        <w:rPr>
          <w:rFonts w:ascii="Times New Roman" w:hAnsi="Times New Roman"/>
          <w:b/>
          <w:noProof/>
          <w:sz w:val="24"/>
          <w:szCs w:val="24"/>
          <w:lang w:val="bg-BG"/>
        </w:rPr>
      </w:pPr>
    </w:p>
    <w:p w:rsidR="000F6A30" w:rsidRDefault="0069035A">
      <w:pPr>
        <w:keepNext/>
        <w:spacing w:before="12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4. ЗАКЛЮЧЕНИЕ </w:t>
      </w:r>
    </w:p>
    <w:p w:rsidR="000F6A30" w:rsidRDefault="0069035A">
      <w:pPr>
        <w:spacing w:line="240" w:lineRule="auto"/>
        <w:jc w:val="both"/>
        <w:rPr>
          <w:rFonts w:ascii="Times New Roman" w:hAnsi="Times New Roman"/>
          <w:noProof/>
          <w:sz w:val="24"/>
          <w:szCs w:val="24"/>
          <w:lang w:val="bg-BG"/>
        </w:rPr>
      </w:pPr>
      <w:r>
        <w:rPr>
          <w:rFonts w:ascii="Times New Roman" w:hAnsi="Times New Roman"/>
          <w:noProof/>
          <w:sz w:val="24"/>
          <w:lang w:val="bg-BG"/>
        </w:rPr>
        <w:t>През деветмесечния период след доклада от януари 2017 г., в който бяха формулирани ключовите препоръки за изпълнение на всички показатели по МСП, настъпиха допълнителни положит</w:t>
      </w:r>
      <w:r>
        <w:rPr>
          <w:rFonts w:ascii="Times New Roman" w:hAnsi="Times New Roman"/>
          <w:noProof/>
          <w:sz w:val="24"/>
          <w:lang w:val="bg-BG"/>
        </w:rPr>
        <w:t>елни промени. Въпреки че политическата несигурност доведе в някои случаи до забавяне на изпълнението на реформите в началото на годината, от месец май нататък процесът на реформи отново набра скорост, въпреки че окончателните резултати все още предстоят да</w:t>
      </w:r>
      <w:r>
        <w:rPr>
          <w:rFonts w:ascii="Times New Roman" w:hAnsi="Times New Roman"/>
          <w:noProof/>
          <w:sz w:val="24"/>
          <w:lang w:val="bg-BG"/>
        </w:rPr>
        <w:t xml:space="preserve"> се видят, по-специално в областите, изискващи законодателни реформи и действия от страна на правителството, като например борбата срещу корупцията. В съдебната система също настъпиха важни промени през тази година, по-специално с избора на новия състав на</w:t>
      </w:r>
      <w:r>
        <w:rPr>
          <w:rFonts w:ascii="Times New Roman" w:hAnsi="Times New Roman"/>
          <w:noProof/>
          <w:sz w:val="24"/>
          <w:lang w:val="bg-BG"/>
        </w:rPr>
        <w:t xml:space="preserve"> ВСС, чието въздействие следва да започне да се проявява през следващата година. </w:t>
      </w:r>
    </w:p>
    <w:p w:rsidR="000F6A30" w:rsidRDefault="0069035A">
      <w:pPr>
        <w:spacing w:line="240" w:lineRule="auto"/>
        <w:jc w:val="both"/>
        <w:rPr>
          <w:rFonts w:ascii="Times New Roman" w:hAnsi="Times New Roman"/>
          <w:noProof/>
          <w:sz w:val="24"/>
          <w:szCs w:val="24"/>
          <w:lang w:val="bg-BG"/>
        </w:rPr>
      </w:pPr>
      <w:r>
        <w:rPr>
          <w:rFonts w:ascii="Times New Roman" w:hAnsi="Times New Roman"/>
          <w:noProof/>
          <w:sz w:val="24"/>
          <w:lang w:val="bg-BG"/>
        </w:rPr>
        <w:t>В настоящия доклад се отбелязва, че е постигнат значителен напредък по препоръките, формулирани в доклада от януари 2017 г., по-специално по препоръка 1, във връзка с която о</w:t>
      </w:r>
      <w:r>
        <w:rPr>
          <w:rFonts w:ascii="Times New Roman" w:hAnsi="Times New Roman"/>
          <w:noProof/>
          <w:sz w:val="24"/>
          <w:lang w:val="bg-BG"/>
        </w:rPr>
        <w:t>т сега нататък новият състав на ВСС ще има задължението да демонстрира резултати, и по препоръки 16 и 17, във връзка с които трябва да се запази положителната тенденция . Значителен напредък бе постигнат също така по препоръка 4, макар че са необходими още</w:t>
      </w:r>
      <w:r>
        <w:rPr>
          <w:rFonts w:ascii="Times New Roman" w:hAnsi="Times New Roman"/>
          <w:noProof/>
          <w:sz w:val="24"/>
          <w:lang w:val="bg-BG"/>
        </w:rPr>
        <w:t xml:space="preserve"> усилия. Въпреки че Комисията все още не може да заключи, че някой от показателите е изпълнен в задоволителна степен на настоящия етап, тя остава на мнение, че с непрекъснато политическо лидерство и решимост за постигане на напредък в реформата, България б</w:t>
      </w:r>
      <w:r>
        <w:rPr>
          <w:rFonts w:ascii="Times New Roman" w:hAnsi="Times New Roman"/>
          <w:noProof/>
          <w:sz w:val="24"/>
          <w:lang w:val="bg-BG"/>
        </w:rPr>
        <w:t xml:space="preserve">и трябвало да може да изпълни оставащите препоръки по МСП в близко бъдеще. </w:t>
      </w:r>
    </w:p>
    <w:p w:rsidR="000F6A30" w:rsidRDefault="0069035A">
      <w:pPr>
        <w:keepNext/>
        <w:spacing w:before="240" w:after="120" w:line="240" w:lineRule="auto"/>
        <w:jc w:val="both"/>
        <w:rPr>
          <w:rFonts w:ascii="Times New Roman" w:hAnsi="Times New Roman"/>
          <w:noProof/>
          <w:sz w:val="24"/>
          <w:szCs w:val="24"/>
          <w:lang w:val="bg-BG"/>
        </w:rPr>
      </w:pPr>
      <w:r>
        <w:rPr>
          <w:rFonts w:ascii="Times New Roman" w:hAnsi="Times New Roman"/>
          <w:noProof/>
          <w:sz w:val="24"/>
          <w:lang w:val="bg-BG"/>
        </w:rPr>
        <w:t>Комисията приканва България да предприеме необходимите действия и да изпълни всички препоръки, а към края на 2018 г. ще оцени отново постигнатия напредък.</w:t>
      </w:r>
    </w:p>
    <w:sectPr w:rsidR="000F6A3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30" w:rsidRDefault="0069035A">
      <w:pPr>
        <w:spacing w:after="0" w:line="240" w:lineRule="auto"/>
      </w:pPr>
      <w:r>
        <w:separator/>
      </w:r>
    </w:p>
  </w:endnote>
  <w:endnote w:type="continuationSeparator" w:id="0">
    <w:p w:rsidR="000F6A30" w:rsidRDefault="0069035A">
      <w:pPr>
        <w:spacing w:after="0" w:line="240" w:lineRule="auto"/>
      </w:pPr>
      <w:r>
        <w:continuationSeparator/>
      </w:r>
    </w:p>
  </w:endnote>
  <w:endnote w:type="continuationNotice" w:id="1">
    <w:p w:rsidR="000F6A30" w:rsidRDefault="000F6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FooterCoverPage"/>
      <w:rPr>
        <w:rFonts w:ascii="Arial" w:hAnsi="Arial" w:cs="Arial"/>
        <w:b/>
        <w:sz w:val="48"/>
      </w:rPr>
    </w:pPr>
    <w:r w:rsidRPr="0069035A">
      <w:rPr>
        <w:rFonts w:ascii="Arial" w:hAnsi="Arial" w:cs="Arial"/>
        <w:b/>
        <w:sz w:val="48"/>
      </w:rPr>
      <w:t>BG</w:t>
    </w:r>
    <w:r w:rsidRPr="0069035A">
      <w:rPr>
        <w:rFonts w:ascii="Arial" w:hAnsi="Arial" w:cs="Arial"/>
        <w:b/>
        <w:sz w:val="48"/>
      </w:rPr>
      <w:tab/>
    </w:r>
    <w:r w:rsidRPr="0069035A">
      <w:rPr>
        <w:rFonts w:ascii="Arial" w:hAnsi="Arial" w:cs="Arial"/>
        <w:b/>
        <w:sz w:val="48"/>
      </w:rPr>
      <w:tab/>
    </w:r>
    <w:r w:rsidRPr="0069035A">
      <w:tab/>
    </w:r>
    <w:r w:rsidRPr="0069035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0F6A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69035A">
    <w:pPr>
      <w:pStyle w:val="Footer"/>
      <w:jc w:val="center"/>
    </w:pPr>
    <w:r>
      <w:fldChar w:fldCharType="begin"/>
    </w:r>
    <w:r>
      <w:instrText xml:space="preserve"> PAGE   \* MERGEFORMAT</w:instrText>
    </w:r>
    <w:r>
      <w:instrText xml:space="preserve"> </w:instrText>
    </w:r>
    <w:r>
      <w:fldChar w:fldCharType="separate"/>
    </w:r>
    <w:r>
      <w:rPr>
        <w:noProof/>
      </w:rPr>
      <w:t>12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0F6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30" w:rsidRDefault="0069035A">
      <w:pPr>
        <w:spacing w:after="0" w:line="240" w:lineRule="auto"/>
      </w:pPr>
      <w:r>
        <w:separator/>
      </w:r>
    </w:p>
  </w:footnote>
  <w:footnote w:type="continuationSeparator" w:id="0">
    <w:p w:rsidR="000F6A30" w:rsidRDefault="0069035A">
      <w:pPr>
        <w:spacing w:after="0" w:line="240" w:lineRule="auto"/>
      </w:pPr>
      <w:r>
        <w:continuationSeparator/>
      </w:r>
    </w:p>
  </w:footnote>
  <w:footnote w:type="continuationNotice" w:id="1">
    <w:p w:rsidR="000F6A30" w:rsidRDefault="000F6A30">
      <w:pPr>
        <w:spacing w:after="0" w:line="240" w:lineRule="auto"/>
      </w:pPr>
    </w:p>
  </w:footnote>
  <w:footnote w:id="2">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Заключения на Съвета на министрите, 17 октомври 2006 г. (13339/06); Решение на Комисията от 13 декември 2006 г. за създаване на механизъм за сътрудничество и проверка на напредъка на България в постигането на специфични цели в областите на</w:t>
      </w:r>
      <w:r>
        <w:rPr>
          <w:rFonts w:ascii="Times New Roman" w:hAnsi="Times New Roman"/>
          <w:lang w:val="bg-BG"/>
        </w:rPr>
        <w:t xml:space="preserve"> съдебната реформа и борбата срещу корупцията и организираната престъпност (нотифицирано под номер C(2006) 6570).</w:t>
      </w:r>
    </w:p>
  </w:footnote>
  <w:footnote w:id="3">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lang w:val="bg-BG"/>
        </w:rPr>
        <w:tab/>
        <w:t>Заключения на съвета относно МСП.</w:t>
      </w:r>
    </w:p>
  </w:footnote>
  <w:footnote w:id="4">
    <w:p w:rsidR="000F6A30" w:rsidRDefault="0069035A">
      <w:pPr>
        <w:pStyle w:val="FootnoteText"/>
        <w:spacing w:after="0" w:line="240" w:lineRule="auto"/>
        <w:ind w:left="284" w:hanging="284"/>
        <w:rPr>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COM(2017) 43 final, 25.1.2017 г.</w:t>
      </w:r>
    </w:p>
  </w:footnote>
  <w:footnote w:id="5">
    <w:p w:rsidR="000F6A30" w:rsidRDefault="0069035A">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http://europa.eu/rapid/press-release_SPEECH-17-3165_bg.htm</w:t>
      </w:r>
    </w:p>
  </w:footnote>
  <w:footnote w:id="6">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Служебното правителство, функциониращо до съставянето на новото правителство през май, успя да предприеме някои действия с подготвителен или административен характер, но напредъкът по значими законодателни реформи беше забавен. </w:t>
      </w:r>
    </w:p>
  </w:footnote>
  <w:footnote w:id="7">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Вж. по-долу в точка 3.2.</w:t>
      </w:r>
      <w:r>
        <w:rPr>
          <w:rFonts w:ascii="Times New Roman" w:hAnsi="Times New Roman"/>
          <w:lang w:val="bg-BG"/>
        </w:rPr>
        <w:t xml:space="preserve"> Важен елемент от изпълнението на стратегията за съдебна реформа от 2014 г. бе създаването в началото на 2016 г. на консултативен съвет за съдебната реформа, който чрез прякото участие на заинтересованите страни в подготовката на измененията изигра решаващ</w:t>
      </w:r>
      <w:r>
        <w:rPr>
          <w:rFonts w:ascii="Times New Roman" w:hAnsi="Times New Roman"/>
          <w:lang w:val="bg-BG"/>
        </w:rPr>
        <w:t>а роля за осигуряването на широка обществена подкрепа за осъществяването на значимите законодателни промени, приети през 2016 г. През 2017 г. решителността за постигане на бързи резултати в някои случаи доведе до по-малко приобщаващ подход, което оказа въз</w:t>
      </w:r>
      <w:r>
        <w:rPr>
          <w:rFonts w:ascii="Times New Roman" w:hAnsi="Times New Roman"/>
          <w:lang w:val="bg-BG"/>
        </w:rPr>
        <w:t xml:space="preserve">действие върху начина, по който засегнатите страни в съдебната власт и гражданското общество приеха реформите. </w:t>
      </w:r>
    </w:p>
  </w:footnote>
  <w:footnote w:id="8">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По-специално някои от проектоизмененията щяха да ограничат достъпа на професионалните сдружения на магистратите до чуждестранно финансиране. </w:t>
      </w:r>
      <w:r>
        <w:rPr>
          <w:rFonts w:ascii="Times New Roman" w:hAnsi="Times New Roman"/>
          <w:lang w:val="bg-BG"/>
        </w:rPr>
        <w:t xml:space="preserve">Тези изменения бяха оттеглени. </w:t>
      </w:r>
    </w:p>
  </w:footnote>
  <w:footnote w:id="9">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Това се отнасяше по-специално до изменението, предвиждащо задължително временно отстраняване от длъжност без право на обжалване на всеки магистрат, който бъде привлечен като обвиняем, и до изменението, въвеждащо изискване</w:t>
      </w:r>
      <w:r>
        <w:rPr>
          <w:rFonts w:ascii="Times New Roman" w:hAnsi="Times New Roman"/>
          <w:lang w:val="bg-BG"/>
        </w:rPr>
        <w:t xml:space="preserve">то магистратите да декларират членството си в професионални сдружения. Бяха изразени опасения, че в българския контекст с такива разпоредби би могло да се злоупотреби или че тяхното наличие би довело до непреднамерен натиск върху съдиите. Първият елемент, </w:t>
      </w:r>
      <w:r>
        <w:rPr>
          <w:rFonts w:ascii="Times New Roman" w:hAnsi="Times New Roman"/>
          <w:lang w:val="bg-BG"/>
        </w:rPr>
        <w:t>посочен по-горе, бе критикуван също така в едно неотдавнашно становище на Венецианската комисия (вж. препратка в бележка под линия 10 по-долу). След публикуването на становището България прие на 27 октомври допълнителни изменения в отговор на някои от изра</w:t>
      </w:r>
      <w:r>
        <w:rPr>
          <w:rFonts w:ascii="Times New Roman" w:hAnsi="Times New Roman"/>
          <w:lang w:val="bg-BG"/>
        </w:rPr>
        <w:t xml:space="preserve">зените опасения.  </w:t>
      </w:r>
    </w:p>
  </w:footnote>
  <w:footnote w:id="10">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 тези изменения се целеше да се предостави възможност за командироването на магистрати в други съдилища за по-дълги периоди от време, както и да се въведе основано на резултатите възнаграждение за магистратите в специализирания съд и</w:t>
      </w:r>
      <w:r>
        <w:rPr>
          <w:rFonts w:ascii="Times New Roman" w:hAnsi="Times New Roman"/>
          <w:lang w:val="bg-BG"/>
        </w:rPr>
        <w:t xml:space="preserve"> прокуратура, в чиято компетентност влизат делата за корупция по високите етажи на властта и делата, свързани с организираната престъпност.</w:t>
      </w:r>
    </w:p>
  </w:footnote>
  <w:footnote w:id="11">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spacing w:val="-4"/>
          <w:lang w:val="bg-BG"/>
        </w:rPr>
        <w:t>Произтичащите от структурни слабости, които продължават да съществуват в българската система, основания за такива</w:t>
      </w:r>
      <w:r>
        <w:rPr>
          <w:rFonts w:ascii="Times New Roman" w:hAnsi="Times New Roman"/>
          <w:spacing w:val="-4"/>
          <w:lang w:val="bg-BG"/>
        </w:rPr>
        <w:t xml:space="preserve"> опасения бяха подчертани в доклади на Венецианската комисия и на Групата държави срещу корупцията (GRECO - създадена през 1999 г. от Съвета на Европа, за да следи за спазването на стандартите на организацията за борба с корупцията), вж. доклада на GRECO з</w:t>
      </w:r>
      <w:r>
        <w:rPr>
          <w:rFonts w:ascii="Times New Roman" w:hAnsi="Times New Roman"/>
          <w:spacing w:val="-4"/>
          <w:lang w:val="bg-BG"/>
        </w:rPr>
        <w:t>а изпълнението от страна на България от юни 2017 г. (</w:t>
      </w:r>
      <w:hyperlink r:id="rId1">
        <w:r>
          <w:rPr>
            <w:rStyle w:val="Hyperlink"/>
            <w:rFonts w:ascii="Times New Roman" w:hAnsi="Times New Roman"/>
            <w:spacing w:val="-4"/>
            <w:lang w:val="bg-BG"/>
          </w:rPr>
          <w:t>https://www.coe.int/en/web/greco/-/bulgaria-publication-of-the-fourth-round-compliance-rep</w:t>
        </w:r>
        <w:r>
          <w:rPr>
            <w:rStyle w:val="Hyperlink"/>
            <w:rFonts w:ascii="Times New Roman" w:hAnsi="Times New Roman"/>
            <w:spacing w:val="-4"/>
            <w:lang w:val="bg-BG"/>
          </w:rPr>
          <w:t>ort</w:t>
        </w:r>
      </w:hyperlink>
      <w:r>
        <w:rPr>
          <w:rFonts w:ascii="Times New Roman" w:hAnsi="Times New Roman"/>
          <w:spacing w:val="-4"/>
          <w:lang w:val="bg-BG"/>
        </w:rPr>
        <w:t>) и становището на Венецианската комисия по отношение на България от октомври 2017 г.(</w:t>
      </w:r>
      <w:hyperlink r:id="rId2">
        <w:r>
          <w:rPr>
            <w:rStyle w:val="Hyperlink"/>
            <w:rFonts w:ascii="Times New Roman" w:hAnsi="Times New Roman"/>
            <w:spacing w:val="-4"/>
            <w:lang w:val="bg-BG"/>
          </w:rPr>
          <w:t>http://www.venice.coe.int/webforms/documents/default.aspx?pdffil</w:t>
        </w:r>
        <w:r>
          <w:rPr>
            <w:rStyle w:val="Hyperlink"/>
            <w:rFonts w:ascii="Times New Roman" w:hAnsi="Times New Roman"/>
            <w:spacing w:val="-4"/>
            <w:lang w:val="bg-BG"/>
          </w:rPr>
          <w:t>e=CDL-AD(2017)018-e</w:t>
        </w:r>
      </w:hyperlink>
      <w:r>
        <w:rPr>
          <w:rFonts w:ascii="Times New Roman" w:hAnsi="Times New Roman"/>
          <w:lang w:val="bg-BG"/>
        </w:rPr>
        <w:t>).</w:t>
      </w:r>
    </w:p>
  </w:footnote>
  <w:footnote w:id="12">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доклада по МСП от януари 2014 г. Комисията изрази съжаление, че изборът на квотата на съдебната власт е пострадал от решението да не се позволи пряк избор на кандидатите от всички магистрати — COM(2014) 36 final.</w:t>
      </w:r>
    </w:p>
  </w:footnote>
  <w:footnote w:id="13">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 xml:space="preserve"> </w:t>
      </w:r>
      <w:r>
        <w:rPr>
          <w:lang w:val="bg-BG"/>
        </w:rPr>
        <w:tab/>
      </w:r>
      <w:r>
        <w:rPr>
          <w:rFonts w:ascii="Times New Roman" w:hAnsi="Times New Roman"/>
          <w:lang w:val="bg-BG"/>
        </w:rPr>
        <w:t xml:space="preserve">Особено като </w:t>
      </w:r>
      <w:r>
        <w:rPr>
          <w:rFonts w:ascii="Times New Roman" w:hAnsi="Times New Roman"/>
          <w:lang w:val="bg-BG"/>
        </w:rPr>
        <w:t>се вземе предвид фактът, че дялът на членовете, избирани от Народното събрание, в съдийската колегия остава висок: същият брой като този на съдиите, избирани от своите колеги.</w:t>
      </w:r>
    </w:p>
  </w:footnote>
  <w:footnote w:id="14">
    <w:p w:rsidR="000F6A30" w:rsidRDefault="0069035A">
      <w:pPr>
        <w:pStyle w:val="FootnoteText"/>
        <w:spacing w:after="0" w:line="240" w:lineRule="auto"/>
        <w:ind w:left="284" w:hanging="284"/>
        <w:jc w:val="both"/>
        <w:rPr>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Съгласно Конституцията на Република България президентът назначава председате</w:t>
      </w:r>
      <w:r>
        <w:rPr>
          <w:rFonts w:ascii="Times New Roman" w:hAnsi="Times New Roman"/>
          <w:lang w:val="bg-BG"/>
        </w:rPr>
        <w:t xml:space="preserve">лите на двете върховни съдилища, както и главният прокурор, по предложение на ВСС. Президентът може да откаже веднъж назначаването на предложения кандидат, но не може да го откаже при повторно направено предложение. </w:t>
      </w:r>
      <w:r>
        <w:rPr>
          <w:lang w:val="bg-BG"/>
        </w:rPr>
        <w:t xml:space="preserve">  </w:t>
      </w:r>
    </w:p>
  </w:footnote>
  <w:footnote w:id="15">
    <w:p w:rsidR="000F6A30" w:rsidRDefault="0069035A">
      <w:pPr>
        <w:pStyle w:val="FootnoteText"/>
        <w:spacing w:after="0" w:line="240" w:lineRule="auto"/>
        <w:ind w:left="284" w:hanging="284"/>
        <w:jc w:val="both"/>
        <w:rPr>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 xml:space="preserve">Българското правителство изрази интерес да получи подкрепа от СПСР за Инспектората. </w:t>
      </w:r>
    </w:p>
  </w:footnote>
  <w:footnote w:id="16">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Вж. препратката в бележка под линия 10 по-горе. </w:t>
      </w:r>
    </w:p>
  </w:footnote>
  <w:footnote w:id="17">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Допълнителни изменения на Закона за съдебната власт, очевидно свързани с приетите изменения, бяха предложени в Народ</w:t>
      </w:r>
      <w:r>
        <w:rPr>
          <w:rFonts w:ascii="Times New Roman" w:hAnsi="Times New Roman"/>
          <w:lang w:val="bg-BG"/>
        </w:rPr>
        <w:t xml:space="preserve">ното събрание в началото на октомври без предварително обсъждане или консултация и бяха критикувани за това, че поставят под въпрос елементи на вече приети изменения и че евентуално дават повод за допълнителни опасения. Независимо от това измененията бяха </w:t>
      </w:r>
      <w:r>
        <w:rPr>
          <w:rFonts w:ascii="Times New Roman" w:hAnsi="Times New Roman"/>
          <w:lang w:val="bg-BG"/>
        </w:rPr>
        <w:t>приети от Народното събрание на 27 октомври.</w:t>
      </w:r>
    </w:p>
  </w:footnote>
  <w:footnote w:id="18">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Вж. бележка под линия 8 по-горе.</w:t>
      </w:r>
    </w:p>
  </w:footnote>
  <w:footnote w:id="19">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Вж. по-долу в точки 3.3 и 3.4.</w:t>
      </w:r>
    </w:p>
  </w:footnote>
  <w:footnote w:id="20">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Текстът на стратегията на английски език може да бъде намерен на следния адрес: </w:t>
      </w:r>
      <w:hyperlink r:id="rId3">
        <w:r>
          <w:rPr>
            <w:rStyle w:val="Hyperlink"/>
            <w:rFonts w:ascii="Times New Roman" w:hAnsi="Times New Roman"/>
            <w:lang w:val="bg-BG"/>
          </w:rPr>
          <w:t>www.strategy.bg/FileHandler.ashx?fileId=5570</w:t>
        </w:r>
      </w:hyperlink>
    </w:p>
  </w:footnote>
  <w:footnote w:id="21">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Предишният състав на ВСС разработи рамка за анализа на натоварването, благодарение на която понастоящем се събират обстойни данни за натовареността във всички съдилища и прокуратури.  </w:t>
      </w:r>
    </w:p>
  </w:footnote>
  <w:footnote w:id="22">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Много о</w:t>
      </w:r>
      <w:r>
        <w:rPr>
          <w:rFonts w:ascii="Times New Roman" w:hAnsi="Times New Roman"/>
          <w:lang w:val="bg-BG"/>
        </w:rPr>
        <w:t xml:space="preserve">т мерките включват законодателни промени в Наказателния кодекс или Наказателно-процесуалния кодекс и поради това се припокриват значително с мерките, предвидени по втория показател по-горе. </w:t>
      </w:r>
    </w:p>
  </w:footnote>
  <w:footnote w:id="23">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spacing w:val="-4"/>
          <w:lang w:val="bg-BG"/>
        </w:rPr>
        <w:t>Обобщение на доклада може да бъде намерено на уебсайта на Мини</w:t>
      </w:r>
      <w:r>
        <w:rPr>
          <w:rFonts w:ascii="Times New Roman" w:hAnsi="Times New Roman"/>
          <w:spacing w:val="-4"/>
          <w:lang w:val="bg-BG"/>
        </w:rPr>
        <w:t>стерството на правосъдието на България:</w:t>
      </w:r>
      <w:r>
        <w:rPr>
          <w:spacing w:val="-4"/>
          <w:lang w:val="bg-BG"/>
        </w:rPr>
        <w:tab/>
      </w:r>
      <w:r>
        <w:rPr>
          <w:rFonts w:ascii="Times New Roman" w:hAnsi="Times New Roman"/>
          <w:spacing w:val="-4"/>
          <w:lang w:val="bg-BG"/>
        </w:rPr>
        <w:t xml:space="preserve"> </w:t>
      </w:r>
      <w:hyperlink r:id="rId4">
        <w:r>
          <w:rPr>
            <w:rStyle w:val="Hyperlink"/>
            <w:rFonts w:ascii="Times New Roman" w:hAnsi="Times New Roman"/>
            <w:spacing w:val="-4"/>
            <w:lang w:val="bg-BG"/>
          </w:rPr>
          <w:t>http://www.mjs.bg/Files/Executive%20Summary%20Final%20Report%20BG%2015122016.pdf</w:t>
        </w:r>
      </w:hyperlink>
    </w:p>
  </w:footnote>
  <w:footnote w:id="24">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Текстът на стратегията на англи</w:t>
      </w:r>
      <w:r>
        <w:rPr>
          <w:rFonts w:ascii="Times New Roman" w:hAnsi="Times New Roman"/>
          <w:lang w:val="bg-BG"/>
        </w:rPr>
        <w:t xml:space="preserve">йски може да бъде намерен на следния адрес: </w:t>
      </w:r>
      <w:hyperlink r:id="rId5">
        <w:r>
          <w:rPr>
            <w:rStyle w:val="Hyperlink"/>
            <w:rFonts w:ascii="Times New Roman" w:hAnsi="Times New Roman"/>
            <w:lang w:val="bg-BG"/>
          </w:rPr>
          <w:t>http://rai-see.org/wp-content/uploads/2015/08/Bulgaria_Anti-corruption_strategy_-2015.pdf</w:t>
        </w:r>
      </w:hyperlink>
    </w:p>
  </w:footnote>
  <w:footnote w:id="25">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този кон</w:t>
      </w:r>
      <w:r>
        <w:rPr>
          <w:rFonts w:ascii="Times New Roman" w:hAnsi="Times New Roman"/>
          <w:lang w:val="bg-BG"/>
        </w:rPr>
        <w:t xml:space="preserve">текст в доклада от януари 2017 г. се отбеляза известна загриженост по отношение на продължаването на ефективното изпълнение на функцииите на Комисията за отнемане на незаконно придобито имущество при новата нормативна уредба с оглед на обстоятелството, че </w:t>
      </w:r>
      <w:r>
        <w:rPr>
          <w:rFonts w:ascii="Times New Roman" w:hAnsi="Times New Roman"/>
          <w:lang w:val="bg-BG"/>
        </w:rPr>
        <w:t xml:space="preserve">в тази област България постигна солидни резултати през последните години. </w:t>
      </w:r>
    </w:p>
  </w:footnote>
  <w:footnote w:id="26">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Настоящият заместник министър-председател по правосъдната реформа и министър на външните работи също беше назначен за национален координатор по антикорупционните политики. </w:t>
      </w:r>
    </w:p>
  </w:footnote>
  <w:footnote w:id="27">
    <w:p w:rsidR="000F6A30" w:rsidRDefault="0069035A">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Що се отнася до предоставянето на такава информация, не е създаден систематичен механизъм за докладване. Прокуратурата докладва такива данни на ВСС и Министерството на правосъдието и също така информира обществеността в редовни пресбрифинги. </w:t>
      </w:r>
    </w:p>
  </w:footnote>
  <w:footnote w:id="28">
    <w:p w:rsidR="000F6A30" w:rsidRDefault="0069035A">
      <w:pPr>
        <w:pStyle w:val="FootnoteText"/>
        <w:spacing w:after="0" w:line="240" w:lineRule="auto"/>
        <w:ind w:left="284" w:hanging="284"/>
        <w:jc w:val="both"/>
        <w:rPr>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 финансир</w:t>
      </w:r>
      <w:r>
        <w:rPr>
          <w:rFonts w:ascii="Times New Roman" w:hAnsi="Times New Roman"/>
          <w:lang w:val="bg-BG"/>
        </w:rPr>
        <w:t>ане, предоставяно от оперативна програма „Добро управление“ на Европейския социален фонд.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5A" w:rsidRPr="0069035A" w:rsidRDefault="0069035A" w:rsidP="006903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0F6A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0F6A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30" w:rsidRDefault="000F6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F21"/>
    <w:multiLevelType w:val="hybridMultilevel"/>
    <w:tmpl w:val="1D26C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C3810"/>
    <w:multiLevelType w:val="hybridMultilevel"/>
    <w:tmpl w:val="F6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86667"/>
    <w:multiLevelType w:val="hybridMultilevel"/>
    <w:tmpl w:val="5A94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B212A"/>
    <w:multiLevelType w:val="hybridMultilevel"/>
    <w:tmpl w:val="8A5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4670FD"/>
    <w:multiLevelType w:val="hybridMultilevel"/>
    <w:tmpl w:val="BDB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647F0"/>
    <w:multiLevelType w:val="hybridMultilevel"/>
    <w:tmpl w:val="2C08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F3493"/>
    <w:multiLevelType w:val="hybridMultilevel"/>
    <w:tmpl w:val="4A90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A23A6F"/>
    <w:multiLevelType w:val="hybridMultilevel"/>
    <w:tmpl w:val="890C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6"/>
  </w:num>
  <w:num w:numId="6">
    <w:abstractNumId w:val="5"/>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DB8FCA-C3CD-44A3-89F6-10C93D6B1AF2"/>
    <w:docVar w:name="LW_COVERPAGE_TYPE" w:val="1"/>
    <w:docVar w:name="LW_CROSSREFERENCE" w:val="{SWD(2017) 700 final}"/>
    <w:docVar w:name="LW_DocType" w:val="NORMAL"/>
    <w:docVar w:name="LW_EMISSION" w:val="15.11.2017"/>
    <w:docVar w:name="LW_EMISSION_ISODATE" w:val="2017-11-15"/>
    <w:docVar w:name="LW_EMISSION_LOCATION" w:val="BRX"/>
    <w:docVar w:name="LW_EMISSION_PREFIX" w:val="\u1041?\u1088?\u1102?\u1082?\u1089?\u1077?\u1083?,"/>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5?\u1072?\u1087?\u1088?\u1077?\u1076?\u1098?\u1082?\u1072? \u1085?\u1072? \u1041?\u1098?\u1083?\u1075?\u1072?\u1088?\u1080?\u1103? \u1087?\u1086? \u1084?\u1077?\u1093?\u1072?\u1085?\u1080?\u1079?\u1084?\u1072? \u1079?\u1072? \u1089?\u1098?\u1090?\u1088?\u1091?\u1076?\u1085?\u1080?\u1095?\u1077?\u1089?\u1090?\u1074?\u1086? \u1080? \u1087?\u1088?\u1086?\u1074?\u1077?\u1088?\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0F6A30"/>
    <w:rsid w:val="000F6A30"/>
    <w:rsid w:val="006903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en-US"/>
    </w:rPr>
  </w:style>
  <w:style w:type="character" w:customStyle="1" w:styleId="Marker">
    <w:name w:val="Marker"/>
    <w:rPr>
      <w:color w:val="0000FF"/>
      <w:shd w:val="clear" w:color="auto" w:fill="auto"/>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en-US"/>
    </w:rPr>
  </w:style>
  <w:style w:type="character" w:customStyle="1" w:styleId="Marker">
    <w:name w:val="Marker"/>
    <w:rPr>
      <w:color w:val="0000FF"/>
      <w:shd w:val="clear" w:color="auto" w:fill="auto"/>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rategy.bg/FileHandler.ashx?fileId=5570" TargetMode="External"/><Relationship Id="rId2" Type="http://schemas.openxmlformats.org/officeDocument/2006/relationships/hyperlink" Target="http://www.venice.coe.int/webforms/documents/default.aspx?pdffile=CDL-AD(2017)018-e" TargetMode="External"/><Relationship Id="rId1" Type="http://schemas.openxmlformats.org/officeDocument/2006/relationships/hyperlink" Target="https://www.coe.int/en/web/greco/-/bulgaria-publication-of-the-fourth-round-compliance-report" TargetMode="External"/><Relationship Id="rId5" Type="http://schemas.openxmlformats.org/officeDocument/2006/relationships/hyperlink" Target="http://rai-see.org/wp-content/uploads/2015/08/Bulgaria_Anti-corruption_strategy_-2015.pdf" TargetMode="External"/><Relationship Id="rId4" Type="http://schemas.openxmlformats.org/officeDocument/2006/relationships/hyperlink" Target="http://www.mjs.bg/Files/Executive%20Summary%20Final%20Report%20BG%20151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21FD-30F8-42B4-807A-52879D63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5006</Words>
  <Characters>29436</Characters>
  <Application>Microsoft Office Word</Application>
  <DocSecurity>0</DocSecurity>
  <Lines>474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34368</CharactersWithSpaces>
  <SharedDoc>false</SharedDoc>
  <HLinks>
    <vt:vector size="24" baseType="variant">
      <vt:variant>
        <vt:i4>7012448</vt:i4>
      </vt:variant>
      <vt:variant>
        <vt:i4>9</vt:i4>
      </vt:variant>
      <vt:variant>
        <vt:i4>0</vt:i4>
      </vt:variant>
      <vt:variant>
        <vt:i4>5</vt:i4>
      </vt:variant>
      <vt:variant>
        <vt:lpwstr>http://www.google.be/url?sa=t&amp;rct=j&amp;q=&amp;esrc=s&amp;source=web&amp;cd=1&amp;ved=0ahUKEwiHt6TFyJLKAhWDORoKHSGVDoEQFggcMAA&amp;url=http%3A%2F%2Fhudoc.echr.coe.int%2Fapp%2Fconversion%2Fpdf%2F%3Flibrary%3DECHR%26id%3D003-5027227-6176041%26filename%3D003-5027227-6176041.pdf&amp;usg=AFQjCNFjUumZwXhiQyVwaOKzSUHhIFSs2w</vt:lpwstr>
      </vt:variant>
      <vt:variant>
        <vt:lpwstr/>
      </vt:variant>
      <vt:variant>
        <vt:i4>7143538</vt:i4>
      </vt:variant>
      <vt:variant>
        <vt:i4>6</vt:i4>
      </vt:variant>
      <vt:variant>
        <vt:i4>0</vt:i4>
      </vt:variant>
      <vt:variant>
        <vt:i4>5</vt:i4>
      </vt:variant>
      <vt:variant>
        <vt:lpwstr>https://rsf.org/en/ranking</vt:lpwstr>
      </vt:variant>
      <vt:variant>
        <vt:lpwstr/>
      </vt:variant>
      <vt:variant>
        <vt:i4>851970</vt:i4>
      </vt:variant>
      <vt:variant>
        <vt:i4>3</vt:i4>
      </vt:variant>
      <vt:variant>
        <vt:i4>0</vt:i4>
      </vt:variant>
      <vt:variant>
        <vt:i4>5</vt:i4>
      </vt:variant>
      <vt:variant>
        <vt:lpwstr>http://ec.europa.eu/cvm/key_documents_en.htm</vt:lpwstr>
      </vt:variant>
      <vt:variant>
        <vt:lpwstr/>
      </vt:variant>
      <vt:variant>
        <vt:i4>589841</vt:i4>
      </vt:variant>
      <vt:variant>
        <vt:i4>0</vt:i4>
      </vt:variant>
      <vt:variant>
        <vt:i4>0</vt:i4>
      </vt:variant>
      <vt:variant>
        <vt:i4>5</vt:i4>
      </vt:variant>
      <vt:variant>
        <vt:lpwstr>http://data.consilium.europa.eu/doc/document/ST-7118-2016-INIT/en/pdf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dcterms:created xsi:type="dcterms:W3CDTF">2017-11-13T17:07:00Z</dcterms:created>
  <dcterms:modified xsi:type="dcterms:W3CDTF">2017-11-14T11:53:00Z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