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7B" w:rsidRDefault="00A17D95" w:rsidP="00A17D9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B207FA-9DDA-4A59-ACAB-29DB0B6D7C98" style="width:450.7pt;height:483.45pt">
            <v:imagedata r:id="rId9" o:title=""/>
          </v:shape>
        </w:pict>
      </w:r>
    </w:p>
    <w:bookmarkEnd w:id="0"/>
    <w:p w:rsidR="00722E7B" w:rsidRDefault="00722E7B">
      <w:pPr>
        <w:rPr>
          <w:noProof/>
        </w:rPr>
        <w:sectPr w:rsidR="00722E7B" w:rsidSect="00A17D9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0" w:h="16840"/>
          <w:pgMar w:top="1134" w:right="1417" w:bottom="1134" w:left="1417" w:header="709" w:footer="709" w:gutter="0"/>
          <w:pgNumType w:start="1"/>
          <w:cols w:space="720"/>
          <w:docGrid w:linePitch="360"/>
        </w:sectPr>
      </w:pPr>
    </w:p>
    <w:p w:rsidR="00A17D95" w:rsidRPr="00A17D95" w:rsidRDefault="00A17D95" w:rsidP="00A17D95">
      <w:pPr>
        <w:pStyle w:val="Typedudocument"/>
      </w:pPr>
      <w:bookmarkStart w:id="1" w:name="_GoBack"/>
      <w:bookmarkEnd w:id="1"/>
      <w:r w:rsidRPr="00A17D95">
        <w:lastRenderedPageBreak/>
        <w:t>COMMISSION STAFF WORKING DOCUMENT</w:t>
      </w:r>
    </w:p>
    <w:p w:rsidR="00A17D95" w:rsidRPr="00A17D95" w:rsidRDefault="00A17D95" w:rsidP="00A17D95">
      <w:pPr>
        <w:pStyle w:val="Titreobjet"/>
      </w:pPr>
      <w:r w:rsidRPr="00A17D95">
        <w:t>Roma integration indicators scoreboard (2011-2016)</w:t>
      </w:r>
    </w:p>
    <w:p w:rsidR="00A17D95" w:rsidRPr="00A17D95" w:rsidRDefault="00A17D95" w:rsidP="00A17D95">
      <w:pPr>
        <w:pStyle w:val="Accompagnant"/>
      </w:pPr>
      <w:r w:rsidRPr="00A17D95">
        <w:t>Accompanying the document</w:t>
      </w:r>
    </w:p>
    <w:p w:rsidR="00A17D95" w:rsidRPr="00A17D95" w:rsidRDefault="00A17D95" w:rsidP="00A17D95">
      <w:pPr>
        <w:pStyle w:val="Typeacteprincipal"/>
      </w:pPr>
      <w:r w:rsidRPr="00A17D95">
        <w:t xml:space="preserve">Communication to the European Parliament and the Council </w:t>
      </w:r>
    </w:p>
    <w:p w:rsidR="00A17D95" w:rsidRPr="00A17D95" w:rsidRDefault="00A17D95" w:rsidP="00A17D95">
      <w:pPr>
        <w:pStyle w:val="Objetacteprincipal"/>
      </w:pPr>
      <w:r w:rsidRPr="00A17D95">
        <w:t>Midterm review of the EU framework for national Roma integration strategies</w:t>
      </w:r>
      <w:r w:rsidRPr="00A17D95">
        <w:br/>
      </w:r>
    </w:p>
    <w:p w:rsidR="00953EAD" w:rsidRDefault="00953EAD" w:rsidP="00953EAD">
      <w:pPr>
        <w:tabs>
          <w:tab w:val="left" w:pos="8931"/>
        </w:tabs>
        <w:spacing w:after="120"/>
        <w:ind w:right="43"/>
        <w:jc w:val="both"/>
        <w:rPr>
          <w:rFonts w:ascii="Times New Roman" w:hAnsi="Times New Roman" w:cs="Times New Roman"/>
          <w:noProof/>
        </w:rPr>
      </w:pPr>
      <w:r>
        <w:rPr>
          <w:rFonts w:ascii="Times New Roman" w:hAnsi="Times New Roman" w:cs="Times New Roman"/>
          <w:noProof/>
        </w:rPr>
        <w:t>This scoreboard presents changes in the situation of Roma in nine EU Member States</w:t>
      </w:r>
      <w:r>
        <w:rPr>
          <w:rStyle w:val="FootnoteReference"/>
          <w:rFonts w:ascii="Times New Roman" w:hAnsi="Times New Roman" w:cs="Times New Roman"/>
          <w:noProof/>
        </w:rPr>
        <w:footnoteReference w:id="1"/>
      </w:r>
      <w:r>
        <w:rPr>
          <w:rFonts w:ascii="Times New Roman" w:hAnsi="Times New Roman" w:cs="Times New Roman"/>
          <w:noProof/>
        </w:rPr>
        <w:t xml:space="preserve"> as recorded by two FRA surveys in 2011 and in 2016. In 2016, the </w:t>
      </w:r>
      <w:hyperlink r:id="rId16" w:history="1">
        <w:r>
          <w:rPr>
            <w:rStyle w:val="Hyperlink"/>
            <w:rFonts w:ascii="Times New Roman" w:hAnsi="Times New Roman" w:cs="Times New Roman"/>
            <w:noProof/>
          </w:rPr>
          <w:t>Second European Union Minorities and Discrimination Survey</w:t>
        </w:r>
      </w:hyperlink>
      <w:r>
        <w:rPr>
          <w:rStyle w:val="Hyperlink"/>
          <w:rFonts w:ascii="Times New Roman" w:hAnsi="Times New Roman" w:cs="Times New Roman"/>
          <w:noProof/>
        </w:rPr>
        <w:t xml:space="preserve"> (EU</w:t>
      </w:r>
      <w:r>
        <w:rPr>
          <w:rStyle w:val="Hyperlink"/>
          <w:rFonts w:ascii="Times New Roman" w:hAnsi="Times New Roman" w:cs="Times New Roman"/>
          <w:noProof/>
        </w:rPr>
        <w:noBreakHyphen/>
        <w:t>MIDIS II)</w:t>
      </w:r>
      <w:r>
        <w:rPr>
          <w:rStyle w:val="FootnoteReference"/>
          <w:rFonts w:ascii="Times New Roman" w:hAnsi="Times New Roman" w:cs="Times New Roman"/>
          <w:noProof/>
        </w:rPr>
        <w:footnoteReference w:id="2"/>
      </w:r>
      <w:r>
        <w:rPr>
          <w:rFonts w:ascii="Times New Roman" w:hAnsi="Times New Roman" w:cs="Times New Roman"/>
          <w:noProof/>
        </w:rPr>
        <w:t xml:space="preserve"> collected information on the situation of Roma in Bulgaria, Croatia, the Czechia, Greece, Hungary, Portugal, Romania, Slovakia and Spain. The </w:t>
      </w:r>
      <w:hyperlink r:id="rId17" w:history="1">
        <w:r>
          <w:rPr>
            <w:rStyle w:val="Hyperlink"/>
            <w:rFonts w:ascii="Times New Roman" w:hAnsi="Times New Roman" w:cs="Times New Roman"/>
            <w:noProof/>
          </w:rPr>
          <w:t>2011 Roma survey</w:t>
        </w:r>
      </w:hyperlink>
      <w:r>
        <w:rPr>
          <w:rStyle w:val="FootnoteReference"/>
          <w:rFonts w:ascii="Times New Roman" w:hAnsi="Times New Roman" w:cs="Times New Roman"/>
          <w:noProof/>
        </w:rPr>
        <w:footnoteReference w:id="3"/>
      </w:r>
      <w:r>
        <w:rPr>
          <w:rFonts w:ascii="Times New Roman" w:hAnsi="Times New Roman" w:cs="Times New Roman"/>
          <w:noProof/>
        </w:rPr>
        <w:t xml:space="preserve"> covered the same countries, apart from Croatia. However, information on the situation in Croatia was collected in the </w:t>
      </w:r>
      <w:hyperlink r:id="rId18" w:history="1">
        <w:r>
          <w:rPr>
            <w:rStyle w:val="Hyperlink"/>
            <w:rFonts w:ascii="Times New Roman" w:hAnsi="Times New Roman" w:cs="Times New Roman"/>
            <w:noProof/>
          </w:rPr>
          <w:t>UNDP/World Bank/EC 2011 Regional Roma survey</w:t>
        </w:r>
      </w:hyperlink>
      <w:r>
        <w:rPr>
          <w:rStyle w:val="Hyperlink"/>
          <w:rFonts w:ascii="Times New Roman" w:hAnsi="Times New Roman" w:cs="Times New Roman"/>
          <w:noProof/>
        </w:rPr>
        <w:t>.</w:t>
      </w:r>
      <w:r>
        <w:rPr>
          <w:rStyle w:val="FootnoteReference"/>
          <w:rFonts w:ascii="Times New Roman" w:hAnsi="Times New Roman" w:cs="Times New Roman"/>
          <w:noProof/>
        </w:rPr>
        <w:footnoteReference w:id="4"/>
      </w:r>
      <w:r>
        <w:rPr>
          <w:rFonts w:ascii="Times New Roman" w:hAnsi="Times New Roman" w:cs="Times New Roman"/>
          <w:noProof/>
        </w:rPr>
        <w:t xml:space="preserve"> </w:t>
      </w:r>
    </w:p>
    <w:p w:rsidR="00953EAD" w:rsidRDefault="00953EAD" w:rsidP="00953EAD">
      <w:pPr>
        <w:spacing w:after="240"/>
        <w:jc w:val="both"/>
        <w:rPr>
          <w:rFonts w:ascii="Times New Roman" w:hAnsi="Times New Roman" w:cs="Times New Roman"/>
          <w:noProof/>
        </w:rPr>
      </w:pPr>
      <w:r>
        <w:rPr>
          <w:rFonts w:ascii="Times New Roman" w:hAnsi="Times New Roman" w:cs="Times New Roman"/>
          <w:noProof/>
        </w:rPr>
        <w:t xml:space="preserve">The surveys were all carried out using a similar methodology, applying a multi-stage selection of respondents. To optimise the sampling approach, EU-MIDIS II refined the methodology applied in 2011. Despite the similar approaches, the surveys are subject to some </w:t>
      </w:r>
      <w:r>
        <w:rPr>
          <w:rFonts w:ascii="Times New Roman" w:hAnsi="Times New Roman" w:cs="Times New Roman"/>
          <w:b/>
          <w:noProof/>
        </w:rPr>
        <w:t>limitations as to their direct comparability</w:t>
      </w:r>
      <w:r>
        <w:rPr>
          <w:rFonts w:ascii="Times New Roman" w:hAnsi="Times New Roman" w:cs="Times New Roman"/>
          <w:noProof/>
        </w:rPr>
        <w:t>. In 2017, the FRA attempted to address the limitations as to the comparability</w:t>
      </w:r>
      <w:r>
        <w:rPr>
          <w:rFonts w:ascii="Times New Roman" w:hAnsi="Times New Roman" w:cs="Times New Roman"/>
          <w:b/>
          <w:noProof/>
        </w:rPr>
        <w:t xml:space="preserve"> </w:t>
      </w:r>
      <w:r>
        <w:rPr>
          <w:rFonts w:ascii="Times New Roman" w:hAnsi="Times New Roman" w:cs="Times New Roman"/>
          <w:noProof/>
        </w:rPr>
        <w:t>of the surveys. Given the relative similarity of the unweighted samples of the 2011 and 2016 surveys for the nine Member States, the 2011 sample was weighted to reflect the differences between those two surveys as regards regional coverage and the urban nature of surveyed localities. For Croatia, the same approach was applied to the dataset from the UNDP/World Bank/EC survey.</w:t>
      </w:r>
    </w:p>
    <w:p w:rsidR="00953EAD" w:rsidRDefault="00953EAD" w:rsidP="00953EAD">
      <w:pPr>
        <w:tabs>
          <w:tab w:val="left" w:pos="8931"/>
        </w:tabs>
        <w:spacing w:after="240"/>
        <w:ind w:right="43"/>
        <w:jc w:val="both"/>
        <w:rPr>
          <w:rFonts w:ascii="Times New Roman" w:hAnsi="Times New Roman" w:cs="Times New Roman"/>
          <w:noProof/>
        </w:rPr>
      </w:pPr>
      <w:r>
        <w:rPr>
          <w:rFonts w:ascii="Times New Roman" w:hAnsi="Times New Roman" w:cs="Times New Roman"/>
          <w:noProof/>
        </w:rPr>
        <w:t xml:space="preserve">The scoreboard presents 18 </w:t>
      </w:r>
      <w:r>
        <w:rPr>
          <w:rFonts w:ascii="Times New Roman" w:hAnsi="Times New Roman" w:cs="Times New Roman"/>
          <w:b/>
          <w:noProof/>
        </w:rPr>
        <w:t>indicators</w:t>
      </w:r>
      <w:r>
        <w:rPr>
          <w:rFonts w:ascii="Times New Roman" w:hAnsi="Times New Roman" w:cs="Times New Roman"/>
          <w:noProof/>
        </w:rPr>
        <w:t xml:space="preserve"> in four main thematic areas (education, housing, employment and health) and the cross</w:t>
      </w:r>
      <w:r>
        <w:rPr>
          <w:rFonts w:ascii="Times New Roman" w:hAnsi="Times New Roman" w:cs="Times New Roman"/>
          <w:noProof/>
        </w:rPr>
        <w:noBreakHyphen/>
        <w:t xml:space="preserve">cutting area of poverty. It also presents average values for the Member States in question. For 2011, the average does not include Croatia, which at </w:t>
      </w:r>
      <w:r>
        <w:rPr>
          <w:rFonts w:ascii="Times New Roman" w:hAnsi="Times New Roman" w:cs="Times New Roman"/>
          <w:noProof/>
        </w:rPr>
        <w:lastRenderedPageBreak/>
        <w:t xml:space="preserve">that time was not a Member State. The caveats that need to be considered when analysing values for 2011 and 2016 are provided alongside each indicator. </w:t>
      </w:r>
    </w:p>
    <w:p w:rsidR="00953EAD" w:rsidRDefault="00953EAD" w:rsidP="00953EAD">
      <w:pPr>
        <w:tabs>
          <w:tab w:val="left" w:pos="8931"/>
        </w:tabs>
        <w:spacing w:after="240"/>
        <w:ind w:right="43"/>
        <w:jc w:val="both"/>
        <w:rPr>
          <w:rFonts w:ascii="Times New Roman" w:hAnsi="Times New Roman" w:cs="Times New Roman"/>
          <w:noProof/>
        </w:rPr>
      </w:pPr>
      <w:r>
        <w:rPr>
          <w:rFonts w:ascii="Times New Roman" w:hAnsi="Times New Roman" w:cs="Times New Roman"/>
          <w:noProof/>
        </w:rPr>
        <w:t xml:space="preserve">All sample surveys are affected by sampling error, as the interviews cover only a fraction of the total population. Therefore, </w:t>
      </w:r>
      <w:r>
        <w:rPr>
          <w:rFonts w:ascii="Times New Roman" w:hAnsi="Times New Roman" w:cs="Times New Roman"/>
          <w:b/>
          <w:noProof/>
        </w:rPr>
        <w:t>all results presented are point estimates underlying statistical variation</w:t>
      </w:r>
      <w:r>
        <w:rPr>
          <w:rFonts w:ascii="Times New Roman" w:hAnsi="Times New Roman" w:cs="Times New Roman"/>
          <w:noProof/>
        </w:rPr>
        <w:t>. Small differences of a few percentage points between groups of respondents are to be interpreted within the range of statistical variation and only more substantial divergence between population groups should be considered as evidence of actual differences. A difference of a few percentage points between the 2011 and 2016 values may be assessed as ‘no change’.</w:t>
      </w:r>
    </w:p>
    <w:p w:rsidR="00953EAD" w:rsidRDefault="00953EAD" w:rsidP="00953EAD">
      <w:pPr>
        <w:tabs>
          <w:tab w:val="left" w:pos="8931"/>
        </w:tabs>
        <w:spacing w:after="240"/>
        <w:ind w:right="43"/>
        <w:jc w:val="both"/>
        <w:rPr>
          <w:rFonts w:ascii="Times New Roman" w:hAnsi="Times New Roman"/>
          <w:noProof/>
        </w:rPr>
      </w:pPr>
      <w:r>
        <w:rPr>
          <w:rFonts w:ascii="Times New Roman" w:hAnsi="Times New Roman"/>
          <w:noProof/>
        </w:rPr>
        <w:t>The trends between 2011 and 2016 are visualized graphically. The direction of the arrows in the tables visualises the increase or decrease of indicator’s value and the colour reflects the plausability of the change (whether an increase/decrease is desirable or not). For example, increasing the share of children enrolled in compulsory education is desirable (marked in green) whilst increase in the share of youth not in employment, education or training is undesirable (marked in red). Orange “wave” marks no change.</w:t>
      </w:r>
    </w:p>
    <w:p w:rsidR="00953EAD" w:rsidRDefault="00953EAD" w:rsidP="00953EAD">
      <w:pPr>
        <w:tabs>
          <w:tab w:val="left" w:pos="8931"/>
        </w:tabs>
        <w:spacing w:after="240"/>
        <w:ind w:right="43"/>
        <w:jc w:val="both"/>
        <w:rPr>
          <w:rFonts w:ascii="Times New Roman" w:hAnsi="Times New Roman"/>
          <w:noProof/>
        </w:rPr>
      </w:pPr>
      <w:r>
        <w:rPr>
          <w:rFonts w:ascii="Times New Roman" w:hAnsi="Times New Roman"/>
          <w:noProof/>
        </w:rPr>
        <w:t>Results based on a small number of responses are statistically less reliable. Therefore, results based on less than 20 to 49 unweighted observations in a group total or based on cells with less than 20 unweighted observations are noted in parentheses. Results based on less than 20 unweighted observations in a group total are not published.</w:t>
      </w:r>
    </w:p>
    <w:p w:rsidR="00953EAD" w:rsidRDefault="00953EAD" w:rsidP="00953EAD">
      <w:pPr>
        <w:tabs>
          <w:tab w:val="left" w:pos="8931"/>
        </w:tabs>
        <w:spacing w:after="240"/>
        <w:ind w:right="43"/>
        <w:jc w:val="both"/>
        <w:rPr>
          <w:rFonts w:ascii="Times New Roman" w:hAnsi="Times New Roman"/>
          <w:noProof/>
        </w:rPr>
        <w:sectPr w:rsidR="00953EA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0" w:h="16840"/>
          <w:pgMar w:top="1440" w:right="843" w:bottom="1440" w:left="1800" w:header="708" w:footer="708" w:gutter="0"/>
          <w:cols w:space="720"/>
          <w:docGrid w:linePitch="360"/>
        </w:sectPr>
      </w:pPr>
    </w:p>
    <w:p w:rsidR="00953EAD" w:rsidRDefault="00953EAD" w:rsidP="00953EAD">
      <w:pPr>
        <w:tabs>
          <w:tab w:val="left" w:pos="8931"/>
        </w:tabs>
        <w:spacing w:after="240"/>
        <w:ind w:right="43"/>
        <w:jc w:val="both"/>
        <w:rPr>
          <w:rFonts w:ascii="Times New Roman" w:hAnsi="Times New Roman" w:cs="Times New Roman"/>
          <w:noProof/>
        </w:rPr>
      </w:pPr>
    </w:p>
    <w:p w:rsidR="00953EAD" w:rsidRDefault="00953EAD" w:rsidP="00953EAD">
      <w:pPr>
        <w:rPr>
          <w:rFonts w:ascii="Calibri" w:eastAsia="Calibri" w:hAnsi="Calibri" w:cs="Times New Roman"/>
          <w:noProof/>
        </w:rPr>
      </w:pPr>
      <w:r w:rsidRPr="00931332">
        <w:rPr>
          <w:noProof/>
          <w:lang w:eastAsia="en-GB"/>
        </w:rPr>
        <w:drawing>
          <wp:inline distT="0" distB="0" distL="0" distR="0" wp14:anchorId="5E205DE8" wp14:editId="1ABF7AE7">
            <wp:extent cx="8864600" cy="29976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4600" cy="2997610"/>
                    </a:xfrm>
                    <a:prstGeom prst="rect">
                      <a:avLst/>
                    </a:prstGeom>
                    <a:noFill/>
                    <a:ln>
                      <a:noFill/>
                    </a:ln>
                  </pic:spPr>
                </pic:pic>
              </a:graphicData>
            </a:graphic>
          </wp:inline>
        </w:drawing>
      </w:r>
    </w:p>
    <w:p w:rsidR="00953EAD" w:rsidRDefault="00953EAD" w:rsidP="00953EAD">
      <w:pPr>
        <w:rPr>
          <w:rFonts w:ascii="Calibri" w:eastAsia="Times New Roman" w:hAnsi="Calibri" w:cs="Times New Roman"/>
          <w:noProof/>
          <w:color w:val="000000"/>
          <w:lang w:eastAsia="en-GB"/>
        </w:rPr>
      </w:pPr>
      <w:r>
        <w:rPr>
          <w:rFonts w:ascii="Wingdings" w:eastAsia="Times New Roman" w:hAnsi="Wingdings" w:cs="Times New Roman"/>
          <w:noProof/>
          <w:color w:val="00B050"/>
          <w:lang w:eastAsia="en-GB"/>
        </w:rPr>
        <w:t></w:t>
      </w:r>
      <w:r>
        <w:rPr>
          <w:rFonts w:ascii="Calibri" w:eastAsia="Calibri" w:hAnsi="Calibri" w:cs="Times New Roman"/>
          <w:noProof/>
        </w:rPr>
        <w:t xml:space="preserve"> </w:t>
      </w:r>
      <w:r>
        <w:rPr>
          <w:rFonts w:ascii="Wingdings" w:eastAsia="Times New Roman" w:hAnsi="Wingdings" w:cs="Times New Roman"/>
          <w:noProof/>
          <w:color w:val="00B050"/>
          <w:lang w:eastAsia="en-GB"/>
        </w:rPr>
        <w:t></w:t>
      </w:r>
      <w:r>
        <w:rPr>
          <w:rFonts w:ascii="Calibri" w:eastAsia="Calibri" w:hAnsi="Calibri" w:cs="Times New Roman"/>
          <w:noProof/>
        </w:rPr>
        <w:t xml:space="preserve"> - </w:t>
      </w:r>
      <w:r>
        <w:rPr>
          <w:rFonts w:ascii="Calibri" w:eastAsia="Times New Roman" w:hAnsi="Calibri" w:cs="Times New Roman"/>
          <w:noProof/>
          <w:color w:val="000000"/>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lang w:eastAsia="en-GB"/>
        </w:rPr>
        <w:t>- no change</w:t>
      </w:r>
      <w:r>
        <w:rPr>
          <w:rFonts w:ascii="Calibri" w:eastAsia="Calibri" w:hAnsi="Calibri" w:cs="Times New Roman"/>
          <w:noProof/>
        </w:rPr>
        <w:t xml:space="preserve">; </w:t>
      </w:r>
      <w:r>
        <w:rPr>
          <w:rFonts w:ascii="Wingdings" w:eastAsia="Times New Roman" w:hAnsi="Wingdings" w:cs="Times New Roman"/>
          <w:noProof/>
          <w:color w:val="FF0000"/>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lang w:eastAsia="en-GB"/>
        </w:rPr>
        <w:t></w:t>
      </w:r>
      <w:r>
        <w:rPr>
          <w:rFonts w:ascii="Wingdings" w:eastAsia="Times New Roman" w:hAnsi="Wingdings" w:cs="Times New Roman"/>
          <w:noProof/>
          <w:color w:val="FF0000"/>
          <w:lang w:eastAsia="en-GB"/>
        </w:rPr>
        <w:t></w:t>
      </w:r>
      <w:r>
        <w:rPr>
          <w:rFonts w:ascii="Calibri" w:eastAsia="Times New Roman" w:hAnsi="Calibri" w:cs="Times New Roman"/>
          <w:noProof/>
          <w:color w:val="000000"/>
          <w:lang w:eastAsia="en-GB"/>
        </w:rPr>
        <w:t xml:space="preserve">- deterioration.  </w:t>
      </w:r>
    </w:p>
    <w:p w:rsidR="00953EAD" w:rsidRDefault="00953EAD" w:rsidP="00953EAD">
      <w:pPr>
        <w:rPr>
          <w:rFonts w:ascii="Calibri" w:eastAsia="Calibri" w:hAnsi="Calibri" w:cs="Times New Roman"/>
          <w:noProof/>
        </w:rPr>
      </w:pPr>
    </w:p>
    <w:p w:rsidR="00953EAD" w:rsidRDefault="00953EAD" w:rsidP="00953EAD">
      <w:pPr>
        <w:rPr>
          <w:rFonts w:ascii="Calibri" w:eastAsia="Calibri" w:hAnsi="Calibri" w:cs="Times New Roman"/>
          <w:noProof/>
        </w:rPr>
      </w:pPr>
      <w:r>
        <w:rPr>
          <w:rFonts w:ascii="Calibri" w:eastAsia="Calibri" w:hAnsi="Calibri" w:cs="Times New Roman"/>
          <w:noProof/>
          <w:lang w:eastAsia="en-GB"/>
        </w:rPr>
        <w:drawing>
          <wp:inline distT="0" distB="0" distL="0" distR="0" wp14:anchorId="3EDABFCB" wp14:editId="68FC9A59">
            <wp:extent cx="9507220" cy="274367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07220" cy="2743679"/>
                    </a:xfrm>
                    <a:prstGeom prst="rect">
                      <a:avLst/>
                    </a:prstGeom>
                    <a:noFill/>
                    <a:ln>
                      <a:noFill/>
                    </a:ln>
                  </pic:spPr>
                </pic:pic>
              </a:graphicData>
            </a:graphic>
          </wp:inline>
        </w:drawing>
      </w:r>
    </w:p>
    <w:p w:rsidR="00953EAD" w:rsidRDefault="00953EAD" w:rsidP="00953EAD">
      <w:pPr>
        <w:rPr>
          <w:rFonts w:ascii="Calibri" w:eastAsia="Calibri" w:hAnsi="Calibri" w:cs="Times New Roman"/>
          <w:noProof/>
        </w:rPr>
      </w:pPr>
    </w:p>
    <w:p w:rsidR="00953EAD" w:rsidRDefault="00953EAD" w:rsidP="00953EAD">
      <w:pPr>
        <w:rPr>
          <w:rFonts w:ascii="Calibri" w:eastAsia="Times New Roman" w:hAnsi="Calibri" w:cs="Times New Roman"/>
          <w:noProof/>
          <w:color w:val="000000"/>
          <w:lang w:eastAsia="en-GB"/>
        </w:rPr>
      </w:pPr>
      <w:r>
        <w:rPr>
          <w:rFonts w:ascii="Wingdings" w:eastAsia="Times New Roman" w:hAnsi="Wingdings" w:cs="Times New Roman"/>
          <w:noProof/>
          <w:color w:val="00B050"/>
          <w:lang w:eastAsia="en-GB"/>
        </w:rPr>
        <w:t></w:t>
      </w:r>
      <w:r>
        <w:rPr>
          <w:rFonts w:ascii="Calibri" w:eastAsia="Calibri" w:hAnsi="Calibri" w:cs="Times New Roman"/>
          <w:noProof/>
        </w:rPr>
        <w:t xml:space="preserve"> </w:t>
      </w:r>
      <w:r>
        <w:rPr>
          <w:rFonts w:ascii="Wingdings" w:eastAsia="Times New Roman" w:hAnsi="Wingdings" w:cs="Times New Roman"/>
          <w:noProof/>
          <w:color w:val="00B050"/>
          <w:lang w:eastAsia="en-GB"/>
        </w:rPr>
        <w:t></w:t>
      </w:r>
      <w:r>
        <w:rPr>
          <w:rFonts w:ascii="Calibri" w:eastAsia="Calibri" w:hAnsi="Calibri" w:cs="Times New Roman"/>
          <w:noProof/>
        </w:rPr>
        <w:t xml:space="preserve"> - </w:t>
      </w:r>
      <w:r>
        <w:rPr>
          <w:rFonts w:ascii="Calibri" w:eastAsia="Times New Roman" w:hAnsi="Calibri" w:cs="Times New Roman"/>
          <w:noProof/>
          <w:color w:val="000000"/>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lang w:eastAsia="en-GB"/>
        </w:rPr>
        <w:t>- no change</w:t>
      </w:r>
      <w:r>
        <w:rPr>
          <w:rFonts w:ascii="Calibri" w:eastAsia="Calibri" w:hAnsi="Calibri" w:cs="Times New Roman"/>
          <w:noProof/>
        </w:rPr>
        <w:t xml:space="preserve">; </w:t>
      </w:r>
      <w:r>
        <w:rPr>
          <w:rFonts w:ascii="Wingdings" w:eastAsia="Times New Roman" w:hAnsi="Wingdings" w:cs="Times New Roman"/>
          <w:noProof/>
          <w:color w:val="FF0000"/>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lang w:eastAsia="en-GB"/>
        </w:rPr>
        <w:t></w:t>
      </w:r>
      <w:r>
        <w:rPr>
          <w:rFonts w:ascii="Wingdings" w:eastAsia="Times New Roman" w:hAnsi="Wingdings" w:cs="Times New Roman"/>
          <w:noProof/>
          <w:color w:val="FF0000"/>
          <w:lang w:eastAsia="en-GB"/>
        </w:rPr>
        <w:t></w:t>
      </w:r>
      <w:r>
        <w:rPr>
          <w:rFonts w:ascii="Calibri" w:eastAsia="Times New Roman" w:hAnsi="Calibri" w:cs="Times New Roman"/>
          <w:noProof/>
          <w:color w:val="000000"/>
          <w:lang w:eastAsia="en-GB"/>
        </w:rPr>
        <w:t xml:space="preserve">- deterioration.  </w:t>
      </w:r>
    </w:p>
    <w:p w:rsidR="00953EAD" w:rsidRDefault="00953EAD" w:rsidP="00953EAD">
      <w:pPr>
        <w:rPr>
          <w:rFonts w:ascii="Calibri" w:eastAsia="Calibri" w:hAnsi="Calibri" w:cs="Times New Roman"/>
          <w:noProof/>
        </w:rPr>
      </w:pPr>
      <w:r>
        <w:rPr>
          <w:rFonts w:ascii="Calibri" w:eastAsia="Calibri" w:hAnsi="Calibri" w:cs="Times New Roman"/>
          <w:noProof/>
        </w:rPr>
        <w:br w:type="page"/>
      </w:r>
    </w:p>
    <w:p w:rsidR="00953EAD" w:rsidRDefault="00953EAD" w:rsidP="00953EAD">
      <w:pPr>
        <w:rPr>
          <w:rFonts w:ascii="Calibri" w:eastAsia="Calibri" w:hAnsi="Calibri" w:cs="Times New Roman"/>
          <w:noProof/>
        </w:rPr>
      </w:pPr>
    </w:p>
    <w:p w:rsidR="00953EAD" w:rsidRDefault="00953EAD" w:rsidP="00953EAD">
      <w:pPr>
        <w:rPr>
          <w:rFonts w:ascii="Calibri" w:eastAsia="Calibri" w:hAnsi="Calibri" w:cs="Times New Roman"/>
          <w:noProof/>
        </w:rPr>
      </w:pPr>
      <w:r>
        <w:rPr>
          <w:rFonts w:ascii="Calibri" w:eastAsia="Calibri" w:hAnsi="Calibri" w:cs="Times New Roman"/>
          <w:noProof/>
          <w:lang w:eastAsia="en-GB"/>
        </w:rPr>
        <w:drawing>
          <wp:inline distT="0" distB="0" distL="0" distR="0" wp14:anchorId="3DBA2CBD" wp14:editId="2A53116C">
            <wp:extent cx="9507220" cy="13752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07220" cy="1375285"/>
                    </a:xfrm>
                    <a:prstGeom prst="rect">
                      <a:avLst/>
                    </a:prstGeom>
                    <a:noFill/>
                    <a:ln>
                      <a:noFill/>
                    </a:ln>
                  </pic:spPr>
                </pic:pic>
              </a:graphicData>
            </a:graphic>
          </wp:inline>
        </w:drawing>
      </w:r>
    </w:p>
    <w:p w:rsidR="00953EAD" w:rsidRDefault="00953EAD" w:rsidP="00953EAD">
      <w:pPr>
        <w:rPr>
          <w:rFonts w:ascii="Calibri" w:eastAsia="Calibri" w:hAnsi="Calibri" w:cs="Times New Roman"/>
          <w:noProof/>
        </w:rPr>
      </w:pPr>
    </w:p>
    <w:p w:rsidR="00953EAD" w:rsidRDefault="00953EAD" w:rsidP="00953EAD">
      <w:pPr>
        <w:rPr>
          <w:rFonts w:ascii="Calibri" w:eastAsia="Times New Roman" w:hAnsi="Calibri" w:cs="Times New Roman"/>
          <w:noProof/>
          <w:color w:val="000000"/>
          <w:lang w:eastAsia="en-GB"/>
        </w:rPr>
      </w:pPr>
      <w:r>
        <w:rPr>
          <w:rFonts w:ascii="Wingdings" w:eastAsia="Times New Roman" w:hAnsi="Wingdings" w:cs="Times New Roman"/>
          <w:noProof/>
          <w:color w:val="00B050"/>
          <w:lang w:eastAsia="en-GB"/>
        </w:rPr>
        <w:t></w:t>
      </w:r>
      <w:r>
        <w:rPr>
          <w:rFonts w:ascii="Calibri" w:eastAsia="Calibri" w:hAnsi="Calibri" w:cs="Times New Roman"/>
          <w:noProof/>
        </w:rPr>
        <w:t xml:space="preserve"> </w:t>
      </w:r>
      <w:r>
        <w:rPr>
          <w:rFonts w:ascii="Wingdings" w:eastAsia="Times New Roman" w:hAnsi="Wingdings" w:cs="Times New Roman"/>
          <w:noProof/>
          <w:color w:val="00B050"/>
          <w:lang w:eastAsia="en-GB"/>
        </w:rPr>
        <w:t></w:t>
      </w:r>
      <w:r>
        <w:rPr>
          <w:rFonts w:ascii="Calibri" w:eastAsia="Calibri" w:hAnsi="Calibri" w:cs="Times New Roman"/>
          <w:noProof/>
        </w:rPr>
        <w:t xml:space="preserve"> - </w:t>
      </w:r>
      <w:r>
        <w:rPr>
          <w:rFonts w:ascii="Calibri" w:eastAsia="Times New Roman" w:hAnsi="Calibri" w:cs="Times New Roman"/>
          <w:noProof/>
          <w:color w:val="000000"/>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lang w:eastAsia="en-GB"/>
        </w:rPr>
        <w:t>- no change</w:t>
      </w:r>
      <w:r>
        <w:rPr>
          <w:rFonts w:ascii="Calibri" w:eastAsia="Calibri" w:hAnsi="Calibri" w:cs="Times New Roman"/>
          <w:noProof/>
        </w:rPr>
        <w:t xml:space="preserve">; </w:t>
      </w:r>
      <w:r>
        <w:rPr>
          <w:rFonts w:ascii="Wingdings" w:eastAsia="Times New Roman" w:hAnsi="Wingdings" w:cs="Times New Roman"/>
          <w:noProof/>
          <w:color w:val="FF0000"/>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lang w:eastAsia="en-GB"/>
        </w:rPr>
        <w:t></w:t>
      </w:r>
      <w:r>
        <w:rPr>
          <w:rFonts w:ascii="Wingdings" w:eastAsia="Times New Roman" w:hAnsi="Wingdings" w:cs="Times New Roman"/>
          <w:noProof/>
          <w:color w:val="FF0000"/>
          <w:lang w:eastAsia="en-GB"/>
        </w:rPr>
        <w:t></w:t>
      </w:r>
      <w:r>
        <w:rPr>
          <w:rFonts w:ascii="Calibri" w:eastAsia="Times New Roman" w:hAnsi="Calibri" w:cs="Times New Roman"/>
          <w:noProof/>
          <w:color w:val="000000"/>
          <w:lang w:eastAsia="en-GB"/>
        </w:rPr>
        <w:t xml:space="preserve">- deterioration.  </w:t>
      </w:r>
    </w:p>
    <w:p w:rsidR="00953EAD" w:rsidRDefault="00953EAD" w:rsidP="00953EAD">
      <w:pP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br w:type="page"/>
      </w:r>
    </w:p>
    <w:p w:rsidR="00953EAD" w:rsidRDefault="00953EAD" w:rsidP="00953EAD">
      <w:pPr>
        <w:rPr>
          <w:rFonts w:ascii="Times New Roman" w:hAnsi="Times New Roman" w:cs="Times New Roman"/>
          <w:noProof/>
          <w:sz w:val="18"/>
          <w:szCs w:val="18"/>
        </w:rPr>
      </w:pPr>
      <w:r w:rsidRPr="00931332">
        <w:rPr>
          <w:noProof/>
          <w:lang w:eastAsia="en-GB"/>
        </w:rPr>
        <w:drawing>
          <wp:inline distT="0" distB="0" distL="0" distR="0" wp14:anchorId="4FD03001" wp14:editId="00CE730E">
            <wp:extent cx="8864600" cy="210674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64600" cy="2106743"/>
                    </a:xfrm>
                    <a:prstGeom prst="rect">
                      <a:avLst/>
                    </a:prstGeom>
                    <a:noFill/>
                    <a:ln>
                      <a:noFill/>
                    </a:ln>
                  </pic:spPr>
                </pic:pic>
              </a:graphicData>
            </a:graphic>
          </wp:inline>
        </w:drawing>
      </w:r>
    </w:p>
    <w:p w:rsidR="00953EAD" w:rsidRDefault="00953EAD" w:rsidP="00953EAD">
      <w:pPr>
        <w:rPr>
          <w:rFonts w:ascii="Times New Roman" w:hAnsi="Times New Roman" w:cs="Times New Roman"/>
          <w:noProof/>
          <w:sz w:val="18"/>
          <w:szCs w:val="18"/>
        </w:rPr>
      </w:pPr>
    </w:p>
    <w:p w:rsidR="00953EAD" w:rsidRDefault="00953EAD" w:rsidP="00953EAD">
      <w:pPr>
        <w:rPr>
          <w:rFonts w:ascii="Calibri" w:eastAsia="Times New Roman" w:hAnsi="Calibri" w:cs="Times New Roman"/>
          <w:noProof/>
          <w:color w:val="000000"/>
          <w:lang w:eastAsia="en-GB"/>
        </w:rPr>
      </w:pPr>
      <w:r>
        <w:rPr>
          <w:rFonts w:ascii="Wingdings" w:eastAsia="Times New Roman" w:hAnsi="Wingdings" w:cs="Times New Roman"/>
          <w:noProof/>
          <w:color w:val="00B050"/>
          <w:lang w:eastAsia="en-GB"/>
        </w:rPr>
        <w:t></w:t>
      </w:r>
      <w:r>
        <w:rPr>
          <w:rFonts w:ascii="Calibri" w:eastAsia="Calibri" w:hAnsi="Calibri" w:cs="Times New Roman"/>
          <w:noProof/>
        </w:rPr>
        <w:t xml:space="preserve"> </w:t>
      </w:r>
      <w:r>
        <w:rPr>
          <w:rFonts w:ascii="Wingdings" w:eastAsia="Times New Roman" w:hAnsi="Wingdings" w:cs="Times New Roman"/>
          <w:noProof/>
          <w:color w:val="00B050"/>
          <w:lang w:eastAsia="en-GB"/>
        </w:rPr>
        <w:t></w:t>
      </w:r>
      <w:r>
        <w:rPr>
          <w:rFonts w:ascii="Calibri" w:eastAsia="Calibri" w:hAnsi="Calibri" w:cs="Times New Roman"/>
          <w:noProof/>
        </w:rPr>
        <w:t xml:space="preserve"> - </w:t>
      </w:r>
      <w:r>
        <w:rPr>
          <w:rFonts w:ascii="Calibri" w:eastAsia="Times New Roman" w:hAnsi="Calibri" w:cs="Times New Roman"/>
          <w:noProof/>
          <w:color w:val="000000"/>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lang w:eastAsia="en-GB"/>
        </w:rPr>
        <w:t>- no change</w:t>
      </w:r>
      <w:r>
        <w:rPr>
          <w:rFonts w:ascii="Calibri" w:eastAsia="Calibri" w:hAnsi="Calibri" w:cs="Times New Roman"/>
          <w:noProof/>
        </w:rPr>
        <w:t xml:space="preserve">; </w:t>
      </w:r>
      <w:r>
        <w:rPr>
          <w:rFonts w:ascii="Wingdings" w:eastAsia="Times New Roman" w:hAnsi="Wingdings" w:cs="Times New Roman"/>
          <w:noProof/>
          <w:color w:val="FF0000"/>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lang w:eastAsia="en-GB"/>
        </w:rPr>
        <w:t></w:t>
      </w:r>
      <w:r>
        <w:rPr>
          <w:rFonts w:ascii="Wingdings" w:eastAsia="Times New Roman" w:hAnsi="Wingdings" w:cs="Times New Roman"/>
          <w:noProof/>
          <w:color w:val="FF0000"/>
          <w:lang w:eastAsia="en-GB"/>
        </w:rPr>
        <w:t></w:t>
      </w:r>
      <w:r>
        <w:rPr>
          <w:rFonts w:ascii="Calibri" w:eastAsia="Times New Roman" w:hAnsi="Calibri" w:cs="Times New Roman"/>
          <w:noProof/>
          <w:color w:val="000000"/>
          <w:lang w:eastAsia="en-GB"/>
        </w:rPr>
        <w:t xml:space="preserve">- deterioration.  </w:t>
      </w:r>
    </w:p>
    <w:p w:rsidR="00953EAD" w:rsidRPr="00953EAD" w:rsidRDefault="00953EAD" w:rsidP="00953EAD">
      <w:pPr>
        <w:rPr>
          <w:rFonts w:asciiTheme="majorHAnsi" w:hAnsiTheme="majorHAnsi" w:cs="Times New Roman"/>
          <w:noProof/>
          <w:sz w:val="18"/>
          <w:szCs w:val="18"/>
        </w:rPr>
      </w:pPr>
    </w:p>
    <w:p w:rsidR="00953EAD" w:rsidRDefault="00953EAD" w:rsidP="00953EAD">
      <w:pPr>
        <w:rPr>
          <w:rFonts w:ascii="Calibri" w:eastAsia="Calibri" w:hAnsi="Calibri" w:cs="Times New Roman"/>
          <w:noProof/>
        </w:rPr>
      </w:pPr>
    </w:p>
    <w:p w:rsidR="00953EAD" w:rsidRDefault="00953EAD" w:rsidP="00953EAD">
      <w:pPr>
        <w:rPr>
          <w:rFonts w:ascii="Calibri" w:eastAsia="Calibri" w:hAnsi="Calibri" w:cs="Times New Roman"/>
          <w:noProof/>
        </w:rPr>
      </w:pPr>
      <w:r>
        <w:rPr>
          <w:rFonts w:ascii="Calibri" w:eastAsia="Calibri" w:hAnsi="Calibri" w:cs="Times New Roman"/>
          <w:noProof/>
        </w:rPr>
        <w:br w:type="column"/>
      </w:r>
    </w:p>
    <w:p w:rsidR="00953EAD" w:rsidRDefault="00953EAD" w:rsidP="00953EAD">
      <w:pPr>
        <w:rPr>
          <w:rFonts w:ascii="Calibri" w:eastAsia="Calibri" w:hAnsi="Calibri" w:cs="Times New Roman"/>
          <w:noProof/>
        </w:rPr>
      </w:pPr>
      <w:r w:rsidRPr="00931332">
        <w:rPr>
          <w:noProof/>
          <w:lang w:eastAsia="en-GB"/>
        </w:rPr>
        <w:drawing>
          <wp:inline distT="0" distB="0" distL="0" distR="0" wp14:anchorId="0B2087A7" wp14:editId="7A00C18C">
            <wp:extent cx="8864600" cy="18135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64600" cy="1813561"/>
                    </a:xfrm>
                    <a:prstGeom prst="rect">
                      <a:avLst/>
                    </a:prstGeom>
                    <a:noFill/>
                    <a:ln>
                      <a:noFill/>
                    </a:ln>
                  </pic:spPr>
                </pic:pic>
              </a:graphicData>
            </a:graphic>
          </wp:inline>
        </w:drawing>
      </w:r>
    </w:p>
    <w:p w:rsidR="00953EAD" w:rsidRDefault="00953EAD" w:rsidP="00953EAD">
      <w:pPr>
        <w:rPr>
          <w:rFonts w:ascii="Calibri" w:eastAsia="Calibri" w:hAnsi="Calibri" w:cs="Times New Roman"/>
          <w:noProof/>
        </w:rPr>
      </w:pPr>
    </w:p>
    <w:p w:rsidR="00953EAD" w:rsidRDefault="00953EAD" w:rsidP="00953EAD">
      <w:pPr>
        <w:rPr>
          <w:rFonts w:ascii="Calibri" w:eastAsia="Times New Roman" w:hAnsi="Calibri" w:cs="Times New Roman"/>
          <w:noProof/>
          <w:color w:val="000000"/>
          <w:lang w:eastAsia="en-GB"/>
        </w:rPr>
      </w:pPr>
      <w:r>
        <w:rPr>
          <w:rFonts w:ascii="Wingdings" w:eastAsia="Times New Roman" w:hAnsi="Wingdings" w:cs="Times New Roman"/>
          <w:noProof/>
          <w:color w:val="00B050"/>
          <w:lang w:eastAsia="en-GB"/>
        </w:rPr>
        <w:t></w:t>
      </w:r>
      <w:r>
        <w:rPr>
          <w:rFonts w:ascii="Calibri" w:eastAsia="Calibri" w:hAnsi="Calibri" w:cs="Times New Roman"/>
          <w:noProof/>
        </w:rPr>
        <w:t xml:space="preserve"> </w:t>
      </w:r>
      <w:r>
        <w:rPr>
          <w:rFonts w:ascii="Wingdings" w:eastAsia="Times New Roman" w:hAnsi="Wingdings" w:cs="Times New Roman"/>
          <w:noProof/>
          <w:color w:val="00B050"/>
          <w:lang w:eastAsia="en-GB"/>
        </w:rPr>
        <w:t></w:t>
      </w:r>
      <w:r>
        <w:rPr>
          <w:rFonts w:ascii="Calibri" w:eastAsia="Calibri" w:hAnsi="Calibri" w:cs="Times New Roman"/>
          <w:noProof/>
        </w:rPr>
        <w:t xml:space="preserve"> - </w:t>
      </w:r>
      <w:r>
        <w:rPr>
          <w:rFonts w:ascii="Calibri" w:eastAsia="Times New Roman" w:hAnsi="Calibri" w:cs="Times New Roman"/>
          <w:noProof/>
          <w:color w:val="000000"/>
          <w:lang w:eastAsia="en-GB"/>
        </w:rPr>
        <w:t xml:space="preserve">Improvement; </w:t>
      </w:r>
      <w:r>
        <w:rPr>
          <w:rFonts w:ascii="Meiryo UI" w:eastAsia="Times New Roman" w:hAnsi="Meiryo UI" w:cs="Meiryo UI"/>
          <w:b/>
          <w:bCs/>
          <w:noProof/>
          <w:color w:val="FFC000"/>
          <w:sz w:val="40"/>
          <w:szCs w:val="40"/>
          <w:lang w:eastAsia="en-GB"/>
        </w:rPr>
        <w:t xml:space="preserve">～ </w:t>
      </w:r>
      <w:r>
        <w:rPr>
          <w:rFonts w:ascii="Calibri" w:eastAsia="Times New Roman" w:hAnsi="Calibri" w:cs="Times New Roman"/>
          <w:noProof/>
          <w:color w:val="000000"/>
          <w:lang w:eastAsia="en-GB"/>
        </w:rPr>
        <w:t>- no change</w:t>
      </w:r>
      <w:r>
        <w:rPr>
          <w:rFonts w:ascii="Calibri" w:eastAsia="Calibri" w:hAnsi="Calibri" w:cs="Times New Roman"/>
          <w:noProof/>
        </w:rPr>
        <w:t xml:space="preserve">; </w:t>
      </w:r>
      <w:r>
        <w:rPr>
          <w:rFonts w:ascii="Wingdings" w:eastAsia="Times New Roman" w:hAnsi="Wingdings" w:cs="Times New Roman"/>
          <w:noProof/>
          <w:color w:val="FF0000"/>
          <w:lang w:eastAsia="en-GB"/>
        </w:rPr>
        <w:t></w:t>
      </w:r>
      <w:r>
        <w:rPr>
          <w:rFonts w:ascii="Calibri" w:eastAsia="Times New Roman" w:hAnsi="Calibri" w:cs="Times New Roman"/>
          <w:noProof/>
          <w:color w:val="FF0000"/>
          <w:sz w:val="16"/>
          <w:szCs w:val="16"/>
          <w:lang w:eastAsia="en-GB"/>
        </w:rPr>
        <w:t xml:space="preserve"> </w:t>
      </w:r>
      <w:r>
        <w:rPr>
          <w:rFonts w:ascii="Wingdings" w:eastAsia="Times New Roman" w:hAnsi="Wingdings" w:cs="Times New Roman"/>
          <w:noProof/>
          <w:color w:val="FF0000"/>
          <w:lang w:eastAsia="en-GB"/>
        </w:rPr>
        <w:t></w:t>
      </w:r>
      <w:r>
        <w:rPr>
          <w:rFonts w:ascii="Wingdings" w:eastAsia="Times New Roman" w:hAnsi="Wingdings" w:cs="Times New Roman"/>
          <w:noProof/>
          <w:color w:val="FF0000"/>
          <w:lang w:eastAsia="en-GB"/>
        </w:rPr>
        <w:t></w:t>
      </w:r>
      <w:r>
        <w:rPr>
          <w:rFonts w:ascii="Calibri" w:eastAsia="Times New Roman" w:hAnsi="Calibri" w:cs="Times New Roman"/>
          <w:noProof/>
          <w:color w:val="000000"/>
          <w:lang w:eastAsia="en-GB"/>
        </w:rPr>
        <w:t xml:space="preserve">- deterioration.  </w:t>
      </w:r>
    </w:p>
    <w:p w:rsidR="00722E7B" w:rsidRDefault="00722E7B" w:rsidP="00953EAD">
      <w:pPr>
        <w:pStyle w:val="Typedudocument"/>
        <w:rPr>
          <w:noProof/>
        </w:rPr>
      </w:pPr>
    </w:p>
    <w:sectPr w:rsidR="00722E7B" w:rsidSect="00A235EA">
      <w:headerReference w:type="even" r:id="rId30"/>
      <w:headerReference w:type="default" r:id="rId31"/>
      <w:footerReference w:type="even" r:id="rId32"/>
      <w:footerReference w:type="default" r:id="rId33"/>
      <w:headerReference w:type="first" r:id="rId34"/>
      <w:footerReference w:type="firs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7B" w:rsidRDefault="00263E63">
      <w:r>
        <w:separator/>
      </w:r>
    </w:p>
  </w:endnote>
  <w:endnote w:type="continuationSeparator" w:id="0">
    <w:p w:rsidR="00722E7B" w:rsidRDefault="0026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eiryo UI">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02" w:rsidRDefault="00E64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95" w:rsidRPr="00A17D95" w:rsidRDefault="00A17D95" w:rsidP="00A17D95">
    <w:pPr>
      <w:pStyle w:val="FooterCoverPage"/>
      <w:rPr>
        <w:rFonts w:ascii="Arial" w:hAnsi="Arial" w:cs="Arial"/>
        <w:b/>
        <w:sz w:val="48"/>
      </w:rPr>
    </w:pPr>
    <w:r w:rsidRPr="00A17D95">
      <w:rPr>
        <w:rFonts w:ascii="Arial" w:hAnsi="Arial" w:cs="Arial"/>
        <w:b/>
        <w:sz w:val="48"/>
      </w:rPr>
      <w:t>EN</w:t>
    </w:r>
    <w:r w:rsidRPr="00A17D95">
      <w:rPr>
        <w:rFonts w:ascii="Arial" w:hAnsi="Arial" w:cs="Arial"/>
        <w:b/>
        <w:sz w:val="48"/>
      </w:rPr>
      <w:tab/>
    </w:r>
    <w:r w:rsidRPr="00A17D95">
      <w:rPr>
        <w:rFonts w:ascii="Arial" w:hAnsi="Arial" w:cs="Arial"/>
        <w:b/>
        <w:sz w:val="48"/>
      </w:rPr>
      <w:tab/>
    </w:r>
    <w:r w:rsidRPr="00A17D95">
      <w:tab/>
    </w:r>
    <w:r w:rsidRPr="00A17D9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02" w:rsidRDefault="00E64C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AD" w:rsidRDefault="00953E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EAD" w:rsidRDefault="00953EAD">
    <w:pPr>
      <w:pStyle w:val="Footer"/>
    </w:pPr>
  </w:p>
  <w:p w:rsidR="00953EAD" w:rsidRDefault="00953E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9062"/>
      <w:docPartObj>
        <w:docPartGallery w:val="Page Numbers (Bottom of Page)"/>
        <w:docPartUnique/>
      </w:docPartObj>
    </w:sdtPr>
    <w:sdtEndPr>
      <w:rPr>
        <w:noProof/>
      </w:rPr>
    </w:sdtEndPr>
    <w:sdtContent>
      <w:p w:rsidR="00953EAD" w:rsidRDefault="00953EAD">
        <w:pPr>
          <w:pStyle w:val="Footer"/>
          <w:jc w:val="center"/>
        </w:pPr>
        <w:r>
          <w:fldChar w:fldCharType="begin"/>
        </w:r>
        <w:r>
          <w:instrText xml:space="preserve"> PAGE   \* MERGEFORMAT </w:instrText>
        </w:r>
        <w:r>
          <w:fldChar w:fldCharType="separate"/>
        </w:r>
        <w:r w:rsidR="00E64C02">
          <w:rPr>
            <w:noProof/>
          </w:rPr>
          <w:t>2</w:t>
        </w:r>
        <w:r>
          <w:rPr>
            <w:noProof/>
          </w:rPr>
          <w:fldChar w:fldCharType="end"/>
        </w:r>
      </w:p>
    </w:sdtContent>
  </w:sdt>
  <w:p w:rsidR="00953EAD" w:rsidRDefault="00953E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7491" w:rsidRDefault="00847491">
    <w:pPr>
      <w:pStyle w:val="Footer"/>
    </w:pPr>
  </w:p>
  <w:p w:rsidR="00847491" w:rsidRDefault="0084749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35273"/>
      <w:docPartObj>
        <w:docPartGallery w:val="Page Numbers (Bottom of Page)"/>
        <w:docPartUnique/>
      </w:docPartObj>
    </w:sdtPr>
    <w:sdtEndPr>
      <w:rPr>
        <w:noProof/>
      </w:rPr>
    </w:sdtEndPr>
    <w:sdtContent>
      <w:p w:rsidR="00847491" w:rsidRDefault="00847491">
        <w:pPr>
          <w:pStyle w:val="Footer"/>
          <w:jc w:val="center"/>
        </w:pPr>
        <w:r>
          <w:fldChar w:fldCharType="begin"/>
        </w:r>
        <w:r>
          <w:instrText xml:space="preserve"> PAGE   \* MERGEFORMAT </w:instrText>
        </w:r>
        <w:r>
          <w:fldChar w:fldCharType="separate"/>
        </w:r>
        <w:r w:rsidR="00E64C02">
          <w:rPr>
            <w:noProof/>
          </w:rPr>
          <w:t>4</w:t>
        </w:r>
        <w:r>
          <w:rPr>
            <w:noProof/>
          </w:rPr>
          <w:fldChar w:fldCharType="end"/>
        </w:r>
      </w:p>
    </w:sdtContent>
  </w:sdt>
  <w:p w:rsidR="00847491" w:rsidRDefault="0084749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7B" w:rsidRDefault="00263E63">
      <w:r>
        <w:separator/>
      </w:r>
    </w:p>
  </w:footnote>
  <w:footnote w:type="continuationSeparator" w:id="0">
    <w:p w:rsidR="00722E7B" w:rsidRDefault="00263E63">
      <w:r>
        <w:continuationSeparator/>
      </w:r>
    </w:p>
  </w:footnote>
  <w:footnote w:id="1">
    <w:p w:rsidR="00953EAD" w:rsidRDefault="00953EAD" w:rsidP="00953EAD">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distribution and density of Roma populations differ across Member States and a random sampling method as used in EU</w:t>
      </w:r>
      <w:r>
        <w:rPr>
          <w:rFonts w:ascii="Times New Roman" w:hAnsi="Times New Roman" w:cs="Times New Roman"/>
          <w:sz w:val="20"/>
          <w:szCs w:val="20"/>
        </w:rPr>
        <w:noBreakHyphen/>
        <w:t>MIDIS II is not always possible. Different data collection methods are needed for the countries not covered by the survey and these will be covered by the FRA’s Roma data collection exercise in 2018 (using specific quantitative or qualitative methods).</w:t>
      </w:r>
    </w:p>
  </w:footnote>
  <w:footnote w:id="2">
    <w:p w:rsidR="00953EAD" w:rsidRDefault="00953EAD" w:rsidP="00953EAD">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http://fra.europa.eu/en/publication/2016/eumidis-ii-roma-selected-findings</w:t>
        </w:r>
      </w:hyperlink>
      <w:r>
        <w:rPr>
          <w:rFonts w:ascii="Times New Roman" w:hAnsi="Times New Roman" w:cs="Times New Roman"/>
          <w:sz w:val="20"/>
          <w:szCs w:val="20"/>
        </w:rPr>
        <w:t xml:space="preserve"> </w:t>
      </w:r>
    </w:p>
  </w:footnote>
  <w:footnote w:id="3">
    <w:p w:rsidR="00953EAD" w:rsidRDefault="00953EAD" w:rsidP="00953EAD">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2" w:history="1">
        <w:r>
          <w:rPr>
            <w:rStyle w:val="Hyperlink"/>
            <w:rFonts w:ascii="Times New Roman" w:hAnsi="Times New Roman" w:cs="Times New Roman"/>
            <w:sz w:val="20"/>
            <w:szCs w:val="20"/>
          </w:rPr>
          <w:t>http://fra.europa.eu/en/survey/2012/roma-pilot-survey</w:t>
        </w:r>
      </w:hyperlink>
      <w:r>
        <w:rPr>
          <w:rFonts w:ascii="Times New Roman" w:hAnsi="Times New Roman" w:cs="Times New Roman"/>
          <w:sz w:val="20"/>
          <w:szCs w:val="20"/>
        </w:rPr>
        <w:t xml:space="preserve"> </w:t>
      </w:r>
    </w:p>
  </w:footnote>
  <w:footnote w:id="4">
    <w:p w:rsidR="00953EAD" w:rsidRDefault="00953EAD" w:rsidP="00953EAD">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3" w:history="1">
        <w:r>
          <w:rPr>
            <w:rStyle w:val="Hyperlink"/>
            <w:rFonts w:ascii="Times New Roman" w:hAnsi="Times New Roman" w:cs="Times New Roman"/>
            <w:sz w:val="20"/>
            <w:szCs w:val="20"/>
          </w:rPr>
          <w:t>http://www.eurasia.undp.org/content/rbec/en/home/ourwork/sustainable-development/development-planning-and-inclusive-sustainable-growth/roma-in-central-and-southeast-europe/roma-data.html</w:t>
        </w:r>
      </w:hyperlink>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02" w:rsidRDefault="00E64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02" w:rsidRDefault="00E64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02" w:rsidRDefault="00E64C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91" w:rsidRDefault="00847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7F"/>
    <w:multiLevelType w:val="hybridMultilevel"/>
    <w:tmpl w:val="3FD666E4"/>
    <w:lvl w:ilvl="0" w:tplc="0809000D">
      <w:start w:val="1"/>
      <w:numFmt w:val="bullet"/>
      <w:lvlText w:val=""/>
      <w:lvlJc w:val="left"/>
      <w:pPr>
        <w:ind w:left="-980" w:hanging="360"/>
      </w:pPr>
      <w:rPr>
        <w:rFonts w:ascii="Wingdings" w:hAnsi="Wingdings"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460" w:hanging="360"/>
      </w:pPr>
      <w:rPr>
        <w:rFonts w:ascii="Wingdings" w:hAnsi="Wingdings" w:hint="default"/>
      </w:rPr>
    </w:lvl>
    <w:lvl w:ilvl="3" w:tplc="08090001" w:tentative="1">
      <w:start w:val="1"/>
      <w:numFmt w:val="bullet"/>
      <w:lvlText w:val=""/>
      <w:lvlJc w:val="left"/>
      <w:pPr>
        <w:ind w:left="1180" w:hanging="360"/>
      </w:pPr>
      <w:rPr>
        <w:rFonts w:ascii="Symbol" w:hAnsi="Symbol" w:hint="default"/>
      </w:rPr>
    </w:lvl>
    <w:lvl w:ilvl="4" w:tplc="08090003" w:tentative="1">
      <w:start w:val="1"/>
      <w:numFmt w:val="bullet"/>
      <w:lvlText w:val="o"/>
      <w:lvlJc w:val="left"/>
      <w:pPr>
        <w:ind w:left="1900" w:hanging="360"/>
      </w:pPr>
      <w:rPr>
        <w:rFonts w:ascii="Courier New" w:hAnsi="Courier New" w:cs="Courier New" w:hint="default"/>
      </w:rPr>
    </w:lvl>
    <w:lvl w:ilvl="5" w:tplc="08090005" w:tentative="1">
      <w:start w:val="1"/>
      <w:numFmt w:val="bullet"/>
      <w:lvlText w:val=""/>
      <w:lvlJc w:val="left"/>
      <w:pPr>
        <w:ind w:left="2620" w:hanging="360"/>
      </w:pPr>
      <w:rPr>
        <w:rFonts w:ascii="Wingdings" w:hAnsi="Wingdings" w:hint="default"/>
      </w:rPr>
    </w:lvl>
    <w:lvl w:ilvl="6" w:tplc="08090001" w:tentative="1">
      <w:start w:val="1"/>
      <w:numFmt w:val="bullet"/>
      <w:lvlText w:val=""/>
      <w:lvlJc w:val="left"/>
      <w:pPr>
        <w:ind w:left="3340" w:hanging="360"/>
      </w:pPr>
      <w:rPr>
        <w:rFonts w:ascii="Symbol" w:hAnsi="Symbol" w:hint="default"/>
      </w:rPr>
    </w:lvl>
    <w:lvl w:ilvl="7" w:tplc="08090003" w:tentative="1">
      <w:start w:val="1"/>
      <w:numFmt w:val="bullet"/>
      <w:lvlText w:val="o"/>
      <w:lvlJc w:val="left"/>
      <w:pPr>
        <w:ind w:left="4060" w:hanging="360"/>
      </w:pPr>
      <w:rPr>
        <w:rFonts w:ascii="Courier New" w:hAnsi="Courier New" w:cs="Courier New" w:hint="default"/>
      </w:rPr>
    </w:lvl>
    <w:lvl w:ilvl="8" w:tplc="08090005" w:tentative="1">
      <w:start w:val="1"/>
      <w:numFmt w:val="bullet"/>
      <w:lvlText w:val=""/>
      <w:lvlJc w:val="left"/>
      <w:pPr>
        <w:ind w:left="4780" w:hanging="360"/>
      </w:pPr>
      <w:rPr>
        <w:rFonts w:ascii="Wingdings" w:hAnsi="Wingdings" w:hint="default"/>
      </w:rPr>
    </w:lvl>
  </w:abstractNum>
  <w:abstractNum w:abstractNumId="1">
    <w:nsid w:val="03FC1C8D"/>
    <w:multiLevelType w:val="hybridMultilevel"/>
    <w:tmpl w:val="030674A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3421F"/>
    <w:multiLevelType w:val="hybridMultilevel"/>
    <w:tmpl w:val="BBFAF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02589"/>
    <w:multiLevelType w:val="hybridMultilevel"/>
    <w:tmpl w:val="6CD243F4"/>
    <w:lvl w:ilvl="0" w:tplc="0409000F">
      <w:start w:val="1"/>
      <w:numFmt w:val="decimal"/>
      <w:lvlText w:val="%1."/>
      <w:lvlJc w:val="left"/>
      <w:pPr>
        <w:ind w:left="720" w:hanging="360"/>
      </w:pPr>
      <w:rPr>
        <w:rFonts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65F0"/>
    <w:multiLevelType w:val="hybridMultilevel"/>
    <w:tmpl w:val="06264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D20DB"/>
    <w:multiLevelType w:val="hybridMultilevel"/>
    <w:tmpl w:val="CB9826B0"/>
    <w:lvl w:ilvl="0" w:tplc="A2EE1C2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C824E2"/>
    <w:multiLevelType w:val="hybridMultilevel"/>
    <w:tmpl w:val="3B686214"/>
    <w:lvl w:ilvl="0" w:tplc="04090001">
      <w:start w:val="1"/>
      <w:numFmt w:val="bullet"/>
      <w:lvlText w:val=""/>
      <w:lvlJc w:val="left"/>
      <w:pPr>
        <w:tabs>
          <w:tab w:val="num" w:pos="720"/>
        </w:tabs>
        <w:ind w:left="720" w:hanging="360"/>
      </w:pPr>
      <w:rPr>
        <w:rFonts w:ascii="Symbol" w:hAnsi="Symbol"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D7E15"/>
    <w:multiLevelType w:val="hybridMultilevel"/>
    <w:tmpl w:val="A324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BE6D4D"/>
    <w:multiLevelType w:val="hybridMultilevel"/>
    <w:tmpl w:val="F190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DC7F87"/>
    <w:multiLevelType w:val="hybridMultilevel"/>
    <w:tmpl w:val="568A57B4"/>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643102"/>
    <w:multiLevelType w:val="hybridMultilevel"/>
    <w:tmpl w:val="AB7C69DC"/>
    <w:lvl w:ilvl="0" w:tplc="6B74B19C">
      <w:start w:val="1"/>
      <w:numFmt w:val="bullet"/>
      <w:lvlText w:val="•"/>
      <w:lvlJc w:val="left"/>
      <w:pPr>
        <w:ind w:left="360" w:hanging="360"/>
      </w:pPr>
      <w:rPr>
        <w:rFonts w:ascii="Times" w:hAnsi="Time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153CBB"/>
    <w:multiLevelType w:val="hybridMultilevel"/>
    <w:tmpl w:val="29DE7906"/>
    <w:lvl w:ilvl="0" w:tplc="B896F8E4">
      <w:start w:val="1"/>
      <w:numFmt w:val="bullet"/>
      <w:lvlText w:val=""/>
      <w:lvlJc w:val="left"/>
      <w:pPr>
        <w:ind w:left="851" w:hanging="360"/>
      </w:pPr>
      <w:rPr>
        <w:rFonts w:ascii="Wingdings" w:hAnsi="Wingdings" w:hint="default"/>
        <w:sz w:val="24"/>
        <w:u w:val="no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
    <w:nsid w:val="1BE43F79"/>
    <w:multiLevelType w:val="hybridMultilevel"/>
    <w:tmpl w:val="E242ACD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B136EA"/>
    <w:multiLevelType w:val="hybridMultilevel"/>
    <w:tmpl w:val="BE5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15BE9"/>
    <w:multiLevelType w:val="hybridMultilevel"/>
    <w:tmpl w:val="7578E8A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70F7B"/>
    <w:multiLevelType w:val="hybridMultilevel"/>
    <w:tmpl w:val="48FE92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F4D1C"/>
    <w:multiLevelType w:val="hybridMultilevel"/>
    <w:tmpl w:val="F990929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41825"/>
    <w:multiLevelType w:val="hybridMultilevel"/>
    <w:tmpl w:val="F990B2F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F23887"/>
    <w:multiLevelType w:val="hybridMultilevel"/>
    <w:tmpl w:val="9B7674D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014BAE"/>
    <w:multiLevelType w:val="hybridMultilevel"/>
    <w:tmpl w:val="3E385B84"/>
    <w:lvl w:ilvl="0" w:tplc="2B68A268">
      <w:start w:val="3"/>
      <w:numFmt w:val="bullet"/>
      <w:lvlText w:val="-"/>
      <w:lvlJc w:val="left"/>
      <w:pPr>
        <w:ind w:left="360" w:hanging="360"/>
      </w:pPr>
      <w:rPr>
        <w:rFonts w:ascii="Times New Roman" w:eastAsia="Times New Roman" w:hAnsi="Times New Roman" w:cs="Times New Roman" w:hint="default"/>
      </w:rPr>
    </w:lvl>
    <w:lvl w:ilvl="1" w:tplc="2B68A268">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996CE0"/>
    <w:multiLevelType w:val="hybridMultilevel"/>
    <w:tmpl w:val="2864F130"/>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1">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1362FE"/>
    <w:multiLevelType w:val="hybridMultilevel"/>
    <w:tmpl w:val="EE88612E"/>
    <w:lvl w:ilvl="0" w:tplc="B896F8E4">
      <w:start w:val="1"/>
      <w:numFmt w:val="bullet"/>
      <w:lvlText w:val=""/>
      <w:lvlJc w:val="left"/>
      <w:pPr>
        <w:ind w:left="785" w:hanging="360"/>
      </w:pPr>
      <w:rPr>
        <w:rFonts w:ascii="Wingdings" w:hAnsi="Wingdings" w:hint="default"/>
        <w:sz w:val="24"/>
        <w:u w:val="no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441807F7"/>
    <w:multiLevelType w:val="hybridMultilevel"/>
    <w:tmpl w:val="5BEA9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9D62F4"/>
    <w:multiLevelType w:val="hybridMultilevel"/>
    <w:tmpl w:val="04BC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A45EFA"/>
    <w:multiLevelType w:val="hybridMultilevel"/>
    <w:tmpl w:val="EC52A160"/>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nsid w:val="48FB00AB"/>
    <w:multiLevelType w:val="hybridMultilevel"/>
    <w:tmpl w:val="BD86460E"/>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4BD61FE7"/>
    <w:multiLevelType w:val="hybridMultilevel"/>
    <w:tmpl w:val="5008B0E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115BD4"/>
    <w:multiLevelType w:val="hybridMultilevel"/>
    <w:tmpl w:val="B904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E74A76"/>
    <w:multiLevelType w:val="hybridMultilevel"/>
    <w:tmpl w:val="9B42A43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4F9C4E7A"/>
    <w:multiLevelType w:val="hybridMultilevel"/>
    <w:tmpl w:val="DBEED978"/>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71BFB"/>
    <w:multiLevelType w:val="hybridMultilevel"/>
    <w:tmpl w:val="6B063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45C26F7"/>
    <w:multiLevelType w:val="hybridMultilevel"/>
    <w:tmpl w:val="F6D2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725469"/>
    <w:multiLevelType w:val="hybridMultilevel"/>
    <w:tmpl w:val="20D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D432B9"/>
    <w:multiLevelType w:val="hybridMultilevel"/>
    <w:tmpl w:val="3D7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2E48A0"/>
    <w:multiLevelType w:val="hybridMultilevel"/>
    <w:tmpl w:val="E336202A"/>
    <w:lvl w:ilvl="0" w:tplc="34B0C576">
      <w:start w:val="1"/>
      <w:numFmt w:val="bullet"/>
      <w:lvlText w:val=""/>
      <w:lvlJc w:val="left"/>
      <w:pPr>
        <w:ind w:left="360" w:hanging="360"/>
      </w:pPr>
      <w:rPr>
        <w:rFonts w:ascii="Symbol" w:hAnsi="Symbol"/>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36">
    <w:nsid w:val="5E8D091E"/>
    <w:multiLevelType w:val="hybridMultilevel"/>
    <w:tmpl w:val="0040F94A"/>
    <w:lvl w:ilvl="0" w:tplc="04090001">
      <w:start w:val="1"/>
      <w:numFmt w:val="bullet"/>
      <w:lvlText w:val=""/>
      <w:lvlJc w:val="left"/>
      <w:pPr>
        <w:ind w:left="-492" w:hanging="360"/>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7">
    <w:nsid w:val="5F477F2A"/>
    <w:multiLevelType w:val="hybridMultilevel"/>
    <w:tmpl w:val="A92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015B45"/>
    <w:multiLevelType w:val="hybridMultilevel"/>
    <w:tmpl w:val="488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556345A"/>
    <w:multiLevelType w:val="hybridMultilevel"/>
    <w:tmpl w:val="20D603BA"/>
    <w:lvl w:ilvl="0" w:tplc="0809000B">
      <w:start w:val="1"/>
      <w:numFmt w:val="bullet"/>
      <w:lvlText w:val=""/>
      <w:lvlJc w:val="left"/>
      <w:pPr>
        <w:ind w:left="360" w:hanging="360"/>
      </w:pPr>
      <w:rPr>
        <w:rFonts w:ascii="Wingdings" w:hAnsi="Wingdings" w:hint="default"/>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0">
    <w:nsid w:val="766E2042"/>
    <w:multiLevelType w:val="hybridMultilevel"/>
    <w:tmpl w:val="3D5A2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F7693D"/>
    <w:multiLevelType w:val="hybridMultilevel"/>
    <w:tmpl w:val="234C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FBB0136"/>
    <w:multiLevelType w:val="hybridMultilevel"/>
    <w:tmpl w:val="FB3E1ACA"/>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3"/>
  </w:num>
  <w:num w:numId="4">
    <w:abstractNumId w:val="33"/>
  </w:num>
  <w:num w:numId="5">
    <w:abstractNumId w:val="15"/>
  </w:num>
  <w:num w:numId="6">
    <w:abstractNumId w:val="29"/>
  </w:num>
  <w:num w:numId="7">
    <w:abstractNumId w:val="1"/>
  </w:num>
  <w:num w:numId="8">
    <w:abstractNumId w:val="6"/>
  </w:num>
  <w:num w:numId="9">
    <w:abstractNumId w:val="8"/>
  </w:num>
  <w:num w:numId="10">
    <w:abstractNumId w:val="34"/>
  </w:num>
  <w:num w:numId="11">
    <w:abstractNumId w:val="24"/>
  </w:num>
  <w:num w:numId="12">
    <w:abstractNumId w:val="18"/>
  </w:num>
  <w:num w:numId="13">
    <w:abstractNumId w:val="27"/>
  </w:num>
  <w:num w:numId="14">
    <w:abstractNumId w:val="5"/>
  </w:num>
  <w:num w:numId="15">
    <w:abstractNumId w:val="21"/>
  </w:num>
  <w:num w:numId="16">
    <w:abstractNumId w:val="36"/>
  </w:num>
  <w:num w:numId="17">
    <w:abstractNumId w:val="35"/>
  </w:num>
  <w:num w:numId="18">
    <w:abstractNumId w:val="43"/>
  </w:num>
  <w:num w:numId="19">
    <w:abstractNumId w:val="40"/>
  </w:num>
  <w:num w:numId="20">
    <w:abstractNumId w:val="3"/>
  </w:num>
  <w:num w:numId="21">
    <w:abstractNumId w:val="19"/>
  </w:num>
  <w:num w:numId="22">
    <w:abstractNumId w:val="4"/>
  </w:num>
  <w:num w:numId="23">
    <w:abstractNumId w:val="37"/>
  </w:num>
  <w:num w:numId="24">
    <w:abstractNumId w:val="28"/>
  </w:num>
  <w:num w:numId="25">
    <w:abstractNumId w:val="41"/>
  </w:num>
  <w:num w:numId="26">
    <w:abstractNumId w:val="10"/>
  </w:num>
  <w:num w:numId="27">
    <w:abstractNumId w:val="23"/>
  </w:num>
  <w:num w:numId="28">
    <w:abstractNumId w:val="42"/>
  </w:num>
  <w:num w:numId="29">
    <w:abstractNumId w:val="31"/>
  </w:num>
  <w:num w:numId="30">
    <w:abstractNumId w:val="38"/>
  </w:num>
  <w:num w:numId="31">
    <w:abstractNumId w:val="13"/>
  </w:num>
  <w:num w:numId="32">
    <w:abstractNumId w:val="12"/>
  </w:num>
  <w:num w:numId="33">
    <w:abstractNumId w:val="25"/>
  </w:num>
  <w:num w:numId="34">
    <w:abstractNumId w:val="26"/>
  </w:num>
  <w:num w:numId="35">
    <w:abstractNumId w:val="11"/>
  </w:num>
  <w:num w:numId="36">
    <w:abstractNumId w:val="39"/>
  </w:num>
  <w:num w:numId="37">
    <w:abstractNumId w:val="2"/>
  </w:num>
  <w:num w:numId="38">
    <w:abstractNumId w:val="30"/>
  </w:num>
  <w:num w:numId="39">
    <w:abstractNumId w:val="9"/>
  </w:num>
  <w:num w:numId="40">
    <w:abstractNumId w:val="14"/>
  </w:num>
  <w:num w:numId="41">
    <w:abstractNumId w:val="17"/>
  </w:num>
  <w:num w:numId="42">
    <w:abstractNumId w:val="0"/>
  </w:num>
  <w:num w:numId="43">
    <w:abstractNumId w:val="20"/>
  </w:num>
  <w:num w:numId="44">
    <w:abstractNumId w:val="2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This document corrects document SWD(2017) 286 final of 30.8.2017._x000b_The values of some indicators are corrected  (8.11.2017) on pages 4, 7 and 8. _x000b_The text shall read as follows:_x000b_"/>
    <w:docVar w:name="LW_COVERPAGE_EXISTS" w:val="True"/>
    <w:docVar w:name="LW_COVERPAGE_GUID" w:val="C2B207FA-9DDA-4A59-ACAB-29DB0B6D7C98"/>
    <w:docVar w:name="LW_COVERPAGE_TYPE" w:val="1"/>
    <w:docVar w:name="LW_CROSSREFERENCE" w:val="{COM(2017) 458 final}"/>
    <w:docVar w:name="LW_DocType" w:val="NORMAL"/>
    <w:docVar w:name="LW_EMISSION" w:val="15.11.2017"/>
    <w:docVar w:name="LW_EMISSION_ISODATE" w:val="2017-11-15"/>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Midterm review of the EU framework for national Roma integration strategies_x000b_"/>
    <w:docVar w:name="LW_PART_NBR" w:val="1"/>
    <w:docVar w:name="LW_PART_NBR_TOTAL" w:val="1"/>
    <w:docVar w:name="LW_REF.INST.NEW" w:val="SWD"/>
    <w:docVar w:name="LW_REF.INST.NEW_ADOPTED" w:val="final/2"/>
    <w:docVar w:name="LW_REF.INST.NEW_TEXT" w:val="(2017)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oma integration indicators scoreboard (2011-2016)"/>
    <w:docVar w:name="LW_TYPE.DOC.CP" w:val="COMMISSION STAFF WORKING DOCUMENT"/>
    <w:docVar w:name="LW_TYPEACTEPRINCIPAL.CP" w:val="Communication to the European Parliament and the Council "/>
  </w:docVars>
  <w:rsids>
    <w:rsidRoot w:val="00722E7B"/>
    <w:rsid w:val="000D26B1"/>
    <w:rsid w:val="00144CC8"/>
    <w:rsid w:val="00183F5B"/>
    <w:rsid w:val="00263E63"/>
    <w:rsid w:val="002A06CA"/>
    <w:rsid w:val="00652F74"/>
    <w:rsid w:val="006E0948"/>
    <w:rsid w:val="00722E7B"/>
    <w:rsid w:val="00847491"/>
    <w:rsid w:val="00906445"/>
    <w:rsid w:val="00953EAD"/>
    <w:rsid w:val="009A0AA9"/>
    <w:rsid w:val="00A17D95"/>
    <w:rsid w:val="00BE2663"/>
    <w:rsid w:val="00CF3EC5"/>
    <w:rsid w:val="00E6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en-GB"/>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lang w:eastAsia="en-GB"/>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lang w:val="en-US"/>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en-GB"/>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rPr>
  </w:style>
  <w:style w:type="table" w:styleId="TableGrid">
    <w:name w:val="Table Grid"/>
    <w:basedOn w:val="TableNormal"/>
    <w:uiPriority w:val="5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customStyle="1" w:styleId="apple-converted-space">
    <w:name w:val="apple-converted-space"/>
    <w:basedOn w:val="DefaultParagraphFont"/>
  </w:style>
  <w:style w:type="paragraph" w:styleId="Revision">
    <w:name w:val="Revision"/>
    <w:hidden/>
    <w:uiPriority w:val="99"/>
    <w:semiHidden/>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Typedudocument">
    <w:name w:val="Type du document"/>
    <w:basedOn w:val="Normal"/>
    <w:next w:val="Titreobjet"/>
    <w:link w:val="TypedudocumentChar"/>
    <w:pPr>
      <w:spacing w:before="360"/>
      <w:jc w:val="center"/>
    </w:pPr>
    <w:rPr>
      <w:rFonts w:ascii="Times New Roman" w:eastAsiaTheme="minorHAnsi" w:hAnsi="Times New Roman" w:cs="Times New Roman"/>
      <w:b/>
      <w:szCs w:val="22"/>
    </w:rPr>
  </w:style>
  <w:style w:type="paragraph" w:customStyle="1" w:styleId="Accompagnant">
    <w:name w:val="Accompagnant"/>
    <w:basedOn w:val="Normal"/>
    <w:next w:val="Normal"/>
    <w:pPr>
      <w:spacing w:after="240"/>
      <w:jc w:val="center"/>
    </w:pPr>
    <w:rPr>
      <w:rFonts w:ascii="Times New Roman" w:eastAsiaTheme="minorHAnsi" w:hAnsi="Times New Roman" w:cs="Times New Roman"/>
      <w:b/>
      <w:i/>
      <w:szCs w:val="22"/>
    </w:rPr>
  </w:style>
  <w:style w:type="paragraph" w:customStyle="1" w:styleId="Typeacteprincipal">
    <w:name w:val="Type acte principal"/>
    <w:basedOn w:val="Normal"/>
    <w:next w:val="Normal"/>
    <w:pPr>
      <w:spacing w:after="240"/>
      <w:jc w:val="center"/>
    </w:pPr>
    <w:rPr>
      <w:rFonts w:ascii="Times New Roman" w:eastAsiaTheme="minorHAnsi" w:hAnsi="Times New Roman" w:cs="Times New Roman"/>
      <w:b/>
      <w:szCs w:val="22"/>
    </w:rPr>
  </w:style>
  <w:style w:type="paragraph" w:customStyle="1" w:styleId="Objetacteprincipal">
    <w:name w:val="Objet acte principal"/>
    <w:basedOn w:val="Normal"/>
    <w:next w:val="Normal"/>
    <w:pPr>
      <w:spacing w:after="360"/>
      <w:jc w:val="center"/>
    </w:pPr>
    <w:rPr>
      <w:rFonts w:ascii="Times New Roman" w:eastAsiaTheme="minorHAnsi" w:hAnsi="Times New Roman" w:cs="Times New Roman"/>
      <w:b/>
      <w:szCs w:val="22"/>
    </w:rPr>
  </w:style>
  <w:style w:type="paragraph" w:customStyle="1" w:styleId="FooterSensitivity">
    <w:name w:val="Footer Sensitivity"/>
    <w:basedOn w:val="Normal"/>
    <w:link w:val="FooterSensitivityChar"/>
    <w:rsid w:val="00263E63"/>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TypedudocumentChar">
    <w:name w:val="Type du document Char"/>
    <w:basedOn w:val="DefaultParagraphFont"/>
    <w:link w:val="Typedudocument"/>
    <w:rsid w:val="00263E63"/>
    <w:rPr>
      <w:rFonts w:ascii="Times New Roman" w:eastAsiaTheme="minorHAnsi" w:hAnsi="Times New Roman" w:cs="Times New Roman"/>
      <w:b/>
      <w:szCs w:val="22"/>
      <w:lang w:val="en-GB"/>
    </w:rPr>
  </w:style>
  <w:style w:type="character" w:customStyle="1" w:styleId="FooterSensitivityChar">
    <w:name w:val="Footer Sensitivity Char"/>
    <w:basedOn w:val="TypedudocumentChar"/>
    <w:link w:val="FooterSensitivity"/>
    <w:rsid w:val="00263E63"/>
    <w:rPr>
      <w:rFonts w:ascii="Times New Roman" w:eastAsiaTheme="minorHAnsi" w:hAnsi="Times New Roman" w:cs="Times New Roman"/>
      <w:b/>
      <w:sz w:val="32"/>
      <w:szCs w:val="22"/>
      <w:lang w:val="en-GB"/>
    </w:rPr>
  </w:style>
  <w:style w:type="paragraph" w:customStyle="1" w:styleId="HeaderSensitivity">
    <w:name w:val="Header Sensitivity"/>
    <w:basedOn w:val="Normal"/>
    <w:link w:val="HeaderSensitivityChar"/>
    <w:rsid w:val="00263E63"/>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263E63"/>
    <w:rPr>
      <w:rFonts w:ascii="Times New Roman" w:eastAsiaTheme="minorHAnsi" w:hAnsi="Times New Roman" w:cs="Times New Roman"/>
      <w:b/>
      <w:sz w:val="32"/>
      <w:szCs w:val="22"/>
      <w:lang w:val="en-GB"/>
    </w:rPr>
  </w:style>
  <w:style w:type="paragraph" w:styleId="NormalWeb">
    <w:name w:val="Normal (Web)"/>
    <w:basedOn w:val="Normal"/>
    <w:uiPriority w:val="99"/>
    <w:semiHidden/>
    <w:unhideWhenUsed/>
    <w:rsid w:val="00906445"/>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en-GB"/>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lang w:eastAsia="en-GB"/>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lang w:val="en-US"/>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en-GB"/>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rPr>
  </w:style>
  <w:style w:type="table" w:styleId="TableGrid">
    <w:name w:val="Table Grid"/>
    <w:basedOn w:val="TableNormal"/>
    <w:uiPriority w:val="5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customStyle="1" w:styleId="apple-converted-space">
    <w:name w:val="apple-converted-space"/>
    <w:basedOn w:val="DefaultParagraphFont"/>
  </w:style>
  <w:style w:type="paragraph" w:styleId="Revision">
    <w:name w:val="Revision"/>
    <w:hidden/>
    <w:uiPriority w:val="99"/>
    <w:semiHidden/>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Typedudocument">
    <w:name w:val="Type du document"/>
    <w:basedOn w:val="Normal"/>
    <w:next w:val="Titreobjet"/>
    <w:link w:val="TypedudocumentChar"/>
    <w:pPr>
      <w:spacing w:before="360"/>
      <w:jc w:val="center"/>
    </w:pPr>
    <w:rPr>
      <w:rFonts w:ascii="Times New Roman" w:eastAsiaTheme="minorHAnsi" w:hAnsi="Times New Roman" w:cs="Times New Roman"/>
      <w:b/>
      <w:szCs w:val="22"/>
    </w:rPr>
  </w:style>
  <w:style w:type="paragraph" w:customStyle="1" w:styleId="Accompagnant">
    <w:name w:val="Accompagnant"/>
    <w:basedOn w:val="Normal"/>
    <w:next w:val="Normal"/>
    <w:pPr>
      <w:spacing w:after="240"/>
      <w:jc w:val="center"/>
    </w:pPr>
    <w:rPr>
      <w:rFonts w:ascii="Times New Roman" w:eastAsiaTheme="minorHAnsi" w:hAnsi="Times New Roman" w:cs="Times New Roman"/>
      <w:b/>
      <w:i/>
      <w:szCs w:val="22"/>
    </w:rPr>
  </w:style>
  <w:style w:type="paragraph" w:customStyle="1" w:styleId="Typeacteprincipal">
    <w:name w:val="Type acte principal"/>
    <w:basedOn w:val="Normal"/>
    <w:next w:val="Normal"/>
    <w:pPr>
      <w:spacing w:after="240"/>
      <w:jc w:val="center"/>
    </w:pPr>
    <w:rPr>
      <w:rFonts w:ascii="Times New Roman" w:eastAsiaTheme="minorHAnsi" w:hAnsi="Times New Roman" w:cs="Times New Roman"/>
      <w:b/>
      <w:szCs w:val="22"/>
    </w:rPr>
  </w:style>
  <w:style w:type="paragraph" w:customStyle="1" w:styleId="Objetacteprincipal">
    <w:name w:val="Objet acte principal"/>
    <w:basedOn w:val="Normal"/>
    <w:next w:val="Normal"/>
    <w:pPr>
      <w:spacing w:after="360"/>
      <w:jc w:val="center"/>
    </w:pPr>
    <w:rPr>
      <w:rFonts w:ascii="Times New Roman" w:eastAsiaTheme="minorHAnsi" w:hAnsi="Times New Roman" w:cs="Times New Roman"/>
      <w:b/>
      <w:szCs w:val="22"/>
    </w:rPr>
  </w:style>
  <w:style w:type="paragraph" w:customStyle="1" w:styleId="FooterSensitivity">
    <w:name w:val="Footer Sensitivity"/>
    <w:basedOn w:val="Normal"/>
    <w:link w:val="FooterSensitivityChar"/>
    <w:rsid w:val="00263E63"/>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TypedudocumentChar">
    <w:name w:val="Type du document Char"/>
    <w:basedOn w:val="DefaultParagraphFont"/>
    <w:link w:val="Typedudocument"/>
    <w:rsid w:val="00263E63"/>
    <w:rPr>
      <w:rFonts w:ascii="Times New Roman" w:eastAsiaTheme="minorHAnsi" w:hAnsi="Times New Roman" w:cs="Times New Roman"/>
      <w:b/>
      <w:szCs w:val="22"/>
      <w:lang w:val="en-GB"/>
    </w:rPr>
  </w:style>
  <w:style w:type="character" w:customStyle="1" w:styleId="FooterSensitivityChar">
    <w:name w:val="Footer Sensitivity Char"/>
    <w:basedOn w:val="TypedudocumentChar"/>
    <w:link w:val="FooterSensitivity"/>
    <w:rsid w:val="00263E63"/>
    <w:rPr>
      <w:rFonts w:ascii="Times New Roman" w:eastAsiaTheme="minorHAnsi" w:hAnsi="Times New Roman" w:cs="Times New Roman"/>
      <w:b/>
      <w:sz w:val="32"/>
      <w:szCs w:val="22"/>
      <w:lang w:val="en-GB"/>
    </w:rPr>
  </w:style>
  <w:style w:type="paragraph" w:customStyle="1" w:styleId="HeaderSensitivity">
    <w:name w:val="Header Sensitivity"/>
    <w:basedOn w:val="Normal"/>
    <w:link w:val="HeaderSensitivityChar"/>
    <w:rsid w:val="00263E63"/>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263E63"/>
    <w:rPr>
      <w:rFonts w:ascii="Times New Roman" w:eastAsiaTheme="minorHAnsi" w:hAnsi="Times New Roman" w:cs="Times New Roman"/>
      <w:b/>
      <w:sz w:val="32"/>
      <w:szCs w:val="22"/>
      <w:lang w:val="en-GB"/>
    </w:rPr>
  </w:style>
  <w:style w:type="paragraph" w:styleId="NormalWeb">
    <w:name w:val="Normal (Web)"/>
    <w:basedOn w:val="Normal"/>
    <w:uiPriority w:val="99"/>
    <w:semiHidden/>
    <w:unhideWhenUsed/>
    <w:rsid w:val="00906445"/>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802">
      <w:bodyDiv w:val="1"/>
      <w:marLeft w:val="0"/>
      <w:marRight w:val="0"/>
      <w:marTop w:val="0"/>
      <w:marBottom w:val="0"/>
      <w:divBdr>
        <w:top w:val="none" w:sz="0" w:space="0" w:color="auto"/>
        <w:left w:val="none" w:sz="0" w:space="0" w:color="auto"/>
        <w:bottom w:val="none" w:sz="0" w:space="0" w:color="auto"/>
        <w:right w:val="none" w:sz="0" w:space="0" w:color="auto"/>
      </w:divBdr>
    </w:div>
    <w:div w:id="1865053271">
      <w:bodyDiv w:val="1"/>
      <w:marLeft w:val="0"/>
      <w:marRight w:val="0"/>
      <w:marTop w:val="0"/>
      <w:marBottom w:val="0"/>
      <w:divBdr>
        <w:top w:val="none" w:sz="0" w:space="0" w:color="auto"/>
        <w:left w:val="none" w:sz="0" w:space="0" w:color="auto"/>
        <w:bottom w:val="none" w:sz="0" w:space="0" w:color="auto"/>
        <w:right w:val="none" w:sz="0" w:space="0" w:color="auto"/>
      </w:divBdr>
    </w:div>
    <w:div w:id="1888444821">
      <w:bodyDiv w:val="1"/>
      <w:marLeft w:val="0"/>
      <w:marRight w:val="0"/>
      <w:marTop w:val="0"/>
      <w:marBottom w:val="0"/>
      <w:divBdr>
        <w:top w:val="none" w:sz="0" w:space="0" w:color="auto"/>
        <w:left w:val="none" w:sz="0" w:space="0" w:color="auto"/>
        <w:bottom w:val="none" w:sz="0" w:space="0" w:color="auto"/>
        <w:right w:val="none" w:sz="0" w:space="0" w:color="auto"/>
      </w:divBdr>
    </w:div>
    <w:div w:id="196457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urasia.undp.org/content/rbec/en/home/ourwork/sustainable-development/development-planning-and-inclusive-sustainable-growth/roma-in-central-and-southeast-europe/roma-data.htm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fra.europa.eu/en/survey/2012/roma-pilot-survey" TargetMode="External"/><Relationship Id="rId25" Type="http://schemas.openxmlformats.org/officeDocument/2006/relationships/image" Target="media/image2.e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fra.europa.eu/en/publication/2016/eumidis-ii-roma-selected-findings" TargetMode="External"/><Relationship Id="rId20" Type="http://schemas.openxmlformats.org/officeDocument/2006/relationships/header" Target="header5.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eurasia.undp.org/content/rbec/en/home/ourwork/sustainable-development/development-planning-and-inclusive-sustainable-growth/roma-in-central-and-southeast-europe/roma-data.html" TargetMode="External"/><Relationship Id="rId2" Type="http://schemas.openxmlformats.org/officeDocument/2006/relationships/hyperlink" Target="http://fra.europa.eu/en/survey/2012/roma-pilot-survey" TargetMode="External"/><Relationship Id="rId1" Type="http://schemas.openxmlformats.org/officeDocument/2006/relationships/hyperlink" Target="http://fra.europa.eu/en/publication/2016/eumidis-ii-roma-selected-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FDF1-9F7F-4BE1-ACD6-81BF6853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578</Words>
  <Characters>3107</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JANSEN Colette (SG)</cp:lastModifiedBy>
  <cp:revision>3</cp:revision>
  <cp:lastPrinted>2017-11-13T09:46:00Z</cp:lastPrinted>
  <dcterms:created xsi:type="dcterms:W3CDTF">2017-11-15T09:44:00Z</dcterms:created>
  <dcterms:modified xsi:type="dcterms:W3CDTF">2017-11-15T11:22:00Z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