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8FF" w:rsidRDefault="003071F4" w:rsidP="003071F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4A6D5A8-A01E-4F57-A2A6-04D7747A2D55" style="width:450.2pt;height:422.05pt">
            <v:imagedata r:id="rId12" o:title=""/>
          </v:shape>
        </w:pict>
      </w:r>
    </w:p>
    <w:bookmarkEnd w:id="0"/>
    <w:p w:rsidR="00BB18FF" w:rsidRDefault="00BB18FF">
      <w:pPr>
        <w:pStyle w:val="Pagedecouverture"/>
        <w:rPr>
          <w:noProof/>
        </w:rPr>
        <w:sectPr w:rsidR="00BB18FF" w:rsidSect="003071F4">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0"/>
          <w:cols w:space="720"/>
          <w:docGrid w:linePitch="360"/>
        </w:sectPr>
      </w:pPr>
    </w:p>
    <w:p w:rsidR="00BB18FF" w:rsidRDefault="00BB18FF">
      <w:pPr>
        <w:rPr>
          <w:noProof/>
        </w:rPr>
      </w:pPr>
      <w:bookmarkStart w:id="1" w:name="_GoBack"/>
      <w:bookmarkEnd w:id="1"/>
    </w:p>
    <w:tbl>
      <w:tblPr>
        <w:tblStyle w:val="TableGrid"/>
        <w:tblW w:w="9828" w:type="dxa"/>
        <w:tblLook w:val="01E0" w:firstRow="1" w:lastRow="1" w:firstColumn="1" w:lastColumn="1" w:noHBand="0" w:noVBand="0"/>
      </w:tblPr>
      <w:tblGrid>
        <w:gridCol w:w="9828"/>
      </w:tblGrid>
      <w:tr w:rsidR="00BB18FF">
        <w:tc>
          <w:tcPr>
            <w:tcW w:w="9828" w:type="dxa"/>
            <w:tcBorders>
              <w:bottom w:val="single" w:sz="4" w:space="0" w:color="auto"/>
            </w:tcBorders>
            <w:shd w:val="clear" w:color="auto" w:fill="CCCCCC"/>
          </w:tcPr>
          <w:p w:rsidR="00BB18FF" w:rsidRDefault="003071F4">
            <w:pPr>
              <w:spacing w:before="60" w:after="60"/>
              <w:jc w:val="center"/>
              <w:rPr>
                <w:rFonts w:ascii="Tahoma" w:hAnsi="Tahoma" w:cs="Tahoma"/>
                <w:b/>
                <w:noProof/>
                <w:sz w:val="20"/>
                <w:szCs w:val="20"/>
              </w:rPr>
            </w:pPr>
            <w:r>
              <w:rPr>
                <w:rFonts w:ascii="Tahoma" w:hAnsi="Tahoma"/>
                <w:b/>
                <w:noProof/>
                <w:sz w:val="20"/>
              </w:rPr>
              <w:t>Обобщение</w:t>
            </w:r>
          </w:p>
        </w:tc>
      </w:tr>
      <w:tr w:rsidR="00BB18FF">
        <w:tc>
          <w:tcPr>
            <w:tcW w:w="9828" w:type="dxa"/>
            <w:tcBorders>
              <w:top w:val="single" w:sz="4" w:space="0" w:color="auto"/>
              <w:left w:val="single" w:sz="4" w:space="0" w:color="auto"/>
              <w:bottom w:val="single" w:sz="4" w:space="0" w:color="auto"/>
              <w:right w:val="single" w:sz="4" w:space="0" w:color="auto"/>
            </w:tcBorders>
            <w:shd w:val="clear" w:color="auto" w:fill="4F81BD" w:themeFill="accent1"/>
          </w:tcPr>
          <w:p w:rsidR="00BB18FF" w:rsidRDefault="003071F4">
            <w:pPr>
              <w:spacing w:before="120" w:after="120"/>
              <w:jc w:val="center"/>
              <w:rPr>
                <w:rFonts w:ascii="Tahoma" w:hAnsi="Tahoma" w:cs="Tahoma"/>
                <w:noProof/>
                <w:sz w:val="20"/>
                <w:szCs w:val="20"/>
              </w:rPr>
            </w:pPr>
            <w:r>
              <w:rPr>
                <w:rFonts w:ascii="Tahoma" w:hAnsi="Tahoma"/>
                <w:noProof/>
                <w:color w:val="FFFFFF" w:themeColor="background1"/>
                <w:sz w:val="20"/>
              </w:rPr>
              <w:t xml:space="preserve">Оценка на въздействието от прегледа на Регламент (ЕО) № 1073/2009 относно достъпа до международния пазар на автобусни превози </w:t>
            </w:r>
          </w:p>
        </w:tc>
      </w:tr>
      <w:tr w:rsidR="00BB18FF">
        <w:tc>
          <w:tcPr>
            <w:tcW w:w="9828" w:type="dxa"/>
            <w:tcBorders>
              <w:bottom w:val="single" w:sz="4" w:space="0" w:color="auto"/>
            </w:tcBorders>
            <w:shd w:val="clear" w:color="auto" w:fill="CCCCCC"/>
          </w:tcPr>
          <w:p w:rsidR="00BB18FF" w:rsidRDefault="003071F4">
            <w:pPr>
              <w:spacing w:before="60" w:after="60"/>
              <w:rPr>
                <w:rFonts w:ascii="Tahoma" w:hAnsi="Tahoma" w:cs="Tahoma"/>
                <w:b/>
                <w:noProof/>
                <w:sz w:val="20"/>
                <w:szCs w:val="20"/>
              </w:rPr>
            </w:pPr>
            <w:r>
              <w:rPr>
                <w:rFonts w:ascii="Tahoma" w:hAnsi="Tahoma"/>
                <w:b/>
                <w:noProof/>
                <w:sz w:val="20"/>
              </w:rPr>
              <w:t xml:space="preserve">A. </w:t>
            </w:r>
            <w:r>
              <w:rPr>
                <w:rFonts w:ascii="Tahoma" w:hAnsi="Tahoma"/>
                <w:b/>
                <w:noProof/>
                <w:sz w:val="20"/>
              </w:rPr>
              <w:t>Необходимост от действия</w:t>
            </w:r>
          </w:p>
        </w:tc>
      </w:tr>
      <w:tr w:rsidR="00BB18FF">
        <w:tc>
          <w:tcPr>
            <w:tcW w:w="9828" w:type="dxa"/>
            <w:tcBorders>
              <w:bottom w:val="single" w:sz="4" w:space="0" w:color="auto"/>
            </w:tcBorders>
            <w:shd w:val="clear" w:color="auto" w:fill="E0E0E0"/>
          </w:tcPr>
          <w:p w:rsidR="00BB18FF" w:rsidRDefault="003071F4">
            <w:pPr>
              <w:pStyle w:val="Default"/>
              <w:jc w:val="both"/>
              <w:rPr>
                <w:rFonts w:ascii="Tahoma" w:hAnsi="Tahoma" w:cs="Tahoma"/>
                <w:noProof/>
                <w:sz w:val="20"/>
                <w:szCs w:val="20"/>
              </w:rPr>
            </w:pPr>
            <w:r>
              <w:rPr>
                <w:rFonts w:ascii="Tahoma" w:hAnsi="Tahoma"/>
                <w:b/>
                <w:noProof/>
                <w:sz w:val="20"/>
              </w:rPr>
              <w:t xml:space="preserve">В какво се изразява проблемът и защо той е проблем на равнището на ЕС? </w:t>
            </w:r>
          </w:p>
        </w:tc>
      </w:tr>
      <w:tr w:rsidR="00BB18FF">
        <w:tc>
          <w:tcPr>
            <w:tcW w:w="9828" w:type="dxa"/>
            <w:tcBorders>
              <w:bottom w:val="single" w:sz="4" w:space="0" w:color="auto"/>
            </w:tcBorders>
            <w:shd w:val="clear" w:color="auto" w:fill="auto"/>
          </w:tcPr>
          <w:p w:rsidR="00BB18FF" w:rsidRDefault="003071F4">
            <w:pPr>
              <w:jc w:val="both"/>
              <w:rPr>
                <w:rFonts w:ascii="Tahoma" w:hAnsi="Tahoma" w:cs="Tahoma"/>
                <w:noProof/>
                <w:sz w:val="20"/>
                <w:szCs w:val="20"/>
              </w:rPr>
            </w:pPr>
            <w:r>
              <w:rPr>
                <w:rFonts w:ascii="Tahoma" w:hAnsi="Tahoma"/>
                <w:noProof/>
                <w:sz w:val="20"/>
              </w:rPr>
              <w:t>Основните проблеми са следните: 1) операторите се сблъскват с пречки в рамките на националните пазари с оглед на развитието на междуградските автобусни прево</w:t>
            </w:r>
            <w:r>
              <w:rPr>
                <w:rFonts w:ascii="Tahoma" w:hAnsi="Tahoma"/>
                <w:noProof/>
                <w:sz w:val="20"/>
              </w:rPr>
              <w:t xml:space="preserve">зи и 2) ниският дял на устойчивите видове пътнически превози. Гражданите страдат от липса на свързаност и се наблюдават повече пътнотранспортни произшествия и нещастни случаи, емисии и задръствания поради по-голямото използване на колите. </w:t>
            </w:r>
          </w:p>
        </w:tc>
      </w:tr>
      <w:tr w:rsidR="00BB18FF">
        <w:tc>
          <w:tcPr>
            <w:tcW w:w="9828" w:type="dxa"/>
            <w:tcBorders>
              <w:bottom w:val="single" w:sz="4" w:space="0" w:color="auto"/>
            </w:tcBorders>
            <w:shd w:val="clear" w:color="auto" w:fill="E6E6E6"/>
          </w:tcPr>
          <w:p w:rsidR="00BB18FF" w:rsidRDefault="003071F4">
            <w:pPr>
              <w:pStyle w:val="Default"/>
              <w:jc w:val="both"/>
              <w:rPr>
                <w:rFonts w:ascii="Tahoma" w:hAnsi="Tahoma" w:cs="Tahoma"/>
                <w:noProof/>
                <w:sz w:val="20"/>
                <w:szCs w:val="20"/>
              </w:rPr>
            </w:pPr>
            <w:r>
              <w:rPr>
                <w:rFonts w:ascii="Tahoma" w:hAnsi="Tahoma"/>
                <w:b/>
                <w:noProof/>
                <w:sz w:val="20"/>
              </w:rPr>
              <w:t xml:space="preserve">Какви цели се преследват? </w:t>
            </w:r>
          </w:p>
        </w:tc>
      </w:tr>
      <w:tr w:rsidR="00BB18FF">
        <w:tc>
          <w:tcPr>
            <w:tcW w:w="9828" w:type="dxa"/>
            <w:tcBorders>
              <w:bottom w:val="single" w:sz="4" w:space="0" w:color="auto"/>
            </w:tcBorders>
            <w:shd w:val="clear" w:color="auto" w:fill="auto"/>
          </w:tcPr>
          <w:p w:rsidR="00BB18FF" w:rsidRDefault="003071F4">
            <w:pPr>
              <w:jc w:val="both"/>
              <w:rPr>
                <w:rFonts w:ascii="Tahoma" w:hAnsi="Tahoma" w:cs="Tahoma"/>
                <w:noProof/>
                <w:sz w:val="20"/>
                <w:szCs w:val="20"/>
              </w:rPr>
            </w:pPr>
            <w:r>
              <w:rPr>
                <w:rFonts w:ascii="Tahoma" w:hAnsi="Tahoma"/>
                <w:noProof/>
                <w:sz w:val="20"/>
              </w:rPr>
              <w:t xml:space="preserve">Общите цели са улесняване на междуградската мобилност и свързаността за всички европейци и увеличение на дела на устойчивите видове транспорт. </w:t>
            </w:r>
          </w:p>
        </w:tc>
      </w:tr>
      <w:tr w:rsidR="00BB18FF">
        <w:tc>
          <w:tcPr>
            <w:tcW w:w="9828" w:type="dxa"/>
            <w:tcBorders>
              <w:bottom w:val="single" w:sz="4" w:space="0" w:color="auto"/>
            </w:tcBorders>
            <w:shd w:val="clear" w:color="auto" w:fill="E6E6E6"/>
          </w:tcPr>
          <w:p w:rsidR="00BB18FF" w:rsidRDefault="003071F4">
            <w:pPr>
              <w:pStyle w:val="Default"/>
              <w:jc w:val="both"/>
              <w:rPr>
                <w:rFonts w:ascii="Tahoma" w:hAnsi="Tahoma" w:cs="Tahoma"/>
                <w:noProof/>
                <w:sz w:val="20"/>
                <w:szCs w:val="20"/>
              </w:rPr>
            </w:pPr>
            <w:r>
              <w:rPr>
                <w:rFonts w:ascii="Tahoma" w:hAnsi="Tahoma"/>
                <w:b/>
                <w:noProof/>
                <w:sz w:val="20"/>
              </w:rPr>
              <w:t xml:space="preserve">Каква е добавената стойност от действие на равнището на ЕС (субсидиарност)? </w:t>
            </w:r>
          </w:p>
        </w:tc>
      </w:tr>
      <w:tr w:rsidR="00BB18FF">
        <w:tc>
          <w:tcPr>
            <w:tcW w:w="9828" w:type="dxa"/>
            <w:tcBorders>
              <w:bottom w:val="single" w:sz="4" w:space="0" w:color="auto"/>
            </w:tcBorders>
            <w:shd w:val="clear" w:color="auto" w:fill="auto"/>
          </w:tcPr>
          <w:p w:rsidR="00BB18FF" w:rsidRDefault="003071F4">
            <w:pPr>
              <w:jc w:val="both"/>
              <w:rPr>
                <w:rFonts w:ascii="Tahoma" w:hAnsi="Tahoma" w:cs="Tahoma"/>
                <w:noProof/>
                <w:sz w:val="20"/>
                <w:szCs w:val="20"/>
              </w:rPr>
            </w:pPr>
            <w:r>
              <w:rPr>
                <w:rFonts w:ascii="Tahoma" w:hAnsi="Tahoma"/>
                <w:noProof/>
                <w:sz w:val="20"/>
              </w:rPr>
              <w:t xml:space="preserve">В ЕС </w:t>
            </w:r>
            <w:r>
              <w:rPr>
                <w:rFonts w:ascii="Tahoma" w:hAnsi="Tahoma"/>
                <w:noProof/>
                <w:sz w:val="20"/>
              </w:rPr>
              <w:t xml:space="preserve">съществуват различни правила за достъпа до националните пазари на автобусните превози, които ограничават възможността на превозвачите да развиват услугите в паневропейски автобусни мрежи. Със самостоятелни действия държавите членки не могат да въведат или </w:t>
            </w:r>
            <w:r>
              <w:rPr>
                <w:rFonts w:ascii="Tahoma" w:hAnsi="Tahoma"/>
                <w:noProof/>
                <w:sz w:val="20"/>
              </w:rPr>
              <w:t xml:space="preserve">да осигурят съгласуваността и координацията на уеднаквените правила за достъп до пазара. </w:t>
            </w:r>
          </w:p>
        </w:tc>
      </w:tr>
      <w:tr w:rsidR="00BB18FF">
        <w:tc>
          <w:tcPr>
            <w:tcW w:w="9828" w:type="dxa"/>
            <w:tcBorders>
              <w:bottom w:val="single" w:sz="4" w:space="0" w:color="auto"/>
            </w:tcBorders>
            <w:shd w:val="clear" w:color="auto" w:fill="CCCCCC"/>
          </w:tcPr>
          <w:p w:rsidR="00BB18FF" w:rsidRDefault="003071F4">
            <w:pPr>
              <w:spacing w:before="60" w:after="60"/>
              <w:rPr>
                <w:rFonts w:ascii="Tahoma" w:hAnsi="Tahoma" w:cs="Tahoma"/>
                <w:b/>
                <w:noProof/>
                <w:sz w:val="20"/>
                <w:szCs w:val="20"/>
              </w:rPr>
            </w:pPr>
            <w:r>
              <w:rPr>
                <w:rFonts w:ascii="Tahoma" w:hAnsi="Tahoma"/>
                <w:b/>
                <w:noProof/>
                <w:sz w:val="20"/>
              </w:rPr>
              <w:t>Б. Решения</w:t>
            </w:r>
          </w:p>
        </w:tc>
      </w:tr>
      <w:tr w:rsidR="00BB18FF">
        <w:tc>
          <w:tcPr>
            <w:tcW w:w="9828" w:type="dxa"/>
            <w:tcBorders>
              <w:bottom w:val="single" w:sz="4" w:space="0" w:color="auto"/>
            </w:tcBorders>
            <w:shd w:val="clear" w:color="auto" w:fill="E6E6E6"/>
          </w:tcPr>
          <w:p w:rsidR="00BB18FF" w:rsidRDefault="003071F4">
            <w:pPr>
              <w:pStyle w:val="Default"/>
              <w:jc w:val="both"/>
              <w:rPr>
                <w:rFonts w:ascii="Tahoma" w:hAnsi="Tahoma" w:cs="Tahoma"/>
                <w:noProof/>
                <w:sz w:val="20"/>
                <w:szCs w:val="20"/>
              </w:rPr>
            </w:pPr>
            <w:r>
              <w:rPr>
                <w:rFonts w:ascii="Tahoma" w:hAnsi="Tahoma"/>
                <w:b/>
                <w:noProof/>
                <w:sz w:val="20"/>
              </w:rPr>
              <w:t xml:space="preserve">Какви са различните варианти за постигане на целите? Има ли предпочитан вариант сред тях? Ако няма такъв, каква е причината за това? </w:t>
            </w:r>
          </w:p>
        </w:tc>
      </w:tr>
      <w:tr w:rsidR="00BB18FF">
        <w:trPr>
          <w:trHeight w:val="553"/>
        </w:trPr>
        <w:tc>
          <w:tcPr>
            <w:tcW w:w="9828" w:type="dxa"/>
            <w:tcBorders>
              <w:bottom w:val="single" w:sz="4" w:space="0" w:color="auto"/>
            </w:tcBorders>
            <w:shd w:val="clear" w:color="auto" w:fill="auto"/>
          </w:tcPr>
          <w:p w:rsidR="00BB18FF" w:rsidRDefault="003071F4">
            <w:pPr>
              <w:jc w:val="both"/>
              <w:rPr>
                <w:rFonts w:ascii="Tahoma" w:hAnsi="Tahoma" w:cs="Tahoma"/>
                <w:noProof/>
                <w:sz w:val="20"/>
                <w:szCs w:val="20"/>
              </w:rPr>
            </w:pPr>
            <w:r>
              <w:rPr>
                <w:b/>
                <w:noProof/>
              </w:rPr>
              <w:t>Вариант 1</w:t>
            </w:r>
            <w:r>
              <w:rPr>
                <w:noProof/>
              </w:rPr>
              <w:t>:</w:t>
            </w:r>
            <w:r>
              <w:rPr>
                <w:rFonts w:ascii="Tahoma" w:hAnsi="Tahoma"/>
                <w:noProof/>
                <w:sz w:val="20"/>
              </w:rPr>
              <w:t xml:space="preserve"> отворен достъп до пазара на редовните превози с възможност за отказ на разрешително, ако се нарушава жизнеспособността на договор за обществена услуга (ДОУ). </w:t>
            </w:r>
          </w:p>
          <w:p w:rsidR="00BB18FF" w:rsidRDefault="003071F4">
            <w:pPr>
              <w:jc w:val="both"/>
              <w:rPr>
                <w:rFonts w:ascii="Tahoma" w:hAnsi="Tahoma" w:cs="Tahoma"/>
                <w:noProof/>
                <w:sz w:val="20"/>
                <w:szCs w:val="20"/>
              </w:rPr>
            </w:pPr>
            <w:r>
              <w:rPr>
                <w:b/>
                <w:noProof/>
              </w:rPr>
              <w:t>Вариант 2</w:t>
            </w:r>
            <w:r>
              <w:rPr>
                <w:noProof/>
              </w:rPr>
              <w:t xml:space="preserve">: </w:t>
            </w:r>
            <w:r>
              <w:rPr>
                <w:rFonts w:ascii="Tahoma" w:hAnsi="Tahoma"/>
                <w:noProof/>
                <w:sz w:val="20"/>
              </w:rPr>
              <w:t>отворен достъп до пазара на междуградските редовни превози на разстояние от 100 km ил</w:t>
            </w:r>
            <w:r>
              <w:rPr>
                <w:rFonts w:ascii="Tahoma" w:hAnsi="Tahoma"/>
                <w:noProof/>
                <w:sz w:val="20"/>
              </w:rPr>
              <w:t xml:space="preserve">и повече. Разрешителното може да се откаже, ако се нарушава жизнеспособността на градски ДОУ. </w:t>
            </w:r>
          </w:p>
          <w:p w:rsidR="00BB18FF" w:rsidRDefault="003071F4">
            <w:pPr>
              <w:jc w:val="both"/>
              <w:rPr>
                <w:rFonts w:ascii="Tahoma" w:hAnsi="Tahoma" w:cs="Tahoma"/>
                <w:noProof/>
                <w:sz w:val="20"/>
                <w:szCs w:val="20"/>
              </w:rPr>
            </w:pPr>
            <w:r>
              <w:rPr>
                <w:b/>
                <w:noProof/>
              </w:rPr>
              <w:t>Вариант 3</w:t>
            </w:r>
            <w:r>
              <w:rPr>
                <w:noProof/>
              </w:rPr>
              <w:t>: отворен достъп до пазара на междуградските редовни превози без разрешителен режим за превозите на дълги разстояния.</w:t>
            </w:r>
            <w:r>
              <w:rPr>
                <w:rFonts w:ascii="Tahoma" w:hAnsi="Tahoma"/>
                <w:noProof/>
                <w:sz w:val="20"/>
              </w:rPr>
              <w:t xml:space="preserve">    </w:t>
            </w:r>
          </w:p>
          <w:p w:rsidR="00BB18FF" w:rsidRDefault="003071F4">
            <w:pPr>
              <w:jc w:val="both"/>
              <w:rPr>
                <w:rFonts w:ascii="Tahoma" w:hAnsi="Tahoma" w:cs="Tahoma"/>
                <w:noProof/>
                <w:sz w:val="20"/>
                <w:szCs w:val="20"/>
              </w:rPr>
            </w:pPr>
            <w:r>
              <w:rPr>
                <w:b/>
                <w:noProof/>
              </w:rPr>
              <w:t>Вариант 4</w:t>
            </w:r>
            <w:r>
              <w:rPr>
                <w:noProof/>
              </w:rPr>
              <w:t xml:space="preserve">: </w:t>
            </w:r>
            <w:r>
              <w:rPr>
                <w:rFonts w:ascii="Tahoma" w:hAnsi="Tahoma"/>
                <w:noProof/>
                <w:sz w:val="20"/>
              </w:rPr>
              <w:t>незадължителни мерк</w:t>
            </w:r>
            <w:r>
              <w:rPr>
                <w:rFonts w:ascii="Tahoma" w:hAnsi="Tahoma"/>
                <w:noProof/>
                <w:sz w:val="20"/>
              </w:rPr>
              <w:t xml:space="preserve">и, насърчаващи справедливия и недискриминационен достъп до терминали. </w:t>
            </w:r>
          </w:p>
          <w:p w:rsidR="00BB18FF" w:rsidRDefault="003071F4">
            <w:pPr>
              <w:jc w:val="both"/>
              <w:rPr>
                <w:rFonts w:ascii="Tahoma" w:hAnsi="Tahoma" w:cs="Tahoma"/>
                <w:noProof/>
                <w:sz w:val="20"/>
                <w:szCs w:val="20"/>
              </w:rPr>
            </w:pPr>
            <w:r>
              <w:rPr>
                <w:b/>
                <w:noProof/>
              </w:rPr>
              <w:t>Вариант 5</w:t>
            </w:r>
            <w:r>
              <w:rPr>
                <w:noProof/>
              </w:rPr>
              <w:t xml:space="preserve">: </w:t>
            </w:r>
            <w:r>
              <w:rPr>
                <w:rFonts w:ascii="Tahoma" w:hAnsi="Tahoma"/>
                <w:noProof/>
                <w:sz w:val="20"/>
              </w:rPr>
              <w:t xml:space="preserve">правила за еднакъв достъп, изискващи справедлив и недискриминационен достъп до терминали. </w:t>
            </w:r>
          </w:p>
          <w:p w:rsidR="00BB18FF" w:rsidRDefault="003071F4">
            <w:pPr>
              <w:jc w:val="both"/>
              <w:rPr>
                <w:rFonts w:ascii="Tahoma" w:hAnsi="Tahoma" w:cs="Tahoma"/>
                <w:noProof/>
                <w:sz w:val="20"/>
                <w:szCs w:val="20"/>
              </w:rPr>
            </w:pPr>
            <w:r>
              <w:rPr>
                <w:rFonts w:ascii="Tahoma" w:hAnsi="Tahoma"/>
                <w:noProof/>
                <w:sz w:val="20"/>
              </w:rPr>
              <w:t>Предпочитаният вариант е съчетание от варианти 2 и 5.</w:t>
            </w:r>
          </w:p>
        </w:tc>
      </w:tr>
      <w:tr w:rsidR="00BB18FF">
        <w:tc>
          <w:tcPr>
            <w:tcW w:w="9828" w:type="dxa"/>
            <w:shd w:val="clear" w:color="auto" w:fill="E6E6E6"/>
          </w:tcPr>
          <w:p w:rsidR="00BB18FF" w:rsidRDefault="003071F4">
            <w:pPr>
              <w:pStyle w:val="Default"/>
              <w:jc w:val="both"/>
              <w:rPr>
                <w:rFonts w:ascii="Tahoma" w:hAnsi="Tahoma" w:cs="Tahoma"/>
                <w:b/>
                <w:bCs/>
                <w:noProof/>
                <w:sz w:val="20"/>
                <w:szCs w:val="20"/>
              </w:rPr>
            </w:pPr>
            <w:r>
              <w:rPr>
                <w:rFonts w:ascii="Tahoma" w:hAnsi="Tahoma"/>
                <w:b/>
                <w:noProof/>
                <w:sz w:val="20"/>
              </w:rPr>
              <w:t xml:space="preserve">Какви са различните мнения на заинтересованите страни? Кой подкрепя отделните варианти? </w:t>
            </w:r>
          </w:p>
        </w:tc>
      </w:tr>
      <w:tr w:rsidR="00BB18FF">
        <w:tc>
          <w:tcPr>
            <w:tcW w:w="9828" w:type="dxa"/>
            <w:shd w:val="clear" w:color="auto" w:fill="auto"/>
          </w:tcPr>
          <w:p w:rsidR="00BB18FF" w:rsidRDefault="003071F4">
            <w:pPr>
              <w:jc w:val="both"/>
              <w:rPr>
                <w:rFonts w:ascii="Tahoma" w:hAnsi="Tahoma" w:cs="Tahoma"/>
                <w:noProof/>
                <w:sz w:val="20"/>
                <w:szCs w:val="20"/>
              </w:rPr>
            </w:pPr>
            <w:r>
              <w:rPr>
                <w:rFonts w:ascii="Tahoma" w:hAnsi="Tahoma"/>
                <w:noProof/>
                <w:sz w:val="20"/>
              </w:rPr>
              <w:t>Като цяло заинтересованите страни подкрепят установяването на обща рамка на ЕС, но мненията на националните органи са смесени. Също така са изразени смесени мнения по</w:t>
            </w:r>
            <w:r>
              <w:rPr>
                <w:rFonts w:ascii="Tahoma" w:hAnsi="Tahoma"/>
                <w:noProof/>
                <w:sz w:val="20"/>
              </w:rPr>
              <w:t xml:space="preserve"> въпроса за гарантиране на достъпа до националните пазари на редовните превози без дискриминация и за премахване на изискването по отношение на случайните превози да се притежава пътен формуляр (основно варианти 1, 2 и 3). Налице беше широко съгласие, че п</w:t>
            </w:r>
            <w:r>
              <w:rPr>
                <w:rFonts w:ascii="Tahoma" w:hAnsi="Tahoma"/>
                <w:noProof/>
                <w:sz w:val="20"/>
              </w:rPr>
              <w:t xml:space="preserve">роцедурата за издаване на разрешително следва да се запази (основно варианти 1 и 2) и че следва да се раздели определението на автобусен терминал (основно варианти 4 и 5). Също така повечето заинтересовани страни подкрепят общите изисквания за гарантиране </w:t>
            </w:r>
            <w:r>
              <w:rPr>
                <w:rFonts w:ascii="Tahoma" w:hAnsi="Tahoma"/>
                <w:noProof/>
                <w:sz w:val="20"/>
              </w:rPr>
              <w:t>на справедливия достъп до автобусните терминали.</w:t>
            </w:r>
          </w:p>
        </w:tc>
      </w:tr>
      <w:tr w:rsidR="00BB18FF">
        <w:tc>
          <w:tcPr>
            <w:tcW w:w="9828" w:type="dxa"/>
            <w:tcBorders>
              <w:bottom w:val="single" w:sz="4" w:space="0" w:color="auto"/>
            </w:tcBorders>
            <w:shd w:val="clear" w:color="auto" w:fill="CCCCCC"/>
          </w:tcPr>
          <w:p w:rsidR="00BB18FF" w:rsidRDefault="003071F4">
            <w:pPr>
              <w:spacing w:before="60" w:after="60"/>
              <w:rPr>
                <w:rFonts w:ascii="Tahoma" w:hAnsi="Tahoma" w:cs="Tahoma"/>
                <w:b/>
                <w:noProof/>
                <w:sz w:val="20"/>
                <w:szCs w:val="20"/>
              </w:rPr>
            </w:pPr>
            <w:r>
              <w:rPr>
                <w:rFonts w:ascii="Tahoma" w:hAnsi="Tahoma"/>
                <w:b/>
                <w:noProof/>
                <w:sz w:val="20"/>
              </w:rPr>
              <w:t>В. Въздействие на предпочитания вариант</w:t>
            </w:r>
          </w:p>
        </w:tc>
      </w:tr>
      <w:tr w:rsidR="00BB18FF">
        <w:tc>
          <w:tcPr>
            <w:tcW w:w="9828" w:type="dxa"/>
            <w:tcBorders>
              <w:bottom w:val="single" w:sz="4" w:space="0" w:color="auto"/>
            </w:tcBorders>
            <w:shd w:val="clear" w:color="auto" w:fill="E6E6E6"/>
          </w:tcPr>
          <w:p w:rsidR="00BB18FF" w:rsidRDefault="003071F4">
            <w:pPr>
              <w:pStyle w:val="Default"/>
              <w:jc w:val="both"/>
              <w:rPr>
                <w:rFonts w:ascii="Tahoma" w:hAnsi="Tahoma" w:cs="Tahoma"/>
                <w:noProof/>
                <w:sz w:val="20"/>
                <w:szCs w:val="20"/>
              </w:rPr>
            </w:pPr>
            <w:r>
              <w:rPr>
                <w:rFonts w:ascii="Tahoma" w:hAnsi="Tahoma"/>
                <w:b/>
                <w:noProof/>
                <w:sz w:val="20"/>
              </w:rPr>
              <w:t xml:space="preserve">Какви са предимствата на предпочитания вариант (ако има такъв, в противен случай — на основните варианти)? </w:t>
            </w:r>
          </w:p>
        </w:tc>
      </w:tr>
      <w:tr w:rsidR="00BB18FF">
        <w:trPr>
          <w:trHeight w:val="1334"/>
        </w:trPr>
        <w:tc>
          <w:tcPr>
            <w:tcW w:w="9828" w:type="dxa"/>
            <w:tcBorders>
              <w:bottom w:val="single" w:sz="4" w:space="0" w:color="auto"/>
            </w:tcBorders>
            <w:shd w:val="clear" w:color="auto" w:fill="auto"/>
          </w:tcPr>
          <w:p w:rsidR="00BB18FF" w:rsidRDefault="003071F4">
            <w:pPr>
              <w:jc w:val="both"/>
              <w:rPr>
                <w:rFonts w:ascii="Tahoma" w:hAnsi="Tahoma" w:cs="Tahoma"/>
                <w:noProof/>
                <w:sz w:val="20"/>
                <w:szCs w:val="20"/>
              </w:rPr>
            </w:pPr>
            <w:r>
              <w:rPr>
                <w:rFonts w:ascii="Tahoma" w:hAnsi="Tahoma"/>
                <w:noProof/>
                <w:sz w:val="20"/>
              </w:rPr>
              <w:t xml:space="preserve">183 млн. евро нетни кумулативни спестени средства във </w:t>
            </w:r>
            <w:r>
              <w:rPr>
                <w:rFonts w:ascii="Tahoma" w:hAnsi="Tahoma"/>
                <w:noProof/>
                <w:sz w:val="20"/>
              </w:rPr>
              <w:t>връзка с разходите за емисиите на СО</w:t>
            </w:r>
            <w:r>
              <w:rPr>
                <w:rFonts w:ascii="Tahoma" w:hAnsi="Tahoma"/>
                <w:noProof/>
                <w:sz w:val="20"/>
                <w:vertAlign w:val="subscript"/>
              </w:rPr>
              <w:t>2</w:t>
            </w:r>
            <w:r>
              <w:rPr>
                <w:rFonts w:ascii="Tahoma" w:hAnsi="Tahoma"/>
                <w:noProof/>
                <w:sz w:val="20"/>
              </w:rPr>
              <w:t xml:space="preserve"> и 590 млн. евро нетни кумулативни спестени средства във връзка с разходите поради замърсяването на въздуха; създадени 85 000 нови работни места през 2030 г.; намаление на таксите, увеличена честота и по-голяма достъпно</w:t>
            </w:r>
            <w:r>
              <w:rPr>
                <w:rFonts w:ascii="Tahoma" w:hAnsi="Tahoma"/>
                <w:noProof/>
                <w:sz w:val="20"/>
              </w:rPr>
              <w:t>ст на превозите; спестени средства за предприятията и администрациите в рамките на 1 560 млн. евро; увеличение на автобусните превози с около 11 % през 2030 г. спрямо първоначалното ниво, а на относителния им дял — с почти 1 процентен пункт; подобряване на</w:t>
            </w:r>
            <w:r>
              <w:rPr>
                <w:rFonts w:ascii="Tahoma" w:hAnsi="Tahoma"/>
                <w:noProof/>
                <w:sz w:val="20"/>
              </w:rPr>
              <w:t xml:space="preserve"> </w:t>
            </w:r>
            <w:r>
              <w:rPr>
                <w:rFonts w:ascii="Tahoma" w:hAnsi="Tahoma"/>
                <w:noProof/>
                <w:sz w:val="20"/>
              </w:rPr>
              <w:lastRenderedPageBreak/>
              <w:t>свързаността на социалните групи в неравностойно положение с 62 млрд. пътникокилометра през 2030 г. спрямо първоначалното ниво и принос за намаление на разходите във връзка с пътнотранспортните произшествия от 2,8 млрд. евро.</w:t>
            </w:r>
          </w:p>
        </w:tc>
      </w:tr>
      <w:tr w:rsidR="00BB18FF">
        <w:tc>
          <w:tcPr>
            <w:tcW w:w="9828" w:type="dxa"/>
            <w:tcBorders>
              <w:bottom w:val="single" w:sz="4" w:space="0" w:color="auto"/>
            </w:tcBorders>
            <w:shd w:val="clear" w:color="auto" w:fill="E6E6E6"/>
          </w:tcPr>
          <w:p w:rsidR="00BB18FF" w:rsidRDefault="003071F4">
            <w:pPr>
              <w:pStyle w:val="Default"/>
              <w:jc w:val="both"/>
              <w:rPr>
                <w:rFonts w:ascii="Tahoma" w:hAnsi="Tahoma" w:cs="Tahoma"/>
                <w:noProof/>
                <w:sz w:val="20"/>
                <w:szCs w:val="20"/>
              </w:rPr>
            </w:pPr>
            <w:r>
              <w:rPr>
                <w:rFonts w:ascii="Tahoma" w:hAnsi="Tahoma"/>
                <w:b/>
                <w:noProof/>
                <w:sz w:val="20"/>
              </w:rPr>
              <w:lastRenderedPageBreak/>
              <w:t>Какви са разходите за предпо</w:t>
            </w:r>
            <w:r>
              <w:rPr>
                <w:rFonts w:ascii="Tahoma" w:hAnsi="Tahoma"/>
                <w:b/>
                <w:noProof/>
                <w:sz w:val="20"/>
              </w:rPr>
              <w:t xml:space="preserve">читания вариант (ако има такъв, в противен случай — за основните варианти)? </w:t>
            </w:r>
          </w:p>
        </w:tc>
      </w:tr>
      <w:tr w:rsidR="00BB18FF">
        <w:tc>
          <w:tcPr>
            <w:tcW w:w="9828" w:type="dxa"/>
            <w:tcBorders>
              <w:bottom w:val="single" w:sz="4" w:space="0" w:color="auto"/>
            </w:tcBorders>
            <w:shd w:val="clear" w:color="auto" w:fill="auto"/>
          </w:tcPr>
          <w:p w:rsidR="00BB18FF" w:rsidRDefault="003071F4">
            <w:pPr>
              <w:jc w:val="both"/>
              <w:rPr>
                <w:rFonts w:ascii="Tahoma" w:hAnsi="Tahoma" w:cs="Tahoma"/>
                <w:noProof/>
                <w:sz w:val="20"/>
                <w:szCs w:val="20"/>
              </w:rPr>
            </w:pPr>
            <w:r>
              <w:rPr>
                <w:rFonts w:ascii="Tahoma" w:hAnsi="Tahoma"/>
                <w:noProof/>
                <w:sz w:val="20"/>
              </w:rPr>
              <w:t>- Отрицателно, но ограничено въздействие върху другите видове транспорт с прогнозирано 4,8 % намаление на железопътните превози през 2030 г. спрямо първоначалното ниво поради по-</w:t>
            </w:r>
            <w:r>
              <w:rPr>
                <w:rFonts w:ascii="Tahoma" w:hAnsi="Tahoma"/>
                <w:noProof/>
                <w:sz w:val="20"/>
              </w:rPr>
              <w:t>добрите характеристики на автобусните превози.</w:t>
            </w:r>
          </w:p>
          <w:p w:rsidR="00BB18FF" w:rsidRDefault="003071F4">
            <w:pPr>
              <w:jc w:val="both"/>
              <w:rPr>
                <w:rFonts w:ascii="Tahoma" w:hAnsi="Tahoma" w:cs="Tahoma"/>
                <w:i/>
                <w:noProof/>
                <w:sz w:val="20"/>
                <w:szCs w:val="20"/>
              </w:rPr>
            </w:pPr>
            <w:r>
              <w:rPr>
                <w:rFonts w:ascii="Tahoma" w:hAnsi="Tahoma"/>
                <w:noProof/>
                <w:sz w:val="20"/>
              </w:rPr>
              <w:t>- Отрицателно въздействие върху някои ДОУ със загуба на приходи от ДОУ в сферата на железопътния транспорт от около 1,4 %.</w:t>
            </w:r>
          </w:p>
        </w:tc>
      </w:tr>
      <w:tr w:rsidR="00BB18FF">
        <w:tc>
          <w:tcPr>
            <w:tcW w:w="9828" w:type="dxa"/>
            <w:tcBorders>
              <w:bottom w:val="single" w:sz="4" w:space="0" w:color="auto"/>
            </w:tcBorders>
            <w:shd w:val="clear" w:color="auto" w:fill="E6E6E6"/>
          </w:tcPr>
          <w:p w:rsidR="00BB18FF" w:rsidRDefault="003071F4">
            <w:pPr>
              <w:pStyle w:val="Default"/>
              <w:jc w:val="both"/>
              <w:rPr>
                <w:rFonts w:ascii="Tahoma" w:hAnsi="Tahoma" w:cs="Tahoma"/>
                <w:noProof/>
                <w:sz w:val="20"/>
                <w:szCs w:val="20"/>
              </w:rPr>
            </w:pPr>
            <w:r>
              <w:rPr>
                <w:rFonts w:ascii="Tahoma" w:hAnsi="Tahoma"/>
                <w:b/>
                <w:noProof/>
                <w:sz w:val="20"/>
              </w:rPr>
              <w:t xml:space="preserve">Какво е въздействието върху МСП и конкурентоспособността? </w:t>
            </w:r>
          </w:p>
        </w:tc>
      </w:tr>
      <w:tr w:rsidR="00BB18FF">
        <w:tc>
          <w:tcPr>
            <w:tcW w:w="9828" w:type="dxa"/>
            <w:tcBorders>
              <w:bottom w:val="single" w:sz="4" w:space="0" w:color="auto"/>
            </w:tcBorders>
            <w:shd w:val="clear" w:color="auto" w:fill="auto"/>
          </w:tcPr>
          <w:p w:rsidR="00BB18FF" w:rsidRDefault="003071F4">
            <w:pPr>
              <w:jc w:val="both"/>
              <w:rPr>
                <w:rFonts w:ascii="Tahoma" w:hAnsi="Tahoma" w:cs="Tahoma"/>
                <w:i/>
                <w:noProof/>
                <w:sz w:val="20"/>
                <w:szCs w:val="20"/>
              </w:rPr>
            </w:pPr>
            <w:r>
              <w:rPr>
                <w:rFonts w:ascii="Tahoma" w:hAnsi="Tahoma"/>
                <w:noProof/>
                <w:sz w:val="20"/>
              </w:rPr>
              <w:t xml:space="preserve">Не се очаква повечето </w:t>
            </w:r>
            <w:r>
              <w:rPr>
                <w:rFonts w:ascii="Tahoma" w:hAnsi="Tahoma"/>
                <w:noProof/>
                <w:sz w:val="20"/>
              </w:rPr>
              <w:t>мерки да имат особено въздействие върху МСП, но се прогнозира по-голямото пазарно стимулиране да доведе до повече възможности.</w:t>
            </w:r>
          </w:p>
        </w:tc>
      </w:tr>
      <w:tr w:rsidR="00BB18FF">
        <w:tc>
          <w:tcPr>
            <w:tcW w:w="9828" w:type="dxa"/>
            <w:tcBorders>
              <w:bottom w:val="single" w:sz="4" w:space="0" w:color="auto"/>
            </w:tcBorders>
            <w:shd w:val="clear" w:color="auto" w:fill="E6E6E6"/>
          </w:tcPr>
          <w:p w:rsidR="00BB18FF" w:rsidRDefault="003071F4">
            <w:pPr>
              <w:pStyle w:val="Default"/>
              <w:jc w:val="both"/>
              <w:rPr>
                <w:rFonts w:ascii="Tahoma" w:hAnsi="Tahoma" w:cs="Tahoma"/>
                <w:noProof/>
                <w:sz w:val="20"/>
                <w:szCs w:val="20"/>
              </w:rPr>
            </w:pPr>
            <w:r>
              <w:rPr>
                <w:rFonts w:ascii="Tahoma" w:hAnsi="Tahoma"/>
                <w:b/>
                <w:noProof/>
                <w:sz w:val="20"/>
              </w:rPr>
              <w:t xml:space="preserve">Ще има ли значително въздействие върху националните бюджети и администрации? </w:t>
            </w:r>
          </w:p>
        </w:tc>
      </w:tr>
      <w:tr w:rsidR="00BB18FF">
        <w:tc>
          <w:tcPr>
            <w:tcW w:w="9828" w:type="dxa"/>
            <w:shd w:val="clear" w:color="auto" w:fill="auto"/>
          </w:tcPr>
          <w:p w:rsidR="00BB18FF" w:rsidRDefault="003071F4">
            <w:pPr>
              <w:jc w:val="both"/>
              <w:rPr>
                <w:rFonts w:ascii="Tahoma" w:hAnsi="Tahoma" w:cs="Tahoma"/>
                <w:noProof/>
                <w:sz w:val="20"/>
                <w:szCs w:val="20"/>
              </w:rPr>
            </w:pPr>
            <w:r>
              <w:rPr>
                <w:rFonts w:ascii="Tahoma" w:hAnsi="Tahoma"/>
                <w:noProof/>
                <w:sz w:val="20"/>
              </w:rPr>
              <w:t xml:space="preserve">Предпочитаните варианти ще доведат до </w:t>
            </w:r>
            <w:r>
              <w:rPr>
                <w:rFonts w:ascii="Tahoma" w:hAnsi="Tahoma"/>
                <w:noProof/>
                <w:sz w:val="20"/>
              </w:rPr>
              <w:t>допълнителни разходи за националните органи да прилагат правилата за терминалите (но тези разходи ще са значително по-малко от спестените средства за предприятията).</w:t>
            </w:r>
          </w:p>
        </w:tc>
      </w:tr>
      <w:tr w:rsidR="00BB18FF">
        <w:tc>
          <w:tcPr>
            <w:tcW w:w="9828" w:type="dxa"/>
            <w:tcBorders>
              <w:bottom w:val="single" w:sz="4" w:space="0" w:color="auto"/>
            </w:tcBorders>
            <w:shd w:val="clear" w:color="auto" w:fill="E6E6E6"/>
          </w:tcPr>
          <w:p w:rsidR="00BB18FF" w:rsidRDefault="003071F4">
            <w:pPr>
              <w:pStyle w:val="Default"/>
              <w:jc w:val="both"/>
              <w:rPr>
                <w:rFonts w:ascii="Tahoma" w:hAnsi="Tahoma" w:cs="Tahoma"/>
                <w:noProof/>
                <w:sz w:val="20"/>
                <w:szCs w:val="20"/>
              </w:rPr>
            </w:pPr>
            <w:r>
              <w:rPr>
                <w:rFonts w:ascii="Tahoma" w:hAnsi="Tahoma"/>
                <w:b/>
                <w:noProof/>
                <w:sz w:val="20"/>
              </w:rPr>
              <w:t xml:space="preserve">Ще има ли друго значително въздействие? </w:t>
            </w:r>
          </w:p>
        </w:tc>
      </w:tr>
      <w:tr w:rsidR="00BB18FF">
        <w:tc>
          <w:tcPr>
            <w:tcW w:w="9828" w:type="dxa"/>
            <w:tcBorders>
              <w:bottom w:val="single" w:sz="4" w:space="0" w:color="auto"/>
            </w:tcBorders>
            <w:shd w:val="clear" w:color="auto" w:fill="auto"/>
          </w:tcPr>
          <w:p w:rsidR="00BB18FF" w:rsidRDefault="003071F4">
            <w:pPr>
              <w:jc w:val="both"/>
              <w:rPr>
                <w:rFonts w:ascii="Tahoma" w:hAnsi="Tahoma" w:cs="Tahoma"/>
                <w:noProof/>
                <w:sz w:val="20"/>
                <w:szCs w:val="20"/>
              </w:rPr>
            </w:pPr>
            <w:r>
              <w:rPr>
                <w:rFonts w:ascii="Tahoma" w:hAnsi="Tahoma"/>
                <w:noProof/>
                <w:sz w:val="20"/>
              </w:rPr>
              <w:t>Увеличение на междуградските пътувания. Подобря</w:t>
            </w:r>
            <w:r>
              <w:rPr>
                <w:rFonts w:ascii="Tahoma" w:hAnsi="Tahoma"/>
                <w:noProof/>
                <w:sz w:val="20"/>
              </w:rPr>
              <w:t>ване на мобилността за хората, които не биха могли да си позволят пътувания, ако не се предприемат предлаганите мерки. Намаляване на отрицателните последици от междуградските пътнически превози, като емисии, пътнотранспортни произшествия и нещастни случаи,</w:t>
            </w:r>
            <w:r>
              <w:rPr>
                <w:rFonts w:ascii="Tahoma" w:hAnsi="Tahoma"/>
                <w:noProof/>
                <w:sz w:val="20"/>
              </w:rPr>
              <w:t xml:space="preserve"> задръствания, и увеличение на ефикасността при използването на транспортните ресурси.</w:t>
            </w:r>
          </w:p>
        </w:tc>
      </w:tr>
      <w:tr w:rsidR="00BB18FF">
        <w:tc>
          <w:tcPr>
            <w:tcW w:w="9828" w:type="dxa"/>
            <w:tcBorders>
              <w:bottom w:val="single" w:sz="4" w:space="0" w:color="auto"/>
            </w:tcBorders>
            <w:shd w:val="clear" w:color="auto" w:fill="E6E6E6"/>
          </w:tcPr>
          <w:p w:rsidR="00BB18FF" w:rsidRDefault="003071F4">
            <w:pPr>
              <w:pStyle w:val="Default"/>
              <w:jc w:val="both"/>
              <w:rPr>
                <w:rFonts w:ascii="Tahoma" w:hAnsi="Tahoma" w:cs="Tahoma"/>
                <w:noProof/>
                <w:sz w:val="20"/>
                <w:szCs w:val="20"/>
              </w:rPr>
            </w:pPr>
            <w:r>
              <w:rPr>
                <w:rFonts w:ascii="Tahoma" w:hAnsi="Tahoma"/>
                <w:b/>
                <w:noProof/>
                <w:sz w:val="20"/>
              </w:rPr>
              <w:t xml:space="preserve">Пропорционалност </w:t>
            </w:r>
          </w:p>
        </w:tc>
      </w:tr>
      <w:tr w:rsidR="00BB18FF">
        <w:tc>
          <w:tcPr>
            <w:tcW w:w="9828" w:type="dxa"/>
            <w:shd w:val="clear" w:color="auto" w:fill="auto"/>
          </w:tcPr>
          <w:p w:rsidR="00BB18FF" w:rsidRDefault="003071F4">
            <w:pPr>
              <w:jc w:val="both"/>
              <w:rPr>
                <w:rFonts w:ascii="Tahoma" w:hAnsi="Tahoma" w:cs="Tahoma"/>
                <w:i/>
                <w:noProof/>
                <w:sz w:val="20"/>
                <w:szCs w:val="20"/>
              </w:rPr>
            </w:pPr>
            <w:r>
              <w:rPr>
                <w:rFonts w:ascii="Tahoma" w:hAnsi="Tahoma"/>
                <w:noProof/>
                <w:sz w:val="20"/>
              </w:rPr>
              <w:t>Предпочитаните варианти не надхвърлят необходимото за решаване на първоначалния проблем и отговарят на целите на предложението.</w:t>
            </w:r>
          </w:p>
        </w:tc>
      </w:tr>
      <w:tr w:rsidR="00BB18FF">
        <w:tc>
          <w:tcPr>
            <w:tcW w:w="9828" w:type="dxa"/>
            <w:tcBorders>
              <w:bottom w:val="single" w:sz="4" w:space="0" w:color="auto"/>
            </w:tcBorders>
            <w:shd w:val="clear" w:color="auto" w:fill="C0C0C0"/>
          </w:tcPr>
          <w:p w:rsidR="00BB18FF" w:rsidRDefault="003071F4">
            <w:pPr>
              <w:spacing w:before="60" w:after="60"/>
              <w:rPr>
                <w:rFonts w:ascii="Tahoma" w:hAnsi="Tahoma" w:cs="Tahoma"/>
                <w:b/>
                <w:noProof/>
                <w:sz w:val="20"/>
                <w:szCs w:val="20"/>
              </w:rPr>
            </w:pPr>
            <w:r>
              <w:rPr>
                <w:rFonts w:ascii="Tahoma" w:hAnsi="Tahoma"/>
                <w:b/>
                <w:noProof/>
                <w:sz w:val="20"/>
              </w:rPr>
              <w:t xml:space="preserve">Г. Последващи </w:t>
            </w:r>
            <w:r>
              <w:rPr>
                <w:rFonts w:ascii="Tahoma" w:hAnsi="Tahoma"/>
                <w:b/>
                <w:noProof/>
                <w:sz w:val="20"/>
              </w:rPr>
              <w:t>действия</w:t>
            </w:r>
          </w:p>
        </w:tc>
      </w:tr>
      <w:tr w:rsidR="00BB18FF">
        <w:tc>
          <w:tcPr>
            <w:tcW w:w="9828" w:type="dxa"/>
            <w:tcBorders>
              <w:bottom w:val="single" w:sz="4" w:space="0" w:color="auto"/>
            </w:tcBorders>
            <w:shd w:val="clear" w:color="auto" w:fill="E6E6E6"/>
          </w:tcPr>
          <w:p w:rsidR="00BB18FF" w:rsidRDefault="003071F4">
            <w:pPr>
              <w:pStyle w:val="Default"/>
              <w:jc w:val="both"/>
              <w:rPr>
                <w:rFonts w:ascii="Tahoma" w:hAnsi="Tahoma" w:cs="Tahoma"/>
                <w:noProof/>
                <w:sz w:val="20"/>
                <w:szCs w:val="20"/>
              </w:rPr>
            </w:pPr>
            <w:r>
              <w:rPr>
                <w:rFonts w:ascii="Tahoma" w:hAnsi="Tahoma"/>
                <w:b/>
                <w:noProof/>
                <w:sz w:val="20"/>
              </w:rPr>
              <w:t xml:space="preserve">Кога ще се извърши преглед на политиката? </w:t>
            </w:r>
          </w:p>
        </w:tc>
      </w:tr>
      <w:tr w:rsidR="00BB18FF">
        <w:tc>
          <w:tcPr>
            <w:tcW w:w="9828" w:type="dxa"/>
            <w:tcBorders>
              <w:bottom w:val="single" w:sz="4" w:space="0" w:color="auto"/>
            </w:tcBorders>
            <w:shd w:val="clear" w:color="auto" w:fill="auto"/>
          </w:tcPr>
          <w:p w:rsidR="00BB18FF" w:rsidRDefault="003071F4">
            <w:pPr>
              <w:jc w:val="both"/>
              <w:rPr>
                <w:rFonts w:ascii="Tahoma" w:hAnsi="Tahoma" w:cs="Tahoma"/>
                <w:b/>
                <w:noProof/>
                <w:sz w:val="20"/>
                <w:szCs w:val="20"/>
              </w:rPr>
            </w:pPr>
            <w:r>
              <w:rPr>
                <w:rFonts w:ascii="Tahoma" w:hAnsi="Tahoma"/>
                <w:noProof/>
                <w:sz w:val="20"/>
              </w:rPr>
              <w:t>Пет години след като започнат да се прилагат правилата.</w:t>
            </w:r>
          </w:p>
        </w:tc>
      </w:tr>
    </w:tbl>
    <w:p w:rsidR="00BB18FF" w:rsidRDefault="00BB18FF">
      <w:pPr>
        <w:rPr>
          <w:rFonts w:ascii="Tahoma" w:hAnsi="Tahoma" w:cs="Tahoma"/>
          <w:noProof/>
          <w:sz w:val="20"/>
          <w:szCs w:val="20"/>
        </w:rPr>
      </w:pPr>
    </w:p>
    <w:sectPr w:rsidR="00BB18FF">
      <w:headerReference w:type="even" r:id="rId19"/>
      <w:headerReference w:type="default" r:id="rId20"/>
      <w:footerReference w:type="even" r:id="rId21"/>
      <w:footerReference w:type="default" r:id="rId22"/>
      <w:headerReference w:type="first" r:id="rId23"/>
      <w:footerReference w:type="first" r:id="rId24"/>
      <w:pgSz w:w="11906" w:h="16838" w:code="9"/>
      <w:pgMar w:top="1134" w:right="1417" w:bottom="1134" w:left="1417" w:header="709" w:footer="709" w:gutter="0"/>
      <w:pgNumType w:start="2"/>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EFEC13" w15:done="0"/>
  <w15:commentEx w15:paraId="6D01A7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FEC13" w16cid:durableId="1D893154"/>
  <w16cid:commentId w16cid:paraId="6D01A7CD" w16cid:durableId="1D8930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8FF" w:rsidRDefault="003071F4">
      <w:r>
        <w:separator/>
      </w:r>
    </w:p>
  </w:endnote>
  <w:endnote w:type="continuationSeparator" w:id="0">
    <w:p w:rsidR="00BB18FF" w:rsidRDefault="003071F4">
      <w:r>
        <w:continuationSeparator/>
      </w:r>
    </w:p>
  </w:endnote>
  <w:endnote w:type="continuationNotice" w:id="1">
    <w:p w:rsidR="00BB18FF" w:rsidRDefault="00BB1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F4" w:rsidRPr="003071F4" w:rsidRDefault="003071F4" w:rsidP="00307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F4" w:rsidRPr="003071F4" w:rsidRDefault="003071F4" w:rsidP="003071F4">
    <w:pPr>
      <w:pStyle w:val="FooterCoverPage"/>
      <w:rPr>
        <w:rFonts w:ascii="Arial" w:hAnsi="Arial" w:cs="Arial"/>
        <w:b/>
        <w:sz w:val="48"/>
      </w:rPr>
    </w:pPr>
    <w:r w:rsidRPr="003071F4">
      <w:rPr>
        <w:rFonts w:ascii="Arial" w:hAnsi="Arial" w:cs="Arial"/>
        <w:b/>
        <w:sz w:val="48"/>
      </w:rPr>
      <w:t>BG</w:t>
    </w:r>
    <w:r w:rsidRPr="003071F4">
      <w:rPr>
        <w:rFonts w:ascii="Arial" w:hAnsi="Arial" w:cs="Arial"/>
        <w:b/>
        <w:sz w:val="48"/>
      </w:rPr>
      <w:tab/>
    </w:r>
    <w:r w:rsidRPr="003071F4">
      <w:rPr>
        <w:rFonts w:ascii="Arial" w:hAnsi="Arial" w:cs="Arial"/>
        <w:b/>
        <w:sz w:val="48"/>
      </w:rPr>
      <w:tab/>
    </w:r>
    <w:r w:rsidRPr="003071F4">
      <w:tab/>
    </w:r>
    <w:r w:rsidRPr="003071F4">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F4" w:rsidRPr="003071F4" w:rsidRDefault="003071F4" w:rsidP="003071F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8FF" w:rsidRDefault="00BB18F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054989"/>
      <w:docPartObj>
        <w:docPartGallery w:val="Page Numbers (Bottom of Page)"/>
        <w:docPartUnique/>
      </w:docPartObj>
    </w:sdtPr>
    <w:sdtEndPr>
      <w:rPr>
        <w:noProof/>
      </w:rPr>
    </w:sdtEndPr>
    <w:sdtContent>
      <w:p w:rsidR="00BB18FF" w:rsidRDefault="003071F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BB18FF" w:rsidRDefault="00BB18F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710299"/>
      <w:docPartObj>
        <w:docPartGallery w:val="Page Numbers (Bottom of Page)"/>
        <w:docPartUnique/>
      </w:docPartObj>
    </w:sdtPr>
    <w:sdtEndPr>
      <w:rPr>
        <w:noProof/>
      </w:rPr>
    </w:sdtEndPr>
    <w:sdtContent>
      <w:p w:rsidR="00BB18FF" w:rsidRDefault="003071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18FF" w:rsidRDefault="00BB18FF">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8FF" w:rsidRDefault="003071F4">
      <w:r>
        <w:separator/>
      </w:r>
    </w:p>
  </w:footnote>
  <w:footnote w:type="continuationSeparator" w:id="0">
    <w:p w:rsidR="00BB18FF" w:rsidRDefault="003071F4">
      <w:r>
        <w:continuationSeparator/>
      </w:r>
    </w:p>
  </w:footnote>
  <w:footnote w:type="continuationNotice" w:id="1">
    <w:p w:rsidR="00BB18FF" w:rsidRDefault="00BB18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F4" w:rsidRPr="003071F4" w:rsidRDefault="003071F4" w:rsidP="00307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F4" w:rsidRPr="003071F4" w:rsidRDefault="003071F4" w:rsidP="003071F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F4" w:rsidRPr="003071F4" w:rsidRDefault="003071F4" w:rsidP="003071F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8FF" w:rsidRDefault="00BB18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8FF" w:rsidRDefault="00BB18FF">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8FF" w:rsidRDefault="00BB18FF">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3387C"/>
    <w:multiLevelType w:val="hybridMultilevel"/>
    <w:tmpl w:val="7006399E"/>
    <w:lvl w:ilvl="0" w:tplc="23DE7F78">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nsid w:val="4C4E1654"/>
    <w:multiLevelType w:val="multilevel"/>
    <w:tmpl w:val="700639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
    <w:nsid w:val="55FD19AF"/>
    <w:multiLevelType w:val="hybridMultilevel"/>
    <w:tmpl w:val="0E623F1A"/>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nsid w:val="65832DB6"/>
    <w:multiLevelType w:val="hybridMultilevel"/>
    <w:tmpl w:val="D2EE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1B39AB"/>
    <w:multiLevelType w:val="multilevel"/>
    <w:tmpl w:val="0E623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nsid w:val="77775577"/>
    <w:multiLevelType w:val="hybridMultilevel"/>
    <w:tmpl w:val="FC9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VE A3">
    <w15:presenceInfo w15:providerId="None" w15:userId="MOVE 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7?\u1088?\u1080?\u1076?\u1088?\u1091?\u1078?\u1072?\u1074?\u1072?\u1097?"/>
    <w:docVar w:name="LW_CORRIGENDUM" w:val="&lt;UNUSED&gt;"/>
    <w:docVar w:name="LW_COVERPAGE_EXISTS" w:val="True"/>
    <w:docVar w:name="LW_COVERPAGE_GUID" w:val="E4A6D5A8-A01E-4F57-A2A6-04D7747A2D55"/>
    <w:docVar w:name="LW_COVERPAGE_TYPE" w:val="1"/>
    <w:docVar w:name="LW_CROSSREFERENCE" w:val="{COM(2017) 647 final}_x000d__x000a_{SWD(2017) 358 final}_x000d_"/>
    <w:docVar w:name="LW_DocType" w:val="NORMAL"/>
    <w:docVar w:name="LW_EMISSION" w:val="8.11.2017"/>
    <w:docVar w:name="LW_EMISSION_ISODATE" w:val="2017-11-08"/>
    <w:docVar w:name="LW_EMISSION_LOCATION" w:val="BRX"/>
    <w:docVar w:name="LW_EMISSION_PREFIX" w:val="\u1041?\u1088?\u1102?\u1082?\u1089?\u1077?\u1083?,"/>
    <w:docVar w:name="LW_EMISSION_SUFFIX" w:val="\u1075?."/>
    <w:docVar w:name="LW_ID_DOCTYPE_NONLW" w:val="CP-02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79?\u1072? \u1080?\u1079?\u1084?\u1077?\u1085?\u1077?\u1085?\u1080?\u1077? \u1085?\u1072? \u1056?\u1077?\u1075?\u1083?\u1072?\u1084?\u1077?\u1085?\u1090? (\u1045?\u1054?) \u8470? 1073/2009 \u1086?\u1090?\u1085?\u1086?\u1089?\u1085?\u1086? \u1086?\u1073?\u1097?\u1080?\u1090?\u1077? \u1087?\u1088?\u1072?\u1074?\u1080?\u1083?\u1072? \u1079?\u1072? \u1076?\u1086?\u1089?\u1090?\u1098?\u1087? \u1076?\u1086? \u1084?\u1077?\u1078?\u1076?\u1091?\u1085?\u1072?\u1088?\u1086?\u1076?\u1085?\u1080?\u1103? \u1087?\u1072?\u1079?\u1072?\u1088? \u1085?\u1072? \u1072?\u1074?\u1090?\u1086?\u1073?\u1091?\u1089?\u1085?\u1080? \u1087?\u1088?\u1077?\u1074?\u1086?\u1079?\u1080?_x000b_"/>
    <w:docVar w:name="LW_PART_NBR" w:val="1"/>
    <w:docVar w:name="LW_PART_NBR_TOTAL" w:val="1"/>
    <w:docVar w:name="LW_REF.INST.NEW" w:val="SWD"/>
    <w:docVar w:name="LW_REF.INST.NEW_ADOPTED" w:val="final"/>
    <w:docVar w:name="LW_REF.INST.NEW_TEXT" w:val="(2017) 3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u1056?\u1040?\u1041?\u1054?\u1058?\u1045?\u1053? \u1044?\u1054?\u1050?\u1059?\u1052?\u1045?\u1053?\u1058? \u1053?\u1040? \u1057?\u1051?\u1059?\u1046?\u1041?\u1048?\u1058?\u1045? \u1053?\u1040? \u1050?\u1054?\u1052?\u1048?\u1057?\u1048?\u1071?\u1058?\u1040?_x000b__x000b_\u1054?\u1041?\u1054?\u1041?\u1065?\u1045?\u1053?\u1040? \u1054?\u1062?\u1045?\u1053?\u1050?\u1040? \u1053?\u1040? \u1042?\u1066?\u1047?\u1044?\u1045?\u1049?\u1057?\u1058?\u1042?\u1048?\u1045?\u1058?\u1054?_x000b_"/>
    <w:docVar w:name="LW_TYPEACTEPRINCIPAL.CP" w:val="\u1055?\u1088?\u1077?\u1076?\u1083?\u1086?\u1078?\u1077?\u1085?\u1080?\u1077? \u1079?\u1072? \u1056?\u1077?\u1075?\u1083?\u1072?\u1084?\u1077?\u1085?\u1090? \u1085?\u1072? \u1045?\u1074?\u1088?\u1086?\u1087?\u1077?\u1081?\u1089?\u1082?\u1080?\u1103? \u1087?\u1072?\u1088?\u1083?\u1072?\u1084?\u1077?\u1085?\u1090? \u1080? \u1085?\u1072? \u1057?\u1098?\u1074?\u1077?\u1090?\u1072?_x000b_"/>
  </w:docVars>
  <w:rsids>
    <w:rsidRoot w:val="00BB18FF"/>
    <w:rsid w:val="003071F4"/>
    <w:rsid w:val="00BB1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bidi="ar-SA"/>
    </w:rPr>
  </w:style>
  <w:style w:type="paragraph" w:styleId="FootnoteText">
    <w:name w:val="footnote text"/>
    <w:basedOn w:val="Normal"/>
    <w:semiHidden/>
    <w:pPr>
      <w:ind w:left="720" w:hanging="720"/>
      <w:jc w:val="both"/>
    </w:pPr>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rFonts w:eastAsiaTheme="minorHAnsi"/>
      <w:sz w:val="24"/>
      <w:szCs w:val="22"/>
      <w:lang w:eastAsia="en-US" w:bidi="ar-SA"/>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Default">
    <w:name w:val="Default"/>
    <w:pPr>
      <w:autoSpaceDE w:val="0"/>
      <w:autoSpaceDN w:val="0"/>
      <w:adjustRightInd w:val="0"/>
    </w:pPr>
    <w:rPr>
      <w:color w:val="000000"/>
      <w:sz w:val="24"/>
      <w:szCs w:val="24"/>
    </w:rPr>
  </w:style>
  <w:style w:type="character" w:styleId="Hyperlink">
    <w:name w:val="Hyperlink"/>
    <w:basedOn w:val="DefaultParagraphFont"/>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FooterChar">
    <w:name w:val="Footer Char"/>
    <w:basedOn w:val="DefaultParagraphFont"/>
    <w:link w:val="Footer"/>
    <w:uiPriority w:val="99"/>
    <w:rPr>
      <w:rFonts w:eastAsiaTheme="minorHAnsi"/>
      <w:sz w:val="24"/>
      <w:szCs w:val="22"/>
      <w:lang w:eastAsia="en-US" w:bidi="ar-SA"/>
    </w:rPr>
  </w:style>
  <w:style w:type="paragraph" w:customStyle="1" w:styleId="Declassification">
    <w:name w:val="Declassification"/>
    <w:basedOn w:val="Normal"/>
    <w:next w:val="Normal"/>
    <w:pPr>
      <w:jc w:val="both"/>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bidi="ar-SA"/>
    </w:rPr>
  </w:style>
  <w:style w:type="paragraph" w:styleId="FootnoteText">
    <w:name w:val="footnote text"/>
    <w:basedOn w:val="Normal"/>
    <w:semiHidden/>
    <w:pPr>
      <w:ind w:left="720" w:hanging="720"/>
      <w:jc w:val="both"/>
    </w:pPr>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rFonts w:eastAsiaTheme="minorHAnsi"/>
      <w:sz w:val="24"/>
      <w:szCs w:val="22"/>
      <w:lang w:eastAsia="en-US" w:bidi="ar-SA"/>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Default">
    <w:name w:val="Default"/>
    <w:pPr>
      <w:autoSpaceDE w:val="0"/>
      <w:autoSpaceDN w:val="0"/>
      <w:adjustRightInd w:val="0"/>
    </w:pPr>
    <w:rPr>
      <w:color w:val="000000"/>
      <w:sz w:val="24"/>
      <w:szCs w:val="24"/>
    </w:rPr>
  </w:style>
  <w:style w:type="character" w:styleId="Hyperlink">
    <w:name w:val="Hyperlink"/>
    <w:basedOn w:val="DefaultParagraphFont"/>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FooterChar">
    <w:name w:val="Footer Char"/>
    <w:basedOn w:val="DefaultParagraphFont"/>
    <w:link w:val="Footer"/>
    <w:uiPriority w:val="99"/>
    <w:rPr>
      <w:rFonts w:eastAsiaTheme="minorHAnsi"/>
      <w:sz w:val="24"/>
      <w:szCs w:val="22"/>
      <w:lang w:eastAsia="en-US" w:bidi="ar-SA"/>
    </w:rPr>
  </w:style>
  <w:style w:type="paragraph" w:customStyle="1" w:styleId="Declassification">
    <w:name w:val="Declassification"/>
    <w:basedOn w:val="Normal"/>
    <w:next w:val="Normal"/>
    <w:pPr>
      <w:jc w:val="both"/>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FF24BEE692C4CA94781A66E31F216" ma:contentTypeVersion="1" ma:contentTypeDescription="Create a new document." ma:contentTypeScope="" ma:versionID="7d6ee1b4a7e3a71187b7d9d3fe1f6443">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5FE9-6CE3-4E9C-B9CD-1391676A2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7B3CE-EE00-43FE-BE10-7423387A8B58}">
  <ds:schemaRefs>
    <ds:schemaRef ds:uri="http://schemas.microsoft.com/sharepoint/v3/contenttype/forms"/>
  </ds:schemaRefs>
</ds:datastoreItem>
</file>

<file path=customXml/itemProps3.xml><?xml version="1.0" encoding="utf-8"?>
<ds:datastoreItem xmlns:ds="http://schemas.openxmlformats.org/officeDocument/2006/customXml" ds:itemID="{23424173-A8CF-4AAB-BE0C-126D8400FDC0}">
  <ds:schemaRef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272425D4-0D7B-4AB1-9023-95447708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785</Words>
  <Characters>4714</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ROADMAP (Template)</vt:lpstr>
    </vt:vector>
  </TitlesOfParts>
  <Manager/>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(Template)</dc:title>
  <dc:creator/>
  <cp:lastModifiedBy>PAREDES ECHAURI Cristina (CAB-ALMUNIA)</cp:lastModifiedBy>
  <cp:revision>23</cp:revision>
  <cp:lastPrinted>2017-02-23T16:54:00Z</cp:lastPrinted>
  <dcterms:created xsi:type="dcterms:W3CDTF">2017-10-12T07:29:00Z</dcterms:created>
  <dcterms:modified xsi:type="dcterms:W3CDTF">2017-11-15T10:37:00Z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0x010100622FF24BEE692C4CA94781A66E31F216</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Order">
    <vt:r8>400</vt:r8>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y fmtid="{D5CDD505-2E9C-101B-9397-08002B2CF9AE}" pid="11" name="Level of sensitivity">
    <vt:lpwstr>Standard treatment</vt:lpwstr>
  </property>
</Properties>
</file>