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C1D97DD-7215-4D59-A459-4CC7782099EA" style="width:450.45pt;height:599.6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rPr>
            </w:pPr>
            <w:r>
              <w:rPr>
                <w:rFonts w:ascii="Tahoma" w:hAnsi="Tahoma"/>
                <w:noProof/>
                <w:color w:val="FFFFFF" w:themeColor="background1"/>
              </w:rPr>
              <w:t>Оценка на въздействието относно: Предложение за изменение на регламентите за създаване на Европейски надзорни органи (Регламент (ЕС) № 1093/2010; Регламент (ЕС) № 1094/2010 и Регламент (ЕС) № 1095/2010)</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b/>
                <w:noProof/>
              </w:rPr>
              <w:t xml:space="preserve">Защо? В какво се състои проблемът? </w:t>
            </w:r>
            <w:r>
              <w:rPr>
                <w:rFonts w:ascii="Tahoma" w:hAnsi="Tahoma"/>
                <w:noProof/>
                <w:u w:val="single"/>
              </w:rPr>
              <w:t>Максимум 11 реда</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Шест години след началото на прилагането на нормативната уредба за ЕНО бяха установени следните проблеми: </w:t>
            </w:r>
          </w:p>
          <w:p>
            <w:pPr>
              <w:jc w:val="both"/>
              <w:rPr>
                <w:rFonts w:ascii="Arial" w:hAnsi="Arial" w:cs="Arial"/>
                <w:noProof/>
              </w:rPr>
            </w:pPr>
            <w:r>
              <w:rPr>
                <w:rFonts w:ascii="Arial" w:hAnsi="Arial"/>
                <w:noProof/>
              </w:rPr>
              <w:t xml:space="preserve">1) </w:t>
            </w:r>
            <w:r>
              <w:rPr>
                <w:rFonts w:ascii="Arial" w:hAnsi="Arial"/>
                <w:b/>
                <w:noProof/>
              </w:rPr>
              <w:t>Ограничено упражняване на правомощията на ЕНО</w:t>
            </w:r>
            <w:r>
              <w:rPr>
                <w:rFonts w:ascii="Arial" w:hAnsi="Arial"/>
                <w:noProof/>
              </w:rPr>
              <w:t xml:space="preserve">. ЕНО са изправени пред ограничения при упражняването на пълните си правомощия и постигането на необходимите резултати от регулаторната си дейност, особено що се отнася до сближаването на надзорните практики, като тези ограничения може да станат още по-големи със задълбочаването на финансовата интеграция. Проблемите произтичат от несъответствията в начина, по който са формулирани техните </w:t>
            </w:r>
            <w:r>
              <w:rPr>
                <w:rFonts w:ascii="Arial" w:hAnsi="Arial"/>
                <w:noProof/>
                <w:u w:val="single"/>
              </w:rPr>
              <w:t>правомощия</w:t>
            </w:r>
            <w:r>
              <w:rPr>
                <w:rFonts w:ascii="Arial" w:hAnsi="Arial"/>
                <w:noProof/>
              </w:rPr>
              <w:t>, начина на вземане на решения (</w:t>
            </w:r>
            <w:r>
              <w:rPr>
                <w:rFonts w:ascii="Arial" w:hAnsi="Arial"/>
                <w:noProof/>
                <w:u w:val="single"/>
              </w:rPr>
              <w:t>управленческа дейност</w:t>
            </w:r>
            <w:r>
              <w:rPr>
                <w:rFonts w:ascii="Arial" w:hAnsi="Arial"/>
                <w:noProof/>
              </w:rPr>
              <w:t xml:space="preserve">), както и от обезпечените за тези задачи </w:t>
            </w:r>
            <w:r>
              <w:rPr>
                <w:rFonts w:ascii="Arial" w:hAnsi="Arial"/>
                <w:noProof/>
                <w:u w:val="single"/>
              </w:rPr>
              <w:t>ресурси</w:t>
            </w:r>
            <w:r>
              <w:rPr>
                <w:rFonts w:ascii="Arial" w:hAnsi="Arial"/>
                <w:noProof/>
              </w:rPr>
              <w:t xml:space="preserve">. </w:t>
            </w:r>
          </w:p>
          <w:p>
            <w:pPr>
              <w:jc w:val="both"/>
              <w:rPr>
                <w:rFonts w:ascii="Arial" w:hAnsi="Arial" w:cs="Arial"/>
                <w:noProof/>
              </w:rPr>
            </w:pPr>
            <w:r>
              <w:rPr>
                <w:rFonts w:ascii="Arial" w:hAnsi="Arial"/>
                <w:noProof/>
              </w:rPr>
              <w:t xml:space="preserve">2) </w:t>
            </w:r>
            <w:r>
              <w:rPr>
                <w:rFonts w:ascii="Arial" w:hAnsi="Arial"/>
                <w:b/>
                <w:noProof/>
              </w:rPr>
              <w:t>Съществуващите правомощия не съответстват на необходимостта от задълбочаване на пазарната интеграция в бъдеще</w:t>
            </w:r>
            <w:r>
              <w:rPr>
                <w:rFonts w:ascii="Arial" w:hAnsi="Arial"/>
                <w:noProof/>
              </w:rPr>
              <w:t xml:space="preserve">. Този проблем произтича от ограничения обхват на техните правомощия във връзка с усилията за по-нататъшно интегриране на пазарите. Той се състои главно в </w:t>
            </w:r>
            <w:r>
              <w:rPr>
                <w:rFonts w:ascii="Arial" w:hAnsi="Arial"/>
                <w:noProof/>
                <w:u w:val="single"/>
              </w:rPr>
              <w:t>липсата на някои правомощия</w:t>
            </w:r>
            <w:r>
              <w:rPr>
                <w:rFonts w:ascii="Arial" w:hAnsi="Arial"/>
                <w:noProof/>
              </w:rPr>
              <w:t xml:space="preserve"> и задачи, свързани с големите европейски трансгранични предприятия, продукти или пазарни инфраструктури, както и с инструменти от трети държави и други аспекти.  Неадекватните модели на  </w:t>
            </w:r>
            <w:r>
              <w:rPr>
                <w:rFonts w:ascii="Arial" w:hAnsi="Arial"/>
                <w:noProof/>
                <w:u w:val="single"/>
              </w:rPr>
              <w:t>управление</w:t>
            </w:r>
            <w:r>
              <w:rPr>
                <w:rFonts w:ascii="Arial" w:hAnsi="Arial"/>
                <w:noProof/>
              </w:rPr>
              <w:t xml:space="preserve"> и </w:t>
            </w:r>
            <w:r>
              <w:rPr>
                <w:rFonts w:ascii="Arial" w:hAnsi="Arial"/>
                <w:noProof/>
                <w:u w:val="single"/>
              </w:rPr>
              <w:t>финансиране</w:t>
            </w:r>
            <w:r>
              <w:rPr>
                <w:rFonts w:ascii="Arial" w:hAnsi="Arial"/>
                <w:noProof/>
              </w:rPr>
              <w:t xml:space="preserve"> влошават ситуацията, като допълнително възпрепятстват ефективното упражняване на по-широки правомощия.  </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Какви са очакванията към настоящата инициатива? </w:t>
            </w:r>
            <w:r>
              <w:rPr>
                <w:rFonts w:ascii="Tahoma" w:hAnsi="Tahoma"/>
                <w:noProof/>
                <w:u w:val="single"/>
              </w:rPr>
              <w:t>Максимум 8 реда</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Целта на преразглеждането на </w:t>
            </w:r>
            <w:r>
              <w:rPr>
                <w:rFonts w:ascii="Arial" w:hAnsi="Arial"/>
                <w:b/>
                <w:noProof/>
              </w:rPr>
              <w:t>правомощията на ЕНО</w:t>
            </w:r>
            <w:r>
              <w:rPr>
                <w:rFonts w:ascii="Arial" w:hAnsi="Arial"/>
                <w:noProof/>
              </w:rPr>
              <w:t xml:space="preserve"> е да се създаде ефективен и ефикасен надзор над финансовите и капиталовите пазари в ЕС, по-специално по отношение на трансграничните дейности и субекти. Това ще подобри финансовата стабилност, ще подсигури подходяща защита на потребителите и инвеститорите и правилно функциониране на финансовите пазари в Съюза. Целта на преразглеждането на структурата на </w:t>
            </w:r>
            <w:r>
              <w:rPr>
                <w:rFonts w:ascii="Arial" w:hAnsi="Arial"/>
                <w:b/>
                <w:noProof/>
              </w:rPr>
              <w:t>управленческата дейност</w:t>
            </w:r>
            <w:r>
              <w:rPr>
                <w:rFonts w:ascii="Arial" w:hAnsi="Arial"/>
                <w:noProof/>
              </w:rPr>
              <w:t xml:space="preserve"> на ЕНО е да се гарантира, че те разполагат с ефективни инструменти за изпълнение на правомощията и задачите си, както и за вземане на бързи решения в интерес на ЕС и съобразно актуалните предизвикателства. Преразглеждането на </w:t>
            </w:r>
            <w:r>
              <w:rPr>
                <w:rFonts w:ascii="Arial" w:hAnsi="Arial"/>
                <w:b/>
                <w:noProof/>
              </w:rPr>
              <w:t>финансирането</w:t>
            </w:r>
            <w:r>
              <w:rPr>
                <w:rFonts w:ascii="Arial" w:hAnsi="Arial"/>
                <w:noProof/>
              </w:rPr>
              <w:t xml:space="preserve"> на ЕНО има за цел да подсигури достатъчно средства с оглед на задачите и правомощията на ЕНО, както и пропорционално разпределение на разходите между всички страни.  </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Каква е добавената стойност от действие на равнището на ЕС?</w:t>
            </w:r>
            <w:r>
              <w:rPr>
                <w:rFonts w:ascii="Tahoma" w:hAnsi="Tahoma"/>
                <w:noProof/>
              </w:rPr>
              <w:t xml:space="preserve"> </w:t>
            </w:r>
            <w:r>
              <w:rPr>
                <w:rFonts w:ascii="Tahoma" w:hAnsi="Tahoma"/>
                <w:noProof/>
                <w:u w:val="single"/>
              </w:rPr>
              <w:t>Максимум 7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Трансграничната интеграция на финансовите пазари подобрява достъпа до финансиране, инвестиционните възможности и управлението на риска, което е от полза за икономиката на ЕС. Подобренията в нормативната уредба относно европейските надзорни органи ще насърчат пазарната интеграция и ще подсигурят сигурна и стабилна надзорна среда. Тъй като начинът, по който ЕНО работят, е залегнал в законодателството на ЕС, желаните подобрения могат да се постигнат само с действия на равнище ЕС.</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Какви законодателни и незаконодателни варианти на политиката бяха взети под внимание? Има ли предпочитан вариант? Защо?</w:t>
            </w:r>
            <w:r>
              <w:rPr>
                <w:rFonts w:ascii="Tahoma" w:hAnsi="Tahoma"/>
                <w:noProof/>
              </w:rPr>
              <w:t xml:space="preserve"> </w:t>
            </w:r>
            <w:r>
              <w:rPr>
                <w:rFonts w:ascii="Tahoma" w:hAnsi="Tahoma"/>
                <w:noProof/>
                <w:u w:val="single"/>
              </w:rPr>
              <w:t>Максимум 14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Установените проблеми с правомощията, управленческата дейност и финансирането на ЕНО изискват изменение на регламентите за ЕНО, както и на някои секторни законодателни актове. Що се отнася до правомощията, предпочитаният вариант включва уточняване и засилване на някои съществуващи правомощия и предоставяне на нови правомощия на европейските надзорни органи в целеви области.  Това отразява значението на трансграничните дейности и увеличаването на достиженията на общностното право в областта на финансовите услуги.</w:t>
            </w:r>
            <w:r>
              <w:rPr>
                <w:noProof/>
                <w:sz w:val="22"/>
              </w:rPr>
              <w:t xml:space="preserve"> </w:t>
            </w:r>
            <w:r>
              <w:rPr>
                <w:rFonts w:ascii="Arial" w:hAnsi="Arial"/>
                <w:noProof/>
              </w:rPr>
              <w:t>Последното се отнася по-специално до предоставянето на ЕОЦКП на правомощия спрямо доставчиците на услуги за докладване на данни, европейските фондове за дългосрочни инвестиции (ЕФДИ) и предприятията за колективно инвестиране, използващи обозначения на ЕС (EuVECA и EuSEF), или техните управляващи лица, както и във връзка с (критични) референтни показатели и проспекти.</w:t>
            </w:r>
          </w:p>
          <w:p>
            <w:pPr>
              <w:jc w:val="both"/>
              <w:rPr>
                <w:rFonts w:ascii="Arial" w:hAnsi="Arial" w:cs="Arial"/>
                <w:noProof/>
              </w:rPr>
            </w:pPr>
            <w:r>
              <w:rPr>
                <w:rFonts w:ascii="Arial" w:hAnsi="Arial"/>
                <w:noProof/>
              </w:rPr>
              <w:t xml:space="preserve">В областта на управлението предпочитаният вариант включва: адаптиране на обхвата на вземане на решения в Съвета на надзорниците; замяна на Управителния съвет с Изпълнителен съвет, състоящ се от независими членове на пълно работно време, като се повишава тяхната роля при вземането на решения относно някои нерегулаторни задачи; засилване на правомощията на председателя и назначаването му отвън.   </w:t>
            </w:r>
          </w:p>
          <w:p>
            <w:pPr>
              <w:jc w:val="both"/>
              <w:rPr>
                <w:rFonts w:ascii="Arial" w:hAnsi="Arial" w:cs="Arial"/>
                <w:noProof/>
              </w:rPr>
            </w:pPr>
            <w:r>
              <w:rPr>
                <w:rFonts w:ascii="Arial" w:hAnsi="Arial"/>
                <w:noProof/>
              </w:rPr>
              <w:t>Сегашният режим на финансиране ще бъде заменен с модел на смесено финансиране, който съчетава вноски от бюджета на ЕС и вноски от сектора, които ще гарантират достатъчно средства с оглед на увеличаващите се задачи на ЕНО, както и пропорционалност при разпределянето на разходите.</w:t>
            </w:r>
          </w:p>
        </w:tc>
      </w:tr>
      <w:tr>
        <w:tc>
          <w:tcPr>
            <w:tcW w:w="10188" w:type="dxa"/>
            <w:shd w:val="clear" w:color="auto" w:fill="CCCCCC"/>
          </w:tcPr>
          <w:p>
            <w:pPr>
              <w:spacing w:before="60"/>
              <w:jc w:val="both"/>
              <w:rPr>
                <w:rFonts w:ascii="Tahoma" w:hAnsi="Tahoma" w:cs="Tahoma"/>
                <w:noProof/>
              </w:rPr>
            </w:pPr>
            <w:r>
              <w:rPr>
                <w:rFonts w:ascii="Tahoma" w:hAnsi="Tahoma"/>
                <w:b/>
                <w:noProof/>
              </w:rPr>
              <w:t>Каква е подкрепата за различните варианти?</w:t>
            </w:r>
            <w:r>
              <w:rPr>
                <w:rFonts w:ascii="Tahoma" w:hAnsi="Tahoma"/>
                <w:noProof/>
              </w:rPr>
              <w:t xml:space="preserve"> </w:t>
            </w:r>
            <w:r>
              <w:rPr>
                <w:rFonts w:ascii="Tahoma" w:hAnsi="Tahoma"/>
                <w:noProof/>
                <w:u w:val="single"/>
              </w:rPr>
              <w:t>Максимум 7 реда</w:t>
            </w:r>
            <w:r>
              <w:rPr>
                <w:rFonts w:ascii="Tahoma" w:hAnsi="Tahoma"/>
                <w:noProof/>
              </w:rPr>
              <w:t xml:space="preserve"> </w:t>
            </w:r>
          </w:p>
        </w:tc>
      </w:tr>
      <w:tr>
        <w:tc>
          <w:tcPr>
            <w:tcW w:w="10188" w:type="dxa"/>
            <w:shd w:val="clear" w:color="auto" w:fill="auto"/>
          </w:tcPr>
          <w:p>
            <w:pPr>
              <w:jc w:val="both"/>
              <w:rPr>
                <w:rFonts w:ascii="Arial" w:eastAsiaTheme="minorEastAsia" w:hAnsi="Arial" w:cs="Arial"/>
                <w:noProof/>
              </w:rPr>
            </w:pPr>
            <w:r>
              <w:rPr>
                <w:rFonts w:ascii="Arial" w:hAnsi="Arial"/>
                <w:noProof/>
              </w:rPr>
              <w:t xml:space="preserve">Мненията на заинтересовани страни за засилването и предоставянето на нови правомощия на ЕНО не са еднозначни.  Някои институции на ЕС изразиха подкрепа за засилването и предоставянето на нови правомощия на европейските надзорни органи.  Участниците в обществената консултация се произнесоха само за централните контрагенти, доставчиците на услуги за данни и някои фондове на ЕС.  Повечето респонденти не дадоха отговор на въпроса за прекия надзор.  Различни заинтересовани страни (международни организации, институции на ЕС, браншови организации и някои публични органи) подкрепят корекциите в модела на управление, който цели по-голяма ефективност и по-добри и стимулиращи механизми.  Промените в модела на финансиране и преходът към финансиране от страна на самия сектор се подкрепят основно от Парламента и в по-ограничена степен от публичните органи.  Повечето заинтересовани страни нямат задълбочена представа за финансирането или вътрешното управление на ЕНО.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Какви са ползите от предпочитания вариант (ако има такъв; в противен случай — от основните варианти)?</w:t>
            </w:r>
            <w:r>
              <w:rPr>
                <w:rFonts w:ascii="Tahoma" w:hAnsi="Tahoma"/>
                <w:noProof/>
              </w:rPr>
              <w:t xml:space="preserve"> </w:t>
            </w:r>
            <w:r>
              <w:rPr>
                <w:rFonts w:ascii="Tahoma" w:hAnsi="Tahoma"/>
                <w:noProof/>
                <w:u w:val="single"/>
              </w:rPr>
              <w:t>Максимум 12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i/>
                <w:noProof/>
              </w:rPr>
            </w:pPr>
            <w:r>
              <w:rPr>
                <w:rFonts w:ascii="Arial" w:hAnsi="Arial"/>
                <w:noProof/>
              </w:rPr>
              <w:t>Централизирането на някои задачи и правомощия на ЕНО би довело до значителни ползи за ефикасността и ефективността на надзора в целия ЕС. Предпочитаният вариант ще намали разходите за предприятията и националните компетентни органи; ще доведе до по-единно прилагане на правото на ЕС и до ограничаване на риска от неправилно тълкуване. Включването на независими постоянни членове в състава на управителните съвети на европейските надзорни органи осигурява европейска перспектива в процедурата по вземане на решение. Тя ще балансира мненията на представителите на националните компетентни органи, които е по-вероятно да бъдат изправени пред конфликт на интереси. Постоянните членове също така ще гарантират повече приемственост и дългосрочна перспектива на европейските надзорни органи в процеса на вземане на решения. Предоставянето на права на глас на председателя ще повиши неговата роля. Смесеният модел на финансиране гарантира, че бюджетът на ЕНО може по-добре да посреща нуждите, при запазване на сегашния бюджетен контрол и отчитане пред институциите на ЕС. Освен това с него се въвежда принципът на пропорционалност при разпределянето на разходите.</w:t>
            </w:r>
            <w:r>
              <w:rPr>
                <w:noProof/>
              </w:rPr>
              <w:t xml:space="preserve"> </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Какви са разходите за предпочитания вариант (ако има такъв, в противен случай — за основните варианти)?</w:t>
            </w:r>
            <w:r>
              <w:rPr>
                <w:rFonts w:ascii="Tahoma" w:hAnsi="Tahoma"/>
                <w:noProof/>
              </w:rPr>
              <w:t xml:space="preserve"> </w:t>
            </w:r>
            <w:r>
              <w:rPr>
                <w:rFonts w:ascii="Tahoma" w:hAnsi="Tahoma"/>
                <w:noProof/>
                <w:u w:val="single"/>
              </w:rPr>
              <w:t>Максимум 12 реда</w:t>
            </w:r>
            <w:r>
              <w:rPr>
                <w:rFonts w:ascii="Tahoma" w:hAnsi="Tahoma"/>
                <w:noProof/>
              </w:rPr>
              <w:t xml:space="preserve">                                      </w:t>
            </w:r>
          </w:p>
        </w:tc>
      </w:tr>
      <w:tr>
        <w:trPr>
          <w:trHeight w:val="601"/>
        </w:trP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Въвеждането на предпочитаните варианти, що се отнася до правомощията, управлението и финансирането, се очаква да не окаже отрицателно въздействие върху бюджета на ЕС. Това се дължи на факта, че предложената методология е в съответствие с таваните на финансиране, предвидени в действащата МФР, като същевременно позволява на ЕНО да използват допълнително финансиране от частния сектор. Освен това прекият надзор ще бъде финансиран от такси, начислявани директно на поднадзорните субекти.  По-интензивното използване на съществуващите правомощия на ЕНО и на евентуални нови непреки правомощия за надзор ще доведе до по-високи разходи за ЕНО, които обаче следва да бъдат компенсирани с икономии на разходи от по-ефективния надзор.</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Какви ще са последиците за предприятията, МСП и микропредприятията? </w:t>
            </w:r>
            <w:r>
              <w:rPr>
                <w:rFonts w:ascii="Tahoma" w:hAnsi="Tahoma"/>
                <w:noProof/>
                <w:u w:val="single"/>
              </w:rPr>
              <w:t>Максимум 8 реда</w:t>
            </w:r>
          </w:p>
        </w:tc>
      </w:tr>
      <w:tr>
        <w:tc>
          <w:tcPr>
            <w:tcW w:w="10188" w:type="dxa"/>
            <w:tcBorders>
              <w:bottom w:val="single" w:sz="4" w:space="0" w:color="auto"/>
            </w:tcBorders>
            <w:shd w:val="clear" w:color="auto" w:fill="auto"/>
          </w:tcPr>
          <w:p>
            <w:pPr>
              <w:jc w:val="both"/>
              <w:rPr>
                <w:rFonts w:ascii="Arial" w:eastAsiaTheme="minorHAnsi" w:hAnsi="Arial" w:cs="Arial"/>
                <w:noProof/>
              </w:rPr>
            </w:pPr>
            <w:r>
              <w:rPr>
                <w:rFonts w:ascii="Arial" w:eastAsiaTheme="minorHAnsi" w:hAnsi="Arial"/>
                <w:noProof/>
              </w:rPr>
              <w:t>Предприятията, независимо от своя размер, ще имат полза от по-интегрираните финансови пазари, предлагащи по-добри възможности за финансиране, инвестиции, управление на риска, както и от по-голямата сигурност и стабилност, произтичащи от по-интегрирания пазарен надзор. Освен това, в качеството си на данъкоплатци, те ще имат ползи от отпадането на разходите за ЕНО, тъй като това от своя страна ще се намали натискът върху данъците.  Що се отнася до малките и средните доставчици на финансови услуги, вноските и таксите ще бъдат разпределяни пропорционално на размера на дейността им.</w:t>
            </w: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b/>
                <w:noProof/>
              </w:rPr>
              <w:t>Ще има ли значително въздействие върху националните бюджети и администрации?</w:t>
            </w:r>
            <w:r>
              <w:rPr>
                <w:rFonts w:ascii="Tahoma" w:hAnsi="Tahoma"/>
                <w:noProof/>
              </w:rPr>
              <w:t xml:space="preserve"> </w:t>
            </w:r>
            <w:r>
              <w:rPr>
                <w:rFonts w:ascii="Tahoma" w:hAnsi="Tahoma"/>
                <w:noProof/>
                <w:u w:val="single"/>
              </w:rPr>
              <w:t>Максимум 4 реда</w:t>
            </w:r>
          </w:p>
        </w:tc>
      </w:tr>
      <w:tr>
        <w:tc>
          <w:tcPr>
            <w:tcW w:w="10188" w:type="dxa"/>
            <w:shd w:val="clear" w:color="auto" w:fill="auto"/>
          </w:tcPr>
          <w:p>
            <w:pPr>
              <w:jc w:val="both"/>
              <w:rPr>
                <w:rFonts w:ascii="Arial" w:eastAsiaTheme="minorHAnsi" w:hAnsi="Arial" w:cs="Arial"/>
                <w:noProof/>
              </w:rPr>
            </w:pPr>
            <w:r>
              <w:rPr>
                <w:rFonts w:ascii="Arial" w:eastAsiaTheme="minorHAnsi" w:hAnsi="Arial"/>
                <w:noProof/>
              </w:rPr>
              <w:t>Националните компетентни органи ще бъдат освободени от действащото в момента задължение за участие в бюджета на ЕНО. Някои от промените, свързани с разпределението на правомощията за вземане на решения (по-голяма роля на новосъздадения Изпълнителен съвет) и с възлагането на нови преки правомощия на европейските надзорни органи в конкретни области, ще ограничат ролята на националните компетентни органи с цел увеличаване на реалната добавена стойност от действия на равнище ЕС.</w:t>
            </w:r>
            <w:r>
              <w:rPr>
                <w:noProof/>
              </w:rPr>
              <w:t xml:space="preserve">  </w:t>
            </w:r>
            <w:r>
              <w:rPr>
                <w:rFonts w:ascii="Arial" w:hAnsi="Arial"/>
                <w:noProof/>
              </w:rPr>
              <w:t>В нетно изражение не следва да има  отражение върху националните бюджети или, ако има такова, то ще бъде положително (предвид допълнителните икономии от отпадането на плащанията към бюджета на ЕНО).</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Ще има ли друго значително въздействие?</w:t>
            </w:r>
            <w:r>
              <w:rPr>
                <w:rFonts w:ascii="Tahoma" w:hAnsi="Tahoma"/>
                <w:noProof/>
              </w:rPr>
              <w:t xml:space="preserve"> </w:t>
            </w:r>
            <w:r>
              <w:rPr>
                <w:rFonts w:ascii="Tahoma" w:hAnsi="Tahoma"/>
                <w:noProof/>
                <w:u w:val="single"/>
              </w:rPr>
              <w:t xml:space="preserve">Максимум 6 реда </w:t>
            </w:r>
          </w:p>
        </w:tc>
      </w:tr>
      <w:tr>
        <w:tc>
          <w:tcPr>
            <w:tcW w:w="10188" w:type="dxa"/>
            <w:tcBorders>
              <w:bottom w:val="single" w:sz="4" w:space="0" w:color="auto"/>
            </w:tcBorders>
            <w:shd w:val="clear" w:color="auto" w:fill="auto"/>
          </w:tcPr>
          <w:p>
            <w:pPr>
              <w:rPr>
                <w:rFonts w:ascii="Arial" w:eastAsiaTheme="minorHAnsi" w:hAnsi="Arial" w:cs="Arial"/>
                <w:noProof/>
              </w:rPr>
            </w:pPr>
            <w:r>
              <w:rPr>
                <w:rFonts w:ascii="Arial" w:eastAsiaTheme="minorHAnsi" w:hAnsi="Arial"/>
                <w:noProof/>
              </w:rPr>
              <w:t xml:space="preserve">Реформираните ЕНО ще могат по-добре да упражняват своите правомощия, което ще донесе допълнителни ползи за финансовите институции и участниците на финансовите пазари. Реформата на ЕНО като цяло ще бъде от полза и за доставчиците и потребителите на финансови услуги във и извън ЕС.  Предпочитаните варианти в оценката на въздействието за всички раздели оказват пряко въздействие върху ЕНО и начина, по който те се финансират, техния модел на управление и правомощия.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 xml:space="preserve">Кога ще се извърши преглед на политиката? </w:t>
            </w:r>
            <w:r>
              <w:rPr>
                <w:rFonts w:ascii="Tahoma" w:hAnsi="Tahoma"/>
                <w:noProof/>
                <w:u w:val="single"/>
              </w:rPr>
              <w:t>Максимум 4 реда</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b/>
                <w:noProof/>
              </w:rPr>
            </w:pPr>
            <w:r>
              <w:rPr>
                <w:rFonts w:ascii="Arial" w:hAnsi="Arial"/>
                <w:noProof/>
              </w:rPr>
              <w:t>Регламентите за ЕНО предвиждат оценка на Европейската система за финансов надзор (ЕСФН) на всеки три години, считано от пускането ѝ в действие. Първият доклад на Комисията беше представен през 2014 година. Комисията ще продължи да наблюдава функционирането на ЕСФН и да докладва за това.</w:t>
            </w: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0C1D97DD-7215-4D59-A459-4CC7782099EA"/>
    <w:docVar w:name="LW_COVERPAGE_TYPE" w:val="1"/>
    <w:docVar w:name="LW_CROSSREFERENCE" w:val="{COM(2017) 536 final}_x000b_{SWD(2017) 308 final}"/>
    <w:docVar w:name="LW_DocType" w:val="NORMAL"/>
    <w:docVar w:name="LW_EMISSION" w:val="20.9.2017"/>
    <w:docVar w:name="LW_EMISSION_ISODATE" w:val="2017-09-20"/>
    <w:docVar w:name="LW_EMISSION_LOCATION" w:val="BRX"/>
    <w:docVar w:name="LW_EMISSION_PREFIX" w:val="Брюксел, "/>
    <w:docVar w:name="LW_EMISSION_SUFFIX" w:val=" \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56?\u1077?\u1075?\u1083?\u1072?\u1084?\u1077?\u1085?\u1090? (\u1045?\u1057?) \u8470? 1093/2010 \u1079?\u1072? \u1089?\u1098?\u1079?\u1076?\u1072?\u1074?\u1072?\u1085?\u1077? \u1085?\u1072? \u1045?\u1074?\u1088?\u1086?\u1087?\u1077?\u1081?\u1089?\u1082?\u1080? \u1085?\u1072?\u1076?\u1079?\u1086?\u1088?\u1077?\u1085? \u1086?\u1088?\u1075?\u1072?\u1085? (\u1045?\u1074?\u1088?\u1086?\u1087?\u1077?\u1081?\u1089?\u1082?\u1080? \u1073?\u1072?\u1085?\u1082?\u1086?\u1074? \u1086?\u1088?\u1075?\u1072?\u1085?); \u1056?\u1077?\u1075?\u1083?\u1072?\u1084?\u1077?\u1085?\u1090? (\u1045?\u1057?) \u8470? 1094/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79?\u1072?\u1089?\u1090?\u1088?\u1072?\u1093?\u1086?\u1074?\u1072?\u1085?\u1077? \u1080? \u1087?\u1088?\u1086?\u1092?\u1077?\u1089?\u1080?\u1086?\u1085?\u1072?\u1083?\u1085?\u1086? \u1087?\u1077?\u1085?\u1089?\u1080?\u1086?\u1085?\u1085?\u1086? \u1086?\u1089?\u1080?\u1075?\u1091?\u1088?\u1103?\u1074?\u1072?\u1085?\u1077?); \u1056?\u1077?\u1075?\u1083?\u1072?\u1084?\u1077?\u1085?\u1090? (\u1045?\u1057?) \u8470? 1095/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94?\u1077?\u1085?\u1085?\u1080? \u1082?\u1085?\u1080?\u1078?\u1072? \u1080? \u1087?\u1072?\u1079?\u1072?\u1088?\u1080?); \u1056?\u1077?\u1075?\u1083?\u1072?\u1084?\u1077?\u1085?\u1090? (\u1045?\u1057?) \u8470? 345/2013 \u1086?\u1090?\u1085?\u1086?\u1089?\u1085?\u1086? \u1077?\u1074?\u1088?\u1086?\u1087?\u1077?\u1081?\u1089?\u1082?\u1080?\u1090?\u1077? \u1092?\u1086?\u1085?\u1076?\u1086?\u1074?\u1077? \u1079?\u1072? \u1088?\u1080?\u1089?\u1082?\u1086?\u1074? \u1082?\u1072?\u1087?\u1080?\u1090?\u1072?\u1083?; \u1056?\u1077?\u1075?\u1083?\u1072?\u1084?\u1077?\u1085?\u1090? (\u1045?\u1057?) \u8470? 346/2013 \u1086?\u1090?\u1085?\u1086?\u1089?\u1085?\u1086? \u1077?\u1074?\u1088?\u1086?\u1087?\u1077?\u1081?\u1089?\u1082?\u1080? \u1092?\u1086?\u1085?\u1076?\u1086?\u1074?\u1077? \u1079?\u1072? \u1089?\u1086?\u1094?\u1080?\u1072?\u1083?\u1085?\u1086? \u1087?\u1088?\u1077?\u1076?\u1087?\u1088?\u1080?\u1077?\u1084?\u1072?\u1095?\u1077?\u1089?\u1090?\u1074?\u1086?; \u1056?\u1077?\u1075?\u1083?\u1072?\u1084?\u1077?\u1085?\u1090? (\u1045?\u1057?) \u8470? 600/2014 \u1086?\u1090?\u1085?\u1086?\u1089?\u1085?\u1086? \u1087?\u1072?\u1079?\u1072?\u1088?\u1080?\u1090?\u1077? \u1085?\u1072? \u1092?\u1080?\u1085?\u1072?\u1085?\u1089?\u1086?\u1074?\u1080? \u1080?\u1085?\u1089?\u1090?\u1088?\u1091?\u1084?\u1077?\u1085?\u1090?\u1080?; \u1056?\u1077?\u1075?\u1083?\u1072?\u1084?\u1077?\u1085?\u1090? (\u1045?\u1057?) 2015/760 \u1086?\u1090?\u1085?\u1086?\u1089?\u1085?\u1086? \u1045?\u1074?\u1088?\u1086?\u1087?\u1077?\u1081?\u1089?\u1082?\u1080? \u1092?\u1086?\u1085?\u1076?\u1086?\u1074?\u1077? \u1079?\u1072? \u1076?\u1098?\u1083?\u1075?\u1086?\u1089?\u1088?\u1086?\u1095?\u1085?\u1080? \u1080?\u1085?\u1074?\u1077?\u1089?\u1090?\u1080?\u1094?\u1080?\u1080?; \u1056?\u1077?\u1075?\u1083?\u1072?\u1084?\u1077?\u1085?\u1090? (\u1045?\u1057?) 2016/1011 \u1086?\u1090?\u1085?\u1086?\u1089?\u1085?\u1086? \u1080?\u1085?\u1076?\u1077?\u1082?\u1089?\u1080?, \u1080?\u1079?\u1087?\u1086?\u1083?\u1079?\u1074?\u1072?\u1085?\u1080? \u1082?\u1072?\u1090?\u1086? \u1073?\u1077?\u1085?\u1095?\u1084?\u1072?\u1088?\u1082?\u1086?\u1074?\u1077? \u1079?\u1072? \u1094?\u1077?\u1083?\u1080?\u1090?\u1077? \u1085?\u1072? \u1092?\u1080?\u1085?\u1072?\u1085?\u1089?\u1086?\u1074?\u1080? \u1080?\u1085?\u1089?\u1090?\u1088?\u1091?\u1084?\u1077?\u1085?\u1090?\u1080? \u1080? \u1092?\u1080?\u1085?\u1072?\u1085?\u1089?\u1086?\u1074?\u1080? \u1076?\u1086?\u1075?\u1086?\u1074?\u1086?\u1088?\u1080? \u1080?\u1083?\u1080? \u1079?\u1072? \u1080?\u1079?\u1084?\u1077?\u1088?\u1074?\u1072?\u1085?\u1077? \u1085?\u1072? \u1088?\u1077?\u1079?\u1091?\u1083?\u1090?\u1072?\u1090?\u1080?\u1090?\u1077? \u1085?\u1072? \u1080?\u1085?\u1074?\u1077?\u1089?\u1090?\u1080?\u1094?\u1080?\u1086?\u1085?\u1085?\u1080? \u1092?\u1086?\u1085?\u1076?\u1086?\u1074?\u1077?; \u1080? \u1056?\u1077?\u1075?\u1083?\u1072?\u1084?\u1077?\u1085?\u1090? (\u1045?\u1057?) 2017/1129 \u1086?\u1090?\u1085?\u1086?\u1089?\u1085?\u1086? \u1087?\u1088?\u1086?\u1089?\u1087?\u1077?\u1082?\u1090?\u1072?, \u1082?\u1086?\u1081?\u1090?\u1086? \u1090?\u1088?\u1103?\u1073?\u1074?\u1072? \u1076?\u1072? \u1089?\u1077? \u1087?\u1091?\u1073?\u1083?\u1080?\u1082?\u1091?\u1074?\u1072? \u1087?\u1088?\u1080? \u1087?\u1091?\u1073?\u1083?\u1080?\u1095?\u1085?\u1086? \u1087?\u1088?\u1077?\u1076?\u1083?\u1072?\u1075?\u1072?\u1085?\u1077? \u1080?\u1083?\u1080? \u1076?\u1086?\u1087?\u1091?\u1089?\u1082?\u1072?\u1085?\u1077? \u1085?\u1072? \u1094?\u1077?\u1085?\u1085?\u1080? \u1082?\u1085?\u1080?\u1078?\u1072? \u1076?\u1086? \u1090?\u1098?\u1088?\u1075?\u1086?\u1074?\u1080?\u1103? \u1085?\u1072? \u1088?\u1077?\u1075?\u1091?\u1083?\u1080?\u1088?\u1072?\u1085? \u1087?\u1072?\u1079?\u1072?\u1088? _x000b_"/>
    <w:docVar w:name="LW_PART_NBR" w:val="1"/>
    <w:docVar w:name="LW_PART_NBR_TOTAL" w:val="1"/>
    <w:docVar w:name="LW_REF.INST.NEW" w:val="SWD"/>
    <w:docVar w:name="LW_REF.INST.NEW_ADOPTED" w:val="final"/>
    <w:docVar w:name="LW_REF.INST.NEW_TEXT" w:val="(2017)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_x000b_\u1056?\u1045?\u1043?\u1051?\u1040?\u1052?\u1045?\u1053?\u1058?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1476</Words>
  <Characters>8905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2017-09-13T09:05:00Z</dcterms:created>
  <dcterms:modified xsi:type="dcterms:W3CDTF">2017-11-15T09:16:00Z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