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97" w:rsidRDefault="00AC774E" w:rsidP="00AC774E">
      <w:pPr>
        <w:pStyle w:val="Pagedecouverture"/>
        <w:rPr>
          <w:noProof/>
          <w:lang w:val="bg-BG"/>
        </w:rPr>
      </w:pPr>
      <w:bookmarkStart w:id="0" w:name="LW_BM_COVERPAGE"/>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B6988C1-DD08-4254-8C6C-53A03EC83A5E" style="width:450.75pt;height:389.25pt">
            <v:imagedata r:id="rId9" o:title=""/>
          </v:shape>
        </w:pict>
      </w:r>
    </w:p>
    <w:bookmarkEnd w:id="0"/>
    <w:p w:rsidR="00792097" w:rsidRDefault="00792097">
      <w:pPr>
        <w:rPr>
          <w:noProof/>
          <w:lang w:val="bg-BG"/>
        </w:rPr>
        <w:sectPr w:rsidR="00792097" w:rsidSect="00AC774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792097" w:rsidRDefault="00AC774E">
      <w:pPr>
        <w:spacing w:line="240" w:lineRule="auto"/>
        <w:jc w:val="both"/>
        <w:rPr>
          <w:rFonts w:ascii="Times New Roman" w:hAnsi="Times New Roman"/>
          <w:noProof/>
          <w:lang w:val="bg-BG"/>
        </w:rPr>
      </w:pPr>
      <w:bookmarkStart w:id="1" w:name="_GoBack"/>
      <w:bookmarkEnd w:id="1"/>
      <w:r>
        <w:rPr>
          <w:rFonts w:ascii="Times New Roman" w:hAnsi="Times New Roman"/>
          <w:noProof/>
          <w:lang w:val="bg-BG"/>
        </w:rPr>
        <w:lastRenderedPageBreak/>
        <w:t xml:space="preserve">Показатели, които трябва да бъдат покрити от България съгласно Решение на Комисията от 13 декември 2006 г. за създаване на механизъм за </w:t>
      </w:r>
      <w:r>
        <w:rPr>
          <w:rFonts w:ascii="Times New Roman" w:hAnsi="Times New Roman"/>
          <w:noProof/>
          <w:lang w:val="bg-BG"/>
        </w:rPr>
        <w:t>сътрудничество и проверка на напредъка на България в постигането на специфични цели в областите на съдебната реформа и борбата срещу корупцията и организираната престъпност</w:t>
      </w:r>
      <w:r>
        <w:rPr>
          <w:rFonts w:ascii="Times New Roman" w:hAnsi="Times New Roman"/>
          <w:noProof/>
          <w:vertAlign w:val="superscript"/>
          <w:lang w:val="bg-BG"/>
        </w:rPr>
        <w:footnoteReference w:id="2"/>
      </w:r>
      <w:r>
        <w:rPr>
          <w:rFonts w:ascii="Times New Roman" w:hAnsi="Times New Roman"/>
          <w:noProof/>
          <w:lang w:val="bg-BG"/>
        </w:rPr>
        <w:t>:</w:t>
      </w:r>
    </w:p>
    <w:p w:rsidR="00792097" w:rsidRDefault="00AC774E">
      <w:pPr>
        <w:spacing w:line="240" w:lineRule="auto"/>
        <w:ind w:left="720"/>
        <w:jc w:val="both"/>
        <w:rPr>
          <w:rFonts w:ascii="Times New Roman" w:hAnsi="Times New Roman"/>
          <w:noProof/>
          <w:spacing w:val="-2"/>
          <w:lang w:val="bg-BG"/>
        </w:rPr>
      </w:pPr>
      <w:r>
        <w:rPr>
          <w:rFonts w:ascii="Times New Roman" w:hAnsi="Times New Roman"/>
          <w:noProof/>
          <w:spacing w:val="-2"/>
          <w:lang w:val="bg-BG"/>
        </w:rPr>
        <w:t>Показател 1: Да направи промени в Конституцията, с които да бъде премахната всяка</w:t>
      </w:r>
      <w:r>
        <w:rPr>
          <w:rFonts w:ascii="Times New Roman" w:hAnsi="Times New Roman"/>
          <w:noProof/>
          <w:spacing w:val="-2"/>
          <w:lang w:val="bg-BG"/>
        </w:rPr>
        <w:t>ква двусмисленост по отношение на независимостта и отчетността на съдебната система.</w:t>
      </w:r>
    </w:p>
    <w:p w:rsidR="00792097" w:rsidRDefault="00AC774E">
      <w:pPr>
        <w:spacing w:line="240" w:lineRule="auto"/>
        <w:ind w:left="720"/>
        <w:jc w:val="both"/>
        <w:rPr>
          <w:rFonts w:ascii="Times New Roman" w:hAnsi="Times New Roman"/>
          <w:noProof/>
          <w:lang w:val="bg-BG"/>
        </w:rPr>
      </w:pPr>
      <w:r>
        <w:rPr>
          <w:rFonts w:ascii="Times New Roman" w:hAnsi="Times New Roman"/>
          <w:noProof/>
          <w:lang w:val="bg-BG"/>
        </w:rPr>
        <w:t>Показател 2: Да осигури по-прозрачен и ефикасен съдебен процес посредством приемането и прилагането на нов закон за съдебната власт и нов граждански процесуален кодекс. Да</w:t>
      </w:r>
      <w:r>
        <w:rPr>
          <w:rFonts w:ascii="Times New Roman" w:hAnsi="Times New Roman"/>
          <w:noProof/>
          <w:lang w:val="bg-BG"/>
        </w:rPr>
        <w:t xml:space="preserve"> докладва за ефекта от тези нови закони и от Наказателно-процесуалния кодекс и Административнопроцесуалния кодекс, и по-специално върху досъдебната фаза на наказателното производство.</w:t>
      </w:r>
    </w:p>
    <w:p w:rsidR="00792097" w:rsidRDefault="00AC774E">
      <w:pPr>
        <w:spacing w:line="240" w:lineRule="auto"/>
        <w:ind w:left="720"/>
        <w:jc w:val="both"/>
        <w:rPr>
          <w:rFonts w:ascii="Times New Roman" w:hAnsi="Times New Roman"/>
          <w:noProof/>
          <w:lang w:val="bg-BG"/>
        </w:rPr>
      </w:pPr>
      <w:r>
        <w:rPr>
          <w:rFonts w:ascii="Times New Roman" w:hAnsi="Times New Roman"/>
          <w:noProof/>
          <w:lang w:val="bg-BG"/>
        </w:rPr>
        <w:t xml:space="preserve">Показател 3: Да продължи реформата на съдебната власт с цел подобряване </w:t>
      </w:r>
      <w:r>
        <w:rPr>
          <w:rFonts w:ascii="Times New Roman" w:hAnsi="Times New Roman"/>
          <w:noProof/>
          <w:lang w:val="bg-BG"/>
        </w:rPr>
        <w:t>на професионализма, отчетността и ефикасността. Да прави оценка на ефекта от тази реформа и да публикува резултатите всяка година.</w:t>
      </w:r>
    </w:p>
    <w:p w:rsidR="00792097" w:rsidRDefault="00AC774E">
      <w:pPr>
        <w:spacing w:line="240" w:lineRule="auto"/>
        <w:ind w:left="720"/>
        <w:jc w:val="both"/>
        <w:rPr>
          <w:rFonts w:ascii="Times New Roman" w:hAnsi="Times New Roman"/>
          <w:noProof/>
          <w:lang w:val="bg-BG"/>
        </w:rPr>
      </w:pPr>
      <w:r>
        <w:rPr>
          <w:rFonts w:ascii="Times New Roman" w:hAnsi="Times New Roman"/>
          <w:noProof/>
          <w:lang w:val="bg-BG"/>
        </w:rPr>
        <w:t xml:space="preserve">Показател 4: Да провежда и докладва за професионални, безпристрастни разследвания на твърдения за корупция по високите етажи </w:t>
      </w:r>
      <w:r>
        <w:rPr>
          <w:rFonts w:ascii="Times New Roman" w:hAnsi="Times New Roman"/>
          <w:noProof/>
          <w:lang w:val="bg-BG"/>
        </w:rPr>
        <w:t>на властта. Да докладва за вътрешни инспекции на публичните институции и за публикуването на данни за имуществото на високопоставени държавни длъжностни лица.</w:t>
      </w:r>
    </w:p>
    <w:p w:rsidR="00792097" w:rsidRDefault="00AC774E">
      <w:pPr>
        <w:spacing w:line="240" w:lineRule="auto"/>
        <w:ind w:left="720"/>
        <w:jc w:val="both"/>
        <w:rPr>
          <w:rFonts w:ascii="Times New Roman" w:hAnsi="Times New Roman"/>
          <w:noProof/>
          <w:lang w:val="bg-BG"/>
        </w:rPr>
      </w:pPr>
      <w:r>
        <w:rPr>
          <w:rFonts w:ascii="Times New Roman" w:hAnsi="Times New Roman"/>
          <w:noProof/>
          <w:lang w:val="bg-BG"/>
        </w:rPr>
        <w:t>Показател 5: Да предприеме по-нататъшни мерки за предотвратяване и борба с корупцията, и по-специ</w:t>
      </w:r>
      <w:r>
        <w:rPr>
          <w:rFonts w:ascii="Times New Roman" w:hAnsi="Times New Roman"/>
          <w:noProof/>
          <w:lang w:val="bg-BG"/>
        </w:rPr>
        <w:t>ално на границите и на равнище местно управление.</w:t>
      </w:r>
    </w:p>
    <w:p w:rsidR="00792097" w:rsidRDefault="00AC774E">
      <w:pPr>
        <w:spacing w:after="0" w:line="240" w:lineRule="auto"/>
        <w:ind w:left="720"/>
        <w:jc w:val="both"/>
        <w:rPr>
          <w:rFonts w:ascii="Times New Roman" w:hAnsi="Times New Roman"/>
          <w:noProof/>
          <w:spacing w:val="-6"/>
          <w:lang w:val="bg-BG"/>
        </w:rPr>
      </w:pPr>
      <w:r>
        <w:rPr>
          <w:rFonts w:ascii="Times New Roman" w:hAnsi="Times New Roman"/>
          <w:noProof/>
          <w:spacing w:val="-6"/>
          <w:lang w:val="bg-BG"/>
        </w:rPr>
        <w:t>Показател 6: Да приложи стратегия за борба с организираната престъпност, като се съсредоточи върху тежките престъпления, изпирането на пари, както и върху систематичното конфискуване на имущество на лица, и</w:t>
      </w:r>
      <w:r>
        <w:rPr>
          <w:rFonts w:ascii="Times New Roman" w:hAnsi="Times New Roman"/>
          <w:noProof/>
          <w:spacing w:val="-6"/>
          <w:lang w:val="bg-BG"/>
        </w:rPr>
        <w:t>звършващи престъпления. Да докладва за новите и текущите разследвания, обвинителни актове и осъдителни присъди в тези области.</w:t>
      </w:r>
    </w:p>
    <w:p w:rsidR="00792097" w:rsidRDefault="00792097">
      <w:pPr>
        <w:spacing w:line="240" w:lineRule="auto"/>
        <w:jc w:val="both"/>
        <w:rPr>
          <w:rFonts w:ascii="Times New Roman" w:hAnsi="Times New Roman"/>
          <w:b/>
          <w:bCs/>
          <w:noProof/>
          <w:lang w:val="bg-BG"/>
        </w:rPr>
      </w:pPr>
    </w:p>
    <w:p w:rsidR="00792097" w:rsidRDefault="00AC774E">
      <w:pPr>
        <w:spacing w:line="240" w:lineRule="auto"/>
        <w:jc w:val="both"/>
        <w:rPr>
          <w:rFonts w:ascii="Times New Roman" w:hAnsi="Times New Roman"/>
          <w:b/>
          <w:bCs/>
          <w:noProof/>
          <w:u w:val="single"/>
          <w:lang w:val="bg-BG"/>
        </w:rPr>
      </w:pPr>
      <w:r>
        <w:rPr>
          <w:rFonts w:ascii="Times New Roman" w:hAnsi="Times New Roman"/>
          <w:b/>
          <w:noProof/>
          <w:u w:val="single"/>
          <w:lang w:val="bg-BG"/>
        </w:rPr>
        <w:t xml:space="preserve">Списък на съкращенията: </w:t>
      </w:r>
    </w:p>
    <w:p w:rsidR="00792097" w:rsidRDefault="00AC774E">
      <w:pPr>
        <w:spacing w:line="240" w:lineRule="auto"/>
        <w:jc w:val="both"/>
        <w:rPr>
          <w:rFonts w:ascii="Times New Roman" w:hAnsi="Times New Roman"/>
          <w:bCs/>
          <w:noProof/>
          <w:spacing w:val="-6"/>
          <w:lang w:val="bg-BG"/>
        </w:rPr>
      </w:pPr>
      <w:r>
        <w:rPr>
          <w:rFonts w:ascii="Times New Roman" w:hAnsi="Times New Roman"/>
          <w:b/>
          <w:noProof/>
          <w:spacing w:val="-6"/>
          <w:lang w:val="bg-BG"/>
        </w:rPr>
        <w:t>БОРКОР</w:t>
      </w:r>
      <w:r>
        <w:rPr>
          <w:rFonts w:ascii="Times New Roman" w:hAnsi="Times New Roman"/>
          <w:noProof/>
          <w:spacing w:val="-6"/>
          <w:lang w:val="bg-BG"/>
        </w:rPr>
        <w:t>: Център за превенция и противодействие на корупцията и организираната престъпност</w:t>
      </w:r>
    </w:p>
    <w:p w:rsidR="00792097" w:rsidRDefault="00AC774E">
      <w:pPr>
        <w:spacing w:line="240" w:lineRule="auto"/>
        <w:jc w:val="both"/>
        <w:rPr>
          <w:rFonts w:ascii="Times New Roman" w:hAnsi="Times New Roman"/>
          <w:bCs/>
          <w:noProof/>
          <w:lang w:val="bg-BG"/>
        </w:rPr>
      </w:pPr>
      <w:r>
        <w:rPr>
          <w:rFonts w:ascii="Times New Roman" w:hAnsi="Times New Roman"/>
          <w:b/>
          <w:noProof/>
          <w:lang w:val="bg-BG"/>
        </w:rPr>
        <w:t>КОНПИ</w:t>
      </w:r>
      <w:r>
        <w:rPr>
          <w:rFonts w:ascii="Times New Roman" w:hAnsi="Times New Roman"/>
          <w:noProof/>
          <w:lang w:val="bg-BG"/>
        </w:rPr>
        <w:t>: Комисия</w:t>
      </w:r>
      <w:r>
        <w:rPr>
          <w:rFonts w:ascii="Times New Roman" w:hAnsi="Times New Roman"/>
          <w:noProof/>
          <w:lang w:val="bg-BG"/>
        </w:rPr>
        <w:t xml:space="preserve"> за отнемане на незаконно придобито имущество</w:t>
      </w:r>
    </w:p>
    <w:p w:rsidR="00792097" w:rsidRDefault="00AC774E">
      <w:pPr>
        <w:spacing w:line="240" w:lineRule="auto"/>
        <w:jc w:val="both"/>
        <w:rPr>
          <w:rFonts w:ascii="Times New Roman" w:hAnsi="Times New Roman"/>
          <w:bCs/>
          <w:noProof/>
          <w:lang w:val="bg-BG"/>
        </w:rPr>
      </w:pPr>
      <w:r>
        <w:rPr>
          <w:rFonts w:ascii="Times New Roman" w:hAnsi="Times New Roman"/>
          <w:b/>
          <w:noProof/>
          <w:lang w:val="bg-BG"/>
        </w:rPr>
        <w:t>КПУКИ</w:t>
      </w:r>
      <w:r>
        <w:rPr>
          <w:rFonts w:ascii="Times New Roman" w:hAnsi="Times New Roman"/>
          <w:noProof/>
          <w:lang w:val="bg-BG"/>
        </w:rPr>
        <w:t>: Комисия за предотвратяване и установяване на конфликт на интереси</w:t>
      </w:r>
    </w:p>
    <w:p w:rsidR="00792097" w:rsidRDefault="00AC774E">
      <w:pPr>
        <w:spacing w:line="240" w:lineRule="auto"/>
        <w:jc w:val="both"/>
        <w:rPr>
          <w:rFonts w:ascii="Times New Roman" w:hAnsi="Times New Roman"/>
          <w:bCs/>
          <w:noProof/>
          <w:lang w:val="bg-BG"/>
        </w:rPr>
      </w:pPr>
      <w:r>
        <w:rPr>
          <w:rFonts w:ascii="Times New Roman" w:hAnsi="Times New Roman"/>
          <w:b/>
          <w:noProof/>
          <w:lang w:val="bg-BG"/>
        </w:rPr>
        <w:t>МСП</w:t>
      </w:r>
      <w:r>
        <w:rPr>
          <w:rFonts w:ascii="Times New Roman" w:hAnsi="Times New Roman"/>
          <w:noProof/>
          <w:lang w:val="bg-BG"/>
        </w:rPr>
        <w:t>: Механизъм за сътрудничество и проверка</w:t>
      </w:r>
    </w:p>
    <w:p w:rsidR="00792097" w:rsidRDefault="00AC774E">
      <w:pPr>
        <w:spacing w:line="240" w:lineRule="auto"/>
        <w:jc w:val="both"/>
        <w:rPr>
          <w:rFonts w:ascii="Times New Roman" w:hAnsi="Times New Roman" w:cs="Times New Roman"/>
          <w:noProof/>
          <w:lang w:val="bg-BG"/>
        </w:rPr>
      </w:pPr>
      <w:r>
        <w:rPr>
          <w:rFonts w:ascii="Times New Roman" w:hAnsi="Times New Roman"/>
          <w:b/>
          <w:noProof/>
          <w:lang w:val="bg-BG"/>
        </w:rPr>
        <w:t>ЕСПЧ:</w:t>
      </w:r>
      <w:r>
        <w:rPr>
          <w:rFonts w:ascii="Times New Roman" w:hAnsi="Times New Roman"/>
          <w:noProof/>
          <w:lang w:val="bg-BG"/>
        </w:rPr>
        <w:t xml:space="preserve"> Европейски съд по правата на човека</w:t>
      </w:r>
    </w:p>
    <w:p w:rsidR="00792097" w:rsidRDefault="00AC774E">
      <w:pPr>
        <w:spacing w:line="240" w:lineRule="auto"/>
        <w:jc w:val="both"/>
        <w:rPr>
          <w:rFonts w:ascii="Times New Roman" w:hAnsi="Times New Roman"/>
          <w:b/>
          <w:bCs/>
          <w:noProof/>
          <w:lang w:val="bg-BG"/>
        </w:rPr>
      </w:pPr>
      <w:r>
        <w:rPr>
          <w:rFonts w:ascii="Times New Roman" w:hAnsi="Times New Roman"/>
          <w:b/>
          <w:noProof/>
          <w:lang w:val="bg-BG"/>
        </w:rPr>
        <w:t>ИВСС:</w:t>
      </w:r>
      <w:r>
        <w:rPr>
          <w:rFonts w:ascii="Times New Roman" w:hAnsi="Times New Roman"/>
          <w:noProof/>
          <w:lang w:val="bg-BG"/>
        </w:rPr>
        <w:t xml:space="preserve"> Инспекторат към Висшия съдебен съвет</w:t>
      </w:r>
    </w:p>
    <w:p w:rsidR="00792097" w:rsidRDefault="00AC774E">
      <w:pPr>
        <w:spacing w:line="240" w:lineRule="auto"/>
        <w:jc w:val="both"/>
        <w:rPr>
          <w:rFonts w:ascii="Times New Roman" w:hAnsi="Times New Roman"/>
          <w:b/>
          <w:bCs/>
          <w:noProof/>
          <w:lang w:val="bg-BG"/>
        </w:rPr>
      </w:pPr>
      <w:r>
        <w:rPr>
          <w:rFonts w:ascii="Times New Roman" w:hAnsi="Times New Roman"/>
          <w:b/>
          <w:noProof/>
          <w:lang w:val="bg-BG"/>
        </w:rPr>
        <w:t>СПРБ</w:t>
      </w:r>
      <w:r>
        <w:rPr>
          <w:rFonts w:ascii="Times New Roman" w:hAnsi="Times New Roman"/>
          <w:noProof/>
          <w:lang w:val="bg-BG"/>
        </w:rPr>
        <w:t>:</w:t>
      </w:r>
      <w:r>
        <w:rPr>
          <w:rFonts w:ascii="Times New Roman" w:hAnsi="Times New Roman"/>
          <w:b/>
          <w:noProof/>
          <w:lang w:val="bg-BG"/>
        </w:rPr>
        <w:t xml:space="preserve"> </w:t>
      </w:r>
      <w:r>
        <w:rPr>
          <w:rFonts w:ascii="Times New Roman" w:hAnsi="Times New Roman"/>
          <w:noProof/>
          <w:lang w:val="bg-BG"/>
        </w:rPr>
        <w:t>См</w:t>
      </w:r>
      <w:r>
        <w:rPr>
          <w:rFonts w:ascii="Times New Roman" w:hAnsi="Times New Roman"/>
          <w:noProof/>
          <w:lang w:val="bg-BG"/>
        </w:rPr>
        <w:t>етна палата на Република България</w:t>
      </w:r>
      <w:r>
        <w:rPr>
          <w:rFonts w:ascii="Times New Roman" w:hAnsi="Times New Roman"/>
          <w:b/>
          <w:noProof/>
          <w:lang w:val="bg-BG"/>
        </w:rPr>
        <w:t xml:space="preserve"> </w:t>
      </w:r>
    </w:p>
    <w:p w:rsidR="00792097" w:rsidRDefault="00AC774E">
      <w:pPr>
        <w:spacing w:line="240" w:lineRule="auto"/>
        <w:jc w:val="both"/>
        <w:rPr>
          <w:rFonts w:ascii="Times New Roman" w:hAnsi="Times New Roman"/>
          <w:b/>
          <w:bCs/>
          <w:noProof/>
          <w:lang w:val="bg-BG"/>
        </w:rPr>
      </w:pPr>
      <w:r>
        <w:rPr>
          <w:rFonts w:ascii="Times New Roman" w:hAnsi="Times New Roman"/>
          <w:b/>
          <w:noProof/>
          <w:lang w:val="bg-BG"/>
        </w:rPr>
        <w:t>ПАСЕ</w:t>
      </w:r>
      <w:r>
        <w:rPr>
          <w:rFonts w:ascii="Times New Roman" w:hAnsi="Times New Roman"/>
          <w:noProof/>
          <w:lang w:val="bg-BG"/>
        </w:rPr>
        <w:t>: Комисия по мониторинг на Парламентарната асамблея на Съвета на Европа</w:t>
      </w:r>
      <w:r>
        <w:rPr>
          <w:rFonts w:ascii="Times New Roman" w:hAnsi="Times New Roman"/>
          <w:b/>
          <w:noProof/>
          <w:lang w:val="bg-BG"/>
        </w:rPr>
        <w:t xml:space="preserve"> </w:t>
      </w:r>
    </w:p>
    <w:p w:rsidR="00792097" w:rsidRDefault="00AC774E">
      <w:pPr>
        <w:spacing w:line="240" w:lineRule="auto"/>
        <w:jc w:val="both"/>
        <w:rPr>
          <w:rFonts w:ascii="Times New Roman" w:hAnsi="Times New Roman"/>
          <w:b/>
          <w:bCs/>
          <w:noProof/>
          <w:lang w:val="bg-BG"/>
        </w:rPr>
      </w:pPr>
      <w:r>
        <w:rPr>
          <w:rFonts w:ascii="Times New Roman" w:hAnsi="Times New Roman"/>
          <w:b/>
          <w:noProof/>
          <w:lang w:val="bg-BG"/>
        </w:rPr>
        <w:t xml:space="preserve">ДАНС: </w:t>
      </w:r>
      <w:r>
        <w:rPr>
          <w:rFonts w:ascii="Times New Roman" w:hAnsi="Times New Roman"/>
          <w:noProof/>
          <w:lang w:val="bg-BG"/>
        </w:rPr>
        <w:t>Държавна агенция „Национална сигурност“</w:t>
      </w:r>
    </w:p>
    <w:p w:rsidR="00792097" w:rsidRDefault="00AC774E">
      <w:pPr>
        <w:spacing w:line="240" w:lineRule="auto"/>
        <w:jc w:val="both"/>
        <w:rPr>
          <w:rFonts w:ascii="Times New Roman" w:hAnsi="Times New Roman"/>
          <w:bCs/>
          <w:noProof/>
          <w:lang w:val="bg-BG"/>
        </w:rPr>
      </w:pPr>
      <w:r>
        <w:rPr>
          <w:rFonts w:ascii="Times New Roman" w:hAnsi="Times New Roman"/>
          <w:b/>
          <w:noProof/>
          <w:lang w:val="bg-BG"/>
        </w:rPr>
        <w:t xml:space="preserve">ВСС: </w:t>
      </w:r>
      <w:r>
        <w:rPr>
          <w:rFonts w:ascii="Times New Roman" w:hAnsi="Times New Roman"/>
          <w:noProof/>
          <w:lang w:val="bg-BG"/>
        </w:rPr>
        <w:t>Висш съдебен съвет</w:t>
      </w:r>
    </w:p>
    <w:p w:rsidR="00792097" w:rsidRDefault="00AC774E">
      <w:pPr>
        <w:spacing w:line="240" w:lineRule="auto"/>
        <w:jc w:val="both"/>
        <w:rPr>
          <w:rFonts w:ascii="Times New Roman" w:hAnsi="Times New Roman"/>
          <w:bCs/>
          <w:noProof/>
          <w:lang w:val="bg-BG"/>
        </w:rPr>
      </w:pPr>
      <w:r>
        <w:rPr>
          <w:rFonts w:ascii="Times New Roman" w:hAnsi="Times New Roman"/>
          <w:b/>
          <w:noProof/>
          <w:lang w:val="bg-BG"/>
        </w:rPr>
        <w:t>СПСР:</w:t>
      </w:r>
      <w:r>
        <w:rPr>
          <w:rFonts w:ascii="Times New Roman" w:hAnsi="Times New Roman"/>
          <w:noProof/>
          <w:lang w:val="bg-BG"/>
        </w:rPr>
        <w:t xml:space="preserve"> Служба за подкрепа на структурните реформи</w:t>
      </w:r>
    </w:p>
    <w:p w:rsidR="00792097" w:rsidRDefault="00AC774E">
      <w:pPr>
        <w:spacing w:line="240" w:lineRule="auto"/>
        <w:jc w:val="both"/>
        <w:rPr>
          <w:rFonts w:ascii="Times New Roman" w:hAnsi="Times New Roman"/>
          <w:b/>
          <w:bCs/>
          <w:smallCaps/>
          <w:noProof/>
          <w:lang w:val="bg-BG"/>
        </w:rPr>
      </w:pPr>
      <w:r>
        <w:rPr>
          <w:noProof/>
          <w:lang w:val="bg-BG"/>
        </w:rPr>
        <w:br w:type="page"/>
      </w:r>
      <w:r>
        <w:rPr>
          <w:rFonts w:ascii="Times New Roman" w:hAnsi="Times New Roman"/>
          <w:b/>
          <w:smallCaps/>
          <w:noProof/>
          <w:lang w:val="bg-BG"/>
        </w:rPr>
        <w:lastRenderedPageBreak/>
        <w:t>Въведение</w:t>
      </w:r>
    </w:p>
    <w:p w:rsidR="00792097" w:rsidRDefault="00AC774E">
      <w:pPr>
        <w:spacing w:after="120" w:line="240" w:lineRule="auto"/>
        <w:jc w:val="both"/>
        <w:rPr>
          <w:rFonts w:ascii="Times New Roman" w:eastAsia="Times New Roman" w:hAnsi="Times New Roman" w:cs="Times New Roman"/>
          <w:noProof/>
          <w:lang w:val="bg-BG"/>
        </w:rPr>
      </w:pPr>
      <w:r>
        <w:rPr>
          <w:rFonts w:ascii="Times New Roman" w:hAnsi="Times New Roman"/>
          <w:noProof/>
          <w:lang w:val="bg-BG"/>
        </w:rPr>
        <w:t xml:space="preserve">В настоящия </w:t>
      </w:r>
      <w:r>
        <w:rPr>
          <w:rFonts w:ascii="Times New Roman" w:hAnsi="Times New Roman"/>
          <w:noProof/>
          <w:lang w:val="bg-BG"/>
        </w:rPr>
        <w:t xml:space="preserve">технически доклад се представя информацията, използвана от Комисията за основа на оценката ѝ за напредъка на България по механизма за сътрудничество и проверка (МСП), постигнат след последния доклад по МСП от 25 януари 2017 г. Тази информация е събрана от </w:t>
      </w:r>
      <w:r>
        <w:rPr>
          <w:rFonts w:ascii="Times New Roman" w:hAnsi="Times New Roman"/>
          <w:noProof/>
          <w:lang w:val="bg-BG"/>
        </w:rPr>
        <w:t>различни източници. На първо място, Комисията си сътрудничи тясно с българското правителство и ключови съдебни и държавни органи по въпроси, свързани с МСП, като те предоставиха информация относно напредъка в подробни и конкретни доклади, както и в рамките</w:t>
      </w:r>
      <w:r>
        <w:rPr>
          <w:rFonts w:ascii="Times New Roman" w:hAnsi="Times New Roman"/>
          <w:noProof/>
          <w:lang w:val="bg-BG"/>
        </w:rPr>
        <w:t xml:space="preserve"> на проведени срещи</w:t>
      </w:r>
      <w:r>
        <w:rPr>
          <w:rFonts w:ascii="Times New Roman" w:hAnsi="Times New Roman"/>
          <w:noProof/>
          <w:vertAlign w:val="superscript"/>
          <w:lang w:val="bg-BG"/>
        </w:rPr>
        <w:footnoteReference w:id="3"/>
      </w:r>
      <w:r>
        <w:rPr>
          <w:rFonts w:ascii="Times New Roman" w:hAnsi="Times New Roman"/>
          <w:noProof/>
          <w:lang w:val="bg-BG"/>
        </w:rPr>
        <w:t>. Службите на Комисията също така непрестанно следят събитията чрез постоянно присъствие в София</w:t>
      </w:r>
      <w:r>
        <w:rPr>
          <w:rFonts w:ascii="Times New Roman" w:hAnsi="Times New Roman"/>
          <w:noProof/>
          <w:vertAlign w:val="superscript"/>
          <w:lang w:val="bg-BG"/>
        </w:rPr>
        <w:footnoteReference w:id="4"/>
      </w:r>
      <w:r>
        <w:rPr>
          <w:rFonts w:ascii="Times New Roman" w:hAnsi="Times New Roman"/>
          <w:noProof/>
          <w:lang w:val="bg-BG"/>
        </w:rPr>
        <w:t>. Контактите на Комисията с българската администрация в целия спектър от политики на ЕС, включително в рамките на европейския семестър за и</w:t>
      </w:r>
      <w:r>
        <w:rPr>
          <w:rFonts w:ascii="Times New Roman" w:hAnsi="Times New Roman"/>
          <w:noProof/>
          <w:lang w:val="bg-BG"/>
        </w:rPr>
        <w:t xml:space="preserve">кономическо управление, също спомагат за събирането на информация за докладите по МСП. Освен официалните контакти с българските органи Комисията провежда срещи с неправителствени организации, осъществяващи дейност в областта на съдебната реформа и борбата </w:t>
      </w:r>
      <w:r>
        <w:rPr>
          <w:rFonts w:ascii="Times New Roman" w:hAnsi="Times New Roman"/>
          <w:noProof/>
          <w:lang w:val="bg-BG"/>
        </w:rPr>
        <w:t>с корупцията, както и с професионални сдружения на съдиите и прокурорите и с представители на други държави — членки на ЕС, в България.</w:t>
      </w:r>
    </w:p>
    <w:p w:rsidR="00792097" w:rsidRDefault="00AC774E">
      <w:pPr>
        <w:spacing w:after="120" w:line="240" w:lineRule="auto"/>
        <w:jc w:val="both"/>
        <w:rPr>
          <w:rFonts w:ascii="Times New Roman" w:hAnsi="Times New Roman" w:cs="Times New Roman"/>
          <w:noProof/>
          <w:spacing w:val="-4"/>
          <w:lang w:val="bg-BG"/>
        </w:rPr>
      </w:pPr>
      <w:r>
        <w:rPr>
          <w:rFonts w:ascii="Times New Roman" w:hAnsi="Times New Roman"/>
          <w:noProof/>
          <w:spacing w:val="-4"/>
          <w:lang w:val="bg-BG"/>
        </w:rPr>
        <w:t>През годините България се ползва също от двустранна помощ от държави — членки на ЕС. През 2016 г. например няколко държа</w:t>
      </w:r>
      <w:r>
        <w:rPr>
          <w:rFonts w:ascii="Times New Roman" w:hAnsi="Times New Roman"/>
          <w:noProof/>
          <w:spacing w:val="-4"/>
          <w:lang w:val="bg-BG"/>
        </w:rPr>
        <w:t>ви членки предоставиха експерти за проект, ръководен от Европейската служба за подкрепа на структурните реформи (СПСР), за извършването на независим анализ на прокуратурата на България.</w:t>
      </w:r>
      <w:r>
        <w:rPr>
          <w:noProof/>
          <w:spacing w:val="-4"/>
          <w:lang w:val="bg-BG"/>
        </w:rPr>
        <w:t xml:space="preserve"> </w:t>
      </w:r>
      <w:r>
        <w:rPr>
          <w:rFonts w:ascii="Times New Roman" w:hAnsi="Times New Roman"/>
          <w:noProof/>
          <w:spacing w:val="-4"/>
          <w:lang w:val="bg-BG"/>
        </w:rPr>
        <w:t>Тази подкрепа е в допълнение към приноса от фондовете на ЕС. В рамките</w:t>
      </w:r>
      <w:r>
        <w:rPr>
          <w:rFonts w:ascii="Times New Roman" w:hAnsi="Times New Roman"/>
          <w:noProof/>
          <w:spacing w:val="-4"/>
          <w:lang w:val="bg-BG"/>
        </w:rPr>
        <w:t xml:space="preserve"> на настоящия програмен период от Оперативна програма „Добро управление“ по линия на Европейския социален фонд бяха разпределени близо 30 милиона евро за отделна приоритетна ос за съдебната реформа в България</w:t>
      </w:r>
      <w:r>
        <w:rPr>
          <w:rStyle w:val="FootnoteReference"/>
          <w:rFonts w:ascii="Times New Roman" w:hAnsi="Times New Roman"/>
          <w:noProof/>
          <w:spacing w:val="-4"/>
          <w:lang w:val="bg-BG"/>
        </w:rPr>
        <w:footnoteReference w:id="5"/>
      </w:r>
      <w:r>
        <w:rPr>
          <w:noProof/>
          <w:spacing w:val="-4"/>
          <w:lang w:val="bg-BG"/>
        </w:rPr>
        <w:t>.</w:t>
      </w:r>
      <w:r>
        <w:rPr>
          <w:rFonts w:ascii="Times New Roman" w:hAnsi="Times New Roman"/>
          <w:noProof/>
          <w:spacing w:val="-4"/>
          <w:lang w:val="bg-BG"/>
        </w:rPr>
        <w:t xml:space="preserve"> Продължава да е на разположение и подкрепа от</w:t>
      </w:r>
      <w:r>
        <w:rPr>
          <w:rFonts w:ascii="Times New Roman" w:hAnsi="Times New Roman"/>
          <w:noProof/>
          <w:spacing w:val="-4"/>
          <w:lang w:val="bg-BG"/>
        </w:rPr>
        <w:t xml:space="preserve"> СПСР за осъществяването на реформи в България, включително в сектора на правосъдието</w:t>
      </w:r>
      <w:r>
        <w:rPr>
          <w:rStyle w:val="FootnoteReference"/>
          <w:rFonts w:ascii="Times New Roman" w:hAnsi="Times New Roman"/>
          <w:noProof/>
          <w:spacing w:val="-4"/>
          <w:lang w:val="bg-BG"/>
        </w:rPr>
        <w:footnoteReference w:id="6"/>
      </w:r>
      <w:r>
        <w:rPr>
          <w:rFonts w:ascii="Times New Roman" w:hAnsi="Times New Roman"/>
          <w:noProof/>
          <w:spacing w:val="-4"/>
          <w:lang w:val="bg-BG"/>
        </w:rPr>
        <w:t xml:space="preserve">. </w:t>
      </w:r>
    </w:p>
    <w:p w:rsidR="00792097" w:rsidRDefault="00AC774E">
      <w:pPr>
        <w:spacing w:after="120" w:line="240" w:lineRule="auto"/>
        <w:jc w:val="both"/>
        <w:rPr>
          <w:rFonts w:ascii="Times New Roman" w:hAnsi="Times New Roman" w:cs="Times New Roman"/>
          <w:noProof/>
          <w:lang w:val="bg-BG"/>
        </w:rPr>
      </w:pPr>
      <w:r>
        <w:rPr>
          <w:rFonts w:ascii="Times New Roman" w:hAnsi="Times New Roman"/>
          <w:noProof/>
          <w:lang w:val="bg-BG"/>
        </w:rPr>
        <w:t>Комисията също така се опира на различни проучвания и доклади, предоставени от международни институции и други независими наблюдатели в областта на съдебната реформа и</w:t>
      </w:r>
      <w:r>
        <w:rPr>
          <w:rFonts w:ascii="Times New Roman" w:hAnsi="Times New Roman"/>
          <w:noProof/>
          <w:lang w:val="bg-BG"/>
        </w:rPr>
        <w:t xml:space="preserve"> борбата с корупцията. Откакто бяха изготвени показателите по МСП, в съдебната практика на Европейския съд по правата на човека</w:t>
      </w:r>
      <w:r>
        <w:rPr>
          <w:rStyle w:val="FootnoteReference"/>
          <w:rFonts w:ascii="Times New Roman" w:hAnsi="Times New Roman"/>
          <w:noProof/>
          <w:lang w:val="bg-BG"/>
        </w:rPr>
        <w:footnoteReference w:id="7"/>
      </w:r>
      <w:r>
        <w:rPr>
          <w:rFonts w:ascii="Times New Roman" w:hAnsi="Times New Roman"/>
          <w:noProof/>
          <w:lang w:val="bg-BG"/>
        </w:rPr>
        <w:t>, международните стандарти и най-добри практики и сравнителната информация относно националните правосъдни системи в ЕС</w:t>
      </w:r>
      <w:r>
        <w:rPr>
          <w:rStyle w:val="FootnoteReference"/>
          <w:rFonts w:ascii="Times New Roman" w:hAnsi="Times New Roman"/>
          <w:noProof/>
          <w:lang w:val="bg-BG"/>
        </w:rPr>
        <w:footnoteReference w:id="8"/>
      </w:r>
      <w:r>
        <w:rPr>
          <w:rFonts w:ascii="Times New Roman" w:hAnsi="Times New Roman"/>
          <w:noProof/>
          <w:lang w:val="bg-BG"/>
        </w:rPr>
        <w:t xml:space="preserve"> са наст</w:t>
      </w:r>
      <w:r>
        <w:rPr>
          <w:rFonts w:ascii="Times New Roman" w:hAnsi="Times New Roman"/>
          <w:noProof/>
          <w:lang w:val="bg-BG"/>
        </w:rPr>
        <w:t>ъпили важни промени, които спомагат и за получаването на обективен и съпоставим критерий за развитието на българската съдебна система и борбата срещу корупцията и организираната престъпност. Макар настоящият доклад да се опира на информацията от това множе</w:t>
      </w:r>
      <w:r>
        <w:rPr>
          <w:rFonts w:ascii="Times New Roman" w:hAnsi="Times New Roman"/>
          <w:noProof/>
          <w:lang w:val="bg-BG"/>
        </w:rPr>
        <w:t>ство различни източници, за неговото съдържание отговарят службите на Комисията.</w:t>
      </w:r>
    </w:p>
    <w:p w:rsidR="00792097" w:rsidRDefault="00AC774E">
      <w:pPr>
        <w:spacing w:after="120" w:line="240" w:lineRule="auto"/>
        <w:jc w:val="both"/>
        <w:rPr>
          <w:rFonts w:ascii="Times New Roman" w:hAnsi="Times New Roman" w:cs="Times New Roman"/>
          <w:noProof/>
          <w:lang w:val="bg-BG"/>
        </w:rPr>
      </w:pPr>
      <w:r>
        <w:rPr>
          <w:rFonts w:ascii="Times New Roman" w:hAnsi="Times New Roman"/>
          <w:noProof/>
          <w:lang w:val="bg-BG"/>
        </w:rPr>
        <w:t>В Решението на Комисията от 2006 г., залагащо основата за МСП, бяха определени шест показателя за България. Тези показатели никога не са били променяни. Въпреки че шестте пока</w:t>
      </w:r>
      <w:r>
        <w:rPr>
          <w:rFonts w:ascii="Times New Roman" w:hAnsi="Times New Roman"/>
          <w:noProof/>
          <w:lang w:val="bg-BG"/>
        </w:rPr>
        <w:t xml:space="preserve">зателя бяха изработени в определен контекст и тяхната конкретна формулировка отразява специфичното положение към тогавашния момент, основните въпроси, за които се отнасят те, продължиха да бъдат актуални през следващите години. </w:t>
      </w:r>
    </w:p>
    <w:p w:rsidR="00792097" w:rsidRDefault="00AC774E">
      <w:pPr>
        <w:spacing w:after="120" w:line="240" w:lineRule="auto"/>
        <w:jc w:val="both"/>
        <w:rPr>
          <w:rFonts w:ascii="Times New Roman" w:hAnsi="Times New Roman" w:cs="Times New Roman"/>
          <w:noProof/>
          <w:spacing w:val="-2"/>
          <w:lang w:val="bg-BG"/>
        </w:rPr>
      </w:pPr>
      <w:r>
        <w:rPr>
          <w:rFonts w:ascii="Times New Roman" w:hAnsi="Times New Roman"/>
          <w:noProof/>
          <w:spacing w:val="-2"/>
          <w:lang w:val="bg-BG"/>
        </w:rPr>
        <w:t>Първите три показателя се о</w:t>
      </w:r>
      <w:r>
        <w:rPr>
          <w:rFonts w:ascii="Times New Roman" w:hAnsi="Times New Roman"/>
          <w:noProof/>
          <w:spacing w:val="-2"/>
          <w:lang w:val="bg-BG"/>
        </w:rPr>
        <w:t xml:space="preserve">тнасят до реформата на съдебната система, включително конституционната уредба за гарантиране на независимостта на съдебната власт (показател 1), </w:t>
      </w:r>
      <w:r>
        <w:rPr>
          <w:rFonts w:ascii="Times New Roman" w:hAnsi="Times New Roman"/>
          <w:noProof/>
          <w:spacing w:val="-2"/>
          <w:lang w:val="bg-BG"/>
        </w:rPr>
        <w:lastRenderedPageBreak/>
        <w:t>съответното законодателство (показател 2), както и необходимостта от подобряване на ежедневното функциониране н</w:t>
      </w:r>
      <w:r>
        <w:rPr>
          <w:rFonts w:ascii="Times New Roman" w:hAnsi="Times New Roman"/>
          <w:noProof/>
          <w:spacing w:val="-2"/>
          <w:lang w:val="bg-BG"/>
        </w:rPr>
        <w:t>а съдебната система (показател 3). Следващите два показателя се отнасят до борбата с корупцията — както корупцията по високите етажи на властта (показател 4), така и корупцията в по-общ план, включително на местно равнище и по границите (показател 5). Посл</w:t>
      </w:r>
      <w:r>
        <w:rPr>
          <w:rFonts w:ascii="Times New Roman" w:hAnsi="Times New Roman"/>
          <w:noProof/>
          <w:spacing w:val="-2"/>
          <w:lang w:val="bg-BG"/>
        </w:rPr>
        <w:t xml:space="preserve">едният показател се отнася до мерките за борба с организираната престъпност (показател 6). </w:t>
      </w:r>
    </w:p>
    <w:p w:rsidR="00792097" w:rsidRDefault="00AC774E">
      <w:pPr>
        <w:spacing w:after="120" w:line="240" w:lineRule="auto"/>
        <w:jc w:val="both"/>
        <w:rPr>
          <w:rFonts w:ascii="Times New Roman" w:hAnsi="Times New Roman" w:cs="Times New Roman"/>
          <w:noProof/>
          <w:spacing w:val="-4"/>
          <w:lang w:val="bg-BG"/>
        </w:rPr>
      </w:pPr>
      <w:r>
        <w:rPr>
          <w:rFonts w:ascii="Times New Roman" w:hAnsi="Times New Roman"/>
          <w:noProof/>
          <w:spacing w:val="-4"/>
          <w:lang w:val="bg-BG"/>
        </w:rPr>
        <w:t>В последния доклад по МСП на Комисията от 25 януари 2017 г. беше представена всеобхватна оценка на напредъка, постигнат за десет години в областта на съдебната рефо</w:t>
      </w:r>
      <w:r>
        <w:rPr>
          <w:rFonts w:ascii="Times New Roman" w:hAnsi="Times New Roman"/>
          <w:noProof/>
          <w:spacing w:val="-4"/>
          <w:lang w:val="bg-BG"/>
        </w:rPr>
        <w:t>рма и борбата с корупцията и организираната престъпност в рамките на МСП. В януарския доклад тази по-дългосрочна перспектива бе използвана, за да се определят оставащите ключови стъпки, необходими за постигане на целите на МСП. В него също така бе определе</w:t>
      </w:r>
      <w:r>
        <w:rPr>
          <w:rFonts w:ascii="Times New Roman" w:hAnsi="Times New Roman"/>
          <w:noProof/>
          <w:spacing w:val="-4"/>
          <w:lang w:val="bg-BG"/>
        </w:rPr>
        <w:t>н ясно пътят към приключването на процеса по МСП. След осъществяване на действията, набелязани за всеки показател, ще се счита, че съответният показател временно е изпълнен. Когато това бъде направено за всички показатели, действието на МСП ще бъде прекрат</w:t>
      </w:r>
      <w:r>
        <w:rPr>
          <w:rFonts w:ascii="Times New Roman" w:hAnsi="Times New Roman"/>
          <w:noProof/>
          <w:spacing w:val="-4"/>
          <w:lang w:val="bg-BG"/>
        </w:rPr>
        <w:t>ено, освен ако определени промени доведат до ясно обратно развитие в хода на напредъка</w:t>
      </w:r>
      <w:r>
        <w:rPr>
          <w:rStyle w:val="FootnoteReference"/>
          <w:rFonts w:ascii="Times New Roman" w:hAnsi="Times New Roman"/>
          <w:noProof/>
          <w:spacing w:val="-4"/>
          <w:lang w:val="bg-BG"/>
        </w:rPr>
        <w:footnoteReference w:id="9"/>
      </w:r>
      <w:r>
        <w:rPr>
          <w:rFonts w:ascii="Times New Roman" w:hAnsi="Times New Roman"/>
          <w:noProof/>
          <w:spacing w:val="-4"/>
          <w:lang w:val="bg-BG"/>
        </w:rPr>
        <w:t xml:space="preserve">. Ето защо настоящият технически доклад ще се съсредоточи върху напредъка, постигнат от българските органи във връзка с всяка от оставащите ключови стъпки, общо 17 на </w:t>
      </w:r>
      <w:r>
        <w:rPr>
          <w:rFonts w:ascii="Times New Roman" w:hAnsi="Times New Roman"/>
          <w:noProof/>
          <w:spacing w:val="-4"/>
          <w:lang w:val="bg-BG"/>
        </w:rPr>
        <w:t>брой, които бяха набелязани в доклада от януари. 17-те препоръки от януарския доклад са изложени по-долу под съответните показатели, като под всяка от тях се представя резюме на постигнатия от януари 2017 г. насам напредък.</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Italic" w:hAnsi="Times New Roman Italic"/>
          <w:noProof/>
          <w:spacing w:val="-2"/>
          <w:lang w:val="bg-BG"/>
        </w:rPr>
      </w:pPr>
      <w:r>
        <w:rPr>
          <w:rFonts w:ascii="Times New Roman Italic" w:hAnsi="Times New Roman Italic"/>
          <w:i/>
          <w:noProof/>
          <w:spacing w:val="-2"/>
          <w:lang w:val="bg-BG"/>
        </w:rPr>
        <w:t>„В докладите на Комисията по МСП</w:t>
      </w:r>
      <w:r>
        <w:rPr>
          <w:rFonts w:ascii="Times New Roman Italic" w:hAnsi="Times New Roman Italic"/>
          <w:i/>
          <w:noProof/>
          <w:spacing w:val="-2"/>
          <w:lang w:val="bg-BG"/>
        </w:rPr>
        <w:t xml:space="preserve"> от 2015 г. и 2016 г. бе възможно да се потвърдят важните стъпки, предприети от българските органи с цел реформата да бъде върната на дневен ред. През 2016 г. България постигна допълнителен значителен напредък при изпълнението на стратегията за съдебна реф</w:t>
      </w:r>
      <w:r>
        <w:rPr>
          <w:rFonts w:ascii="Times New Roman Italic" w:hAnsi="Times New Roman Italic"/>
          <w:i/>
          <w:noProof/>
          <w:spacing w:val="-2"/>
          <w:lang w:val="bg-BG"/>
        </w:rPr>
        <w:t>орма, а същевременно националната стратегия за борба с корупцията все още е в ранна фаза на изпълнение. В по-общ план през последните десет години цялостният напредък не беше толкова бърз, колкото се очакваше, и продължават да съществуват редица значителни</w:t>
      </w:r>
      <w:r>
        <w:rPr>
          <w:rFonts w:ascii="Times New Roman Italic" w:hAnsi="Times New Roman Italic"/>
          <w:i/>
          <w:noProof/>
          <w:spacing w:val="-2"/>
          <w:lang w:val="bg-BG"/>
        </w:rPr>
        <w:t xml:space="preserve"> предизвикателства, които трябва да бъдат преодолени. Новото правителство ще трябва да доведе реформата до сигурни необратими резултати.“</w:t>
      </w:r>
      <w:r>
        <w:rPr>
          <w:rFonts w:ascii="Times New Roman Italic" w:hAnsi="Times New Roman Italic"/>
          <w:noProof/>
          <w:spacing w:val="-2"/>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noProof/>
          <w:sz w:val="20"/>
          <w:szCs w:val="20"/>
          <w:lang w:val="bg-BG"/>
        </w:rPr>
      </w:pPr>
      <w:r>
        <w:rPr>
          <w:rFonts w:ascii="Times New Roman" w:hAnsi="Times New Roman"/>
          <w:noProof/>
          <w:sz w:val="20"/>
          <w:lang w:val="bg-BG"/>
        </w:rPr>
        <w:t>Източник: Доклад относно напредъка на България по механизма за сътрудничество и проверка, приет на 25 януари 2017 г.</w:t>
      </w:r>
      <w:r>
        <w:rPr>
          <w:rStyle w:val="FootnoteReference"/>
          <w:rFonts w:ascii="Times New Roman" w:hAnsi="Times New Roman"/>
          <w:noProof/>
          <w:sz w:val="20"/>
          <w:lang w:val="bg-BG"/>
        </w:rPr>
        <w:footnoteReference w:id="10"/>
      </w:r>
    </w:p>
    <w:p w:rsidR="00792097" w:rsidRDefault="00AC774E">
      <w:pPr>
        <w:spacing w:before="360" w:line="240" w:lineRule="auto"/>
        <w:jc w:val="both"/>
        <w:rPr>
          <w:rFonts w:ascii="Times New Roman" w:hAnsi="Times New Roman"/>
          <w:b/>
          <w:bCs/>
          <w:smallCaps/>
          <w:noProof/>
          <w:lang w:val="bg-BG"/>
        </w:rPr>
      </w:pPr>
      <w:r>
        <w:rPr>
          <w:rFonts w:ascii="Times New Roman" w:hAnsi="Times New Roman"/>
          <w:b/>
          <w:smallCaps/>
          <w:noProof/>
          <w:lang w:val="bg-BG"/>
        </w:rPr>
        <w:t xml:space="preserve">Показател 1: Да направи промени в Конституцията, с които да бъде премахната всякаква двусмисленост по отношение на независимостта и отчетността на съдебната система. </w:t>
      </w:r>
    </w:p>
    <w:p w:rsidR="00792097" w:rsidRDefault="00AC774E">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1:</w:t>
      </w:r>
      <w:r>
        <w:rPr>
          <w:rFonts w:ascii="Times New Roman" w:hAnsi="Times New Roman"/>
          <w:i/>
          <w:noProof/>
          <w:lang w:val="bg-BG"/>
        </w:rPr>
        <w:t xml:space="preserve"> да се гарантира прозрачен избор на членовете на бъдещия ВСС, като преди изб</w:t>
      </w:r>
      <w:r>
        <w:rPr>
          <w:rFonts w:ascii="Times New Roman" w:hAnsi="Times New Roman"/>
          <w:i/>
          <w:noProof/>
          <w:lang w:val="bg-BG"/>
        </w:rPr>
        <w:t>ора на членовете от парламентарната квота следва да се проведе публично изслушване в Народното събрание и да се даде възможност на представителите на гражданското общество да коментират кандидатите.</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Висшият съдебен съвет е ключовата институция, която управ</w:t>
      </w:r>
      <w:r>
        <w:rPr>
          <w:rFonts w:ascii="Times New Roman" w:hAnsi="Times New Roman"/>
          <w:noProof/>
          <w:lang w:val="bg-BG"/>
        </w:rPr>
        <w:t xml:space="preserve">лява съдебната власт в България, в това число разпределянето на ресурси и назначаването на ръководителите на съдилищата и прокуратурите. Ето защо функционирането на тази институция е от ключово значение за балансираното развитие и професионално управление </w:t>
      </w:r>
      <w:r>
        <w:rPr>
          <w:rFonts w:ascii="Times New Roman" w:hAnsi="Times New Roman"/>
          <w:noProof/>
          <w:lang w:val="bg-BG"/>
        </w:rPr>
        <w:t>на съдебната власт. В доклада по МСП от януари беше отбелязано, че скандалите и вътрешните борби през изминалите години са подхранили съмненията за наличие на външно влияние и са подкопали доверието на обществеността в съдебната власт</w:t>
      </w:r>
      <w:r>
        <w:rPr>
          <w:rStyle w:val="FootnoteReference"/>
          <w:rFonts w:ascii="Times New Roman" w:hAnsi="Times New Roman"/>
          <w:noProof/>
          <w:lang w:val="bg-BG"/>
        </w:rPr>
        <w:footnoteReference w:id="11"/>
      </w:r>
      <w:r>
        <w:rPr>
          <w:rFonts w:ascii="Times New Roman" w:hAnsi="Times New Roman"/>
          <w:noProof/>
          <w:lang w:val="bg-BG"/>
        </w:rPr>
        <w:t>. В тази връзка в док</w:t>
      </w:r>
      <w:r>
        <w:rPr>
          <w:rFonts w:ascii="Times New Roman" w:hAnsi="Times New Roman"/>
          <w:noProof/>
          <w:lang w:val="bg-BG"/>
        </w:rPr>
        <w:t>лада беше посочено, че важно изпитание за 2017 г. ще бъде изборът на новите членове на ВСС, който трябваше да се проведе тази година и за двете групи от членовете му: тези, които се избират от магистратите (съдебната квота), и тези, които се избират от Нар</w:t>
      </w:r>
      <w:r>
        <w:rPr>
          <w:rFonts w:ascii="Times New Roman" w:hAnsi="Times New Roman"/>
          <w:noProof/>
          <w:lang w:val="bg-BG"/>
        </w:rPr>
        <w:t xml:space="preserve">одното събрание (парламентарната квота).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Изтъкна се по-специално, че ще бъде важно тези избори да бъдат проведени по открит и прозрачен начин след сериозен дебат относно качествата на съответните кандидати, както и да се вижда, че са проведени по такъв </w:t>
      </w:r>
      <w:r>
        <w:rPr>
          <w:rFonts w:ascii="Times New Roman" w:hAnsi="Times New Roman"/>
          <w:noProof/>
          <w:lang w:val="bg-BG"/>
        </w:rPr>
        <w:t>начин. В сравнение с избора на предишния ВСС през 2012 г. основната правна уредба на процедурата се е развила значително в резултат на конституционни и последващи законодателни изменения, приети през 2015 г. и 2016 г. Ключово подобрение при новите процедур</w:t>
      </w:r>
      <w:r>
        <w:rPr>
          <w:rFonts w:ascii="Times New Roman" w:hAnsi="Times New Roman"/>
          <w:noProof/>
          <w:lang w:val="bg-BG"/>
        </w:rPr>
        <w:t>и е, че 11-те членове от съдебната квота следваше да бъдат избрани пряко от съдиите и прокурорите на принципа „един магистрат — един глас“.</w:t>
      </w:r>
      <w:r>
        <w:rPr>
          <w:rFonts w:ascii="Times New Roman" w:hAnsi="Times New Roman"/>
          <w:noProof/>
          <w:sz w:val="24"/>
          <w:vertAlign w:val="superscript"/>
          <w:lang w:val="bg-BG"/>
        </w:rPr>
        <w:t xml:space="preserve"> </w:t>
      </w:r>
      <w:r>
        <w:rPr>
          <w:rFonts w:ascii="Times New Roman" w:hAnsi="Times New Roman"/>
          <w:noProof/>
          <w:sz w:val="24"/>
          <w:vertAlign w:val="superscript"/>
          <w:lang w:val="bg-BG"/>
        </w:rPr>
        <w:footnoteReference w:id="12"/>
      </w:r>
      <w:r>
        <w:rPr>
          <w:rFonts w:ascii="Times New Roman" w:hAnsi="Times New Roman"/>
          <w:noProof/>
          <w:lang w:val="bg-BG"/>
        </w:rPr>
        <w:t xml:space="preserve"> Също съгласно новите правила, въведени през 2015 г., за избора на 11-те членове от парламентарната квота се изискв</w:t>
      </w:r>
      <w:r>
        <w:rPr>
          <w:rFonts w:ascii="Times New Roman" w:hAnsi="Times New Roman"/>
          <w:noProof/>
          <w:lang w:val="bg-BG"/>
        </w:rPr>
        <w:t>а подкрепата на мнозинство от 2/3 в Народното събрание, което отразява отправената към онзи момент препоръка на Венецианската комисия</w:t>
      </w:r>
      <w:r>
        <w:rPr>
          <w:rStyle w:val="FootnoteReference"/>
          <w:rFonts w:ascii="Times New Roman" w:hAnsi="Times New Roman"/>
          <w:noProof/>
          <w:lang w:val="bg-BG"/>
        </w:rPr>
        <w:footnoteReference w:id="13"/>
      </w:r>
      <w:r>
        <w:rPr>
          <w:rFonts w:ascii="Times New Roman" w:hAnsi="Times New Roman"/>
          <w:noProof/>
          <w:lang w:val="bg-BG"/>
        </w:rPr>
        <w:t xml:space="preserve">. </w:t>
      </w:r>
    </w:p>
    <w:p w:rsidR="00792097" w:rsidRDefault="00AC774E">
      <w:pPr>
        <w:spacing w:line="240" w:lineRule="auto"/>
        <w:jc w:val="both"/>
        <w:rPr>
          <w:rFonts w:ascii="Times New Roman" w:hAnsi="Times New Roman" w:cs="Times New Roman"/>
          <w:noProof/>
          <w:lang w:val="bg-BG"/>
        </w:rPr>
      </w:pPr>
      <w:r>
        <w:rPr>
          <w:rFonts w:ascii="Times New Roman" w:hAnsi="Times New Roman"/>
          <w:noProof/>
          <w:lang w:val="bg-BG"/>
        </w:rPr>
        <w:t>Изборите за съдебната квота приключиха до юни и по мнение на преобладаващата част от партньорите крайният резултат от т</w:t>
      </w:r>
      <w:r>
        <w:rPr>
          <w:rFonts w:ascii="Times New Roman" w:hAnsi="Times New Roman"/>
          <w:noProof/>
          <w:lang w:val="bg-BG"/>
        </w:rPr>
        <w:t>ях представлява справедлив резултат, който отразява предпочитанията на магистратурата като цяло</w:t>
      </w:r>
      <w:r>
        <w:rPr>
          <w:rStyle w:val="FootnoteReference"/>
          <w:rFonts w:ascii="Times New Roman" w:hAnsi="Times New Roman"/>
          <w:noProof/>
          <w:lang w:val="bg-BG"/>
        </w:rPr>
        <w:footnoteReference w:id="14"/>
      </w:r>
      <w:r>
        <w:rPr>
          <w:rFonts w:ascii="Times New Roman" w:hAnsi="Times New Roman"/>
          <w:noProof/>
          <w:lang w:val="bg-BG"/>
        </w:rPr>
        <w:t xml:space="preserve">. </w:t>
      </w:r>
    </w:p>
    <w:p w:rsidR="00792097" w:rsidRDefault="00AC774E">
      <w:pPr>
        <w:spacing w:line="240" w:lineRule="auto"/>
        <w:jc w:val="both"/>
        <w:rPr>
          <w:rFonts w:ascii="Times New Roman" w:hAnsi="Times New Roman" w:cs="Times New Roman"/>
          <w:noProof/>
          <w:spacing w:val="-2"/>
          <w:lang w:val="bg-BG"/>
        </w:rPr>
      </w:pPr>
      <w:r>
        <w:rPr>
          <w:rFonts w:ascii="Times New Roman" w:hAnsi="Times New Roman"/>
          <w:noProof/>
          <w:spacing w:val="-2"/>
          <w:lang w:val="bg-BG"/>
        </w:rPr>
        <w:t>Изборът на парламентарната квота в Народното събрание от своя страна приключи на 20 септември, като успешните кандидати бяха избрани с голямо мнозинство от н</w:t>
      </w:r>
      <w:r>
        <w:rPr>
          <w:rFonts w:ascii="Times New Roman" w:hAnsi="Times New Roman"/>
          <w:noProof/>
          <w:spacing w:val="-2"/>
          <w:lang w:val="bg-BG"/>
        </w:rPr>
        <w:t>ародните представители, включително такива от основните опозиционни партии. 18 кандидати бяха предложени преди крайния срок през юни, което даде възможност за значителен период на обществен дебат относно съответните качества на кандидатите. Въпреки това об</w:t>
      </w:r>
      <w:r>
        <w:rPr>
          <w:rFonts w:ascii="Times New Roman" w:hAnsi="Times New Roman"/>
          <w:noProof/>
          <w:spacing w:val="-2"/>
          <w:lang w:val="bg-BG"/>
        </w:rPr>
        <w:t>аче изборът беше критикуван от представители на гражданското общество и от някои съдии с аргумента, че създава впечатлението, че резултатите са предопределени с предварителни договорки между основните политически партии и не отразяват едно открито разглежд</w:t>
      </w:r>
      <w:r>
        <w:rPr>
          <w:rFonts w:ascii="Times New Roman" w:hAnsi="Times New Roman"/>
          <w:noProof/>
          <w:spacing w:val="-2"/>
          <w:lang w:val="bg-BG"/>
        </w:rPr>
        <w:t>ане на съответните качества на кандидатите.</w:t>
      </w:r>
      <w:r>
        <w:rPr>
          <w:noProof/>
          <w:spacing w:val="-2"/>
          <w:lang w:val="bg-BG"/>
        </w:rPr>
        <w:t xml:space="preserve"> </w:t>
      </w:r>
      <w:r>
        <w:rPr>
          <w:rFonts w:ascii="Times New Roman" w:hAnsi="Times New Roman"/>
          <w:noProof/>
          <w:spacing w:val="-2"/>
          <w:lang w:val="bg-BG"/>
        </w:rPr>
        <w:t>По-специално, проведеното преди избора публично изслушване в Комисията по правни въпроси бе обект на критика за това, че не е предоставило достатъчно време за обсъждане и че не са били повдигнати критични въпроси</w:t>
      </w:r>
      <w:r>
        <w:rPr>
          <w:rFonts w:ascii="Times New Roman" w:hAnsi="Times New Roman"/>
          <w:noProof/>
          <w:spacing w:val="-2"/>
          <w:lang w:val="bg-BG"/>
        </w:rPr>
        <w:t>, поставени от заинтересованите страни от гражданското общество</w:t>
      </w:r>
      <w:r>
        <w:rPr>
          <w:rStyle w:val="FootnoteReference"/>
          <w:rFonts w:ascii="Times New Roman" w:hAnsi="Times New Roman"/>
          <w:noProof/>
          <w:spacing w:val="-2"/>
          <w:lang w:val="bg-BG"/>
        </w:rPr>
        <w:footnoteReference w:id="15"/>
      </w:r>
      <w:r>
        <w:rPr>
          <w:noProof/>
          <w:spacing w:val="-2"/>
          <w:lang w:val="bg-BG"/>
        </w:rPr>
        <w:t>.</w:t>
      </w:r>
      <w:r>
        <w:rPr>
          <w:rFonts w:ascii="Times New Roman" w:hAnsi="Times New Roman"/>
          <w:noProof/>
          <w:spacing w:val="-2"/>
          <w:lang w:val="bg-BG"/>
        </w:rPr>
        <w:t xml:space="preserve"> Фактът, че окончателното разпределение на длъжностите между кандидатите, подкрепяни от групите на основните партии, до голяма степен беше прогнозирано преди вота, беше изтъкнат от някои заин</w:t>
      </w:r>
      <w:r>
        <w:rPr>
          <w:rFonts w:ascii="Times New Roman" w:hAnsi="Times New Roman"/>
          <w:noProof/>
          <w:spacing w:val="-2"/>
          <w:lang w:val="bg-BG"/>
        </w:rPr>
        <w:t>тересовани страни като повод за тревога, особено като се има предвид, че дялът на избираните от Народното събрание членове в съдийската колегия остава висок: същият брой като за съдиите, избрани от техни колеги. Изразената загриженост е свързана с голямото</w:t>
      </w:r>
      <w:r>
        <w:rPr>
          <w:rFonts w:ascii="Times New Roman" w:hAnsi="Times New Roman"/>
          <w:noProof/>
          <w:spacing w:val="-2"/>
          <w:lang w:val="bg-BG"/>
        </w:rPr>
        <w:t xml:space="preserve"> разнообразие от решения, попадащи в рамките на правомощията на ВСС, в това число решенията относно кариерното развитие на съдиите</w:t>
      </w:r>
      <w:r>
        <w:rPr>
          <w:rFonts w:ascii="Times New Roman" w:hAnsi="Times New Roman"/>
          <w:noProof/>
          <w:spacing w:val="-2"/>
          <w:vertAlign w:val="superscript"/>
          <w:lang w:val="bg-BG"/>
        </w:rPr>
        <w:footnoteReference w:id="16"/>
      </w:r>
      <w:r>
        <w:rPr>
          <w:rFonts w:ascii="Times New Roman" w:hAnsi="Times New Roman"/>
          <w:noProof/>
          <w:spacing w:val="-2"/>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Партньори отбелязаха като положителна промяна присъствието на редица изтъкнати висши магистрати сред новите членове както </w:t>
      </w:r>
      <w:r>
        <w:rPr>
          <w:rFonts w:ascii="Times New Roman" w:hAnsi="Times New Roman"/>
          <w:noProof/>
          <w:lang w:val="bg-BG"/>
        </w:rPr>
        <w:t>от квотата на съдебната власт, така и от парламентарна квота, което би могло да има положителен ефект от гледна точка на установяването на професионална атмосфера във ВСС. Новите членове положиха клетва за встъпване в длъжност на 3 октомври. Постигането на</w:t>
      </w:r>
      <w:r>
        <w:rPr>
          <w:rFonts w:ascii="Times New Roman" w:hAnsi="Times New Roman"/>
          <w:noProof/>
          <w:lang w:val="bg-BG"/>
        </w:rPr>
        <w:t xml:space="preserve"> трайни резултати при вземането на безпристрастни и професионални решения в ключови области през идните месеци</w:t>
      </w:r>
      <w:r>
        <w:rPr>
          <w:noProof/>
          <w:lang w:val="bg-BG"/>
        </w:rPr>
        <w:t xml:space="preserve"> </w:t>
      </w:r>
      <w:r>
        <w:rPr>
          <w:rFonts w:ascii="Times New Roman" w:hAnsi="Times New Roman"/>
          <w:noProof/>
          <w:lang w:val="bg-BG"/>
        </w:rPr>
        <w:t xml:space="preserve">ще бъде важен индикатор за способността на Съвета да изгради репутация. </w:t>
      </w:r>
    </w:p>
    <w:p w:rsidR="00792097" w:rsidRDefault="00AC774E">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2:</w:t>
      </w:r>
      <w:r>
        <w:rPr>
          <w:rFonts w:ascii="Times New Roman" w:hAnsi="Times New Roman"/>
          <w:i/>
          <w:noProof/>
          <w:lang w:val="bg-BG"/>
        </w:rPr>
        <w:t xml:space="preserve"> да се установи практика назначаването на висши съдебни длъж</w:t>
      </w:r>
      <w:r>
        <w:rPr>
          <w:rFonts w:ascii="Times New Roman" w:hAnsi="Times New Roman"/>
          <w:i/>
          <w:noProof/>
          <w:lang w:val="bg-BG"/>
        </w:rPr>
        <w:t>ности да бъде прозрачно и да се основава на качествата на кандидатите, като това следва да важи и за предстоящото назначаване на нов председател на Върховния административен съд.</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Една от основните функции на ВСС е да назначава ръководителите на съдилищата </w:t>
      </w:r>
      <w:r>
        <w:rPr>
          <w:rFonts w:ascii="Times New Roman" w:hAnsi="Times New Roman"/>
          <w:noProof/>
          <w:lang w:val="bg-BG"/>
        </w:rPr>
        <w:t>и прокуратурите. ВСС също така предлага назначенията на трите най-висши длъжности в българската съдебна власт — председателите на двете върховни съдилища и главния прокурор</w:t>
      </w:r>
      <w:r>
        <w:rPr>
          <w:rStyle w:val="FootnoteReference"/>
          <w:rFonts w:ascii="Times New Roman" w:hAnsi="Times New Roman"/>
          <w:noProof/>
          <w:lang w:val="bg-BG"/>
        </w:rPr>
        <w:footnoteReference w:id="17"/>
      </w:r>
      <w:r>
        <w:rPr>
          <w:noProof/>
          <w:lang w:val="bg-BG"/>
        </w:rPr>
        <w:t>.</w:t>
      </w:r>
      <w:r>
        <w:rPr>
          <w:rFonts w:ascii="Times New Roman" w:hAnsi="Times New Roman"/>
          <w:noProof/>
          <w:lang w:val="bg-BG"/>
        </w:rPr>
        <w:t xml:space="preserve"> Както бе посочено в доклада от януари, извършването на тези назначения въз основа</w:t>
      </w:r>
      <w:r>
        <w:rPr>
          <w:rFonts w:ascii="Times New Roman" w:hAnsi="Times New Roman"/>
          <w:noProof/>
          <w:lang w:val="bg-BG"/>
        </w:rPr>
        <w:t xml:space="preserve"> на качествата на кандидатите и по прозрачен начин е съществен тест за способността на ВСС да функционира като професионална и независима институция, която може да се ползва с доверието на магистратите и на обществото като цяло. Ето защо това ще бъде важна</w:t>
      </w:r>
      <w:r>
        <w:rPr>
          <w:rFonts w:ascii="Times New Roman" w:hAnsi="Times New Roman"/>
          <w:noProof/>
          <w:lang w:val="bg-BG"/>
        </w:rPr>
        <w:t xml:space="preserve"> област, в която ще е възможно да се направи оценка на подхода на новия съвет. Както беше подчертано в предишни доклади, решенията на предишния съвет в тази и в други области често бяха обект на полемика</w:t>
      </w:r>
      <w:r>
        <w:rPr>
          <w:rStyle w:val="FootnoteReference"/>
          <w:rFonts w:ascii="Times New Roman" w:hAnsi="Times New Roman"/>
          <w:noProof/>
          <w:lang w:val="bg-BG"/>
        </w:rPr>
        <w:footnoteReference w:id="18"/>
      </w:r>
      <w:r>
        <w:rPr>
          <w:rFonts w:ascii="Times New Roman" w:hAnsi="Times New Roman"/>
          <w:noProof/>
          <w:lang w:val="bg-BG"/>
        </w:rPr>
        <w:t>. През последната година от мандата на предишния ВСС</w:t>
      </w:r>
      <w:r>
        <w:rPr>
          <w:rFonts w:ascii="Times New Roman" w:hAnsi="Times New Roman"/>
          <w:noProof/>
          <w:lang w:val="bg-BG"/>
        </w:rPr>
        <w:t xml:space="preserve"> атмосферата на поляризация продължи да се отразява на работата на ВСС</w:t>
      </w:r>
      <w:r>
        <w:rPr>
          <w:rStyle w:val="FootnoteReference"/>
          <w:rFonts w:ascii="Times New Roman" w:hAnsi="Times New Roman"/>
          <w:noProof/>
          <w:lang w:val="bg-BG"/>
        </w:rPr>
        <w:footnoteReference w:id="19"/>
      </w:r>
      <w:r>
        <w:rPr>
          <w:rFonts w:ascii="Times New Roman" w:hAnsi="Times New Roman"/>
          <w:noProof/>
          <w:lang w:val="bg-BG"/>
        </w:rPr>
        <w:t xml:space="preserve">.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В цитираната по-горе препоръка се посочва конкретно изборът на нов председател на Върховния административен съд — едно от основните назначения, които следваше да се извършат в съдебн</w:t>
      </w:r>
      <w:r>
        <w:rPr>
          <w:rFonts w:ascii="Times New Roman" w:hAnsi="Times New Roman"/>
          <w:noProof/>
          <w:spacing w:val="-2"/>
          <w:lang w:val="bg-BG"/>
        </w:rPr>
        <w:t>ата власт през 2017 г.</w:t>
      </w:r>
      <w:r>
        <w:rPr>
          <w:rStyle w:val="FootnoteReference"/>
          <w:rFonts w:ascii="Times New Roman" w:hAnsi="Times New Roman"/>
          <w:noProof/>
          <w:spacing w:val="-2"/>
          <w:lang w:val="bg-BG"/>
        </w:rPr>
        <w:footnoteReference w:id="20"/>
      </w:r>
      <w:r>
        <w:rPr>
          <w:rFonts w:ascii="Times New Roman" w:hAnsi="Times New Roman"/>
          <w:noProof/>
          <w:spacing w:val="-2"/>
          <w:lang w:val="bg-BG"/>
        </w:rPr>
        <w:t xml:space="preserve"> Процедурата стартира през юли, а гласуването се проведе на заседание на пленума на предишния ВСС на 11 септември, като изборът беше между двама кандидати, и двамата с опит в самия Върховен административен съд. Гласуването във ВСС бе</w:t>
      </w:r>
      <w:r>
        <w:rPr>
          <w:rFonts w:ascii="Times New Roman" w:hAnsi="Times New Roman"/>
          <w:noProof/>
          <w:spacing w:val="-2"/>
          <w:lang w:val="bg-BG"/>
        </w:rPr>
        <w:t>ше предшествано от изслушване от общото събрание на съдиите от Върховния административен съд в съответствие с новите правила, въведени в Закона за съдебната власт през 2016 г. с цел да се засили участието на общите събрания на съдилищата в назначаването на</w:t>
      </w:r>
      <w:r>
        <w:rPr>
          <w:rFonts w:ascii="Times New Roman" w:hAnsi="Times New Roman"/>
          <w:noProof/>
          <w:spacing w:val="-2"/>
          <w:lang w:val="bg-BG"/>
        </w:rPr>
        <w:t xml:space="preserve"> тяхното ръководство. В резултат от изслушването бе изготвена препоръка в подкрепа на един от кандидатите, който също така беше подкрепен от напускащото ръководство</w:t>
      </w:r>
      <w:r>
        <w:rPr>
          <w:rStyle w:val="FootnoteReference"/>
          <w:rFonts w:ascii="Times New Roman" w:hAnsi="Times New Roman"/>
          <w:noProof/>
          <w:spacing w:val="-2"/>
          <w:lang w:val="bg-BG"/>
        </w:rPr>
        <w:footnoteReference w:id="21"/>
      </w:r>
      <w:r>
        <w:rPr>
          <w:rFonts w:ascii="Times New Roman" w:hAnsi="Times New Roman"/>
          <w:noProof/>
          <w:spacing w:val="-2"/>
          <w:lang w:val="bg-BG"/>
        </w:rPr>
        <w:t xml:space="preserve"> и в крайна сметка бе и кандидатът, избран от пленума на ВСС. След гласуването на ВСС обаче</w:t>
      </w:r>
      <w:r>
        <w:rPr>
          <w:rFonts w:ascii="Times New Roman" w:hAnsi="Times New Roman"/>
          <w:noProof/>
          <w:spacing w:val="-2"/>
          <w:lang w:val="bg-BG"/>
        </w:rPr>
        <w:t xml:space="preserve"> е необходимо предложеният кандидат да бъде назначен от президента на Република България, който даде да се разбере, че счита за по-уместно изборът да се извърши от новия встъпващ в длъжност състав на ВСС, вместо от този, чийто мандат изтича. В новинарски м</w:t>
      </w:r>
      <w:r>
        <w:rPr>
          <w:rFonts w:ascii="Times New Roman" w:hAnsi="Times New Roman"/>
          <w:noProof/>
          <w:spacing w:val="-2"/>
          <w:lang w:val="bg-BG"/>
        </w:rPr>
        <w:t>едии бяха отразени критики към решението на ВСС и от други страни, с призиви към президента да отхвърли предложението</w:t>
      </w:r>
      <w:r>
        <w:rPr>
          <w:rStyle w:val="FootnoteReference"/>
          <w:rFonts w:ascii="Times New Roman" w:hAnsi="Times New Roman"/>
          <w:noProof/>
          <w:spacing w:val="-2"/>
          <w:lang w:val="bg-BG"/>
        </w:rPr>
        <w:footnoteReference w:id="22"/>
      </w:r>
      <w:r>
        <w:rPr>
          <w:rFonts w:ascii="Times New Roman" w:hAnsi="Times New Roman"/>
          <w:noProof/>
          <w:spacing w:val="-2"/>
          <w:lang w:val="bg-BG"/>
        </w:rPr>
        <w:t>. На 4 октомври президентът реши да поиска потвърждение на номинацията от новия състав на ВСС. На 19 октомври новият ВСС потвърди кандидат</w:t>
      </w:r>
      <w:r>
        <w:rPr>
          <w:rFonts w:ascii="Times New Roman" w:hAnsi="Times New Roman"/>
          <w:noProof/>
          <w:spacing w:val="-2"/>
          <w:lang w:val="bg-BG"/>
        </w:rPr>
        <w:t>а с голямо мнозинство (20 гласа „за“) и новият председател се очаква официално да поеме функциите си на 22 ноември.</w:t>
      </w:r>
      <w:r>
        <w:rPr>
          <w:rStyle w:val="FootnoteReference"/>
          <w:rFonts w:ascii="Times New Roman" w:hAnsi="Times New Roman"/>
          <w:noProof/>
          <w:spacing w:val="-2"/>
          <w:lang w:val="bg-BG"/>
        </w:rPr>
        <w:t xml:space="preserve"> </w:t>
      </w:r>
      <w:r>
        <w:rPr>
          <w:rStyle w:val="FootnoteReference"/>
          <w:rFonts w:ascii="Times New Roman" w:hAnsi="Times New Roman"/>
          <w:noProof/>
          <w:spacing w:val="-2"/>
          <w:lang w:val="bg-BG"/>
        </w:rPr>
        <w:footnoteReference w:id="23"/>
      </w:r>
    </w:p>
    <w:p w:rsidR="00792097" w:rsidRDefault="00AC774E">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pacing w:val="-4"/>
          <w:lang w:val="bg-BG"/>
        </w:rPr>
      </w:pPr>
      <w:r>
        <w:rPr>
          <w:rFonts w:ascii="Times New Roman" w:hAnsi="Times New Roman"/>
          <w:b/>
          <w:i/>
          <w:noProof/>
          <w:spacing w:val="-4"/>
          <w:lang w:val="bg-BG"/>
        </w:rPr>
        <w:t>Препоръка 3:</w:t>
      </w:r>
      <w:r>
        <w:rPr>
          <w:rFonts w:ascii="Times New Roman" w:hAnsi="Times New Roman"/>
          <w:i/>
          <w:noProof/>
          <w:spacing w:val="-4"/>
          <w:lang w:val="bg-BG"/>
        </w:rPr>
        <w:t xml:space="preserve"> да се подобрят практическото функциониране на ИВСС и последващите действия на Висшия съдебен съвет в отговор на констатациите</w:t>
      </w:r>
      <w:r>
        <w:rPr>
          <w:rFonts w:ascii="Times New Roman" w:hAnsi="Times New Roman"/>
          <w:i/>
          <w:noProof/>
          <w:spacing w:val="-4"/>
          <w:lang w:val="bg-BG"/>
        </w:rPr>
        <w:t xml:space="preserve"> на Инспектората, особено по отношение на въпроси, свързани с почтеността на магистратите; да се обмисли възможността за отправяне на искане за външна помощ, например от СПСР и/или Съвета на Европа.</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В предишните доклади по МСП беше отчетен положителният пр</w:t>
      </w:r>
      <w:r>
        <w:rPr>
          <w:rFonts w:ascii="Times New Roman" w:hAnsi="Times New Roman"/>
          <w:noProof/>
          <w:lang w:val="bg-BG"/>
        </w:rPr>
        <w:t>инос на Инспектората към Висшия съдебен съвет (ИВСС) през годините. Въпреки това областта на етиката и дисциплинарните производства е тема, която от дълго време е предмет на полемика, и се характеризира с неясни практики в рамките на ВСС. С конституционнит</w:t>
      </w:r>
      <w:r>
        <w:rPr>
          <w:rFonts w:ascii="Times New Roman" w:hAnsi="Times New Roman"/>
          <w:noProof/>
          <w:lang w:val="bg-BG"/>
        </w:rPr>
        <w:t>е изменения от 2015 г. на Инспектората бяха предоставени допълнителни правомощия в областта на етиката, като той вече отговоря за проверката на декларациите за имущество и интереси, както и за проверката на случаи, при които е била поставена под въпрос поч</w:t>
      </w:r>
      <w:r>
        <w:rPr>
          <w:rFonts w:ascii="Times New Roman" w:hAnsi="Times New Roman"/>
          <w:noProof/>
          <w:lang w:val="bg-BG"/>
        </w:rPr>
        <w:t>теността на магистрати</w:t>
      </w:r>
      <w:r>
        <w:rPr>
          <w:rStyle w:val="FootnoteReference"/>
          <w:rFonts w:ascii="Times New Roman" w:hAnsi="Times New Roman"/>
          <w:noProof/>
          <w:lang w:val="bg-BG"/>
        </w:rPr>
        <w:footnoteReference w:id="24"/>
      </w:r>
      <w:r>
        <w:rPr>
          <w:rFonts w:ascii="Times New Roman" w:hAnsi="Times New Roman"/>
          <w:noProof/>
          <w:lang w:val="bg-BG"/>
        </w:rPr>
        <w:t>.</w:t>
      </w:r>
      <w:r>
        <w:rPr>
          <w:noProof/>
          <w:lang w:val="bg-BG"/>
        </w:rPr>
        <w:t xml:space="preserve"> </w:t>
      </w:r>
      <w:r>
        <w:rPr>
          <w:rFonts w:ascii="Times New Roman" w:hAnsi="Times New Roman"/>
          <w:noProof/>
          <w:lang w:val="bg-BG"/>
        </w:rPr>
        <w:t>Съгласно новите правила функциите на Инспектората бяха подсилени и що се отнася до дисциплинарните производства. Преди измененията дисциплинарно производство можеше да се образува по предложение на петима членове на ВСС, докато спо</w:t>
      </w:r>
      <w:r>
        <w:rPr>
          <w:rFonts w:ascii="Times New Roman" w:hAnsi="Times New Roman"/>
          <w:noProof/>
          <w:lang w:val="bg-BG"/>
        </w:rPr>
        <w:t>ред новите правила тази компетентност е предоставена на Инспектората, заедно със съответните административни ръководители на съответните съдебни органи и министъра на правосъдието. Макар че в крайна сметка все още ВСС е този, който решава изхода от дисципл</w:t>
      </w:r>
      <w:r>
        <w:rPr>
          <w:rFonts w:ascii="Times New Roman" w:hAnsi="Times New Roman"/>
          <w:noProof/>
          <w:lang w:val="bg-BG"/>
        </w:rPr>
        <w:t>инарните производства, така бе въведено по-ясно разделение на правомощията между различните участващи институции.</w:t>
      </w:r>
      <w:r>
        <w:rPr>
          <w:rStyle w:val="FootnoteReference"/>
          <w:rFonts w:ascii="Times New Roman" w:hAnsi="Times New Roman"/>
          <w:noProof/>
          <w:lang w:val="bg-BG"/>
        </w:rPr>
        <w:t xml:space="preserve"> </w:t>
      </w:r>
      <w:r>
        <w:rPr>
          <w:rStyle w:val="FootnoteReference"/>
          <w:rFonts w:ascii="Times New Roman" w:hAnsi="Times New Roman"/>
          <w:noProof/>
          <w:lang w:val="bg-BG"/>
        </w:rPr>
        <w:footnoteReference w:id="25"/>
      </w:r>
      <w:r>
        <w:rPr>
          <w:rFonts w:ascii="Times New Roman" w:hAnsi="Times New Roman"/>
          <w:noProof/>
          <w:lang w:val="bg-BG"/>
        </w:rPr>
        <w:t xml:space="preserve"> Подробни правила и процедури за упражняване от страна на Инспектората на новите му правомощия бяха включени в Закона за съдебната власт през</w:t>
      </w:r>
      <w:r>
        <w:rPr>
          <w:rFonts w:ascii="Times New Roman" w:hAnsi="Times New Roman"/>
          <w:noProof/>
          <w:lang w:val="bg-BG"/>
        </w:rPr>
        <w:t xml:space="preserve"> 2016 г. и влязоха в сила през януари 2017 г. В резултат на тези промени на Инспектората беше отредена много по-централна роля по отношение на всички дисциплинарни въпроси, засягащи магистратите, отколкото в миналото. </w:t>
      </w:r>
    </w:p>
    <w:p w:rsidR="00792097" w:rsidRDefault="00AC774E">
      <w:pPr>
        <w:spacing w:line="240" w:lineRule="auto"/>
        <w:jc w:val="both"/>
        <w:rPr>
          <w:rFonts w:ascii="Times New Roman" w:hAnsi="Times New Roman"/>
          <w:noProof/>
          <w:spacing w:val="-4"/>
          <w:lang w:val="bg-BG"/>
        </w:rPr>
      </w:pPr>
      <w:r>
        <w:rPr>
          <w:rFonts w:ascii="Times New Roman" w:hAnsi="Times New Roman"/>
          <w:noProof/>
          <w:spacing w:val="-4"/>
          <w:lang w:val="bg-BG"/>
        </w:rPr>
        <w:t xml:space="preserve">Предвид факта, че са засегнати много </w:t>
      </w:r>
      <w:r>
        <w:rPr>
          <w:rFonts w:ascii="Times New Roman" w:hAnsi="Times New Roman"/>
          <w:noProof/>
          <w:spacing w:val="-4"/>
          <w:lang w:val="bg-BG"/>
        </w:rPr>
        <w:t>чувствителни въпроси, в доклада от януари на България бе препоръчано да обмисли възможността за отправяне на искане за външна помощ с оглед на подобряването на практическото функциониране на новата институционална организация в областта на почтеността, вкл</w:t>
      </w:r>
      <w:r>
        <w:rPr>
          <w:rFonts w:ascii="Times New Roman" w:hAnsi="Times New Roman"/>
          <w:noProof/>
          <w:spacing w:val="-4"/>
          <w:lang w:val="bg-BG"/>
        </w:rPr>
        <w:t>ючително отскоро подсилените функции на ИВСС. Българското правителство впоследствие изрази интерес да получи подкрепа от СПСР във връзка с Инспектората. По инициатива на Комисията за мониторинг на Парламентарната асамблея на Съвета на Европа (ПАСЕ) в Бълга</w:t>
      </w:r>
      <w:r>
        <w:rPr>
          <w:rFonts w:ascii="Times New Roman" w:hAnsi="Times New Roman"/>
          <w:noProof/>
          <w:spacing w:val="-4"/>
          <w:lang w:val="bg-BG"/>
        </w:rPr>
        <w:t>рия също така бе проведена мисия на Венецианската комисия, за да се направи оценка на неотдавнашните реформи в българската съдебна система след конституционните изменения от 2015 г. и последвалите законодателни изменения, включително на новите функции на И</w:t>
      </w:r>
      <w:r>
        <w:rPr>
          <w:rFonts w:ascii="Times New Roman" w:hAnsi="Times New Roman"/>
          <w:noProof/>
          <w:spacing w:val="-4"/>
          <w:lang w:val="bg-BG"/>
        </w:rPr>
        <w:t>нспектората. В изготвеното становище, прието в началото на октомври 2017 г., са изложени редица съображения по отношение на състава и функциите на Инспектората</w:t>
      </w:r>
      <w:r>
        <w:rPr>
          <w:rStyle w:val="FootnoteReference"/>
          <w:rFonts w:ascii="Times New Roman" w:hAnsi="Times New Roman"/>
          <w:noProof/>
          <w:spacing w:val="-4"/>
          <w:lang w:val="bg-BG"/>
        </w:rPr>
        <w:footnoteReference w:id="26"/>
      </w:r>
      <w:r>
        <w:rPr>
          <w:rFonts w:ascii="Times New Roman" w:hAnsi="Times New Roman"/>
          <w:noProof/>
          <w:spacing w:val="-4"/>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Междувременно Инспекторатът пое новите си функции, като получи и публикува декларациите за </w:t>
      </w:r>
      <w:r>
        <w:rPr>
          <w:rFonts w:ascii="Times New Roman" w:hAnsi="Times New Roman"/>
          <w:noProof/>
          <w:lang w:val="bg-BG"/>
        </w:rPr>
        <w:t xml:space="preserve">имущество и интереси за над четирите хиляди магистрати, за които се отнасят новите правила. Бяха образувани производства срещу магистрати, които не са подали декларациите си. Подписани бяха административни договорености със съответните институции за обмен </w:t>
      </w:r>
      <w:r>
        <w:rPr>
          <w:rFonts w:ascii="Times New Roman" w:hAnsi="Times New Roman"/>
          <w:noProof/>
          <w:lang w:val="bg-BG"/>
        </w:rPr>
        <w:t>на релевантна информация. На Инспектората бяха предоставени допълнителни ресурси, включително технически персонал, с цел извършване на анализ за конфликт на интереси и анализ на личното имущество на магистратите. Съгласно получените данни проверките на пър</w:t>
      </w:r>
      <w:r>
        <w:rPr>
          <w:rFonts w:ascii="Times New Roman" w:hAnsi="Times New Roman"/>
          <w:noProof/>
          <w:lang w:val="bg-BG"/>
        </w:rPr>
        <w:t>вите подадени декларации са започнали, макар и темповете на изпълнение да са забавени по различни причини от технически характер. По-специално се е наложило да се набави нов софтуер, тъй като съществуващата система, използвана от Сметната палата на Републи</w:t>
      </w:r>
      <w:r>
        <w:rPr>
          <w:rFonts w:ascii="Times New Roman" w:hAnsi="Times New Roman"/>
          <w:noProof/>
          <w:lang w:val="bg-BG"/>
        </w:rPr>
        <w:t>ка България за лица на други публични длъжности, не е подходяща за декларациите, които следва да се подават от магистратите съгласно новите правила</w:t>
      </w:r>
      <w:r>
        <w:rPr>
          <w:rStyle w:val="FootnoteReference"/>
          <w:rFonts w:ascii="Times New Roman" w:hAnsi="Times New Roman"/>
          <w:noProof/>
          <w:lang w:val="bg-BG"/>
        </w:rPr>
        <w:footnoteReference w:id="27"/>
      </w:r>
      <w:r>
        <w:rPr>
          <w:rFonts w:ascii="Times New Roman" w:hAnsi="Times New Roman"/>
          <w:noProof/>
          <w:lang w:val="bg-BG"/>
        </w:rPr>
        <w:t>. В хода на работата бяха установени и някои недостатъци в новите правила, вследствие на което Инспекторатът</w:t>
      </w:r>
      <w:r>
        <w:rPr>
          <w:rFonts w:ascii="Times New Roman" w:hAnsi="Times New Roman"/>
          <w:noProof/>
          <w:lang w:val="bg-BG"/>
        </w:rPr>
        <w:t xml:space="preserve"> предложи изменения в Закона за съдебната власт по ограничен брой елементи, например за улесняване на достъпа до информация за банкови сметки при извършваните от него проверки</w:t>
      </w:r>
      <w:r>
        <w:rPr>
          <w:rStyle w:val="FootnoteReference"/>
          <w:rFonts w:ascii="Times New Roman" w:hAnsi="Times New Roman"/>
          <w:noProof/>
          <w:lang w:val="bg-BG"/>
        </w:rPr>
        <w:footnoteReference w:id="28"/>
      </w:r>
      <w:r>
        <w:rPr>
          <w:rFonts w:ascii="Times New Roman" w:hAnsi="Times New Roman"/>
          <w:noProof/>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Инспекторатът е получил редица сигнали за магистрати, но повечето от тях не с</w:t>
      </w:r>
      <w:r>
        <w:rPr>
          <w:rFonts w:ascii="Times New Roman" w:hAnsi="Times New Roman"/>
          <w:noProof/>
          <w:lang w:val="bg-BG"/>
        </w:rPr>
        <w:t>а довели до разследвания. Според Инспектората това се дължи най-вече на непълна информация. Поради това изглежда, че системата за приемане на сигнали към момента не е напълно ефективна. Въз основа на обичайните си проверки на различните съдебни органи, Инс</w:t>
      </w:r>
      <w:r>
        <w:rPr>
          <w:rFonts w:ascii="Times New Roman" w:hAnsi="Times New Roman"/>
          <w:noProof/>
          <w:lang w:val="bg-BG"/>
        </w:rPr>
        <w:t>пекторатът продължава да отнася случаи до ВСС за предприемане на последващи дисциплинарни действия. Предишният ВСС въведе практиката на провеждане на редовни срещи с Инспектората с цел да се обсъди подходът, възприет по такива случаи. Предстои да се види к</w:t>
      </w:r>
      <w:r>
        <w:rPr>
          <w:rFonts w:ascii="Times New Roman" w:hAnsi="Times New Roman"/>
          <w:noProof/>
          <w:lang w:val="bg-BG"/>
        </w:rPr>
        <w:t xml:space="preserve">ак ще се развива взаимодействието между двете институции при новия състав на ВСС. </w:t>
      </w:r>
    </w:p>
    <w:p w:rsidR="00792097" w:rsidRDefault="00AC774E">
      <w:pPr>
        <w:spacing w:before="360" w:line="240" w:lineRule="auto"/>
        <w:jc w:val="both"/>
        <w:rPr>
          <w:rFonts w:ascii="Times New Roman" w:hAnsi="Times New Roman"/>
          <w:b/>
          <w:bCs/>
          <w:smallCaps/>
          <w:noProof/>
          <w:lang w:val="bg-BG"/>
        </w:rPr>
      </w:pPr>
      <w:r>
        <w:rPr>
          <w:rFonts w:ascii="Times New Roman" w:hAnsi="Times New Roman"/>
          <w:b/>
          <w:smallCaps/>
          <w:noProof/>
          <w:lang w:val="bg-BG"/>
        </w:rPr>
        <w:t>Показател 2: Да осигури по-прозрачен и ефикасен съдебен процес посредством приемането и прилагането на нов закон за съдебната власт и нов граждански процесуален кодекс. Да д</w:t>
      </w:r>
      <w:r>
        <w:rPr>
          <w:rFonts w:ascii="Times New Roman" w:hAnsi="Times New Roman"/>
          <w:b/>
          <w:smallCaps/>
          <w:noProof/>
          <w:lang w:val="bg-BG"/>
        </w:rPr>
        <w:t>окладва за ефекта от тези нови закони и от Наказателно-процесуалния кодекс и Административнопроцесуалния кодекс, и по-специално върху досъдебната фаза на наказателното производство.</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Italic" w:hAnsi="Times New Roman Italic"/>
          <w:i/>
          <w:noProof/>
          <w:lang w:val="bg-BG"/>
        </w:rPr>
      </w:pPr>
      <w:r>
        <w:rPr>
          <w:rFonts w:ascii="Times New Roman Italic" w:hAnsi="Times New Roman Italic"/>
          <w:b/>
          <w:i/>
          <w:noProof/>
          <w:lang w:val="bg-BG"/>
        </w:rPr>
        <w:t>Препоръка 4:</w:t>
      </w:r>
      <w:r>
        <w:rPr>
          <w:rFonts w:ascii="Times New Roman Italic" w:hAnsi="Times New Roman Italic"/>
          <w:i/>
          <w:noProof/>
          <w:lang w:val="bg-BG"/>
        </w:rPr>
        <w:t xml:space="preserve"> да се приемат изменения на Наказателно-процесуалния кодекс и Наказателния кодекс за подобряване на нормативната уредба на наказателното преследване на корупцията по високите етажи на властта и тежката организирана престъпност.</w:t>
      </w:r>
    </w:p>
    <w:p w:rsidR="00792097" w:rsidRDefault="00AC774E">
      <w:pPr>
        <w:spacing w:line="240" w:lineRule="auto"/>
        <w:jc w:val="both"/>
        <w:rPr>
          <w:rFonts w:ascii="Times New Roman" w:hAnsi="Times New Roman"/>
          <w:noProof/>
          <w:spacing w:val="-6"/>
          <w:lang w:val="bg-BG"/>
        </w:rPr>
      </w:pPr>
      <w:r>
        <w:rPr>
          <w:rFonts w:ascii="Times New Roman" w:hAnsi="Times New Roman"/>
          <w:noProof/>
          <w:spacing w:val="-6"/>
          <w:lang w:val="bg-BG"/>
        </w:rPr>
        <w:t>В януарския доклад бяха отбе</w:t>
      </w:r>
      <w:r>
        <w:rPr>
          <w:rFonts w:ascii="Times New Roman" w:hAnsi="Times New Roman"/>
          <w:noProof/>
          <w:spacing w:val="-6"/>
          <w:lang w:val="bg-BG"/>
        </w:rPr>
        <w:t>лязани предизвикателствата, пред които продължават да се изправят българските съдебни органи във връзка с осигуряването на ефективното разследване и наказателно преследване на корупцията по високите етажи на властта и организираната престъпност съгласно де</w:t>
      </w:r>
      <w:r>
        <w:rPr>
          <w:rFonts w:ascii="Times New Roman" w:hAnsi="Times New Roman"/>
          <w:noProof/>
          <w:spacing w:val="-6"/>
          <w:lang w:val="bg-BG"/>
        </w:rPr>
        <w:t>йстващия Наказателен кодекс и действащите процедури. Тези дългогодишни предизвикателства продължават да съществуват въпреки многократните усилия за модернизиране на нормативната уредба през годините. В началото на есента на 2016 г. Министерството на правос</w:t>
      </w:r>
      <w:r>
        <w:rPr>
          <w:rFonts w:ascii="Times New Roman" w:hAnsi="Times New Roman"/>
          <w:noProof/>
          <w:spacing w:val="-6"/>
          <w:lang w:val="bg-BG"/>
        </w:rPr>
        <w:t>ъдието, с подкрепата на прокуратурата и други части на съдебната власт, изготви пакет от изменения на Наказателно-процесуалния кодекс, имащ за цел отстраняването на някои от тези проблеми. Поради последващите политически събития по тези изменения не бе отб</w:t>
      </w:r>
      <w:r>
        <w:rPr>
          <w:rFonts w:ascii="Times New Roman" w:hAnsi="Times New Roman"/>
          <w:noProof/>
          <w:spacing w:val="-6"/>
          <w:lang w:val="bg-BG"/>
        </w:rPr>
        <w:t>елязан напредък през 2016 г. През юни 2017 г. обаче новото правителство внесе проект на изменения в Народното събрание, което бързо ги прие. Посочените изменения бяха обнародвани на 4 август и влязоха в сила на 5 ноември. Целта на пакета е да се ускорят пр</w:t>
      </w:r>
      <w:r>
        <w:rPr>
          <w:rFonts w:ascii="Times New Roman" w:hAnsi="Times New Roman"/>
          <w:noProof/>
          <w:spacing w:val="-6"/>
          <w:lang w:val="bg-BG"/>
        </w:rPr>
        <w:t>оцедурите и да се повиши ефикасността на правосъдието, като по-специално се ограничи възможността в по-напредналите фази на производството съдилищата да връщат дела на прокуратурата за процесуални нарушения</w:t>
      </w:r>
      <w:r>
        <w:rPr>
          <w:rStyle w:val="FootnoteReference"/>
          <w:rFonts w:ascii="Times New Roman" w:hAnsi="Times New Roman"/>
          <w:noProof/>
          <w:spacing w:val="-6"/>
          <w:lang w:val="bg-BG"/>
        </w:rPr>
        <w:footnoteReference w:id="29"/>
      </w:r>
      <w:r>
        <w:rPr>
          <w:noProof/>
          <w:spacing w:val="-6"/>
          <w:lang w:val="bg-BG"/>
        </w:rPr>
        <w:t>.</w:t>
      </w:r>
      <w:r>
        <w:rPr>
          <w:rFonts w:ascii="Times New Roman" w:hAnsi="Times New Roman"/>
          <w:noProof/>
          <w:spacing w:val="-6"/>
          <w:lang w:val="bg-BG"/>
        </w:rPr>
        <w:t xml:space="preserve"> Друга важна промяна е прехвърлянето на компетен</w:t>
      </w:r>
      <w:r>
        <w:rPr>
          <w:rFonts w:ascii="Times New Roman" w:hAnsi="Times New Roman"/>
          <w:noProof/>
          <w:spacing w:val="-6"/>
          <w:lang w:val="bg-BG"/>
        </w:rPr>
        <w:t>тността по делата за редица тежки престъпления с потенциален или пряк елемент на корупция, извършени от високопоставени длъжностни лица, в това число от народни представители, министри и магистрати, към специализирания съд и специализираната прокуратура за</w:t>
      </w:r>
      <w:r>
        <w:rPr>
          <w:rFonts w:ascii="Times New Roman" w:hAnsi="Times New Roman"/>
          <w:noProof/>
          <w:spacing w:val="-6"/>
          <w:lang w:val="bg-BG"/>
        </w:rPr>
        <w:t xml:space="preserve"> организираната престъпност.</w:t>
      </w:r>
      <w:r>
        <w:rPr>
          <w:noProof/>
          <w:spacing w:val="-6"/>
          <w:lang w:val="bg-BG"/>
        </w:rPr>
        <w:t xml:space="preserve"> </w:t>
      </w:r>
      <w:r>
        <w:rPr>
          <w:rFonts w:ascii="Times New Roman" w:hAnsi="Times New Roman"/>
          <w:noProof/>
          <w:spacing w:val="-6"/>
          <w:lang w:val="bg-BG"/>
        </w:rPr>
        <w:t>В пакета се съдържаха и редица други изменения, имащи за цел да се осигури по-добро изпълнение на наказанията, да се съкратят сроковете и да се даде възможност за повече гъвкавост по отношение на продължителността на досъдебнот</w:t>
      </w:r>
      <w:r>
        <w:rPr>
          <w:rFonts w:ascii="Times New Roman" w:hAnsi="Times New Roman"/>
          <w:noProof/>
          <w:spacing w:val="-6"/>
          <w:lang w:val="bg-BG"/>
        </w:rPr>
        <w:t>о разследване по сложни дела</w:t>
      </w:r>
      <w:r>
        <w:rPr>
          <w:rStyle w:val="FootnoteReference"/>
          <w:rFonts w:ascii="Times New Roman" w:hAnsi="Times New Roman"/>
          <w:noProof/>
          <w:spacing w:val="-6"/>
          <w:lang w:val="bg-BG"/>
        </w:rPr>
        <w:footnoteReference w:id="30"/>
      </w:r>
      <w:r>
        <w:rPr>
          <w:rFonts w:ascii="Times New Roman" w:hAnsi="Times New Roman"/>
          <w:noProof/>
          <w:spacing w:val="-6"/>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Представители на гражданското общество и работещи в съдебната власт изразиха загриженост във връзка с много бързото приемане на пакета, изтъквайки по-конкретно, че то не е дало възможност за подходящ дебат и разглеждане на е</w:t>
      </w:r>
      <w:r>
        <w:rPr>
          <w:rFonts w:ascii="Times New Roman" w:hAnsi="Times New Roman"/>
          <w:noProof/>
          <w:lang w:val="bg-BG"/>
        </w:rPr>
        <w:t>вентуалните последици от измененията</w:t>
      </w:r>
      <w:r>
        <w:rPr>
          <w:rStyle w:val="FootnoteReference"/>
          <w:rFonts w:ascii="Times New Roman" w:hAnsi="Times New Roman"/>
          <w:noProof/>
          <w:lang w:val="bg-BG"/>
        </w:rPr>
        <w:footnoteReference w:id="31"/>
      </w:r>
      <w:r>
        <w:rPr>
          <w:rFonts w:ascii="Times New Roman" w:hAnsi="Times New Roman"/>
          <w:noProof/>
          <w:lang w:val="bg-BG"/>
        </w:rPr>
        <w:t>. Така например ускоряването на процедурите и новите ограничения върху способността на съдилищата да връщат дела на прокуратурата бяха подложени на критика от някои работещи в съдебната система с аргумента, че изискване</w:t>
      </w:r>
      <w:r>
        <w:rPr>
          <w:rFonts w:ascii="Times New Roman" w:hAnsi="Times New Roman"/>
          <w:noProof/>
          <w:lang w:val="bg-BG"/>
        </w:rPr>
        <w:t>то за идентифициране на всички процесуални нарушения в рамките на разпоредителното заседание може да е нереалистично и следователно да доведе до неоправдано постановяване на оправдателни присъди. Същевременно други изразиха опасения, че с разпоредбите мога</w:t>
      </w:r>
      <w:r>
        <w:rPr>
          <w:rFonts w:ascii="Times New Roman" w:hAnsi="Times New Roman"/>
          <w:noProof/>
          <w:lang w:val="bg-BG"/>
        </w:rPr>
        <w:t>т потенциално да бъдат нарушени правата на обвиняемите</w:t>
      </w:r>
      <w:r>
        <w:rPr>
          <w:rStyle w:val="FootnoteReference"/>
          <w:rFonts w:ascii="Times New Roman" w:hAnsi="Times New Roman"/>
          <w:noProof/>
          <w:lang w:val="bg-BG"/>
        </w:rPr>
        <w:footnoteReference w:id="32"/>
      </w:r>
      <w:r>
        <w:rPr>
          <w:rFonts w:ascii="Times New Roman" w:hAnsi="Times New Roman"/>
          <w:noProof/>
          <w:lang w:val="bg-BG"/>
        </w:rPr>
        <w:t>. Освен това някои заинтересовани страни поставиха под въпрос и прехвърлянето към специализирани органи на компетентността по наказателните дела, засягащи високопоставени длъжностни лица — както от гле</w:t>
      </w:r>
      <w:r>
        <w:rPr>
          <w:rFonts w:ascii="Times New Roman" w:hAnsi="Times New Roman"/>
          <w:noProof/>
          <w:lang w:val="bg-BG"/>
        </w:rPr>
        <w:t>дна точка на логиката, която би била да се осигури по-голяма специализация по такива дела (в момента разглеждани предимно от Софийския градски съд), така и по причини от по-формален характер</w:t>
      </w:r>
      <w:r>
        <w:rPr>
          <w:rStyle w:val="FootnoteReference"/>
          <w:rFonts w:ascii="Times New Roman" w:hAnsi="Times New Roman"/>
          <w:noProof/>
          <w:lang w:val="bg-BG"/>
        </w:rPr>
        <w:footnoteReference w:id="33"/>
      </w:r>
      <w:r>
        <w:rPr>
          <w:rFonts w:ascii="Times New Roman" w:hAnsi="Times New Roman"/>
          <w:noProof/>
          <w:lang w:val="bg-BG"/>
        </w:rPr>
        <w:t xml:space="preserve">.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 xml:space="preserve">В по-общ план изглежда широко се признава, че ползите от </w:t>
      </w:r>
      <w:r>
        <w:rPr>
          <w:rFonts w:ascii="Times New Roman" w:hAnsi="Times New Roman"/>
          <w:noProof/>
          <w:spacing w:val="-2"/>
          <w:lang w:val="bg-BG"/>
        </w:rPr>
        <w:t>измененията ще зависят в значителна степен от начина на прилагането им в практиката, като това включва съпътстващите мерки от по-организационен характер. Ето защо изглежда, че ще са необходими решителни последващи действия от гледна точка на обучението и д</w:t>
      </w:r>
      <w:r>
        <w:rPr>
          <w:rFonts w:ascii="Times New Roman" w:hAnsi="Times New Roman"/>
          <w:noProof/>
          <w:spacing w:val="-2"/>
          <w:lang w:val="bg-BG"/>
        </w:rPr>
        <w:t>руги мерки за осигуряване на правилното прилагане на новата система от всички засегнати институции. В доклада по МСП от януари беше отбелязано, че прехвърлянето на допълнителна компетентност към специализирания съд и специализираната прокуратура към него т</w:t>
      </w:r>
      <w:r>
        <w:rPr>
          <w:rFonts w:ascii="Times New Roman" w:hAnsi="Times New Roman"/>
          <w:noProof/>
          <w:spacing w:val="-2"/>
          <w:lang w:val="bg-BG"/>
        </w:rPr>
        <w:t>рябва да бъде внимателно подготвено и да бъде придружено от подходящ анализ на нуждите от ресурси и на възможните правни последици от промените</w:t>
      </w:r>
      <w:r>
        <w:rPr>
          <w:rStyle w:val="FootnoteReference"/>
          <w:rFonts w:ascii="Times New Roman" w:hAnsi="Times New Roman"/>
          <w:noProof/>
          <w:spacing w:val="-2"/>
          <w:lang w:val="bg-BG"/>
        </w:rPr>
        <w:footnoteReference w:id="34"/>
      </w:r>
      <w:r>
        <w:rPr>
          <w:rFonts w:ascii="Times New Roman" w:hAnsi="Times New Roman"/>
          <w:noProof/>
          <w:spacing w:val="-2"/>
          <w:lang w:val="bg-BG"/>
        </w:rPr>
        <w:t>. Тези въпроси изглежда не са били надлежно взети под внимание и сега са още по-належащи предвид краткия срок, п</w:t>
      </w:r>
      <w:r>
        <w:rPr>
          <w:rFonts w:ascii="Times New Roman" w:hAnsi="Times New Roman"/>
          <w:noProof/>
          <w:spacing w:val="-2"/>
          <w:lang w:val="bg-BG"/>
        </w:rPr>
        <w:t>редвиден за влизането в сила на новите разпоредби</w:t>
      </w:r>
      <w:r>
        <w:rPr>
          <w:rStyle w:val="FootnoteReference"/>
          <w:rFonts w:ascii="Times New Roman" w:hAnsi="Times New Roman"/>
          <w:noProof/>
          <w:spacing w:val="-2"/>
          <w:lang w:val="bg-BG"/>
        </w:rPr>
        <w:footnoteReference w:id="35"/>
      </w:r>
      <w:r>
        <w:rPr>
          <w:rFonts w:ascii="Times New Roman" w:hAnsi="Times New Roman"/>
          <w:noProof/>
          <w:spacing w:val="-2"/>
          <w:lang w:val="bg-BG"/>
        </w:rPr>
        <w:t xml:space="preserve">. </w:t>
      </w:r>
    </w:p>
    <w:p w:rsidR="00792097" w:rsidRDefault="00AC774E">
      <w:pPr>
        <w:spacing w:line="240" w:lineRule="auto"/>
        <w:jc w:val="both"/>
        <w:rPr>
          <w:rFonts w:ascii="Times New Roman" w:hAnsi="Times New Roman"/>
          <w:noProof/>
          <w:spacing w:val="-6"/>
          <w:lang w:val="bg-BG"/>
        </w:rPr>
      </w:pPr>
      <w:r>
        <w:rPr>
          <w:rFonts w:ascii="Times New Roman" w:hAnsi="Times New Roman"/>
          <w:noProof/>
          <w:spacing w:val="-6"/>
          <w:lang w:val="bg-BG"/>
        </w:rPr>
        <w:t>Измененият Наказателно-процесуален кодекс бе придружен от конкретни изменения в Закона за съдебната власт, с които се предвижда нова възможност за отстраняване от длъжност на съдии. Измененията предвижда</w:t>
      </w:r>
      <w:r>
        <w:rPr>
          <w:rFonts w:ascii="Times New Roman" w:hAnsi="Times New Roman"/>
          <w:noProof/>
          <w:spacing w:val="-6"/>
          <w:lang w:val="bg-BG"/>
        </w:rPr>
        <w:t>т, че това следва да е възможно веднага щом прокуратурата започне наказателно разследване срещу съдия, като изглежда не се оставя никаква възможност на ВСС да вземе решение въз основа на цялостна преценка във всеки отделен случай и няма възможност за обжал</w:t>
      </w:r>
      <w:r>
        <w:rPr>
          <w:rFonts w:ascii="Times New Roman" w:hAnsi="Times New Roman"/>
          <w:noProof/>
          <w:spacing w:val="-6"/>
          <w:lang w:val="bg-BG"/>
        </w:rPr>
        <w:t>ване по съдебен път от страна на съдията. Тези изменения получиха много негативен отзвук сред съдиите и представителите на гражданското общество. Според тях е налице риск съдии произволно да бъдат отстранявани от дела (като се има предвид, че действащите п</w:t>
      </w:r>
      <w:r>
        <w:rPr>
          <w:rFonts w:ascii="Times New Roman" w:hAnsi="Times New Roman"/>
          <w:noProof/>
          <w:spacing w:val="-6"/>
          <w:lang w:val="bg-BG"/>
        </w:rPr>
        <w:t>равила вече съдържат разпоредби за отстраняване от длъжност за злоупотреба със служебно положение) и те считат, че новите разпоредби представляват заплаха за независимостта на съдиите и върховенството на закона</w:t>
      </w:r>
      <w:r>
        <w:rPr>
          <w:rStyle w:val="FootnoteReference"/>
          <w:rFonts w:ascii="Times New Roman" w:hAnsi="Times New Roman"/>
          <w:noProof/>
          <w:spacing w:val="-6"/>
          <w:lang w:val="bg-BG"/>
        </w:rPr>
        <w:footnoteReference w:id="36"/>
      </w:r>
      <w:r>
        <w:rPr>
          <w:rFonts w:ascii="Times New Roman" w:hAnsi="Times New Roman"/>
          <w:noProof/>
          <w:spacing w:val="-6"/>
          <w:lang w:val="bg-BG"/>
        </w:rPr>
        <w:t>. Новите правила за отстраняване на съдии в к</w:t>
      </w:r>
      <w:r>
        <w:rPr>
          <w:rFonts w:ascii="Times New Roman" w:hAnsi="Times New Roman"/>
          <w:noProof/>
          <w:spacing w:val="-6"/>
          <w:lang w:val="bg-BG"/>
        </w:rPr>
        <w:t>онтекста на наказателно разследване бяха повдигнати като въпрос, будещ безпокойство, и в неотдавнашно становище на Венецианската комисия относно България</w:t>
      </w:r>
      <w:r>
        <w:rPr>
          <w:rStyle w:val="FootnoteReference"/>
          <w:rFonts w:ascii="Times New Roman" w:hAnsi="Times New Roman"/>
          <w:noProof/>
          <w:spacing w:val="-6"/>
          <w:lang w:val="bg-BG"/>
        </w:rPr>
        <w:footnoteReference w:id="37"/>
      </w:r>
      <w:r>
        <w:rPr>
          <w:rFonts w:ascii="Times New Roman" w:hAnsi="Times New Roman"/>
          <w:noProof/>
          <w:spacing w:val="-6"/>
          <w:lang w:val="bg-BG"/>
        </w:rPr>
        <w:t>, което стана повод правителството да предприеме действия по въпроса</w:t>
      </w:r>
      <w:r>
        <w:rPr>
          <w:rStyle w:val="FootnoteReference"/>
          <w:rFonts w:ascii="Times New Roman" w:hAnsi="Times New Roman"/>
          <w:noProof/>
          <w:spacing w:val="-6"/>
          <w:lang w:val="bg-BG"/>
        </w:rPr>
        <w:footnoteReference w:id="38"/>
      </w:r>
      <w:r>
        <w:rPr>
          <w:rFonts w:ascii="Times New Roman" w:hAnsi="Times New Roman"/>
          <w:noProof/>
          <w:spacing w:val="-6"/>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При работата, извършена в рамк</w:t>
      </w:r>
      <w:r>
        <w:rPr>
          <w:rFonts w:ascii="Times New Roman" w:hAnsi="Times New Roman"/>
          <w:noProof/>
          <w:lang w:val="bg-BG"/>
        </w:rPr>
        <w:t>ите на стратегията за продължаване на съдебната реформа</w:t>
      </w:r>
      <w:r>
        <w:rPr>
          <w:rStyle w:val="FootnoteReference"/>
          <w:rFonts w:ascii="Times New Roman" w:hAnsi="Times New Roman"/>
          <w:noProof/>
          <w:lang w:val="bg-BG"/>
        </w:rPr>
        <w:footnoteReference w:id="39"/>
      </w:r>
      <w:r>
        <w:rPr>
          <w:rFonts w:ascii="Times New Roman" w:hAnsi="Times New Roman"/>
          <w:noProof/>
          <w:lang w:val="bg-BG"/>
        </w:rPr>
        <w:t>, са били открити допълнителни възможности за евентуални подобрения в наказателните производства. Това е довело до създаването на работна група към Министерството на правосъдието, която да анализира р</w:t>
      </w:r>
      <w:r>
        <w:rPr>
          <w:rFonts w:ascii="Times New Roman" w:hAnsi="Times New Roman"/>
          <w:noProof/>
          <w:lang w:val="bg-BG"/>
        </w:rPr>
        <w:t>азличните аспекти и евентуално да установи необходимостта от допълнителни изменения на законодателството. Обхванатите области включват предварителните проверки, извършвани от следователите преди официалното досъдебно разследване, разрешаването на използван</w:t>
      </w:r>
      <w:r>
        <w:rPr>
          <w:rFonts w:ascii="Times New Roman" w:hAnsi="Times New Roman"/>
          <w:noProof/>
          <w:lang w:val="bg-BG"/>
        </w:rPr>
        <w:t>ето на специални разузнавателни средства, ролята на свидетелите в досъдебните разследвания, статуса на докладите на дирекция „Финансово разузнаване“</w:t>
      </w:r>
      <w:r>
        <w:rPr>
          <w:rStyle w:val="FootnoteReference"/>
          <w:rFonts w:ascii="Times New Roman" w:hAnsi="Times New Roman"/>
          <w:noProof/>
          <w:lang w:val="bg-BG"/>
        </w:rPr>
        <w:footnoteReference w:id="40"/>
      </w:r>
      <w:r>
        <w:rPr>
          <w:rFonts w:ascii="Times New Roman" w:hAnsi="Times New Roman"/>
          <w:noProof/>
          <w:lang w:val="bg-BG"/>
        </w:rPr>
        <w:t xml:space="preserve"> в наказателното производство, както и евентуалната необходимост от предоставяне на Държавна агенция „Нацио</w:t>
      </w:r>
      <w:r>
        <w:rPr>
          <w:rFonts w:ascii="Times New Roman" w:hAnsi="Times New Roman"/>
          <w:noProof/>
          <w:lang w:val="bg-BG"/>
        </w:rPr>
        <w:t>нална сигурност“ (ДАНС) на правомощия за разследване съгласно Наказателно-процесуалния кодекс. Наред с тази работна група към Министерството на правосъдието, прокуратурата също работи за изготвянето на проект на изменения във връзка с ключови разпоредби на</w:t>
      </w:r>
      <w:r>
        <w:rPr>
          <w:rFonts w:ascii="Times New Roman" w:hAnsi="Times New Roman"/>
          <w:noProof/>
          <w:lang w:val="bg-BG"/>
        </w:rPr>
        <w:t xml:space="preserve"> Наказателно-процесуалния кодекс, уреждащи критериите за внасяне на дела в съда и съдържанието и формата на обвинителните актове</w:t>
      </w:r>
      <w:r>
        <w:rPr>
          <w:rStyle w:val="FootnoteReference"/>
          <w:rFonts w:ascii="Times New Roman" w:hAnsi="Times New Roman"/>
          <w:noProof/>
          <w:lang w:val="bg-BG"/>
        </w:rPr>
        <w:footnoteReference w:id="41"/>
      </w:r>
      <w:r>
        <w:rPr>
          <w:rFonts w:ascii="Times New Roman" w:hAnsi="Times New Roman"/>
          <w:noProof/>
          <w:lang w:val="bg-BG"/>
        </w:rPr>
        <w:t>. Много от тези дискусии засягат същността на действащата процесуална уредба и може да се очаква, че ще изискват задълбочен ана</w:t>
      </w:r>
      <w:r>
        <w:rPr>
          <w:rFonts w:ascii="Times New Roman" w:hAnsi="Times New Roman"/>
          <w:noProof/>
          <w:lang w:val="bg-BG"/>
        </w:rPr>
        <w:t xml:space="preserve">лиз и консултация със заинтересованите страни, преди проектоизмененията да бъдат внесени за разглеждане в Народното събрание.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Що се отнася до Наказателния кодекс, в доклада от януари се признава, че една по-всеобхватна реформа на правната уредба ще бъде д</w:t>
      </w:r>
      <w:r>
        <w:rPr>
          <w:rFonts w:ascii="Times New Roman" w:hAnsi="Times New Roman"/>
          <w:noProof/>
          <w:spacing w:val="-2"/>
          <w:lang w:val="bg-BG"/>
        </w:rPr>
        <w:t>ългосрочен процес и че приоритет в по-краткосрочен план би било фокусирането върху целенасочени изменения, целящи да се подобрят разследването и наказателното преследване на корупцията по високите етажи на властта и организираната престъпност. Сведенията с</w:t>
      </w:r>
      <w:r>
        <w:rPr>
          <w:rFonts w:ascii="Times New Roman" w:hAnsi="Times New Roman"/>
          <w:noProof/>
          <w:spacing w:val="-2"/>
          <w:lang w:val="bg-BG"/>
        </w:rPr>
        <w:t>очат, че са набелязани редица въпроси, които са предмет на по-нататъшна работа в рамките на различни форуми, организирани от Министерството на правосъдието и прокуратурата. Тези обсъждания се отнасят до въпроси, като евентуалното разширяване на съставите н</w:t>
      </w:r>
      <w:r>
        <w:rPr>
          <w:rFonts w:ascii="Times New Roman" w:hAnsi="Times New Roman"/>
          <w:noProof/>
          <w:spacing w:val="-2"/>
          <w:lang w:val="bg-BG"/>
        </w:rPr>
        <w:t>а престъпленията по служба, така че те да обхващат частния сектор, и необходимостта от доказване на вредите, настъпили вследствие на престъпления по служба</w:t>
      </w:r>
      <w:r>
        <w:rPr>
          <w:rStyle w:val="FootnoteReference"/>
          <w:rFonts w:ascii="Times New Roman" w:hAnsi="Times New Roman"/>
          <w:noProof/>
          <w:spacing w:val="-2"/>
          <w:lang w:val="bg-BG"/>
        </w:rPr>
        <w:footnoteReference w:id="42"/>
      </w:r>
      <w:r>
        <w:rPr>
          <w:rFonts w:ascii="Times New Roman" w:hAnsi="Times New Roman"/>
          <w:noProof/>
          <w:spacing w:val="-2"/>
          <w:lang w:val="bg-BG"/>
        </w:rPr>
        <w:t>. Тепърва ще се види какъв ще бъде изходът от тези обсъждания</w:t>
      </w:r>
      <w:r>
        <w:rPr>
          <w:rStyle w:val="FootnoteReference"/>
          <w:rFonts w:ascii="Times New Roman" w:hAnsi="Times New Roman"/>
          <w:noProof/>
          <w:spacing w:val="-2"/>
          <w:lang w:val="bg-BG"/>
        </w:rPr>
        <w:footnoteReference w:id="43"/>
      </w:r>
      <w:r>
        <w:rPr>
          <w:rFonts w:ascii="Times New Roman" w:hAnsi="Times New Roman"/>
          <w:noProof/>
          <w:spacing w:val="-2"/>
          <w:lang w:val="bg-BG"/>
        </w:rPr>
        <w:t>. Както при горепосочените въпроси, от</w:t>
      </w:r>
      <w:r>
        <w:rPr>
          <w:rFonts w:ascii="Times New Roman" w:hAnsi="Times New Roman"/>
          <w:noProof/>
          <w:spacing w:val="-2"/>
          <w:lang w:val="bg-BG"/>
        </w:rPr>
        <w:t xml:space="preserve">насящи се до Наказателно-процесуалния кодекс, измененията на Наказателния кодекс изискват внимателна консултация и дебат, преди да бъдат окончателно приети, дори и тези изменения да засягат единствено по-ограничен брой разпоредби. </w:t>
      </w:r>
    </w:p>
    <w:p w:rsidR="00792097" w:rsidRDefault="00AC774E">
      <w:pPr>
        <w:spacing w:before="360" w:line="240" w:lineRule="auto"/>
        <w:jc w:val="both"/>
        <w:rPr>
          <w:rFonts w:ascii="Times New Roman" w:hAnsi="Times New Roman"/>
          <w:b/>
          <w:bCs/>
          <w:smallCaps/>
          <w:noProof/>
          <w:lang w:val="bg-BG"/>
        </w:rPr>
      </w:pPr>
      <w:r>
        <w:rPr>
          <w:rFonts w:ascii="Times New Roman" w:hAnsi="Times New Roman"/>
          <w:b/>
          <w:smallCaps/>
          <w:noProof/>
          <w:lang w:val="bg-BG"/>
        </w:rPr>
        <w:t>Показател 3: Да продължи</w:t>
      </w:r>
      <w:r>
        <w:rPr>
          <w:rFonts w:ascii="Times New Roman" w:hAnsi="Times New Roman"/>
          <w:b/>
          <w:smallCaps/>
          <w:noProof/>
          <w:lang w:val="bg-BG"/>
        </w:rPr>
        <w:t xml:space="preserve"> реформата на съдебната власт с цел подобряване на професионализма, отчетността и ефикасността. Да прави оценка на ефекта от тази реформа и да публикува резултатите всяка година.</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pacing w:val="-6"/>
          <w:lang w:val="bg-BG"/>
        </w:rPr>
      </w:pPr>
      <w:r>
        <w:rPr>
          <w:rFonts w:ascii="Times New Roman" w:hAnsi="Times New Roman"/>
          <w:b/>
          <w:i/>
          <w:noProof/>
          <w:spacing w:val="-6"/>
          <w:lang w:val="bg-BG"/>
        </w:rPr>
        <w:t>Препоръка 5:</w:t>
      </w:r>
      <w:r>
        <w:rPr>
          <w:rFonts w:ascii="Times New Roman" w:hAnsi="Times New Roman"/>
          <w:i/>
          <w:noProof/>
          <w:spacing w:val="-6"/>
          <w:lang w:val="bg-BG"/>
        </w:rPr>
        <w:t xml:space="preserve"> да се публикува за обществена консултация доклад, в който подробно се отчита напредъкът по изпълнението на националната стратегия за съдебна реформа и се определят оставащите стъпки, които трябва да бъдат предприети. Да се създаде механизъм за непрекъснат</w:t>
      </w:r>
      <w:r>
        <w:rPr>
          <w:rFonts w:ascii="Times New Roman" w:hAnsi="Times New Roman"/>
          <w:i/>
          <w:noProof/>
          <w:spacing w:val="-6"/>
          <w:lang w:val="bg-BG"/>
        </w:rPr>
        <w:t>о публично отчитане на напредъка през оставащата част от периода за изпълнение на стратегията.</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Стратегията за съдебната реформа, приета от правителството на власт в края на 2014 г. и подкрепена от широко мнозинство в Народното събрание през януари 2015 г.,</w:t>
      </w:r>
      <w:r>
        <w:rPr>
          <w:rFonts w:ascii="Times New Roman" w:hAnsi="Times New Roman"/>
          <w:noProof/>
          <w:spacing w:val="-2"/>
          <w:lang w:val="bg-BG"/>
        </w:rPr>
        <w:t xml:space="preserve"> продължава да бъде общата рамка за продължаване на процеса на съдебна реформа в България</w:t>
      </w:r>
      <w:r>
        <w:rPr>
          <w:rStyle w:val="FootnoteReference"/>
          <w:rFonts w:ascii="Times New Roman" w:hAnsi="Times New Roman"/>
          <w:noProof/>
          <w:spacing w:val="-2"/>
          <w:lang w:val="bg-BG"/>
        </w:rPr>
        <w:footnoteReference w:id="44"/>
      </w:r>
      <w:r>
        <w:rPr>
          <w:rFonts w:ascii="Times New Roman" w:hAnsi="Times New Roman"/>
          <w:noProof/>
          <w:spacing w:val="-2"/>
          <w:lang w:val="bg-BG"/>
        </w:rPr>
        <w:t>. Това бе потвърдено от новото правителство, което встъпи в длъжност през май. При все това стратегията за съдебна реформа не е просто контролен списък на планираните</w:t>
      </w:r>
      <w:r>
        <w:rPr>
          <w:rFonts w:ascii="Times New Roman" w:hAnsi="Times New Roman"/>
          <w:noProof/>
          <w:spacing w:val="-2"/>
          <w:lang w:val="bg-BG"/>
        </w:rPr>
        <w:t xml:space="preserve"> инициативи. За да се гарантира постигането на общите цели, заложени в стратегията, са необходими непрекъснат дебат и редовни консултации със заинтересованите страни с цел да се установи за кои елементи се изискват ново разглеждане или по-нататъшни действи</w:t>
      </w:r>
      <w:r>
        <w:rPr>
          <w:rFonts w:ascii="Times New Roman" w:hAnsi="Times New Roman"/>
          <w:noProof/>
          <w:spacing w:val="-2"/>
          <w:lang w:val="bg-BG"/>
        </w:rPr>
        <w:t>я, както и да се осигури по-широка ангажираност в обществото. В петата препоръка от доклада от януари се съдържа елемент, които има за цел да способства за този обществен дебат, а именно въвеждането на процес на редовна оценка и докладване по прилагането н</w:t>
      </w:r>
      <w:r>
        <w:rPr>
          <w:rFonts w:ascii="Times New Roman" w:hAnsi="Times New Roman"/>
          <w:noProof/>
          <w:spacing w:val="-2"/>
          <w:lang w:val="bg-BG"/>
        </w:rPr>
        <w:t xml:space="preserve">а стратегията, включително набелязването на мерките, които остава да бъдат предприети, за да се постигнат определените в стратегията цели.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В отговор на тази препоръка Министерството на правосъдието при служебното правителство публикува в началото на 2017 </w:t>
      </w:r>
      <w:r>
        <w:rPr>
          <w:rFonts w:ascii="Times New Roman" w:hAnsi="Times New Roman"/>
          <w:noProof/>
          <w:spacing w:val="-2"/>
          <w:lang w:val="bg-BG"/>
        </w:rPr>
        <w:t>г. първи отчет на изпълнението, разглеждащ напредъка, постигнат през 2016 г. Организирано беше обсъждане на проекта на текста с участието на представители на институциите, участващи в изпълнението на стратегията, както и професионални и неправителствени ор</w:t>
      </w:r>
      <w:r>
        <w:rPr>
          <w:rFonts w:ascii="Times New Roman" w:hAnsi="Times New Roman"/>
          <w:noProof/>
          <w:spacing w:val="-2"/>
          <w:lang w:val="bg-BG"/>
        </w:rPr>
        <w:t>ганизации. Като последващо действие новото правителство публикува втори отчет на изпълнението, обхващащ първата половина на 2017 г., който беше обсъден на консултативния форум относно прилагането на стратегията за съдебна реформа на 24 юли. Взето е решение</w:t>
      </w:r>
      <w:r>
        <w:rPr>
          <w:rFonts w:ascii="Times New Roman" w:hAnsi="Times New Roman"/>
          <w:noProof/>
          <w:spacing w:val="-2"/>
          <w:lang w:val="bg-BG"/>
        </w:rPr>
        <w:t xml:space="preserve"> такива отчети да продължат да се публикуват на всеки шест месеца.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pacing w:val="-4"/>
          <w:lang w:val="bg-BG"/>
        </w:rPr>
      </w:pPr>
      <w:r>
        <w:rPr>
          <w:rFonts w:ascii="Times New Roman" w:hAnsi="Times New Roman"/>
          <w:b/>
          <w:i/>
          <w:noProof/>
          <w:spacing w:val="-4"/>
          <w:lang w:val="bg-BG"/>
        </w:rPr>
        <w:t>Препоръка 6:</w:t>
      </w:r>
      <w:r>
        <w:rPr>
          <w:rFonts w:ascii="Times New Roman" w:hAnsi="Times New Roman"/>
          <w:i/>
          <w:noProof/>
          <w:spacing w:val="-4"/>
          <w:lang w:val="bg-BG"/>
        </w:rPr>
        <w:t xml:space="preserve"> да се намери решение на положението с натовареността в най-натоварените съдилища въз основа новите стандарти за натовареност и да се постигне съгласие по пътна карта за реформ</w:t>
      </w:r>
      <w:r>
        <w:rPr>
          <w:rFonts w:ascii="Times New Roman" w:hAnsi="Times New Roman"/>
          <w:i/>
          <w:noProof/>
          <w:spacing w:val="-4"/>
          <w:lang w:val="bg-BG"/>
        </w:rPr>
        <w:t>а на съдебната карта едновременно с развитието на електронното правосъдие.</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Разработването на стандарти за натовареност и подготвянето на всеобхватна реформа на съдебната карта бяха важни области, върху които акцентира предишният ВСС. Докладът от януари отб</w:t>
      </w:r>
      <w:r>
        <w:rPr>
          <w:rFonts w:ascii="Times New Roman" w:hAnsi="Times New Roman"/>
          <w:noProof/>
          <w:lang w:val="bg-BG"/>
        </w:rPr>
        <w:t>еляза, че тази дейност вече е достигнала фаза, в която следва да е възможно да се предприемат конкретни стъпки за мащабна реформа на базата на събрана достатъчна информация. При все това е ясно, че за да се гарантира положителен резултат от подобна реформа</w:t>
      </w:r>
      <w:r>
        <w:rPr>
          <w:rFonts w:ascii="Times New Roman" w:hAnsi="Times New Roman"/>
          <w:noProof/>
          <w:lang w:val="bg-BG"/>
        </w:rPr>
        <w:t>, е нужна широка политическа подкрепа, както и участие на всички нива на съдебната власт. Междувременно системата от стандарти за натовареност, която вече е в действие, би могла да осигури добра основа за последователна политика за преразпределяне на натов</w:t>
      </w:r>
      <w:r>
        <w:rPr>
          <w:rFonts w:ascii="Times New Roman" w:hAnsi="Times New Roman"/>
          <w:noProof/>
          <w:lang w:val="bg-BG"/>
        </w:rPr>
        <w:t xml:space="preserve">арването и ресурсите, така че да се облекчат най-натоварените съдилища.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От януари насам прокурорската колегия на ВСС принципно е одобрила модел за евентуално постепенно консолидиране на 113-те районни прокуратури в 28-те по-големи области, което би могло </w:t>
      </w:r>
      <w:r>
        <w:rPr>
          <w:rFonts w:ascii="Times New Roman" w:hAnsi="Times New Roman"/>
          <w:noProof/>
          <w:lang w:val="bg-BG"/>
        </w:rPr>
        <w:t>да се извърши независимо от по-мащабната реформа на съдилищата на местно равнище</w:t>
      </w:r>
      <w:r>
        <w:rPr>
          <w:rStyle w:val="FootnoteReference"/>
          <w:rFonts w:ascii="Times New Roman" w:hAnsi="Times New Roman"/>
          <w:noProof/>
          <w:lang w:val="bg-BG"/>
        </w:rPr>
        <w:footnoteReference w:id="45"/>
      </w:r>
      <w:r>
        <w:rPr>
          <w:rFonts w:ascii="Times New Roman" w:hAnsi="Times New Roman"/>
          <w:noProof/>
          <w:lang w:val="bg-BG"/>
        </w:rPr>
        <w:t>. Въпреки това не е взето окончателно решение да се пристъпи към тази реорганизация, като въпросът е оставен за новия ВСС. Що се отнася до съдилищата, консолидирането на 113-т</w:t>
      </w:r>
      <w:r>
        <w:rPr>
          <w:rFonts w:ascii="Times New Roman" w:hAnsi="Times New Roman"/>
          <w:noProof/>
          <w:lang w:val="bg-BG"/>
        </w:rPr>
        <w:t>е местни съдилища е предмет на анализ и консултации от няколко години, но тези усилия все още не са достигнали етап на предлагане на конкретна пътна карта за осъществяване на реформата</w:t>
      </w:r>
      <w:r>
        <w:rPr>
          <w:rStyle w:val="FootnoteReference"/>
          <w:rFonts w:ascii="Times New Roman" w:hAnsi="Times New Roman"/>
          <w:noProof/>
          <w:lang w:val="bg-BG"/>
        </w:rPr>
        <w:footnoteReference w:id="46"/>
      </w:r>
      <w:r>
        <w:rPr>
          <w:rFonts w:ascii="Times New Roman" w:hAnsi="Times New Roman"/>
          <w:noProof/>
          <w:lang w:val="bg-BG"/>
        </w:rPr>
        <w:t>, което вероятно отразява предпочитанието такова важно решение да се вз</w:t>
      </w:r>
      <w:r>
        <w:rPr>
          <w:rFonts w:ascii="Times New Roman" w:hAnsi="Times New Roman"/>
          <w:noProof/>
          <w:lang w:val="bg-BG"/>
        </w:rPr>
        <w:t>еме от един бъдещ ВСС с подновен мандат</w:t>
      </w:r>
      <w:r>
        <w:rPr>
          <w:rStyle w:val="FootnoteReference"/>
          <w:rFonts w:ascii="Times New Roman" w:hAnsi="Times New Roman"/>
          <w:noProof/>
          <w:lang w:val="bg-BG"/>
        </w:rPr>
        <w:footnoteReference w:id="47"/>
      </w:r>
      <w:r>
        <w:rPr>
          <w:noProof/>
          <w:lang w:val="bg-BG"/>
        </w:rPr>
        <w:t>.</w:t>
      </w:r>
      <w:r>
        <w:rPr>
          <w:rFonts w:ascii="Times New Roman" w:hAnsi="Times New Roman"/>
          <w:noProof/>
          <w:lang w:val="bg-BG"/>
        </w:rPr>
        <w:t xml:space="preserve"> </w:t>
      </w:r>
    </w:p>
    <w:p w:rsidR="00792097" w:rsidRDefault="00AC774E">
      <w:pPr>
        <w:spacing w:line="240" w:lineRule="auto"/>
        <w:jc w:val="both"/>
        <w:rPr>
          <w:rFonts w:ascii="Times New Roman" w:hAnsi="Times New Roman"/>
          <w:noProof/>
          <w:spacing w:val="-4"/>
          <w:lang w:val="bg-BG"/>
        </w:rPr>
      </w:pPr>
      <w:r>
        <w:rPr>
          <w:rFonts w:ascii="Times New Roman" w:hAnsi="Times New Roman"/>
          <w:noProof/>
          <w:spacing w:val="-4"/>
          <w:lang w:val="bg-BG"/>
        </w:rPr>
        <w:t>Реформата на съдебната карта неизбежно ще бъде важен въпрос от дневния ред на новосформирания ВСС, който ще трябва да определи следващата стъпка в този процес</w:t>
      </w:r>
      <w:r>
        <w:rPr>
          <w:rStyle w:val="FootnoteReference"/>
          <w:rFonts w:ascii="Times New Roman" w:hAnsi="Times New Roman"/>
          <w:noProof/>
          <w:spacing w:val="-4"/>
          <w:lang w:val="bg-BG"/>
        </w:rPr>
        <w:footnoteReference w:id="48"/>
      </w:r>
      <w:r>
        <w:rPr>
          <w:rFonts w:ascii="Times New Roman" w:hAnsi="Times New Roman"/>
          <w:noProof/>
          <w:spacing w:val="-4"/>
          <w:lang w:val="bg-BG"/>
        </w:rPr>
        <w:t>. Тъй като обаче за една по-мащабна реформа вероятно щ</w:t>
      </w:r>
      <w:r>
        <w:rPr>
          <w:rFonts w:ascii="Times New Roman" w:hAnsi="Times New Roman"/>
          <w:noProof/>
          <w:spacing w:val="-4"/>
          <w:lang w:val="bg-BG"/>
        </w:rPr>
        <w:t>е се изисква време, са необходими мерки в краткосрочен план, за да се намери решение на положението с натовареността в най-натоварените (обикновено по-големи) съдилища. Един от подходите в тази връзка се състои в осигуряването на допълнителен персонал и др</w:t>
      </w:r>
      <w:r>
        <w:rPr>
          <w:rFonts w:ascii="Times New Roman" w:hAnsi="Times New Roman"/>
          <w:noProof/>
          <w:spacing w:val="-4"/>
          <w:lang w:val="bg-BG"/>
        </w:rPr>
        <w:t>уги ресурси за най-натоварените съдилища — подход, който вече може да се прилага по-систематично въз основа на стандартите за измерване на натовареността, разработени през мандата на предишния ВСС. Досега този процес изглежда е бил провеждан само съвсем по</w:t>
      </w:r>
      <w:r>
        <w:rPr>
          <w:rFonts w:ascii="Times New Roman" w:hAnsi="Times New Roman"/>
          <w:noProof/>
          <w:spacing w:val="-4"/>
          <w:lang w:val="bg-BG"/>
        </w:rPr>
        <w:t>степенно, така че проблемите продължават да са налице. Освен това, предишният ВСС изглежда неотдавна е изказал становището — въпреки продължаващите тежки дисбаланси, за които сочи анализът на натоварването — че отпускането на допълнителни щатни бройки не е</w:t>
      </w:r>
      <w:r>
        <w:rPr>
          <w:rFonts w:ascii="Times New Roman" w:hAnsi="Times New Roman"/>
          <w:noProof/>
          <w:spacing w:val="-4"/>
          <w:lang w:val="bg-BG"/>
        </w:rPr>
        <w:t xml:space="preserve"> подходящото решение за проблемите на определени по-големи съдилища</w:t>
      </w:r>
      <w:r>
        <w:rPr>
          <w:rStyle w:val="FootnoteReference"/>
          <w:rFonts w:ascii="Times New Roman" w:hAnsi="Times New Roman"/>
          <w:noProof/>
          <w:spacing w:val="-4"/>
          <w:lang w:val="bg-BG"/>
        </w:rPr>
        <w:footnoteReference w:id="49"/>
      </w:r>
      <w:r>
        <w:rPr>
          <w:rFonts w:ascii="Times New Roman" w:hAnsi="Times New Roman"/>
          <w:noProof/>
          <w:spacing w:val="-4"/>
          <w:lang w:val="bg-BG"/>
        </w:rPr>
        <w:t xml:space="preserve">. Друг подход към въпроса за натовареността се състои в промяна на разпределението на компетентността за някои видове дела между съдилищата посредством законодателни промени. Сведенията </w:t>
      </w:r>
      <w:r>
        <w:rPr>
          <w:rFonts w:ascii="Times New Roman" w:hAnsi="Times New Roman"/>
          <w:noProof/>
          <w:spacing w:val="-4"/>
          <w:lang w:val="bg-BG"/>
        </w:rPr>
        <w:t>сочат, че правителството обмисля възможността за прилагане на този подход, като анализът е съсредоточен върху възможни изменения на Гражданския процесуален кодекс. Тъй като тези различни елементи са свързани и взаимнозависими, това неизбежно ще е област, с</w:t>
      </w:r>
      <w:r>
        <w:rPr>
          <w:rFonts w:ascii="Times New Roman" w:hAnsi="Times New Roman"/>
          <w:noProof/>
          <w:spacing w:val="-4"/>
          <w:lang w:val="bg-BG"/>
        </w:rPr>
        <w:t xml:space="preserve"> която ВСС да се заеме проактивно и в консултация с правителството и другите заинтересовани страни</w:t>
      </w:r>
      <w:r>
        <w:rPr>
          <w:rStyle w:val="FootnoteReference"/>
          <w:rFonts w:ascii="Times New Roman" w:hAnsi="Times New Roman"/>
          <w:noProof/>
          <w:spacing w:val="-4"/>
          <w:lang w:val="bg-BG"/>
        </w:rPr>
        <w:footnoteReference w:id="50"/>
      </w:r>
      <w:r>
        <w:rPr>
          <w:rFonts w:ascii="Times New Roman" w:hAnsi="Times New Roman"/>
          <w:noProof/>
          <w:spacing w:val="-4"/>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7:</w:t>
      </w:r>
      <w:r>
        <w:rPr>
          <w:rFonts w:ascii="Times New Roman" w:hAnsi="Times New Roman"/>
          <w:i/>
          <w:noProof/>
          <w:lang w:val="bg-BG"/>
        </w:rPr>
        <w:t xml:space="preserve"> да се изготви пътна карта за изпълнение на препоръките на СПСР във връзка с реформата на прокуратурата и взаимодействието ѝ с другите институ</w:t>
      </w:r>
      <w:r>
        <w:rPr>
          <w:rFonts w:ascii="Times New Roman" w:hAnsi="Times New Roman"/>
          <w:i/>
          <w:noProof/>
          <w:lang w:val="bg-BG"/>
        </w:rPr>
        <w:t>ции, включително механизъм за отчитане на постигнатия напредък пред широката общественост.</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Както се посочва в доклада по МСП от януари, въпросът за ролята и мястото на прокуратурата в цялостната институционална структура поражда разногласия в България, кат</w:t>
      </w:r>
      <w:r>
        <w:rPr>
          <w:rFonts w:ascii="Times New Roman" w:hAnsi="Times New Roman"/>
          <w:noProof/>
          <w:spacing w:val="-2"/>
          <w:lang w:val="bg-BG"/>
        </w:rPr>
        <w:t>о в същото време той е от голямо значение, що се отнася до борбата с корупцията и организираната престъпност</w:t>
      </w:r>
      <w:r>
        <w:rPr>
          <w:rStyle w:val="FootnoteReference"/>
          <w:rFonts w:ascii="Times New Roman" w:hAnsi="Times New Roman"/>
          <w:noProof/>
          <w:spacing w:val="-2"/>
          <w:lang w:val="bg-BG"/>
        </w:rPr>
        <w:footnoteReference w:id="51"/>
      </w:r>
      <w:r>
        <w:rPr>
          <w:rFonts w:ascii="Times New Roman" w:hAnsi="Times New Roman"/>
          <w:noProof/>
          <w:spacing w:val="-2"/>
          <w:lang w:val="bg-BG"/>
        </w:rPr>
        <w:t>.</w:t>
      </w:r>
      <w:r>
        <w:rPr>
          <w:rStyle w:val="FootnoteReference"/>
          <w:rFonts w:ascii="Times New Roman" w:hAnsi="Times New Roman"/>
          <w:noProof/>
          <w:spacing w:val="-2"/>
          <w:lang w:val="bg-BG"/>
        </w:rPr>
        <w:t xml:space="preserve"> </w:t>
      </w:r>
      <w:r>
        <w:rPr>
          <w:rFonts w:ascii="Times New Roman" w:hAnsi="Times New Roman"/>
          <w:noProof/>
          <w:spacing w:val="-2"/>
          <w:lang w:val="bg-BG"/>
        </w:rPr>
        <w:t>В отговор на този въпрос едно от действията, предвидени в стратегията за съдебна реформа, е изготвянето на независим анализ на структурния и функ</w:t>
      </w:r>
      <w:r>
        <w:rPr>
          <w:rFonts w:ascii="Times New Roman" w:hAnsi="Times New Roman"/>
          <w:noProof/>
          <w:spacing w:val="-2"/>
          <w:lang w:val="bg-BG"/>
        </w:rPr>
        <w:t>ционален модел на българската прокуратура. Такъв анализ беше извършен през 2016 г. с помощта на Службата за подкрепа на структурните реформи (СПСР) на Комисията и експерти (висши прокурори) от Германия, Испания, Нидерландия и Обединеното кралство. Изготвен</w:t>
      </w:r>
      <w:r>
        <w:rPr>
          <w:rFonts w:ascii="Times New Roman" w:hAnsi="Times New Roman"/>
          <w:noProof/>
          <w:spacing w:val="-2"/>
          <w:lang w:val="bg-BG"/>
        </w:rPr>
        <w:t>ият вследствие на анализа доклад от декември 2016 г.</w:t>
      </w:r>
      <w:r>
        <w:rPr>
          <w:rStyle w:val="FootnoteReference"/>
          <w:rFonts w:ascii="Times New Roman" w:hAnsi="Times New Roman"/>
          <w:noProof/>
          <w:spacing w:val="-2"/>
          <w:lang w:val="bg-BG"/>
        </w:rPr>
        <w:footnoteReference w:id="52"/>
      </w:r>
      <w:r>
        <w:rPr>
          <w:rFonts w:ascii="Times New Roman" w:hAnsi="Times New Roman"/>
          <w:noProof/>
          <w:spacing w:val="-2"/>
          <w:lang w:val="bg-BG"/>
        </w:rPr>
        <w:t xml:space="preserve"> съдържа препоръки за подобряване на организацията на прокуратурата и на взаимодействието ѝ с другите институции, като акцентът се поставя върху въпроси като независимостта и отчетността, както и прозрач</w:t>
      </w:r>
      <w:r>
        <w:rPr>
          <w:rFonts w:ascii="Times New Roman" w:hAnsi="Times New Roman"/>
          <w:noProof/>
          <w:spacing w:val="-2"/>
          <w:lang w:val="bg-BG"/>
        </w:rPr>
        <w:t xml:space="preserve">ността, ефективността и ефикасността. </w:t>
      </w:r>
    </w:p>
    <w:p w:rsidR="00792097" w:rsidRDefault="00AC774E">
      <w:pPr>
        <w:spacing w:line="240" w:lineRule="auto"/>
        <w:jc w:val="both"/>
        <w:rPr>
          <w:rFonts w:ascii="Times New Roman" w:hAnsi="Times New Roman"/>
          <w:noProof/>
          <w:spacing w:val="-6"/>
          <w:lang w:val="bg-BG"/>
        </w:rPr>
      </w:pPr>
      <w:r>
        <w:rPr>
          <w:rFonts w:ascii="Times New Roman" w:hAnsi="Times New Roman"/>
          <w:noProof/>
          <w:spacing w:val="-6"/>
          <w:lang w:val="bg-BG"/>
        </w:rPr>
        <w:t>Като цяло българските органи приветстваха резултата от независимия анализ. Докато някои от препоръките бяха счетени от властите за трудноприложими в конкретните условия в България и поради това умишлено не бяха предпр</w:t>
      </w:r>
      <w:r>
        <w:rPr>
          <w:rFonts w:ascii="Times New Roman" w:hAnsi="Times New Roman"/>
          <w:noProof/>
          <w:spacing w:val="-6"/>
          <w:lang w:val="bg-BG"/>
        </w:rPr>
        <w:t>иети последващи действия по тях</w:t>
      </w:r>
      <w:r>
        <w:rPr>
          <w:rStyle w:val="FootnoteReference"/>
          <w:rFonts w:ascii="Times New Roman" w:hAnsi="Times New Roman"/>
          <w:noProof/>
          <w:spacing w:val="-6"/>
          <w:lang w:val="bg-BG"/>
        </w:rPr>
        <w:footnoteReference w:id="53"/>
      </w:r>
      <w:r>
        <w:rPr>
          <w:rFonts w:ascii="Times New Roman" w:hAnsi="Times New Roman"/>
          <w:noProof/>
          <w:spacing w:val="-6"/>
          <w:lang w:val="bg-BG"/>
        </w:rPr>
        <w:t>, то повечето препоръки бяха счетени за уместни и приети за по-нататъшно разглеждане. През юли 2017 г. Министерството на правосъдието и прокуратурата изготвиха съвместна пътна карта, включваща както организационни, така и въ</w:t>
      </w:r>
      <w:r>
        <w:rPr>
          <w:rFonts w:ascii="Times New Roman" w:hAnsi="Times New Roman"/>
          <w:noProof/>
          <w:spacing w:val="-6"/>
          <w:lang w:val="bg-BG"/>
        </w:rPr>
        <w:t xml:space="preserve">зможни законодателни мерки в отговор на съдържащите се в доклада препоръки.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Що се отнася до законодателството, към Министерството на правосъдието са сформирани редица работни групи с цел да се обмисли възможността за изменение на различни закони. Сред тях</w:t>
      </w:r>
      <w:r>
        <w:rPr>
          <w:rFonts w:ascii="Times New Roman" w:hAnsi="Times New Roman"/>
          <w:noProof/>
          <w:spacing w:val="-2"/>
          <w:lang w:val="bg-BG"/>
        </w:rPr>
        <w:t xml:space="preserve"> са две работни групи, създадени с цел размисъл относно изменения в Наказателно-процесуалния кодекс и Наказателния кодекс. Те вече бяха споменати по-горе във връзка с показател 2. Трета работна група разглежда възможността за изменения в Закона за съдебнат</w:t>
      </w:r>
      <w:r>
        <w:rPr>
          <w:rFonts w:ascii="Times New Roman" w:hAnsi="Times New Roman"/>
          <w:noProof/>
          <w:spacing w:val="-2"/>
          <w:lang w:val="bg-BG"/>
        </w:rPr>
        <w:t>а власт, по-специално по въпроси като възнагражденията и външните назначения в прокуратурата. Четвъртата група е натоварена с изготвянето на предложения за изясняване на процесуалните аспекти на наказателните разследвания, засягащи действащ главен прокурор</w:t>
      </w:r>
      <w:r>
        <w:rPr>
          <w:rFonts w:ascii="Times New Roman" w:hAnsi="Times New Roman"/>
          <w:noProof/>
          <w:spacing w:val="-2"/>
          <w:lang w:val="bg-BG"/>
        </w:rPr>
        <w:t xml:space="preserve"> или председател на върховен съд. Независимият анализ препоръчва конкретно въвеждането на процедура за разследване срещу действащ главен прокурор, тъй като в тази връзка е установена потенциална празнота в правната уредба</w:t>
      </w:r>
      <w:r>
        <w:rPr>
          <w:rStyle w:val="FootnoteReference"/>
          <w:rFonts w:ascii="Times New Roman" w:hAnsi="Times New Roman"/>
          <w:noProof/>
          <w:spacing w:val="-2"/>
          <w:lang w:val="bg-BG"/>
        </w:rPr>
        <w:footnoteReference w:id="54"/>
      </w:r>
      <w:r>
        <w:rPr>
          <w:rFonts w:ascii="Times New Roman" w:hAnsi="Times New Roman"/>
          <w:noProof/>
          <w:spacing w:val="-2"/>
          <w:lang w:val="bg-BG"/>
        </w:rPr>
        <w:t>. Българското правителство обаче и</w:t>
      </w:r>
      <w:r>
        <w:rPr>
          <w:rFonts w:ascii="Times New Roman" w:hAnsi="Times New Roman"/>
          <w:noProof/>
          <w:spacing w:val="-2"/>
          <w:lang w:val="bg-BG"/>
        </w:rPr>
        <w:t xml:space="preserve">зглежда е решило, че в тази връзка следва да се помисли и за председателите на двете върховни съдилища. И накрая, пета работна група обмисля начини да се подобри използването на вещи лица в съдебната система.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В допълнение към работата по евентуални законо</w:t>
      </w:r>
      <w:r>
        <w:rPr>
          <w:rFonts w:ascii="Times New Roman" w:hAnsi="Times New Roman"/>
          <w:noProof/>
          <w:lang w:val="bg-BG"/>
        </w:rPr>
        <w:t xml:space="preserve">дателни промени, в отговор на анализа беше разгледана също възможността за предприемане на редица организационни мерки. Сред вече прилаганите е нова практика главният прокурор да се явява пред Комисията по правни въпроси на Народното събрание на всеки три </w:t>
      </w:r>
      <w:r>
        <w:rPr>
          <w:rFonts w:ascii="Times New Roman" w:hAnsi="Times New Roman"/>
          <w:noProof/>
          <w:lang w:val="bg-BG"/>
        </w:rPr>
        <w:t>месеца с цел да се обсъдят напредъкът в преследването на корупцията и организираната престъпност</w:t>
      </w:r>
      <w:r>
        <w:rPr>
          <w:rStyle w:val="FootnoteReference"/>
          <w:rFonts w:ascii="Times New Roman" w:hAnsi="Times New Roman"/>
          <w:noProof/>
          <w:lang w:val="bg-BG"/>
        </w:rPr>
        <w:footnoteReference w:id="55"/>
      </w:r>
      <w:r>
        <w:rPr>
          <w:rFonts w:ascii="Times New Roman" w:hAnsi="Times New Roman"/>
          <w:noProof/>
          <w:lang w:val="bg-BG"/>
        </w:rPr>
        <w:t xml:space="preserve">, както и по-общи организационни и правни въпроси, свързани с работата на прокуратурата. Освен това описаните пред Комисията мерки включват по-голяма </w:t>
      </w:r>
      <w:r>
        <w:rPr>
          <w:rFonts w:ascii="Times New Roman" w:hAnsi="Times New Roman"/>
          <w:noProof/>
          <w:lang w:val="bg-BG"/>
        </w:rPr>
        <w:t>прозрачност във връзка с общото методическо ръководство от страна на главния прокурор, подобряване на комуникацията с обществеността, разширяване на достъпа до обучение по теми, свързани с борбата с корупцията и организираната престъпност, определяне на ощ</w:t>
      </w:r>
      <w:r>
        <w:rPr>
          <w:rFonts w:ascii="Times New Roman" w:hAnsi="Times New Roman"/>
          <w:noProof/>
          <w:lang w:val="bg-BG"/>
        </w:rPr>
        <w:t>е прокурори и следователи да работят в областта на корупцията и организираната престъпност, искане на тълкувателни решения с цел изясняване на различаващите се практики във връзка с основанията за връщане на дела от съда на прокуратурата. Ще се извърши същ</w:t>
      </w:r>
      <w:r>
        <w:rPr>
          <w:rFonts w:ascii="Times New Roman" w:hAnsi="Times New Roman"/>
          <w:noProof/>
          <w:lang w:val="bg-BG"/>
        </w:rPr>
        <w:t>о така допълнителен анализ на работата с европейските заповеди за арест и контролираните доставки, спрените разследвания, последващите действия по сигнали за съмнителни сделки и взаимодействието между прокуратурата и българската служба за отнемане на незак</w:t>
      </w:r>
      <w:r>
        <w:rPr>
          <w:rFonts w:ascii="Times New Roman" w:hAnsi="Times New Roman"/>
          <w:noProof/>
          <w:lang w:val="bg-BG"/>
        </w:rPr>
        <w:t>онно придобито имущество</w:t>
      </w:r>
      <w:r>
        <w:rPr>
          <w:rStyle w:val="FootnoteReference"/>
          <w:rFonts w:ascii="Times New Roman" w:hAnsi="Times New Roman"/>
          <w:noProof/>
          <w:lang w:val="bg-BG"/>
        </w:rPr>
        <w:footnoteReference w:id="56"/>
      </w:r>
      <w:r>
        <w:rPr>
          <w:noProof/>
          <w:lang w:val="bg-BG"/>
        </w:rPr>
        <w:t>.</w:t>
      </w:r>
      <w:r>
        <w:rPr>
          <w:rFonts w:ascii="Times New Roman" w:hAnsi="Times New Roman"/>
          <w:noProof/>
          <w:lang w:val="bg-BG"/>
        </w:rPr>
        <w:t xml:space="preserve"> Във връзка с информационните технологии освен това се предвижда да се проучи възможността Министерството на вътрешните работи да се свърже в интегрираната информационна система на прокуратурата с цел да се подобри работата по пре</w:t>
      </w:r>
      <w:r>
        <w:rPr>
          <w:rFonts w:ascii="Times New Roman" w:hAnsi="Times New Roman"/>
          <w:noProof/>
          <w:lang w:val="bg-BG"/>
        </w:rPr>
        <w:t xml:space="preserve">писките между институциите.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Макар че съгласно получените сведения междинните срокове по някои от горепосочените мерки са спазени, много от тези мерки се отнасят до първоначални действия, насочени към постигането на общи цели, като тепърва трябва да се взе</w:t>
      </w:r>
      <w:r>
        <w:rPr>
          <w:rFonts w:ascii="Times New Roman" w:hAnsi="Times New Roman"/>
          <w:noProof/>
          <w:lang w:val="bg-BG"/>
        </w:rPr>
        <w:t>мат конкретни мерки и да се докладват резултати. Следва да се очаква, че за реализирането на конкретни действия по много от мерките може да е нужно известно време. Що се отнася до отчитането на постигнатия напредък пред широката общественост, една възможно</w:t>
      </w:r>
      <w:r>
        <w:rPr>
          <w:rFonts w:ascii="Times New Roman" w:hAnsi="Times New Roman"/>
          <w:noProof/>
          <w:lang w:val="bg-BG"/>
        </w:rPr>
        <w:t>ст би била да се стъпи на основата на тримесечното явяване на главния прокурор пред Комисията по правни въпроси на Народното събрание</w:t>
      </w:r>
      <w:r>
        <w:rPr>
          <w:rStyle w:val="FootnoteReference"/>
          <w:rFonts w:ascii="Times New Roman" w:hAnsi="Times New Roman"/>
          <w:noProof/>
          <w:lang w:val="bg-BG"/>
        </w:rPr>
        <w:footnoteReference w:id="57"/>
      </w:r>
      <w:r>
        <w:rPr>
          <w:rFonts w:ascii="Times New Roman" w:hAnsi="Times New Roman"/>
          <w:noProof/>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8:</w:t>
      </w:r>
      <w:r>
        <w:rPr>
          <w:rFonts w:ascii="Times New Roman" w:hAnsi="Times New Roman"/>
          <w:i/>
          <w:noProof/>
          <w:lang w:val="bg-BG"/>
        </w:rPr>
        <w:t xml:space="preserve"> да се изготви пътна карта за изпълнението на препоръките, съдържащи се в изследването [посветено на решени</w:t>
      </w:r>
      <w:r>
        <w:rPr>
          <w:rFonts w:ascii="Times New Roman" w:hAnsi="Times New Roman"/>
          <w:i/>
          <w:noProof/>
          <w:lang w:val="bg-BG"/>
        </w:rPr>
        <w:t>ята на ЕСПЧ], включително механизъм за отчитане на постигнатия напредък пред широката общественост.</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В отговор на решението на ЕСПЧ от 2015 г., споменато в доклада по МСП от януари 2017 г., в което съдът изразява загриженост във връзка със съществуването на</w:t>
      </w:r>
      <w:r>
        <w:rPr>
          <w:rFonts w:ascii="Times New Roman" w:hAnsi="Times New Roman"/>
          <w:noProof/>
          <w:spacing w:val="-2"/>
          <w:lang w:val="bg-BG"/>
        </w:rPr>
        <w:t xml:space="preserve"> системен проблем с липсата на ефективност при разследванията в България</w:t>
      </w:r>
      <w:r>
        <w:rPr>
          <w:rStyle w:val="FootnoteReference"/>
          <w:rFonts w:ascii="Times New Roman" w:hAnsi="Times New Roman"/>
          <w:noProof/>
          <w:spacing w:val="-2"/>
          <w:lang w:val="bg-BG"/>
        </w:rPr>
        <w:footnoteReference w:id="58"/>
      </w:r>
      <w:r>
        <w:rPr>
          <w:rFonts w:ascii="Times New Roman" w:hAnsi="Times New Roman"/>
          <w:noProof/>
          <w:spacing w:val="-2"/>
          <w:lang w:val="bg-BG"/>
        </w:rPr>
        <w:t>, през 2016 г. прокуратурата е извършила анализ на съществуващата практика на ЕСПЧ относно България, при който са били набелязани редица конкретни препоръки за последващи законодателн</w:t>
      </w:r>
      <w:r>
        <w:rPr>
          <w:rFonts w:ascii="Times New Roman" w:hAnsi="Times New Roman"/>
          <w:noProof/>
          <w:spacing w:val="-2"/>
          <w:lang w:val="bg-BG"/>
        </w:rPr>
        <w:t xml:space="preserve">и и организационни мерки.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През юли 2017 г. прокуратурата прие и публикува пътна карта, включваща както организационни, така и евентуални законодателни мерки</w:t>
      </w:r>
      <w:r>
        <w:rPr>
          <w:rStyle w:val="FootnoteReference"/>
          <w:rFonts w:ascii="Times New Roman" w:hAnsi="Times New Roman"/>
          <w:noProof/>
          <w:lang w:val="bg-BG"/>
        </w:rPr>
        <w:footnoteReference w:id="59"/>
      </w:r>
      <w:r>
        <w:rPr>
          <w:rFonts w:ascii="Times New Roman" w:hAnsi="Times New Roman"/>
          <w:noProof/>
          <w:lang w:val="bg-BG"/>
        </w:rPr>
        <w:t>. Предвидените организационни мерки включват: анализ на съдебната практика относно съдебния контро</w:t>
      </w:r>
      <w:r>
        <w:rPr>
          <w:rFonts w:ascii="Times New Roman" w:hAnsi="Times New Roman"/>
          <w:noProof/>
          <w:lang w:val="bg-BG"/>
        </w:rPr>
        <w:t xml:space="preserve">л по отношение на постановленията на прокуратурата за прекратяване на наказателното разследване, назначаване на специализирани прокурори и следователи, които да се занимават с жалбите за прекомерна употреба на сила от служители на правоприлагащите органи, </w:t>
      </w:r>
      <w:r>
        <w:rPr>
          <w:rFonts w:ascii="Times New Roman" w:hAnsi="Times New Roman"/>
          <w:noProof/>
          <w:lang w:val="bg-BG"/>
        </w:rPr>
        <w:t>както и актуализиране на съдържанието на вътрешния контрол в прокуратурата с оглед на констатациите на ЕСПЧ. В различните апелативни зони е започнало обучение за прокурори за провеждането на ефективни разследвания с оглед на съдебната практика на ЕСПЧ и ан</w:t>
      </w:r>
      <w:r>
        <w:rPr>
          <w:rFonts w:ascii="Times New Roman" w:hAnsi="Times New Roman"/>
          <w:noProof/>
          <w:lang w:val="bg-BG"/>
        </w:rPr>
        <w:t>ализа от 2016 г. и е изготвено предложение за интегриране на темата в задължителното обучение за младши прокурори, както и за включването ѝ като постоянен елемент в програмата за текущо обучение.</w:t>
      </w:r>
      <w:r>
        <w:rPr>
          <w:noProof/>
          <w:lang w:val="bg-BG"/>
        </w:rPr>
        <w:t xml:space="preserve"> </w:t>
      </w:r>
      <w:r>
        <w:rPr>
          <w:rFonts w:ascii="Times New Roman" w:hAnsi="Times New Roman"/>
          <w:noProof/>
          <w:lang w:val="bg-BG"/>
        </w:rPr>
        <w:t>На последно място, създадена е работна група, която да проуч</w:t>
      </w:r>
      <w:r>
        <w:rPr>
          <w:rFonts w:ascii="Times New Roman" w:hAnsi="Times New Roman"/>
          <w:noProof/>
          <w:lang w:val="bg-BG"/>
        </w:rPr>
        <w:t>и възможностите за засилване на сътрудничеството между Министерството на правосъдието и прокуратурата във връзка с делата в ЕСПЧ и последващите действия, свързани с тях.</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Що се отнася до законодателството, много от вече посочените по-горе действия са от зна</w:t>
      </w:r>
      <w:r>
        <w:rPr>
          <w:rFonts w:ascii="Times New Roman" w:hAnsi="Times New Roman"/>
          <w:noProof/>
          <w:lang w:val="bg-BG"/>
        </w:rPr>
        <w:t>чение и в този контекст</w:t>
      </w:r>
      <w:r>
        <w:rPr>
          <w:rStyle w:val="FootnoteReference"/>
          <w:rFonts w:ascii="Times New Roman" w:hAnsi="Times New Roman"/>
          <w:noProof/>
          <w:lang w:val="bg-BG"/>
        </w:rPr>
        <w:footnoteReference w:id="60"/>
      </w:r>
      <w:r>
        <w:rPr>
          <w:rFonts w:ascii="Times New Roman" w:hAnsi="Times New Roman"/>
          <w:noProof/>
          <w:lang w:val="bg-BG"/>
        </w:rPr>
        <w:t>. В пътната карта също така се посочват допълнителни конкретни теми, по които да се извърши анализ, като например по-доброто упражняване на съдебен контрол спрямо прокурорските решения</w:t>
      </w:r>
      <w:r>
        <w:rPr>
          <w:rStyle w:val="FootnoteReference"/>
          <w:rFonts w:ascii="Times New Roman" w:hAnsi="Times New Roman"/>
          <w:noProof/>
          <w:lang w:val="bg-BG"/>
        </w:rPr>
        <w:footnoteReference w:id="61"/>
      </w:r>
      <w:r>
        <w:rPr>
          <w:rFonts w:ascii="Times New Roman" w:hAnsi="Times New Roman"/>
          <w:noProof/>
          <w:lang w:val="bg-BG"/>
        </w:rPr>
        <w:t>, евентуалното въвеждане на допълнителни клаузи</w:t>
      </w:r>
      <w:r>
        <w:rPr>
          <w:rFonts w:ascii="Times New Roman" w:hAnsi="Times New Roman"/>
          <w:noProof/>
          <w:lang w:val="bg-BG"/>
        </w:rPr>
        <w:t xml:space="preserve"> за съдебен контрол</w:t>
      </w:r>
      <w:r>
        <w:rPr>
          <w:rStyle w:val="FootnoteReference"/>
          <w:rFonts w:ascii="Times New Roman" w:hAnsi="Times New Roman"/>
          <w:noProof/>
          <w:lang w:val="bg-BG"/>
        </w:rPr>
        <w:footnoteReference w:id="62"/>
      </w:r>
      <w:r>
        <w:rPr>
          <w:rFonts w:ascii="Times New Roman" w:hAnsi="Times New Roman"/>
          <w:noProof/>
          <w:lang w:val="bg-BG"/>
        </w:rPr>
        <w:t>, анализ на давностните срокове в сравнителен контекст, изясняването на правомощията на главния прокурор за възобновяване на разследване в „изключителни случаи“, изясняването на правилата относно временното отстраняване от длъжност на м</w:t>
      </w:r>
      <w:r>
        <w:rPr>
          <w:rFonts w:ascii="Times New Roman" w:hAnsi="Times New Roman"/>
          <w:noProof/>
          <w:lang w:val="bg-BG"/>
        </w:rPr>
        <w:t xml:space="preserve">агистрати, които са обект на наказателно разследване, въвеждане на задължително обучение относно съдебната практика на ЕСПЧ за новоназначените разследващи полицаи, въвеждане на знаци за идентифициране на маскирани полицейски служители, както и въвеждането </w:t>
      </w:r>
      <w:r>
        <w:rPr>
          <w:rFonts w:ascii="Times New Roman" w:hAnsi="Times New Roman"/>
          <w:noProof/>
          <w:lang w:val="bg-BG"/>
        </w:rPr>
        <w:t xml:space="preserve">на нов състав на престъплението „изтезание“ в българския Наказателен кодекс. </w:t>
      </w:r>
    </w:p>
    <w:p w:rsidR="00792097" w:rsidRDefault="00AC774E">
      <w:pPr>
        <w:spacing w:line="240" w:lineRule="auto"/>
        <w:jc w:val="both"/>
        <w:rPr>
          <w:rStyle w:val="FootnoteReference"/>
          <w:rFonts w:ascii="Times New Roman" w:hAnsi="Times New Roman"/>
          <w:noProof/>
          <w:spacing w:val="-2"/>
          <w:vertAlign w:val="baseline"/>
          <w:lang w:val="bg-BG"/>
        </w:rPr>
      </w:pPr>
      <w:r>
        <w:rPr>
          <w:rFonts w:ascii="Times New Roman" w:hAnsi="Times New Roman"/>
          <w:noProof/>
          <w:spacing w:val="-2"/>
          <w:lang w:val="bg-BG"/>
        </w:rPr>
        <w:t>Подобно на пътната карта във връзка с анализа на СПСР, мерките по тази пътна карта все още са в ранна фаза на изпълнение. Няколко от мерките са дефинирани само като общи цели и т</w:t>
      </w:r>
      <w:r>
        <w:rPr>
          <w:rFonts w:ascii="Times New Roman" w:hAnsi="Times New Roman"/>
          <w:noProof/>
          <w:spacing w:val="-2"/>
          <w:lang w:val="bg-BG"/>
        </w:rPr>
        <w:t xml:space="preserve">епърва трябва да бъдат изрично формулирани под формата на конкретни действия и резултати. </w:t>
      </w:r>
    </w:p>
    <w:p w:rsidR="00792097" w:rsidRDefault="00AC774E">
      <w:pPr>
        <w:spacing w:before="360" w:line="240" w:lineRule="auto"/>
        <w:jc w:val="both"/>
        <w:rPr>
          <w:rFonts w:ascii="Times New Roman" w:hAnsi="Times New Roman"/>
          <w:b/>
          <w:bCs/>
          <w:smallCaps/>
          <w:noProof/>
          <w:lang w:val="bg-BG"/>
        </w:rPr>
      </w:pPr>
      <w:r>
        <w:rPr>
          <w:rFonts w:ascii="Times New Roman" w:hAnsi="Times New Roman"/>
          <w:b/>
          <w:smallCaps/>
          <w:noProof/>
          <w:lang w:val="bg-BG"/>
        </w:rPr>
        <w:t>Показател 4: Да провежда и докладва за професионални, безпристрастни разследвания на твърдения за корупция по високите етажи на властта. Да докладва за вътрешни инсп</w:t>
      </w:r>
      <w:r>
        <w:rPr>
          <w:rFonts w:ascii="Times New Roman" w:hAnsi="Times New Roman"/>
          <w:b/>
          <w:smallCaps/>
          <w:noProof/>
          <w:lang w:val="bg-BG"/>
        </w:rPr>
        <w:t>екции на публичните институции и за публикуването на данни за имуществото на високопоставени държавни длъжностни лица.</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9:</w:t>
      </w:r>
      <w:r>
        <w:rPr>
          <w:rFonts w:ascii="Times New Roman" w:hAnsi="Times New Roman"/>
          <w:i/>
          <w:noProof/>
          <w:lang w:val="bg-BG"/>
        </w:rPr>
        <w:t xml:space="preserve"> да се приеме нова нормативна уредба относно борбата с корупцията в съответствие с целите, изложени в стратегията за борба с корупцията, и да се осигури прилагането на тази уредба. Да се създаде ефективен орган за борба с корупцията.</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Борбата срещу корупция</w:t>
      </w:r>
      <w:r>
        <w:rPr>
          <w:rFonts w:ascii="Times New Roman" w:hAnsi="Times New Roman"/>
          <w:noProof/>
          <w:lang w:val="bg-BG"/>
        </w:rPr>
        <w:t>та беше изтъкната в доклада по МСП от януари като област, в която в България до момента е постигнат само ограничен напредък. Сред предизвикателствата, посочвани в поредните доклади по МСП през годините, са разпокъсаността на институционалните структури, за</w:t>
      </w:r>
      <w:r>
        <w:rPr>
          <w:rFonts w:ascii="Times New Roman" w:hAnsi="Times New Roman"/>
          <w:noProof/>
          <w:lang w:val="bg-BG"/>
        </w:rPr>
        <w:t xml:space="preserve">нимаващи се с превенция на корупцията, както и процесуални и правни пречки пред ефективното разследване и наказателно преследване на корупцията по високите етажи на властта, както вече беше посочено по-горе. През 2015 г., след извършена обстойна оценка на </w:t>
      </w:r>
      <w:r>
        <w:rPr>
          <w:rFonts w:ascii="Times New Roman" w:hAnsi="Times New Roman"/>
          <w:noProof/>
          <w:lang w:val="bg-BG"/>
        </w:rPr>
        <w:t>прилаганата политика за борба с корупцията и представянето на нова национална стратегия за борба с корупцията, правителството представи законопроект, който предвиждаше създаването на нов единен орган, чрез който да се осигури по-координиран подход към прот</w:t>
      </w:r>
      <w:r>
        <w:rPr>
          <w:rFonts w:ascii="Times New Roman" w:hAnsi="Times New Roman"/>
          <w:noProof/>
          <w:lang w:val="bg-BG"/>
        </w:rPr>
        <w:t>иводействието на рисковете от корупция сред лицата, заемащи висши публични длъжности, включително по въпроси като конфликтите на интереси и имуществените декларации</w:t>
      </w:r>
      <w:r>
        <w:rPr>
          <w:rStyle w:val="FootnoteReference"/>
          <w:rFonts w:ascii="Times New Roman" w:hAnsi="Times New Roman"/>
          <w:noProof/>
          <w:lang w:val="bg-BG"/>
        </w:rPr>
        <w:footnoteReference w:id="63"/>
      </w:r>
      <w:r>
        <w:rPr>
          <w:rFonts w:ascii="Times New Roman" w:hAnsi="Times New Roman"/>
          <w:noProof/>
          <w:lang w:val="bg-BG"/>
        </w:rPr>
        <w:t>. Новият орган щеше да разполага и с правомощия за провеждането на административни разследв</w:t>
      </w:r>
      <w:r>
        <w:rPr>
          <w:rFonts w:ascii="Times New Roman" w:hAnsi="Times New Roman"/>
          <w:noProof/>
          <w:lang w:val="bg-BG"/>
        </w:rPr>
        <w:t>ания въз основа на анонимни сигнали. Законопроектът обаче не получи подкрепа в Народното събрание, което принуди правителството да го преразгледа</w:t>
      </w:r>
      <w:r>
        <w:rPr>
          <w:rStyle w:val="FootnoteReference"/>
          <w:rFonts w:ascii="Times New Roman" w:hAnsi="Times New Roman"/>
          <w:noProof/>
          <w:lang w:val="bg-BG"/>
        </w:rPr>
        <w:footnoteReference w:id="64"/>
      </w:r>
      <w:r>
        <w:rPr>
          <w:rFonts w:ascii="Times New Roman" w:hAnsi="Times New Roman"/>
          <w:noProof/>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От 2015 г. насам дискусиите по законопроекта продължават на различни равнища. След допълнителни консултации</w:t>
      </w:r>
      <w:r>
        <w:rPr>
          <w:rFonts w:ascii="Times New Roman" w:hAnsi="Times New Roman"/>
          <w:noProof/>
          <w:lang w:val="bg-BG"/>
        </w:rPr>
        <w:t xml:space="preserve"> правителството представи преработен текст на законопроекта през пролетта на 2016 г.</w:t>
      </w:r>
      <w:r>
        <w:rPr>
          <w:rStyle w:val="FootnoteReference"/>
          <w:rFonts w:ascii="Times New Roman" w:hAnsi="Times New Roman"/>
          <w:noProof/>
          <w:lang w:val="bg-BG"/>
        </w:rPr>
        <w:footnoteReference w:id="65"/>
      </w:r>
      <w:r>
        <w:rPr>
          <w:rFonts w:ascii="Times New Roman" w:hAnsi="Times New Roman"/>
          <w:noProof/>
          <w:lang w:val="bg-BG"/>
        </w:rPr>
        <w:t xml:space="preserve"> Този път предложението премина на първо четене в Народното събрание, което позволи да започнат обсъждания в съответните комисии. Парламентарните процедури обаче не достиг</w:t>
      </w:r>
      <w:r>
        <w:rPr>
          <w:rFonts w:ascii="Times New Roman" w:hAnsi="Times New Roman"/>
          <w:noProof/>
          <w:lang w:val="bg-BG"/>
        </w:rPr>
        <w:t>наха решаващ етап до момента, в който правителството подаде оставка и Народното събрание бе разпуснато в началото на 2017 г., в резултат на което реформата не стигна до окончателно гласуване</w:t>
      </w:r>
      <w:r>
        <w:rPr>
          <w:rStyle w:val="FootnoteReference"/>
          <w:rFonts w:ascii="Times New Roman" w:hAnsi="Times New Roman"/>
          <w:noProof/>
          <w:lang w:val="bg-BG"/>
        </w:rPr>
        <w:footnoteReference w:id="66"/>
      </w:r>
      <w:r>
        <w:rPr>
          <w:rFonts w:ascii="Times New Roman" w:hAnsi="Times New Roman"/>
          <w:noProof/>
          <w:lang w:val="bg-BG"/>
        </w:rPr>
        <w:t>. При все това въпросът остана на обществения дневен ред в период</w:t>
      </w:r>
      <w:r>
        <w:rPr>
          <w:rFonts w:ascii="Times New Roman" w:hAnsi="Times New Roman"/>
          <w:noProof/>
          <w:lang w:val="bg-BG"/>
        </w:rPr>
        <w:t xml:space="preserve">а на изборите, като новото правителство, встъпило в длъжност през май, потвърди ангажираността си със стратегията за борба с корупцията, включително предложението за създаване на нова и по-ефективна институционална уредба под формата на единен орган. </w:t>
      </w:r>
    </w:p>
    <w:p w:rsidR="00792097" w:rsidRDefault="00AC774E">
      <w:pPr>
        <w:spacing w:line="240" w:lineRule="auto"/>
        <w:jc w:val="both"/>
        <w:rPr>
          <w:rFonts w:ascii="Times New Roman" w:hAnsi="Times New Roman"/>
          <w:noProof/>
          <w:spacing w:val="-4"/>
          <w:lang w:val="bg-BG"/>
        </w:rPr>
      </w:pPr>
      <w:r>
        <w:rPr>
          <w:rFonts w:ascii="Times New Roman" w:hAnsi="Times New Roman"/>
          <w:noProof/>
          <w:spacing w:val="-4"/>
          <w:lang w:val="bg-BG"/>
        </w:rPr>
        <w:t>Подх</w:t>
      </w:r>
      <w:r>
        <w:rPr>
          <w:rFonts w:ascii="Times New Roman" w:hAnsi="Times New Roman"/>
          <w:noProof/>
          <w:spacing w:val="-4"/>
          <w:lang w:val="bg-BG"/>
        </w:rPr>
        <w:t>одът, възприет от новото правителство, включваше някои допълнителни компромиси с оглед на чувствителните аспекти, открили се при политическите дискусии по законопроекта.</w:t>
      </w:r>
      <w:r>
        <w:rPr>
          <w:noProof/>
          <w:spacing w:val="-4"/>
          <w:lang w:val="bg-BG"/>
        </w:rPr>
        <w:t xml:space="preserve"> </w:t>
      </w:r>
      <w:r>
        <w:rPr>
          <w:rFonts w:ascii="Times New Roman" w:hAnsi="Times New Roman"/>
          <w:noProof/>
          <w:spacing w:val="-4"/>
          <w:lang w:val="bg-BG"/>
        </w:rPr>
        <w:t>По-конкретно е била отхвърлена възможността новият орган да предприема действия по ано</w:t>
      </w:r>
      <w:r>
        <w:rPr>
          <w:rFonts w:ascii="Times New Roman" w:hAnsi="Times New Roman"/>
          <w:noProof/>
          <w:spacing w:val="-4"/>
          <w:lang w:val="bg-BG"/>
        </w:rPr>
        <w:t>нимни сигнали, макар че той все още ще може да извършва разследвания въз основа на сигнали, получени от граждани и медии, и ще информира съответните съдебни органи за откритите доказателства за престъпни деяния. Освен това съгласно получените сведения посл</w:t>
      </w:r>
      <w:r>
        <w:rPr>
          <w:rFonts w:ascii="Times New Roman" w:hAnsi="Times New Roman"/>
          <w:noProof/>
          <w:spacing w:val="-4"/>
          <w:lang w:val="bg-BG"/>
        </w:rPr>
        <w:t>едното предложение има за цел да гарантира по-нататъшното функциониране на съществуващата служба за отнемане на незаконно придобито имущество (КОНПИ) в рамките на новата структура, като на практика новата структура бъде изградена около тази институция</w:t>
      </w:r>
      <w:r>
        <w:rPr>
          <w:rStyle w:val="FootnoteReference"/>
          <w:rFonts w:ascii="Times New Roman" w:hAnsi="Times New Roman"/>
          <w:noProof/>
          <w:spacing w:val="-4"/>
          <w:lang w:val="bg-BG"/>
        </w:rPr>
        <w:footnoteReference w:id="67"/>
      </w:r>
      <w:r>
        <w:rPr>
          <w:rFonts w:ascii="Times New Roman" w:hAnsi="Times New Roman"/>
          <w:noProof/>
          <w:spacing w:val="-4"/>
          <w:lang w:val="bg-BG"/>
        </w:rPr>
        <w:t>.</w:t>
      </w:r>
      <w:r>
        <w:rPr>
          <w:noProof/>
          <w:spacing w:val="-4"/>
          <w:lang w:val="bg-BG"/>
        </w:rPr>
        <w:t xml:space="preserve"> </w:t>
      </w:r>
      <w:r>
        <w:rPr>
          <w:rFonts w:ascii="Times New Roman" w:hAnsi="Times New Roman"/>
          <w:noProof/>
          <w:spacing w:val="-4"/>
          <w:lang w:val="bg-BG"/>
        </w:rPr>
        <w:t xml:space="preserve">И </w:t>
      </w:r>
      <w:r>
        <w:rPr>
          <w:rFonts w:ascii="Times New Roman" w:hAnsi="Times New Roman"/>
          <w:noProof/>
          <w:spacing w:val="-4"/>
          <w:lang w:val="bg-BG"/>
        </w:rPr>
        <w:t>накрая, съгласно предложението на правителството ръководителят на новия орган ще се избира от Народното събрание.</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Тъй като в новия проект се съдържат редица изменения спрямо първоначалното предложение, правителството проведе допълнителен кръг от консултаци</w:t>
      </w:r>
      <w:r>
        <w:rPr>
          <w:rFonts w:ascii="Times New Roman" w:hAnsi="Times New Roman"/>
          <w:noProof/>
          <w:lang w:val="bg-BG"/>
        </w:rPr>
        <w:t>и със заинтересованите страни, преди да внесе предложението в Народното събрание на 4 октомври</w:t>
      </w:r>
      <w:r>
        <w:rPr>
          <w:rStyle w:val="FootnoteReference"/>
          <w:rFonts w:ascii="Times New Roman" w:hAnsi="Times New Roman"/>
          <w:noProof/>
          <w:lang w:val="bg-BG"/>
        </w:rPr>
        <w:footnoteReference w:id="68"/>
      </w:r>
      <w:r>
        <w:rPr>
          <w:rFonts w:ascii="Times New Roman" w:hAnsi="Times New Roman"/>
          <w:noProof/>
          <w:lang w:val="bg-BG"/>
        </w:rPr>
        <w:t>. Правителството е посочило, че целта му е предложението да бъде прието преди края на годината, след което новият единен орган ще трябва да бъде създаден и да за</w:t>
      </w:r>
      <w:r>
        <w:rPr>
          <w:rFonts w:ascii="Times New Roman" w:hAnsi="Times New Roman"/>
          <w:noProof/>
          <w:lang w:val="bg-BG"/>
        </w:rPr>
        <w:t>почне работа</w:t>
      </w:r>
      <w:r>
        <w:rPr>
          <w:rStyle w:val="FootnoteReference"/>
          <w:rFonts w:ascii="Times New Roman" w:hAnsi="Times New Roman"/>
          <w:noProof/>
          <w:lang w:val="bg-BG"/>
        </w:rPr>
        <w:footnoteReference w:id="69"/>
      </w:r>
      <w:r>
        <w:rPr>
          <w:rFonts w:ascii="Times New Roman" w:hAnsi="Times New Roman"/>
          <w:noProof/>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10:</w:t>
      </w:r>
      <w:r>
        <w:rPr>
          <w:rFonts w:ascii="Times New Roman" w:hAnsi="Times New Roman"/>
          <w:i/>
          <w:noProof/>
          <w:lang w:val="bg-BG"/>
        </w:rPr>
        <w:t xml:space="preserve"> да се приеме и осъществи реформа на Закона за администрацията с цел укрепване на вътрешните инспекторати в държавната администрация.</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Наличието на добре функционираща система за вътрешен контрол е ключов елемент за предотвратяв</w:t>
      </w:r>
      <w:r>
        <w:rPr>
          <w:rFonts w:ascii="Times New Roman" w:hAnsi="Times New Roman"/>
          <w:noProof/>
          <w:lang w:val="bg-BG"/>
        </w:rPr>
        <w:t>ането на корупцията в публичните институции. Инспекторатите в държавната администрация играят важна роля в тази връзка, но въздействието им може да бъде подобрено с една по-ясна институционална рамка и засилване на капацитета. В доклада по МСП от 2015 г. б</w:t>
      </w:r>
      <w:r>
        <w:rPr>
          <w:rFonts w:ascii="Times New Roman" w:hAnsi="Times New Roman"/>
          <w:noProof/>
          <w:lang w:val="bg-BG"/>
        </w:rPr>
        <w:t>еше отбелязано, че пречка за ефективността на тези институции е липсата на координиран подход, като това отчасти се дължи на недостатъци в правната уредба</w:t>
      </w:r>
      <w:r>
        <w:rPr>
          <w:rStyle w:val="FootnoteReference"/>
          <w:rFonts w:ascii="Times New Roman" w:hAnsi="Times New Roman"/>
          <w:noProof/>
          <w:lang w:val="bg-BG"/>
        </w:rPr>
        <w:footnoteReference w:id="70"/>
      </w:r>
      <w:r>
        <w:rPr>
          <w:rFonts w:ascii="Times New Roman" w:hAnsi="Times New Roman"/>
          <w:noProof/>
          <w:lang w:val="bg-BG"/>
        </w:rPr>
        <w:t>. Съответно една от мерките, предвидени в стратегията на България за борба с корупцията през 2015 г.,</w:t>
      </w:r>
      <w:r>
        <w:rPr>
          <w:rFonts w:ascii="Times New Roman" w:hAnsi="Times New Roman"/>
          <w:noProof/>
          <w:lang w:val="bg-BG"/>
        </w:rPr>
        <w:t xml:space="preserve"> беше укрепването на системата за вътрешен контрол чрез изменения в Закона за администрацията, целящи засилване на независимостта, правомощията и капацитета на инспекторатите. </w:t>
      </w:r>
    </w:p>
    <w:p w:rsidR="00792097" w:rsidRDefault="00AC774E">
      <w:pPr>
        <w:spacing w:after="120" w:line="240" w:lineRule="auto"/>
        <w:jc w:val="both"/>
        <w:rPr>
          <w:rFonts w:ascii="Times New Roman" w:hAnsi="Times New Roman"/>
          <w:noProof/>
          <w:spacing w:val="-4"/>
          <w:lang w:val="bg-BG"/>
        </w:rPr>
      </w:pPr>
      <w:r>
        <w:rPr>
          <w:rFonts w:ascii="Times New Roman" w:hAnsi="Times New Roman"/>
          <w:noProof/>
          <w:spacing w:val="-4"/>
          <w:lang w:val="bg-BG"/>
        </w:rPr>
        <w:t xml:space="preserve">През пролетта на 2015 г. беше подготвен законопроект за изменение на Закона за </w:t>
      </w:r>
      <w:r>
        <w:rPr>
          <w:rFonts w:ascii="Times New Roman" w:hAnsi="Times New Roman"/>
          <w:noProof/>
          <w:spacing w:val="-4"/>
          <w:lang w:val="bg-BG"/>
        </w:rPr>
        <w:t xml:space="preserve">администрацията, но поради проточилите се процедури по административно съгласуване бе представен за политическо одобрение едва през септември 2017 г., когато бе приет от правителството и внесен в Народното събрание. Той беше приет от Народното събрание на </w:t>
      </w:r>
      <w:r>
        <w:rPr>
          <w:rFonts w:ascii="Times New Roman" w:hAnsi="Times New Roman"/>
          <w:noProof/>
          <w:spacing w:val="-4"/>
          <w:lang w:val="bg-BG"/>
        </w:rPr>
        <w:t>12 октомври.</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Измененията предвиждат ясна уредба за административния контрол</w:t>
      </w:r>
      <w:r>
        <w:rPr>
          <w:rStyle w:val="FootnoteReference"/>
          <w:rFonts w:ascii="Times New Roman" w:hAnsi="Times New Roman"/>
          <w:noProof/>
          <w:lang w:val="bg-BG"/>
        </w:rPr>
        <w:footnoteReference w:id="71"/>
      </w:r>
      <w:r>
        <w:rPr>
          <w:rFonts w:ascii="Times New Roman" w:hAnsi="Times New Roman"/>
          <w:noProof/>
          <w:lang w:val="bg-BG"/>
        </w:rPr>
        <w:t>, като ролята на инспекторатите се разграничава от тази на другите контролни органи, като например отговарящите за финансовия надзор или обществените поръчки. Предвижда се, че прав</w:t>
      </w:r>
      <w:r>
        <w:rPr>
          <w:rFonts w:ascii="Times New Roman" w:hAnsi="Times New Roman"/>
          <w:noProof/>
          <w:lang w:val="bg-BG"/>
        </w:rPr>
        <w:t>ителството следва да определи с наредба цялостната структура на инспекторатите и техния брой, както и реда и начина за осъществяване на дейността им и взаимодействието им със специализираните контролни органи, а също така и минималните изисквания, на които</w:t>
      </w:r>
      <w:r>
        <w:rPr>
          <w:rFonts w:ascii="Times New Roman" w:hAnsi="Times New Roman"/>
          <w:noProof/>
          <w:lang w:val="bg-BG"/>
        </w:rPr>
        <w:t xml:space="preserve"> трябва да отговарят ръководителите на инспекторатите. Функциите на инспекторатите също са по-ясно определени в законопроекта, включително централната координираща роля на Главния инспекторат</w:t>
      </w:r>
      <w:r>
        <w:rPr>
          <w:rStyle w:val="FootnoteReference"/>
          <w:rFonts w:ascii="Times New Roman" w:hAnsi="Times New Roman"/>
          <w:noProof/>
          <w:lang w:val="bg-BG"/>
        </w:rPr>
        <w:footnoteReference w:id="72"/>
      </w:r>
      <w:r>
        <w:rPr>
          <w:rFonts w:ascii="Times New Roman" w:hAnsi="Times New Roman"/>
          <w:noProof/>
          <w:lang w:val="bg-BG"/>
        </w:rPr>
        <w:t>, който ще дава оценка за дейността на секторните инспекторати и</w:t>
      </w:r>
      <w:r>
        <w:rPr>
          <w:rFonts w:ascii="Times New Roman" w:hAnsi="Times New Roman"/>
          <w:noProof/>
          <w:lang w:val="bg-BG"/>
        </w:rPr>
        <w:t xml:space="preserve"> ще има роля при координацията на общата антикорупционна политика. </w:t>
      </w:r>
    </w:p>
    <w:p w:rsidR="00792097" w:rsidRDefault="00AC774E">
      <w:pPr>
        <w:spacing w:line="240" w:lineRule="auto"/>
        <w:jc w:val="both"/>
        <w:rPr>
          <w:noProof/>
          <w:vertAlign w:val="superscript"/>
          <w:lang w:val="bg-BG"/>
        </w:rPr>
      </w:pPr>
      <w:r>
        <w:rPr>
          <w:rFonts w:ascii="Times New Roman" w:hAnsi="Times New Roman"/>
          <w:noProof/>
          <w:lang w:val="bg-BG"/>
        </w:rPr>
        <w:t xml:space="preserve">Приемането на измененията в Закона за администрацията представлява важна първа крачка. Сега правителството трябва да изготви актовете за изпълнение и да гарантира прилагането и изпълнението на реформата чрез конкретни организационни действия.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11</w:t>
      </w:r>
      <w:r>
        <w:rPr>
          <w:rFonts w:ascii="Times New Roman" w:hAnsi="Times New Roman"/>
          <w:b/>
          <w:i/>
          <w:noProof/>
          <w:lang w:val="bg-BG"/>
        </w:rPr>
        <w:t xml:space="preserve">: </w:t>
      </w:r>
      <w:r>
        <w:rPr>
          <w:rFonts w:ascii="Times New Roman" w:hAnsi="Times New Roman"/>
          <w:i/>
          <w:noProof/>
          <w:lang w:val="bg-BG"/>
        </w:rPr>
        <w:t>на основата на анализа на приключили дела да се изготви пътна карта за взаимодействие между всички съответни институции за отстраняване на слабостите при разследването и наказателното преследване на случаи на корупция по високите етажи на властта, като т</w:t>
      </w:r>
      <w:r>
        <w:rPr>
          <w:rFonts w:ascii="Times New Roman" w:hAnsi="Times New Roman"/>
          <w:i/>
          <w:noProof/>
          <w:lang w:val="bg-BG"/>
        </w:rPr>
        <w:t>ази карта следва да включва и механизъм за отчитане на постигнатия напредък пред широката общественост.</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 xml:space="preserve">Създаването на ефективно работеща система за разследване и наказателно преследване на корупцията по високите етажи на властта бе изтъкнато като ключово </w:t>
      </w:r>
      <w:r>
        <w:rPr>
          <w:rFonts w:ascii="Times New Roman" w:hAnsi="Times New Roman"/>
          <w:noProof/>
          <w:lang w:val="bg-BG"/>
        </w:rPr>
        <w:t>предизвикателство в България, като в последователни доклади по МСП беше подчертавана необходимостта от внимателно анализиране на трудностите и предизвикателствата, срещани в досъдебната и съдебната фаза на производството, за да се набележат практическите и</w:t>
      </w:r>
      <w:r>
        <w:rPr>
          <w:rFonts w:ascii="Times New Roman" w:hAnsi="Times New Roman"/>
          <w:noProof/>
          <w:lang w:val="bg-BG"/>
        </w:rPr>
        <w:t xml:space="preserve"> правните мерки, които биха могли да направят системата по-ефективна</w:t>
      </w:r>
      <w:r>
        <w:rPr>
          <w:rStyle w:val="FootnoteReference"/>
          <w:rFonts w:ascii="Times New Roman" w:hAnsi="Times New Roman"/>
          <w:noProof/>
          <w:lang w:val="bg-BG"/>
        </w:rPr>
        <w:footnoteReference w:id="73"/>
      </w:r>
      <w:r>
        <w:rPr>
          <w:rFonts w:ascii="Times New Roman" w:hAnsi="Times New Roman"/>
          <w:noProof/>
          <w:lang w:val="bg-BG"/>
        </w:rPr>
        <w:t>. През 2016 г. прокуратурата анализира широкообхватна извадка от дела за корупция, обработени от 2013 г. насам, в резултат на което бяха установени редица проблеми и бяха отправени препор</w:t>
      </w:r>
      <w:r>
        <w:rPr>
          <w:rFonts w:ascii="Times New Roman" w:hAnsi="Times New Roman"/>
          <w:noProof/>
          <w:lang w:val="bg-BG"/>
        </w:rPr>
        <w:t>ъки за по-нататъшната работа. Предизвикателствата включват въпроси от организационно, правно и процесуално естество и за преодоляването им биха се изисквали всеобхватни мерки на много нива.</w:t>
      </w:r>
      <w:r>
        <w:rPr>
          <w:rStyle w:val="FootnoteReference"/>
          <w:rFonts w:ascii="Times New Roman" w:hAnsi="Times New Roman"/>
          <w:noProof/>
          <w:lang w:val="bg-BG"/>
        </w:rPr>
        <w:footnoteReference w:id="74"/>
      </w:r>
      <w:r>
        <w:rPr>
          <w:rFonts w:ascii="Times New Roman" w:hAnsi="Times New Roman"/>
          <w:noProof/>
          <w:lang w:val="bg-BG"/>
        </w:rPr>
        <w:t xml:space="preserve"> </w:t>
      </w:r>
    </w:p>
    <w:p w:rsidR="00792097" w:rsidRDefault="00AC774E">
      <w:pPr>
        <w:spacing w:after="120" w:line="240" w:lineRule="auto"/>
        <w:jc w:val="both"/>
        <w:rPr>
          <w:rFonts w:ascii="Times New Roman" w:hAnsi="Times New Roman"/>
          <w:noProof/>
          <w:spacing w:val="-4"/>
          <w:lang w:val="bg-BG"/>
        </w:rPr>
      </w:pPr>
      <w:r>
        <w:rPr>
          <w:rFonts w:ascii="Times New Roman" w:hAnsi="Times New Roman"/>
          <w:noProof/>
          <w:spacing w:val="-4"/>
          <w:lang w:val="bg-BG"/>
        </w:rPr>
        <w:t>Направеният от прокуратурата анализ представлява важна първа стъ</w:t>
      </w:r>
      <w:r>
        <w:rPr>
          <w:rFonts w:ascii="Times New Roman" w:hAnsi="Times New Roman"/>
          <w:noProof/>
          <w:spacing w:val="-4"/>
          <w:lang w:val="bg-BG"/>
        </w:rPr>
        <w:t>пка към решаването на проблемите, но за осигуряването на ефективни решения е необходимо да бъдат включени съответните участници по цялата верига — като се започне от разследването, премине се през наказателното преследване и се стигне до постановяването на</w:t>
      </w:r>
      <w:r>
        <w:rPr>
          <w:rFonts w:ascii="Times New Roman" w:hAnsi="Times New Roman"/>
          <w:noProof/>
          <w:spacing w:val="-4"/>
          <w:lang w:val="bg-BG"/>
        </w:rPr>
        <w:t xml:space="preserve"> присъдата — както и правителството, доколкото се предвиждат евентуални законодателни промени. Именно в този контекст бе отправена препоръката за взаимодействие на всички съответни институции в рамките на общ процес с цел намиране на съвместни решения и пл</w:t>
      </w:r>
      <w:r>
        <w:rPr>
          <w:rFonts w:ascii="Times New Roman" w:hAnsi="Times New Roman"/>
          <w:noProof/>
          <w:spacing w:val="-4"/>
          <w:lang w:val="bg-BG"/>
        </w:rPr>
        <w:t xml:space="preserve">аниране на конкретни мерки за бъдещите действия. В препоръката се подчертава също така необходимостта от прозрачност пред обществеността във връзка с тези усилия. Тази прозрачност може да позволи включване на заинтересованите страни в дебата и да спомогне </w:t>
      </w:r>
      <w:r>
        <w:rPr>
          <w:rFonts w:ascii="Times New Roman" w:hAnsi="Times New Roman"/>
          <w:noProof/>
          <w:spacing w:val="-4"/>
          <w:lang w:val="bg-BG"/>
        </w:rPr>
        <w:t xml:space="preserve">за изграждане на доверие в процеса у широката общественост. </w:t>
      </w:r>
    </w:p>
    <w:p w:rsidR="00792097" w:rsidRDefault="00AC774E">
      <w:pPr>
        <w:spacing w:line="240" w:lineRule="auto"/>
        <w:jc w:val="both"/>
        <w:rPr>
          <w:rFonts w:ascii="Times New Roman" w:hAnsi="Times New Roman"/>
          <w:noProof/>
          <w:spacing w:val="-4"/>
          <w:lang w:val="bg-BG"/>
        </w:rPr>
      </w:pPr>
      <w:r>
        <w:rPr>
          <w:rFonts w:ascii="Times New Roman" w:hAnsi="Times New Roman"/>
          <w:noProof/>
          <w:spacing w:val="-4"/>
          <w:lang w:val="bg-BG"/>
        </w:rPr>
        <w:t>В отговор на тази препоръка българските власти докладваха, че е изготвена пътна карта, която е била обсъдена на заседание на Националния съвет по антикорупционни политики, проведено на 20 юли 201</w:t>
      </w:r>
      <w:r>
        <w:rPr>
          <w:rFonts w:ascii="Times New Roman" w:hAnsi="Times New Roman"/>
          <w:noProof/>
          <w:spacing w:val="-4"/>
          <w:lang w:val="bg-BG"/>
        </w:rPr>
        <w:t>7 г.</w:t>
      </w:r>
      <w:r>
        <w:rPr>
          <w:rStyle w:val="FootnoteReference"/>
          <w:rFonts w:ascii="Times New Roman" w:hAnsi="Times New Roman"/>
          <w:noProof/>
          <w:spacing w:val="-4"/>
          <w:lang w:val="bg-BG"/>
        </w:rPr>
        <w:footnoteReference w:id="75"/>
      </w:r>
      <w:r>
        <w:rPr>
          <w:rFonts w:ascii="Times New Roman" w:hAnsi="Times New Roman"/>
          <w:noProof/>
          <w:spacing w:val="-4"/>
          <w:lang w:val="bg-BG"/>
        </w:rPr>
        <w:t xml:space="preserve"> Пътната карта е фокусирана до голяма степен върху елементи, които вече са споменати по-горе във връзка с показатели 2 и 3, като те включват въпроси като евентуални изменения на определенията на основните корупционни престъпления, опростяване на наказ</w:t>
      </w:r>
      <w:r>
        <w:rPr>
          <w:rFonts w:ascii="Times New Roman" w:hAnsi="Times New Roman"/>
          <w:noProof/>
          <w:spacing w:val="-4"/>
          <w:lang w:val="bg-BG"/>
        </w:rPr>
        <w:t>ателното производство, предоставяне на по-добри средства за осъществяване на наказателното преследване по случаите на корупция по високите етажи на властта чрез използване на сътрудничещи свидетели, анализиране на настоящата практика относно съдебния контр</w:t>
      </w:r>
      <w:r>
        <w:rPr>
          <w:rFonts w:ascii="Times New Roman" w:hAnsi="Times New Roman"/>
          <w:noProof/>
          <w:spacing w:val="-4"/>
          <w:lang w:val="bg-BG"/>
        </w:rPr>
        <w:t>ол върху решението на прокурора за прекратяване на разследването, подобряване на начина на използване на експертизите в наказателното производство и допълнителна специализация и обучение</w:t>
      </w:r>
      <w:r>
        <w:rPr>
          <w:rStyle w:val="FootnoteReference"/>
          <w:rFonts w:ascii="Times New Roman" w:hAnsi="Times New Roman"/>
          <w:noProof/>
          <w:spacing w:val="-4"/>
          <w:lang w:val="bg-BG"/>
        </w:rPr>
        <w:footnoteReference w:id="76"/>
      </w:r>
      <w:r>
        <w:rPr>
          <w:rFonts w:ascii="Times New Roman" w:hAnsi="Times New Roman"/>
          <w:noProof/>
          <w:spacing w:val="-4"/>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С цел да се гарантират предприемане на действия и публичност във в</w:t>
      </w:r>
      <w:r>
        <w:rPr>
          <w:rFonts w:ascii="Times New Roman" w:hAnsi="Times New Roman"/>
          <w:noProof/>
          <w:lang w:val="bg-BG"/>
        </w:rPr>
        <w:t>ръзка с предвидените в пътната карта мерки, отговорните институции се споразумяха на всеки шест месеца да предоставят на Националния съвет по антикорупционни политики доклади за постигнатия напредък, като съветът ще публикува обобщена информация на своя уе</w:t>
      </w:r>
      <w:r>
        <w:rPr>
          <w:rFonts w:ascii="Times New Roman" w:hAnsi="Times New Roman"/>
          <w:noProof/>
          <w:lang w:val="bg-BG"/>
        </w:rPr>
        <w:t>бсайт. Извън конкретната пътна карта, българските власти изтъкват и предвиденото укрепване на капацитета на специализираните звена, занимаващи се с дела за корупция.</w:t>
      </w:r>
      <w:r>
        <w:rPr>
          <w:rStyle w:val="FootnoteReference"/>
          <w:rFonts w:ascii="Times New Roman" w:hAnsi="Times New Roman"/>
          <w:noProof/>
          <w:lang w:val="bg-BG"/>
        </w:rPr>
        <w:footnoteReference w:id="77"/>
      </w:r>
      <w:r>
        <w:rPr>
          <w:rFonts w:ascii="Times New Roman" w:hAnsi="Times New Roman"/>
          <w:noProof/>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12:</w:t>
      </w:r>
      <w:r>
        <w:rPr>
          <w:rFonts w:ascii="Times New Roman" w:hAnsi="Times New Roman"/>
          <w:i/>
          <w:noProof/>
          <w:lang w:val="bg-BG"/>
        </w:rPr>
        <w:t xml:space="preserve"> да се създаде механизъм за публично отчитане на напредъка по дела за коруп</w:t>
      </w:r>
      <w:r>
        <w:rPr>
          <w:rFonts w:ascii="Times New Roman" w:hAnsi="Times New Roman"/>
          <w:i/>
          <w:noProof/>
          <w:lang w:val="bg-BG"/>
        </w:rPr>
        <w:t>ция по високите етажи на властта, за които вече има информация в общественото пространство. При зачитане на презумпцията за невиновност, главният прокурор следва да докладва за разследванията и за повдигнатите обвинения. Върховният касационен съд и Министе</w:t>
      </w:r>
      <w:r>
        <w:rPr>
          <w:rFonts w:ascii="Times New Roman" w:hAnsi="Times New Roman"/>
          <w:i/>
          <w:noProof/>
          <w:lang w:val="bg-BG"/>
        </w:rPr>
        <w:t>рството на правосъдието следва да докладват за постановените осъдителни присъди, както и за изпълнението на наказанията.</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 xml:space="preserve">В последователните доклади по МСП се отбелязва, че България все още трябва да покаже, че са постигнати окончателни резултати по делата </w:t>
      </w:r>
      <w:r>
        <w:rPr>
          <w:rFonts w:ascii="Times New Roman" w:hAnsi="Times New Roman"/>
          <w:noProof/>
          <w:lang w:val="bg-BG"/>
        </w:rPr>
        <w:t>за корупция по високите етажи на властта</w:t>
      </w:r>
      <w:r>
        <w:rPr>
          <w:rStyle w:val="FootnoteReference"/>
          <w:rFonts w:ascii="Times New Roman" w:hAnsi="Times New Roman"/>
          <w:noProof/>
          <w:lang w:val="bg-BG"/>
        </w:rPr>
        <w:footnoteReference w:id="78"/>
      </w:r>
      <w:r>
        <w:rPr>
          <w:rFonts w:ascii="Times New Roman" w:hAnsi="Times New Roman"/>
          <w:noProof/>
          <w:lang w:val="bg-BG"/>
        </w:rPr>
        <w:t>. Прокуратурата отчита, че понастоящем се извършват редица разследвания и че съдът продължава да бъде сезиран с нови дела. В крайна сметка обаче доверието в системата почива върху това дали внесените в съда дела вод</w:t>
      </w:r>
      <w:r>
        <w:rPr>
          <w:rFonts w:ascii="Times New Roman" w:hAnsi="Times New Roman"/>
          <w:noProof/>
          <w:lang w:val="bg-BG"/>
        </w:rPr>
        <w:t>ят до окончателни осъдителни присъди</w:t>
      </w:r>
      <w:r>
        <w:rPr>
          <w:rStyle w:val="FootnoteReference"/>
          <w:rFonts w:ascii="Times New Roman" w:hAnsi="Times New Roman"/>
          <w:noProof/>
          <w:lang w:val="bg-BG"/>
        </w:rPr>
        <w:footnoteReference w:id="79"/>
      </w:r>
      <w:r>
        <w:rPr>
          <w:rFonts w:ascii="Times New Roman" w:hAnsi="Times New Roman"/>
          <w:noProof/>
          <w:lang w:val="bg-BG"/>
        </w:rPr>
        <w:t xml:space="preserve">.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Много от усилията, положени от България в контекста на горепосочените препоръки, са насочени пряко или косвено към решаването на този проблем. Въпреки това, наред с мерките за решаване на правните и процесуалните въп</w:t>
      </w:r>
      <w:r>
        <w:rPr>
          <w:rFonts w:ascii="Times New Roman" w:hAnsi="Times New Roman"/>
          <w:noProof/>
          <w:lang w:val="bg-BG"/>
        </w:rPr>
        <w:t>роси е важно българските органи да гарантират също така прозрачност и публичен контрол върху дейностите в рамките на борбата с корупцията по високите етажи на властта, при пълно зачитане на процесуалните права. Това е контекстът за отправяне на тази препор</w:t>
      </w:r>
      <w:r>
        <w:rPr>
          <w:rFonts w:ascii="Times New Roman" w:hAnsi="Times New Roman"/>
          <w:noProof/>
          <w:lang w:val="bg-BG"/>
        </w:rPr>
        <w:t>ъка, с която България се приканва да създаде механизми за редовно публично отчитане по висящите дела за корупция по високите етажи на властта, за да може обществеността — в това число медиите и гражданското общество — да е като цяло информирана за такива д</w:t>
      </w:r>
      <w:r>
        <w:rPr>
          <w:rFonts w:ascii="Times New Roman" w:hAnsi="Times New Roman"/>
          <w:noProof/>
          <w:lang w:val="bg-BG"/>
        </w:rPr>
        <w:t>ела и да следи постигнатия напредък в установяването на трайни резултати в тази област. Наред с това, подобно отчитане ще е също така от помощ за съдебните и другите органи при установяване на евентуални предизвикателства от процесуално или правно естество</w:t>
      </w:r>
      <w:r>
        <w:rPr>
          <w:rFonts w:ascii="Times New Roman" w:hAnsi="Times New Roman"/>
          <w:noProof/>
          <w:lang w:val="bg-BG"/>
        </w:rPr>
        <w:t xml:space="preserve">, във връзка с които са необходими по-систематични последващи действия. </w:t>
      </w:r>
    </w:p>
    <w:p w:rsidR="00792097" w:rsidRDefault="00AC774E">
      <w:pPr>
        <w:spacing w:line="240" w:lineRule="auto"/>
        <w:jc w:val="both"/>
        <w:rPr>
          <w:rFonts w:ascii="Times New Roman" w:hAnsi="Times New Roman"/>
          <w:noProof/>
          <w:spacing w:val="-2"/>
          <w:lang w:val="bg-BG"/>
        </w:rPr>
      </w:pPr>
      <w:r>
        <w:rPr>
          <w:rFonts w:ascii="Times New Roman" w:hAnsi="Times New Roman"/>
          <w:noProof/>
          <w:spacing w:val="-2"/>
          <w:lang w:val="bg-BG"/>
        </w:rPr>
        <w:t xml:space="preserve">В отговор на тази препоръка към Върховния касационен съд е била създадена нова система за събиране и публикуване на специален уебсайт на информация за образуваните дела за корупция и </w:t>
      </w:r>
      <w:r>
        <w:rPr>
          <w:rFonts w:ascii="Times New Roman" w:hAnsi="Times New Roman"/>
          <w:noProof/>
          <w:spacing w:val="-2"/>
          <w:lang w:val="bg-BG"/>
        </w:rPr>
        <w:t>организирана престъпност. Новата система влезе в сила през април 2017 г. Като основа за подбор на делата, които да бъдат включени в новия публичен регистър, е бил одобрен единен каталог на корупционните престъпления. Ежемесечно всички съдилища трябва да из</w:t>
      </w:r>
      <w:r>
        <w:rPr>
          <w:rFonts w:ascii="Times New Roman" w:hAnsi="Times New Roman"/>
          <w:noProof/>
          <w:spacing w:val="-2"/>
          <w:lang w:val="bg-BG"/>
        </w:rPr>
        <w:t>пращат обобщена информация за новообразуваните дела, както и редовна актуализирана информация за тях, която се публикува на уебсайта и е организирана по съдебни райони на апелативните съдилища</w:t>
      </w:r>
      <w:r>
        <w:rPr>
          <w:rStyle w:val="FootnoteReference"/>
          <w:rFonts w:ascii="Times New Roman" w:hAnsi="Times New Roman"/>
          <w:noProof/>
          <w:spacing w:val="-2"/>
          <w:lang w:val="bg-BG"/>
        </w:rPr>
        <w:footnoteReference w:id="80"/>
      </w:r>
      <w:r>
        <w:rPr>
          <w:rFonts w:ascii="Times New Roman" w:hAnsi="Times New Roman"/>
          <w:noProof/>
          <w:spacing w:val="-2"/>
          <w:lang w:val="bg-BG"/>
        </w:rPr>
        <w:t xml:space="preserve">. Информацията се изпраща ежемесечно и на ВСС и Министерството на правосъдието. </w:t>
      </w:r>
    </w:p>
    <w:p w:rsidR="00792097" w:rsidRDefault="00AC774E">
      <w:pPr>
        <w:spacing w:line="240" w:lineRule="auto"/>
        <w:jc w:val="both"/>
        <w:rPr>
          <w:rFonts w:ascii="Times New Roman" w:hAnsi="Times New Roman"/>
          <w:noProof/>
          <w:spacing w:val="-4"/>
          <w:lang w:val="bg-BG"/>
        </w:rPr>
      </w:pPr>
      <w:r>
        <w:rPr>
          <w:rFonts w:ascii="Times New Roman" w:hAnsi="Times New Roman"/>
          <w:noProof/>
          <w:spacing w:val="-4"/>
          <w:lang w:val="bg-BG"/>
        </w:rPr>
        <w:t>Що се отнася до прокуратурата, българските власти се позовават на действащите разпоредби на Закона за съдебната власт, които задължават Главния прокурор на всеки шест месеца д</w:t>
      </w:r>
      <w:r>
        <w:rPr>
          <w:rFonts w:ascii="Times New Roman" w:hAnsi="Times New Roman"/>
          <w:noProof/>
          <w:spacing w:val="-4"/>
          <w:lang w:val="bg-BG"/>
        </w:rPr>
        <w:t>а представя на прокурорската колегия на ВСС, на Инспектората към ВСС и на министъра на правосъдието обобщена информация за образуването и приключването на преписките</w:t>
      </w:r>
      <w:r>
        <w:rPr>
          <w:rStyle w:val="FootnoteReference"/>
          <w:rFonts w:ascii="Times New Roman" w:hAnsi="Times New Roman"/>
          <w:noProof/>
          <w:spacing w:val="-4"/>
          <w:lang w:val="bg-BG"/>
        </w:rPr>
        <w:footnoteReference w:id="81"/>
      </w:r>
      <w:r>
        <w:rPr>
          <w:rFonts w:ascii="Times New Roman" w:hAnsi="Times New Roman"/>
          <w:noProof/>
          <w:spacing w:val="-4"/>
          <w:lang w:val="bg-BG"/>
        </w:rPr>
        <w:t>. Освен това годишният доклад за дейността на прокуратурата съдържа общи статистически дан</w:t>
      </w:r>
      <w:r>
        <w:rPr>
          <w:rFonts w:ascii="Times New Roman" w:hAnsi="Times New Roman"/>
          <w:noProof/>
          <w:spacing w:val="-4"/>
          <w:lang w:val="bg-BG"/>
        </w:rPr>
        <w:t>ни за различните видове наказателни дела. Годишният доклад се публикува. Той се внася за обсъждане във ВСС, след което се внася в Народното събрание за приемане</w:t>
      </w:r>
      <w:r>
        <w:rPr>
          <w:rStyle w:val="FootnoteReference"/>
          <w:rFonts w:ascii="Times New Roman" w:hAnsi="Times New Roman"/>
          <w:noProof/>
          <w:spacing w:val="-4"/>
          <w:lang w:val="bg-BG"/>
        </w:rPr>
        <w:footnoteReference w:id="82"/>
      </w:r>
      <w:r>
        <w:rPr>
          <w:rFonts w:ascii="Times New Roman" w:hAnsi="Times New Roman"/>
          <w:noProof/>
          <w:spacing w:val="-4"/>
          <w:lang w:val="bg-BG"/>
        </w:rPr>
        <w:t>. Статистическите данни не предоставят информация по отделни дела. За информация относно особен</w:t>
      </w:r>
      <w:r>
        <w:rPr>
          <w:rFonts w:ascii="Times New Roman" w:hAnsi="Times New Roman"/>
          <w:noProof/>
          <w:spacing w:val="-4"/>
          <w:lang w:val="bg-BG"/>
        </w:rPr>
        <w:t xml:space="preserve">о емблематични дела прокуратурата отпраща към общата комуникация с обществеността посредством съобщения за медиите. </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Според българската прокуратура общият брой дела, достигнали до съда, изглежда стабилен в сравнение с предходните години. Сред новообразуван</w:t>
      </w:r>
      <w:r>
        <w:rPr>
          <w:rFonts w:ascii="Times New Roman" w:hAnsi="Times New Roman"/>
          <w:noProof/>
          <w:lang w:val="bg-BG"/>
        </w:rPr>
        <w:t>ите дела, по които се води разследване или които са внесени в съда, има няколко дела срещу висши държавни служители, включително магистрати. Върховният касационен съд е информирал за известен брой окончателни осъдителни присъди по дела за корупция, но спис</w:t>
      </w:r>
      <w:r>
        <w:rPr>
          <w:rFonts w:ascii="Times New Roman" w:hAnsi="Times New Roman"/>
          <w:noProof/>
          <w:lang w:val="bg-BG"/>
        </w:rPr>
        <w:t>ъкът остава ограничен, що се отнася до дела за корупция по високите етажи на властта</w:t>
      </w:r>
      <w:r>
        <w:rPr>
          <w:rFonts w:ascii="Times New Roman" w:hAnsi="Times New Roman"/>
          <w:noProof/>
          <w:vertAlign w:val="superscript"/>
          <w:lang w:val="bg-BG"/>
        </w:rPr>
        <w:footnoteReference w:id="83"/>
      </w:r>
      <w:r>
        <w:rPr>
          <w:rFonts w:ascii="Times New Roman" w:hAnsi="Times New Roman"/>
          <w:noProof/>
          <w:lang w:val="bg-BG"/>
        </w:rPr>
        <w:t xml:space="preserve">. </w:t>
      </w:r>
    </w:p>
    <w:p w:rsidR="00792097" w:rsidRDefault="00AC774E">
      <w:pPr>
        <w:spacing w:before="360" w:line="240" w:lineRule="auto"/>
        <w:jc w:val="both"/>
        <w:rPr>
          <w:rFonts w:ascii="Times New Roman" w:hAnsi="Times New Roman"/>
          <w:b/>
          <w:bCs/>
          <w:smallCaps/>
          <w:noProof/>
          <w:lang w:val="bg-BG"/>
        </w:rPr>
      </w:pPr>
      <w:r>
        <w:rPr>
          <w:rFonts w:ascii="Times New Roman" w:hAnsi="Times New Roman"/>
          <w:b/>
          <w:smallCaps/>
          <w:noProof/>
          <w:lang w:val="bg-BG"/>
        </w:rPr>
        <w:t>Показател 5: Да предприеме по-нататъшни мерки за предотвратяване и борба с корупцията, и по-специално на границите и на равнище местно управление.</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pacing w:val="-4"/>
          <w:lang w:val="bg-BG"/>
        </w:rPr>
      </w:pPr>
      <w:r>
        <w:rPr>
          <w:rFonts w:ascii="Times New Roman" w:hAnsi="Times New Roman"/>
          <w:b/>
          <w:i/>
          <w:noProof/>
          <w:spacing w:val="-4"/>
          <w:lang w:val="bg-BG"/>
        </w:rPr>
        <w:t>Препоръка 13:</w:t>
      </w:r>
      <w:r>
        <w:rPr>
          <w:rFonts w:ascii="Times New Roman" w:hAnsi="Times New Roman"/>
          <w:i/>
          <w:noProof/>
          <w:spacing w:val="-4"/>
          <w:lang w:val="bg-BG"/>
        </w:rPr>
        <w:t xml:space="preserve"> да се о</w:t>
      </w:r>
      <w:r>
        <w:rPr>
          <w:rFonts w:ascii="Times New Roman" w:hAnsi="Times New Roman"/>
          <w:i/>
          <w:noProof/>
          <w:spacing w:val="-4"/>
          <w:lang w:val="bg-BG"/>
        </w:rPr>
        <w:t>съществява външен контрол върху предварителните проверки на процедурите за обществени поръчки и върху свързаните с тях последващи действия, включително върху последващите проверки, както и във връзка с разкритите случаи на конфликт на интереси или корупция</w:t>
      </w:r>
      <w:r>
        <w:rPr>
          <w:rFonts w:ascii="Times New Roman" w:hAnsi="Times New Roman"/>
          <w:i/>
          <w:noProof/>
          <w:spacing w:val="-4"/>
          <w:lang w:val="bg-BG"/>
        </w:rPr>
        <w:t xml:space="preserve"> и коригиращите мерки за отстраняване на установените пропуски.</w:t>
      </w:r>
    </w:p>
    <w:p w:rsidR="00792097" w:rsidRDefault="00AC774E">
      <w:pPr>
        <w:spacing w:line="240" w:lineRule="auto"/>
        <w:jc w:val="both"/>
        <w:rPr>
          <w:rFonts w:ascii="Times New Roman" w:hAnsi="Times New Roman" w:cs="Times New Roman"/>
          <w:noProof/>
          <w:spacing w:val="-4"/>
          <w:lang w:val="bg-BG"/>
        </w:rPr>
      </w:pPr>
      <w:r>
        <w:rPr>
          <w:rFonts w:ascii="Times New Roman" w:hAnsi="Times New Roman"/>
          <w:noProof/>
          <w:spacing w:val="-4"/>
          <w:lang w:val="bg-BG"/>
        </w:rPr>
        <w:t>Обществените поръчки са една от основните области, пораждащи безпокойство във връзка с корупцията. В предишните доклади бе поставян важен акцент върху въвеждането на по-задълбочени предварител</w:t>
      </w:r>
      <w:r>
        <w:rPr>
          <w:rFonts w:ascii="Times New Roman" w:hAnsi="Times New Roman"/>
          <w:noProof/>
          <w:spacing w:val="-4"/>
          <w:lang w:val="bg-BG"/>
        </w:rPr>
        <w:t>ни проверки на процедурите за обществени поръчки, с цел да се установи кои са областите, пораждащи риск, и да се подобри превенцията</w:t>
      </w:r>
      <w:r>
        <w:rPr>
          <w:rStyle w:val="FootnoteReference"/>
          <w:rFonts w:ascii="Times New Roman" w:hAnsi="Times New Roman"/>
          <w:noProof/>
          <w:spacing w:val="-4"/>
          <w:lang w:val="bg-BG"/>
        </w:rPr>
        <w:footnoteReference w:id="84"/>
      </w:r>
      <w:r>
        <w:rPr>
          <w:rFonts w:ascii="Times New Roman" w:hAnsi="Times New Roman"/>
          <w:noProof/>
          <w:spacing w:val="-4"/>
          <w:lang w:val="bg-BG"/>
        </w:rPr>
        <w:t>. През 2016 г., като част от по-широкообхватна реформа на законодателството си в областта на обществените поръчки</w:t>
      </w:r>
      <w:r>
        <w:rPr>
          <w:rStyle w:val="FootnoteReference"/>
          <w:rFonts w:ascii="Times New Roman" w:hAnsi="Times New Roman"/>
          <w:noProof/>
          <w:spacing w:val="-4"/>
          <w:lang w:val="bg-BG"/>
        </w:rPr>
        <w:footnoteReference w:id="85"/>
      </w:r>
      <w:r>
        <w:rPr>
          <w:rFonts w:ascii="Times New Roman" w:hAnsi="Times New Roman"/>
          <w:noProof/>
          <w:spacing w:val="-4"/>
          <w:lang w:val="bg-BG"/>
        </w:rPr>
        <w:t>, Българи</w:t>
      </w:r>
      <w:r>
        <w:rPr>
          <w:rFonts w:ascii="Times New Roman" w:hAnsi="Times New Roman"/>
          <w:noProof/>
          <w:spacing w:val="-4"/>
          <w:lang w:val="bg-BG"/>
        </w:rPr>
        <w:t>я въведе нов подход към тези предварителни проверки, извършвани от Агенцията по обществени поръчки, като замени предишната система на автоматични, но по-скоро формално извършвани проверки, със система за проверки на случаен принцип, които обаче са по-задъл</w:t>
      </w:r>
      <w:r>
        <w:rPr>
          <w:rFonts w:ascii="Times New Roman" w:hAnsi="Times New Roman"/>
          <w:noProof/>
          <w:spacing w:val="-4"/>
          <w:lang w:val="bg-BG"/>
        </w:rPr>
        <w:t>бочени. Наред с това бяха засилени правомощията на Агенцията за осъществяване на надзор върху процедурите и за сигнализиране на органите за последващ контрол</w:t>
      </w:r>
      <w:r>
        <w:rPr>
          <w:rStyle w:val="FootnoteReference"/>
          <w:rFonts w:ascii="Times New Roman" w:hAnsi="Times New Roman"/>
          <w:noProof/>
          <w:spacing w:val="-4"/>
          <w:lang w:val="bg-BG"/>
        </w:rPr>
        <w:footnoteReference w:id="86"/>
      </w:r>
      <w:r>
        <w:rPr>
          <w:rFonts w:ascii="Times New Roman" w:hAnsi="Times New Roman"/>
          <w:noProof/>
          <w:spacing w:val="-4"/>
          <w:lang w:val="bg-BG"/>
        </w:rPr>
        <w:t xml:space="preserve"> за потенциалните рискове. </w:t>
      </w:r>
    </w:p>
    <w:p w:rsidR="00792097" w:rsidRDefault="00AC774E">
      <w:pPr>
        <w:spacing w:after="120" w:line="240" w:lineRule="auto"/>
        <w:jc w:val="both"/>
        <w:rPr>
          <w:rFonts w:ascii="Times New Roman" w:eastAsia="Calibri" w:hAnsi="Times New Roman" w:cs="Times New Roman"/>
          <w:noProof/>
          <w:lang w:val="bg-BG"/>
        </w:rPr>
      </w:pPr>
      <w:r>
        <w:rPr>
          <w:rFonts w:ascii="Times New Roman" w:hAnsi="Times New Roman"/>
          <w:noProof/>
          <w:lang w:val="bg-BG"/>
        </w:rPr>
        <w:t>Новата система влезе в сила през септември 2016 г.</w:t>
      </w:r>
      <w:r>
        <w:rPr>
          <w:noProof/>
          <w:lang w:val="bg-BG"/>
        </w:rPr>
        <w:t xml:space="preserve"> </w:t>
      </w:r>
      <w:r>
        <w:rPr>
          <w:rFonts w:ascii="Times New Roman" w:hAnsi="Times New Roman"/>
          <w:noProof/>
          <w:lang w:val="bg-BG"/>
        </w:rPr>
        <w:t xml:space="preserve">и бе придружена от </w:t>
      </w:r>
      <w:r>
        <w:rPr>
          <w:rFonts w:ascii="Times New Roman" w:hAnsi="Times New Roman"/>
          <w:noProof/>
          <w:lang w:val="bg-BG"/>
        </w:rPr>
        <w:t>мерки за укрепване на капацитета на Агенцията по обществени поръчки и от усилия за цялостно засилване на координацията с органите за последващ контрол. Тези усилия са поставили също така засилен акцент върху предотвратяването и разкриването на конфликти на</w:t>
      </w:r>
      <w:r>
        <w:rPr>
          <w:rFonts w:ascii="Times New Roman" w:hAnsi="Times New Roman"/>
          <w:noProof/>
          <w:lang w:val="bg-BG"/>
        </w:rPr>
        <w:t xml:space="preserve"> интереси при обществените поръчки. Това е включвало обучение за органите на местно равнище, организирано от Комисията за предотвратяване и установяване на конфликт на интереси (КПУКИ), както и по-тясно сътрудничество между тази институция и различните кон</w:t>
      </w:r>
      <w:r>
        <w:rPr>
          <w:rFonts w:ascii="Times New Roman" w:hAnsi="Times New Roman"/>
          <w:noProof/>
          <w:lang w:val="bg-BG"/>
        </w:rPr>
        <w:t>тролни органи</w:t>
      </w:r>
      <w:r>
        <w:rPr>
          <w:rFonts w:ascii="Times New Roman" w:hAnsi="Times New Roman"/>
          <w:noProof/>
          <w:vertAlign w:val="superscript"/>
          <w:lang w:val="bg-BG"/>
        </w:rPr>
        <w:footnoteReference w:id="87"/>
      </w:r>
      <w:r>
        <w:rPr>
          <w:rFonts w:ascii="Times New Roman" w:hAnsi="Times New Roman"/>
          <w:noProof/>
          <w:lang w:val="bg-BG"/>
        </w:rPr>
        <w:t xml:space="preserve">. </w:t>
      </w:r>
    </w:p>
    <w:p w:rsidR="00792097" w:rsidRDefault="00AC774E">
      <w:pPr>
        <w:spacing w:after="120" w:line="240" w:lineRule="auto"/>
        <w:jc w:val="both"/>
        <w:rPr>
          <w:rFonts w:ascii="Times New Roman" w:hAnsi="Times New Roman" w:cs="Times New Roman"/>
          <w:noProof/>
          <w:spacing w:val="-6"/>
          <w:lang w:val="bg-BG"/>
        </w:rPr>
      </w:pPr>
      <w:r>
        <w:rPr>
          <w:rFonts w:ascii="Times New Roman" w:hAnsi="Times New Roman"/>
          <w:noProof/>
          <w:spacing w:val="-6"/>
          <w:lang w:val="bg-BG"/>
        </w:rPr>
        <w:t>В януарския доклад по МСП към българските власти бе отправена препоръка да извършат обща оценка на функционирането на новата система, в която да участват и външни експерти, за да се набележат възможни начини за по-нататъшно усъвършенстване</w:t>
      </w:r>
      <w:r>
        <w:rPr>
          <w:rFonts w:ascii="Times New Roman" w:hAnsi="Times New Roman"/>
          <w:noProof/>
          <w:spacing w:val="-6"/>
          <w:lang w:val="bg-BG"/>
        </w:rPr>
        <w:t xml:space="preserve"> и по-добро прилагане на новите правила. Прегледът следва да обхване също и прилагането на правилата относно конфликтите на интереси, както и последващите действия, предприети във връзка с установените проблеми. </w:t>
      </w:r>
    </w:p>
    <w:p w:rsidR="00792097" w:rsidRDefault="00AC774E">
      <w:pPr>
        <w:spacing w:line="240" w:lineRule="auto"/>
        <w:jc w:val="both"/>
        <w:rPr>
          <w:rStyle w:val="FootnoteReference"/>
          <w:noProof/>
          <w:lang w:val="bg-BG"/>
        </w:rPr>
      </w:pPr>
      <w:r>
        <w:rPr>
          <w:rFonts w:ascii="Times New Roman" w:hAnsi="Times New Roman"/>
          <w:noProof/>
          <w:lang w:val="bg-BG"/>
        </w:rPr>
        <w:t>В отговор на тази препоръка е докладвано, ч</w:t>
      </w:r>
      <w:r>
        <w:rPr>
          <w:rFonts w:ascii="Times New Roman" w:hAnsi="Times New Roman"/>
          <w:noProof/>
          <w:lang w:val="bg-BG"/>
        </w:rPr>
        <w:t xml:space="preserve">е българските власти предвиждат извършване на преглед през 2018 г. с участието на външен изпълнител и с финансиране от Оперативна програма „Добро управление“ по линия на Европейския социален фонд.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i/>
          <w:noProof/>
          <w:spacing w:val="-6"/>
          <w:lang w:val="bg-BG"/>
        </w:rPr>
      </w:pPr>
      <w:r>
        <w:rPr>
          <w:rFonts w:ascii="Times New Roman" w:hAnsi="Times New Roman"/>
          <w:b/>
          <w:i/>
          <w:noProof/>
          <w:spacing w:val="-6"/>
          <w:lang w:val="bg-BG"/>
        </w:rPr>
        <w:t>Препоръка 14:</w:t>
      </w:r>
      <w:r>
        <w:rPr>
          <w:rFonts w:ascii="Times New Roman" w:hAnsi="Times New Roman"/>
          <w:i/>
          <w:noProof/>
          <w:spacing w:val="-6"/>
          <w:lang w:val="bg-BG"/>
        </w:rPr>
        <w:t xml:space="preserve"> да бъдат въведени основани на риска мерки за</w:t>
      </w:r>
      <w:r>
        <w:rPr>
          <w:rFonts w:ascii="Times New Roman" w:hAnsi="Times New Roman"/>
          <w:i/>
          <w:noProof/>
          <w:spacing w:val="-6"/>
          <w:lang w:val="bg-BG"/>
        </w:rPr>
        <w:t xml:space="preserve"> противодействие на корупцията по ниските етажи на властта във високорискови сектори в рамките на държавната администрация, като се черпи вдъхновение от постиженията в Министерството на вътрешните работи. Следва да бъдат продължени усилията в Министерствот</w:t>
      </w:r>
      <w:r>
        <w:rPr>
          <w:rFonts w:ascii="Times New Roman" w:hAnsi="Times New Roman"/>
          <w:i/>
          <w:noProof/>
          <w:spacing w:val="-6"/>
          <w:lang w:val="bg-BG"/>
        </w:rPr>
        <w:t>о на вътрешните работи.</w:t>
      </w:r>
    </w:p>
    <w:p w:rsidR="00792097" w:rsidRDefault="00AC774E">
      <w:pPr>
        <w:spacing w:after="120" w:line="240" w:lineRule="auto"/>
        <w:jc w:val="both"/>
        <w:rPr>
          <w:rFonts w:ascii="Times New Roman" w:hAnsi="Times New Roman"/>
          <w:noProof/>
          <w:spacing w:val="-6"/>
          <w:lang w:val="bg-BG"/>
        </w:rPr>
      </w:pPr>
      <w:r>
        <w:rPr>
          <w:rFonts w:ascii="Times New Roman" w:hAnsi="Times New Roman"/>
          <w:noProof/>
          <w:spacing w:val="-6"/>
          <w:lang w:val="bg-BG"/>
        </w:rPr>
        <w:t>Стратегията за борба с корупцията от 2015 г. включваше акцент върху разгръщането на практически мерки за борба с корупцията в конкретни високорискови сектори. В януарския доклад бе отбелязано, че изпълнението по тези планове е все о</w:t>
      </w:r>
      <w:r>
        <w:rPr>
          <w:rFonts w:ascii="Times New Roman" w:hAnsi="Times New Roman"/>
          <w:noProof/>
          <w:spacing w:val="-6"/>
          <w:lang w:val="bg-BG"/>
        </w:rPr>
        <w:t>ще на ранен етап, освен в Министерството на вътрешните работи, което е приложило разнообразен набор от целенасочени антикорупционни мерки в контекста на по-широкообхватна административна реформа на министерството</w:t>
      </w:r>
      <w:r>
        <w:rPr>
          <w:rStyle w:val="FootnoteReference"/>
          <w:rFonts w:ascii="Times New Roman" w:hAnsi="Times New Roman"/>
          <w:noProof/>
          <w:spacing w:val="-6"/>
          <w:lang w:val="bg-BG"/>
        </w:rPr>
        <w:footnoteReference w:id="88"/>
      </w:r>
      <w:r>
        <w:rPr>
          <w:rFonts w:ascii="Times New Roman" w:hAnsi="Times New Roman"/>
          <w:noProof/>
          <w:spacing w:val="-6"/>
          <w:lang w:val="bg-BG"/>
        </w:rPr>
        <w:t>. Други министерства са приели планове за д</w:t>
      </w:r>
      <w:r>
        <w:rPr>
          <w:rFonts w:ascii="Times New Roman" w:hAnsi="Times New Roman"/>
          <w:noProof/>
          <w:spacing w:val="-6"/>
          <w:lang w:val="bg-BG"/>
        </w:rPr>
        <w:t>ействие, макар че в редица случаи не е ясно до каква степен същите са надхвърляли съществуващите практики</w:t>
      </w:r>
      <w:r>
        <w:rPr>
          <w:rStyle w:val="FootnoteReference"/>
          <w:rFonts w:ascii="Times New Roman" w:hAnsi="Times New Roman"/>
          <w:noProof/>
          <w:spacing w:val="-6"/>
          <w:lang w:val="bg-BG"/>
        </w:rPr>
        <w:footnoteReference w:id="89"/>
      </w:r>
      <w:r>
        <w:rPr>
          <w:rFonts w:ascii="Times New Roman" w:hAnsi="Times New Roman"/>
          <w:noProof/>
          <w:spacing w:val="-6"/>
          <w:lang w:val="bg-BG"/>
        </w:rPr>
        <w:t xml:space="preserve"> и какъв е бил напредъкът по тях от гледна точка на изпълнението: силни публични изявления на министрите, отговорни за високорисковите области на поли</w:t>
      </w:r>
      <w:r>
        <w:rPr>
          <w:rFonts w:ascii="Times New Roman" w:hAnsi="Times New Roman"/>
          <w:noProof/>
          <w:spacing w:val="-6"/>
          <w:lang w:val="bg-BG"/>
        </w:rPr>
        <w:t>тиката, могат да се възприемат като знак, че на тези политики се отдава висок приоритет, но на Комисията не бяха представени примери за това по какъв начин това е довело до конкретни резултати. Някои мерки в конкретни сектори бяха съсредоточени върху по-на</w:t>
      </w:r>
      <w:r>
        <w:rPr>
          <w:rFonts w:ascii="Times New Roman" w:hAnsi="Times New Roman"/>
          <w:noProof/>
          <w:spacing w:val="-6"/>
          <w:lang w:val="bg-BG"/>
        </w:rPr>
        <w:t>татъшното подобряване на съществуващите политики и проверки, свързани с етиката, например усъвършенстване на правилата за поверително обработване на сигналите, усъвършенстване на процедурите за обществените поръчки с цел предотвратяване на рисковете от кор</w:t>
      </w:r>
      <w:r>
        <w:rPr>
          <w:rFonts w:ascii="Times New Roman" w:hAnsi="Times New Roman"/>
          <w:noProof/>
          <w:spacing w:val="-6"/>
          <w:lang w:val="bg-BG"/>
        </w:rPr>
        <w:t>упция или изясняване на правилата за частната стопанска дейност, която може да е свързана с официалните отговорности на служителите. Това обаче е област, която изисква целенасочено и решително внимание в по-дългосрочен план и за която понякога са необходим</w:t>
      </w:r>
      <w:r>
        <w:rPr>
          <w:rFonts w:ascii="Times New Roman" w:hAnsi="Times New Roman"/>
          <w:noProof/>
          <w:spacing w:val="-6"/>
          <w:lang w:val="bg-BG"/>
        </w:rPr>
        <w:t>и по-широкообхватни усилия, за да се промени културата в сектори, в които може да съществуват по-дълбоко вкоренени практики. Предприемането на структурирани и координирани последващи действия представлява начин за закрепване на такива политики и усилия в р</w:t>
      </w:r>
      <w:r>
        <w:rPr>
          <w:rFonts w:ascii="Times New Roman" w:hAnsi="Times New Roman"/>
          <w:noProof/>
          <w:spacing w:val="-6"/>
          <w:lang w:val="bg-BG"/>
        </w:rPr>
        <w:t xml:space="preserve">амките на обща политика, отнасяща се до различни сектори. </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През 2015 г. предишното правителство създаде Национален съвет по антикорупционни политики, в който участват съответните институции и заинтересовани страни и чиято задача е да следи напредъка в изпъ</w:t>
      </w:r>
      <w:r>
        <w:rPr>
          <w:rFonts w:ascii="Times New Roman" w:hAnsi="Times New Roman"/>
          <w:noProof/>
          <w:lang w:val="bg-BG"/>
        </w:rPr>
        <w:t>лнението на антикорупционната стратегия. Тази институция продължи да функционира и при новото правителство</w:t>
      </w:r>
      <w:r>
        <w:rPr>
          <w:rStyle w:val="FootnoteReference"/>
          <w:rFonts w:ascii="Times New Roman" w:hAnsi="Times New Roman"/>
          <w:noProof/>
          <w:lang w:val="bg-BG"/>
        </w:rPr>
        <w:footnoteReference w:id="90"/>
      </w:r>
      <w:r>
        <w:rPr>
          <w:noProof/>
          <w:lang w:val="bg-BG"/>
        </w:rPr>
        <w:t>.</w:t>
      </w:r>
      <w:r>
        <w:rPr>
          <w:rFonts w:ascii="Times New Roman" w:hAnsi="Times New Roman"/>
          <w:noProof/>
          <w:lang w:val="bg-BG"/>
        </w:rPr>
        <w:t xml:space="preserve"> На първото ѝ заседание след образуването на новото правителство, проведено през юли, бе взето решение за извършване на хоризонтален анализ на секто</w:t>
      </w:r>
      <w:r>
        <w:rPr>
          <w:rFonts w:ascii="Times New Roman" w:hAnsi="Times New Roman"/>
          <w:noProof/>
          <w:lang w:val="bg-BG"/>
        </w:rPr>
        <w:t>рните планове, изготвени от различните държавни институции. Анализът следва да бъде приключен до края на годината и да доведе до отправянето на препоръки за по-нататъшно подобряване и рационализиране на усилията</w:t>
      </w:r>
      <w:r>
        <w:rPr>
          <w:rStyle w:val="FootnoteReference"/>
          <w:rFonts w:ascii="Times New Roman" w:hAnsi="Times New Roman"/>
          <w:noProof/>
          <w:lang w:val="bg-BG"/>
        </w:rPr>
        <w:footnoteReference w:id="91"/>
      </w:r>
      <w:r>
        <w:rPr>
          <w:rFonts w:ascii="Times New Roman" w:hAnsi="Times New Roman"/>
          <w:noProof/>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Препоръка 15:</w:t>
      </w:r>
      <w:r>
        <w:rPr>
          <w:rFonts w:ascii="Times New Roman" w:hAnsi="Times New Roman"/>
          <w:i/>
          <w:noProof/>
          <w:lang w:val="bg-BG"/>
        </w:rPr>
        <w:t xml:space="preserve"> да се създаде механизъм за публично отчитане на напредъка по изпълнението на националната стратегия за борба с корупцията за оставащата част от периода на изпълнение на стратегията.</w:t>
      </w:r>
    </w:p>
    <w:p w:rsidR="00792097" w:rsidRDefault="00AC774E">
      <w:pPr>
        <w:spacing w:after="120" w:line="240" w:lineRule="auto"/>
        <w:jc w:val="both"/>
        <w:rPr>
          <w:rStyle w:val="FootnoteReference"/>
          <w:noProof/>
          <w:spacing w:val="-4"/>
          <w:lang w:val="bg-BG"/>
        </w:rPr>
      </w:pPr>
      <w:r>
        <w:rPr>
          <w:rFonts w:ascii="Times New Roman" w:hAnsi="Times New Roman"/>
          <w:noProof/>
          <w:spacing w:val="-4"/>
          <w:lang w:val="bg-BG"/>
        </w:rPr>
        <w:t>Всеобхватната стратегия за борба с корупцията, приета от предишното прави</w:t>
      </w:r>
      <w:r>
        <w:rPr>
          <w:rFonts w:ascii="Times New Roman" w:hAnsi="Times New Roman"/>
          <w:noProof/>
          <w:spacing w:val="-4"/>
          <w:lang w:val="bg-BG"/>
        </w:rPr>
        <w:t>телство през 2015 г., продължава да бъде рамката, в която България осъществява антикорупционната си политика</w:t>
      </w:r>
      <w:r>
        <w:rPr>
          <w:rStyle w:val="FootnoteReference"/>
          <w:rFonts w:ascii="Times New Roman" w:hAnsi="Times New Roman"/>
          <w:noProof/>
          <w:spacing w:val="-4"/>
          <w:lang w:val="bg-BG"/>
        </w:rPr>
        <w:footnoteReference w:id="92"/>
      </w:r>
      <w:r>
        <w:rPr>
          <w:rFonts w:ascii="Times New Roman" w:hAnsi="Times New Roman"/>
          <w:noProof/>
          <w:spacing w:val="-4"/>
          <w:lang w:val="bg-BG"/>
        </w:rPr>
        <w:t>. Както и при стратегията за съдебната реформа, важен елемент от тази рамка е да се осигури редовна оценка на напредъка и да се насърчава постоянен</w:t>
      </w:r>
      <w:r>
        <w:rPr>
          <w:rFonts w:ascii="Times New Roman" w:hAnsi="Times New Roman"/>
          <w:noProof/>
          <w:spacing w:val="-4"/>
          <w:lang w:val="bg-BG"/>
        </w:rPr>
        <w:t xml:space="preserve"> дебат между заинтересованите страни във връзка с набелязаните цели. Това бе контекстът за отправяне на препоръката да се осигури редовно публично отчитане на напредъка по стратегията, която ще се прилага до 2020 г. </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В отговор на тази препоръка българските</w:t>
      </w:r>
      <w:r>
        <w:rPr>
          <w:rFonts w:ascii="Times New Roman" w:hAnsi="Times New Roman"/>
          <w:noProof/>
          <w:lang w:val="bg-BG"/>
        </w:rPr>
        <w:t xml:space="preserve"> органи са съобщили, че са възродили Националния съвет по антикорупционни политики. Както бе посочено по-горе, тази институция беше създадена по време на управлението на предишното правителство, с цел да се гарантира непрекъснато политическо внимание върху</w:t>
      </w:r>
      <w:r>
        <w:rPr>
          <w:rFonts w:ascii="Times New Roman" w:hAnsi="Times New Roman"/>
          <w:noProof/>
          <w:lang w:val="bg-BG"/>
        </w:rPr>
        <w:t xml:space="preserve"> изпълнението и усъвършенстването на стратегията. Съветът е натоварен да проследява и извършва непрекъсната оценка на напредъка и на предприемането на мерките, предвидени в стратегията. </w:t>
      </w:r>
    </w:p>
    <w:p w:rsidR="00792097" w:rsidRDefault="00AC774E">
      <w:pPr>
        <w:spacing w:before="240" w:line="240" w:lineRule="auto"/>
        <w:jc w:val="both"/>
        <w:rPr>
          <w:rFonts w:ascii="Times New Roman" w:hAnsi="Times New Roman"/>
          <w:b/>
          <w:bCs/>
          <w:smallCaps/>
          <w:noProof/>
          <w:lang w:val="bg-BG"/>
        </w:rPr>
      </w:pPr>
      <w:r>
        <w:rPr>
          <w:rFonts w:ascii="Times New Roman" w:hAnsi="Times New Roman"/>
          <w:b/>
          <w:smallCaps/>
          <w:noProof/>
          <w:lang w:val="bg-BG"/>
        </w:rPr>
        <w:t>Показател 6: Да приложи стратегия за борба с организираната престъпно</w:t>
      </w:r>
      <w:r>
        <w:rPr>
          <w:rFonts w:ascii="Times New Roman" w:hAnsi="Times New Roman"/>
          <w:b/>
          <w:smallCaps/>
          <w:noProof/>
          <w:lang w:val="bg-BG"/>
        </w:rPr>
        <w:t>ст, като се съсредоточи върху тежките престъпления, изпирането на пари, както и върху систематичното конфискуване на имущество на лица, извършващи престъпления. Да докладва за новите и текущите разследвания в тези области.</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lang w:val="bg-BG"/>
        </w:rPr>
      </w:pPr>
      <w:r>
        <w:rPr>
          <w:rFonts w:ascii="Times New Roman" w:hAnsi="Times New Roman"/>
          <w:b/>
          <w:i/>
          <w:noProof/>
          <w:lang w:val="bg-BG"/>
        </w:rPr>
        <w:t xml:space="preserve">Препоръка 16: </w:t>
      </w:r>
      <w:r>
        <w:rPr>
          <w:rFonts w:ascii="Times New Roman" w:hAnsi="Times New Roman"/>
          <w:i/>
          <w:noProof/>
          <w:lang w:val="bg-BG"/>
        </w:rPr>
        <w:t>да се създаде механ</w:t>
      </w:r>
      <w:r>
        <w:rPr>
          <w:rFonts w:ascii="Times New Roman" w:hAnsi="Times New Roman"/>
          <w:i/>
          <w:noProof/>
          <w:lang w:val="bg-BG"/>
        </w:rPr>
        <w:t>изъм за публично отчитане на напредъка по дела за организирана престъпност на високо равнище, за които вече има информация в общественото пространство. При зачитане на презумпцията за невиновност, главният прокурор следва да докладва за разследванията и за</w:t>
      </w:r>
      <w:r>
        <w:rPr>
          <w:rFonts w:ascii="Times New Roman" w:hAnsi="Times New Roman"/>
          <w:i/>
          <w:noProof/>
          <w:lang w:val="bg-BG"/>
        </w:rPr>
        <w:t xml:space="preserve"> повдигнатите обвинения. Върховният касационен съд и Министерството на правосъдието следва да докладват за постановените осъдителни присъди, както и за изпълнението на наказанията.</w:t>
      </w:r>
    </w:p>
    <w:p w:rsidR="00792097" w:rsidRDefault="00AC774E">
      <w:pPr>
        <w:spacing w:line="240" w:lineRule="auto"/>
        <w:jc w:val="both"/>
        <w:rPr>
          <w:rStyle w:val="FootnoteReference"/>
          <w:noProof/>
          <w:spacing w:val="-6"/>
          <w:lang w:val="bg-BG"/>
        </w:rPr>
      </w:pPr>
      <w:r>
        <w:rPr>
          <w:rFonts w:ascii="Times New Roman" w:hAnsi="Times New Roman"/>
          <w:noProof/>
          <w:spacing w:val="-6"/>
          <w:lang w:val="bg-BG"/>
        </w:rPr>
        <w:t>Тази препоръка е аналогична на препоръката по показател 4 по-горе във връзк</w:t>
      </w:r>
      <w:r>
        <w:rPr>
          <w:rFonts w:ascii="Times New Roman" w:hAnsi="Times New Roman"/>
          <w:noProof/>
          <w:spacing w:val="-6"/>
          <w:lang w:val="bg-BG"/>
        </w:rPr>
        <w:t xml:space="preserve">а с делата за корупция по високите етажи на властта. Последващите действия, предприети от българските власти, са също сходни до голяма степен. Фактически една и съща обща система се прилага и за двата типа дела. </w:t>
      </w:r>
    </w:p>
    <w:p w:rsidR="00792097" w:rsidRDefault="00AC774E">
      <w:pPr>
        <w:spacing w:after="120" w:line="240" w:lineRule="auto"/>
        <w:jc w:val="both"/>
        <w:rPr>
          <w:rFonts w:ascii="Times New Roman" w:hAnsi="Times New Roman"/>
          <w:noProof/>
          <w:lang w:val="bg-BG"/>
        </w:rPr>
      </w:pPr>
      <w:r>
        <w:rPr>
          <w:rFonts w:ascii="Times New Roman" w:hAnsi="Times New Roman"/>
          <w:noProof/>
          <w:lang w:val="bg-BG"/>
        </w:rPr>
        <w:t>Като цяло в януарския доклад бе признат напредъкът през последните години в постигането на трайни резултати във връзка с делата за организирана престъпност. Докладът призна също наличието на по-обща промяна в естеството на организираната престъпност в Бълг</w:t>
      </w:r>
      <w:r>
        <w:rPr>
          <w:rFonts w:ascii="Times New Roman" w:hAnsi="Times New Roman"/>
          <w:noProof/>
          <w:lang w:val="bg-BG"/>
        </w:rPr>
        <w:t xml:space="preserve">ария през последните десет години, като общата картина се доближава до ситуацията, съществуваща в редица други държави членки. </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Според информацията, предоставена от българските органи, Специализираната прокуратура и Специализираният наказателен съд за орга</w:t>
      </w:r>
      <w:r>
        <w:rPr>
          <w:rFonts w:ascii="Times New Roman" w:hAnsi="Times New Roman"/>
          <w:noProof/>
          <w:lang w:val="bg-BG"/>
        </w:rPr>
        <w:t xml:space="preserve">низираната престъпност продължават да затвърждават положителната тенденция на постигане на трайни резултати, наблюдавана през предходните години, като има стабилен поток от дела за тежка организирана престъпност, водещи до присъди с лишаване от свобода на </w:t>
      </w:r>
      <w:r>
        <w:rPr>
          <w:rFonts w:ascii="Times New Roman" w:hAnsi="Times New Roman"/>
          <w:noProof/>
          <w:lang w:val="bg-BG"/>
        </w:rPr>
        <w:t>последна инстанция</w:t>
      </w:r>
      <w:r>
        <w:rPr>
          <w:rStyle w:val="FootnoteReference"/>
          <w:rFonts w:ascii="Times New Roman" w:hAnsi="Times New Roman"/>
          <w:noProof/>
          <w:lang w:val="bg-BG"/>
        </w:rPr>
        <w:footnoteReference w:id="93"/>
      </w:r>
      <w:r>
        <w:rPr>
          <w:rFonts w:ascii="Times New Roman" w:hAnsi="Times New Roman"/>
          <w:noProof/>
          <w:lang w:val="bg-BG"/>
        </w:rPr>
        <w:t xml:space="preserve">. </w:t>
      </w:r>
    </w:p>
    <w:p w:rsidR="00792097" w:rsidRDefault="00AC774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pacing w:val="-2"/>
          <w:lang w:val="bg-BG"/>
        </w:rPr>
      </w:pPr>
      <w:r>
        <w:rPr>
          <w:rFonts w:ascii="Times New Roman" w:hAnsi="Times New Roman"/>
          <w:b/>
          <w:i/>
          <w:noProof/>
          <w:spacing w:val="-2"/>
          <w:lang w:val="bg-BG"/>
        </w:rPr>
        <w:t>Препоръка 17:</w:t>
      </w:r>
      <w:r>
        <w:rPr>
          <w:rFonts w:ascii="Times New Roman" w:hAnsi="Times New Roman"/>
          <w:i/>
          <w:noProof/>
          <w:spacing w:val="-2"/>
          <w:lang w:val="bg-BG"/>
        </w:rPr>
        <w:t xml:space="preserve"> да се приемат необходимите изменения на Закона за отнемане в полза на държавата на незаконно придобито имущество и да се гарантира, че Комисията за отнемане на незаконно придобито имущество ще продължи да работи независимо и ефективно.</w:t>
      </w:r>
    </w:p>
    <w:p w:rsidR="00792097" w:rsidRDefault="00AC774E">
      <w:pPr>
        <w:spacing w:line="240" w:lineRule="auto"/>
        <w:jc w:val="both"/>
        <w:rPr>
          <w:rFonts w:ascii="Times New Roman" w:hAnsi="Times New Roman"/>
          <w:noProof/>
          <w:lang w:val="bg-BG"/>
        </w:rPr>
      </w:pPr>
      <w:r>
        <w:rPr>
          <w:rFonts w:ascii="Times New Roman" w:hAnsi="Times New Roman"/>
          <w:noProof/>
          <w:lang w:val="bg-BG"/>
        </w:rPr>
        <w:t>Законодателните изм</w:t>
      </w:r>
      <w:r>
        <w:rPr>
          <w:rFonts w:ascii="Times New Roman" w:hAnsi="Times New Roman"/>
          <w:noProof/>
          <w:lang w:val="bg-BG"/>
        </w:rPr>
        <w:t>енения, посочени в предишния доклад, са приети. Като цяло изглежда, че Комисията за отнемане на незаконно придобито имущество продължава да постига резултати, за което сега допълнително спомага и наличието на по-ефективна правна уредба</w:t>
      </w:r>
      <w:r>
        <w:rPr>
          <w:rStyle w:val="FootnoteReference"/>
          <w:rFonts w:ascii="Times New Roman" w:hAnsi="Times New Roman"/>
          <w:noProof/>
          <w:lang w:val="bg-BG"/>
        </w:rPr>
        <w:footnoteReference w:id="94"/>
      </w:r>
      <w:r>
        <w:rPr>
          <w:rFonts w:ascii="Times New Roman" w:hAnsi="Times New Roman"/>
          <w:noProof/>
          <w:lang w:val="bg-BG"/>
        </w:rPr>
        <w:t>. Новото законодател</w:t>
      </w:r>
      <w:r>
        <w:rPr>
          <w:rFonts w:ascii="Times New Roman" w:hAnsi="Times New Roman"/>
          <w:noProof/>
          <w:lang w:val="bg-BG"/>
        </w:rPr>
        <w:t>но предложение, с което се предвижда внедряване на тази комисия (КОНПИ) в рамките на нова единна институция за борба с корупцията, би могло да доведе до възобновяване на преговорите относно действащата правна уредба и да засегне организационната структура.</w:t>
      </w:r>
      <w:r>
        <w:rPr>
          <w:rFonts w:ascii="Times New Roman" w:hAnsi="Times New Roman"/>
          <w:noProof/>
          <w:lang w:val="bg-BG"/>
        </w:rPr>
        <w:t xml:space="preserve"> Българските власти подчертаха обаче намерението си да гарантират по-нататъшното ефективно функциониране на службата за отнемане на незаконно придобито имущество в рамките на новата структура</w:t>
      </w:r>
      <w:r>
        <w:rPr>
          <w:rStyle w:val="FootnoteReference"/>
          <w:rFonts w:ascii="Times New Roman" w:hAnsi="Times New Roman"/>
          <w:noProof/>
          <w:lang w:val="bg-BG"/>
        </w:rPr>
        <w:footnoteReference w:id="95"/>
      </w:r>
      <w:r>
        <w:rPr>
          <w:noProof/>
          <w:lang w:val="bg-BG"/>
        </w:rPr>
        <w:t>.</w:t>
      </w:r>
    </w:p>
    <w:sectPr w:rsidR="00792097">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97" w:rsidRDefault="00AC774E">
      <w:pPr>
        <w:spacing w:after="0" w:line="240" w:lineRule="auto"/>
      </w:pPr>
      <w:r>
        <w:separator/>
      </w:r>
    </w:p>
  </w:endnote>
  <w:endnote w:type="continuationSeparator" w:id="0">
    <w:p w:rsidR="00792097" w:rsidRDefault="00AC774E">
      <w:pPr>
        <w:spacing w:after="0" w:line="240" w:lineRule="auto"/>
      </w:pPr>
      <w:r>
        <w:continuationSeparator/>
      </w:r>
    </w:p>
  </w:endnote>
  <w:endnote w:type="continuationNotice" w:id="1">
    <w:p w:rsidR="00792097" w:rsidRDefault="00792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FooterCoverPage"/>
      <w:rPr>
        <w:rFonts w:ascii="Arial" w:hAnsi="Arial" w:cs="Arial"/>
        <w:b/>
        <w:sz w:val="48"/>
      </w:rPr>
    </w:pPr>
    <w:r w:rsidRPr="00AC774E">
      <w:rPr>
        <w:rFonts w:ascii="Arial" w:hAnsi="Arial" w:cs="Arial"/>
        <w:b/>
        <w:sz w:val="48"/>
      </w:rPr>
      <w:t>BG</w:t>
    </w:r>
    <w:r w:rsidRPr="00AC774E">
      <w:rPr>
        <w:rFonts w:ascii="Arial" w:hAnsi="Arial" w:cs="Arial"/>
        <w:b/>
        <w:sz w:val="48"/>
      </w:rPr>
      <w:tab/>
    </w:r>
    <w:r w:rsidRPr="00AC774E">
      <w:rPr>
        <w:rFonts w:ascii="Arial" w:hAnsi="Arial" w:cs="Arial"/>
        <w:b/>
        <w:sz w:val="48"/>
      </w:rPr>
      <w:tab/>
    </w:r>
    <w:r w:rsidRPr="00AC774E">
      <w:tab/>
    </w:r>
    <w:r w:rsidRPr="00AC774E">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7" w:rsidRDefault="007920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2471"/>
      <w:docPartObj>
        <w:docPartGallery w:val="Page Numbers (Bottom of Page)"/>
        <w:docPartUnique/>
      </w:docPartObj>
    </w:sdtPr>
    <w:sdtEndPr>
      <w:rPr>
        <w:noProof/>
      </w:rPr>
    </w:sdtEndPr>
    <w:sdtContent>
      <w:p w:rsidR="00792097" w:rsidRDefault="00AC774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792097" w:rsidRDefault="0079209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7" w:rsidRDefault="00792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97" w:rsidRDefault="00AC774E">
      <w:pPr>
        <w:spacing w:after="0" w:line="240" w:lineRule="auto"/>
      </w:pPr>
      <w:r>
        <w:separator/>
      </w:r>
    </w:p>
  </w:footnote>
  <w:footnote w:type="continuationSeparator" w:id="0">
    <w:p w:rsidR="00792097" w:rsidRDefault="00AC774E">
      <w:pPr>
        <w:spacing w:after="0" w:line="240" w:lineRule="auto"/>
      </w:pPr>
      <w:r>
        <w:continuationSeparator/>
      </w:r>
    </w:p>
  </w:footnote>
  <w:footnote w:type="continuationNotice" w:id="1">
    <w:p w:rsidR="00792097" w:rsidRDefault="00792097">
      <w:pPr>
        <w:spacing w:after="0" w:line="240" w:lineRule="auto"/>
      </w:pPr>
    </w:p>
  </w:footnote>
  <w:footnote w:id="2">
    <w:p w:rsidR="00792097" w:rsidRPr="00AC774E" w:rsidRDefault="00AC774E">
      <w:pPr>
        <w:pStyle w:val="FootnoteText"/>
        <w:spacing w:after="0" w:line="240" w:lineRule="auto"/>
        <w:rPr>
          <w:lang w:val="ru-RU"/>
        </w:rPr>
      </w:pPr>
      <w:r>
        <w:rPr>
          <w:rStyle w:val="FootnoteReference"/>
          <w:lang w:val="bg-BG"/>
        </w:rPr>
        <w:footnoteRef/>
      </w:r>
      <w:r>
        <w:rPr>
          <w:lang w:val="bg-BG"/>
        </w:rPr>
        <w:t xml:space="preserve"> Предишните доклади</w:t>
      </w:r>
      <w:r>
        <w:rPr>
          <w:lang w:val="bg-BG"/>
        </w:rPr>
        <w:t xml:space="preserve"> могат да бъдат намерени на адрес: https://ec.europa.eu/info/effective-justice/rule-law/assistance-bulgaria-and-romania-under-cvm/reports-progress-bulgaria-and-romania_bg</w:t>
      </w:r>
      <w:r w:rsidRPr="00AC774E">
        <w:rPr>
          <w:lang w:val="ru-RU"/>
        </w:rPr>
        <w:t>.</w:t>
      </w:r>
    </w:p>
  </w:footnote>
  <w:footnote w:id="3">
    <w:p w:rsidR="00792097" w:rsidRDefault="00AC774E">
      <w:pPr>
        <w:pStyle w:val="FootnoteText"/>
        <w:spacing w:after="0" w:line="20" w:lineRule="atLeast"/>
        <w:ind w:left="284" w:hanging="284"/>
        <w:jc w:val="both"/>
        <w:rPr>
          <w:rFonts w:ascii="Times New Roman" w:hAnsi="Times New Roman"/>
          <w:noProof/>
          <w:lang w:val="bg-BG"/>
        </w:rPr>
      </w:pPr>
      <w:r>
        <w:rPr>
          <w:rStyle w:val="FootnoteReference"/>
          <w:rFonts w:ascii="Times New Roman" w:hAnsi="Times New Roman"/>
          <w:noProof/>
          <w:lang w:val="bg-BG"/>
        </w:rPr>
        <w:footnoteRef/>
      </w:r>
      <w:r>
        <w:rPr>
          <w:rFonts w:ascii="Times New Roman" w:hAnsi="Times New Roman"/>
          <w:noProof/>
          <w:lang w:val="bg-BG"/>
        </w:rPr>
        <w:t xml:space="preserve"> </w:t>
      </w:r>
      <w:r>
        <w:rPr>
          <w:lang w:val="bg-BG"/>
        </w:rPr>
        <w:tab/>
      </w:r>
      <w:r>
        <w:rPr>
          <w:rFonts w:ascii="Times New Roman" w:hAnsi="Times New Roman"/>
          <w:noProof/>
          <w:lang w:val="bg-BG"/>
        </w:rPr>
        <w:t xml:space="preserve">Службите на Комисията проведоха в България мисии за установяване на фактите през </w:t>
      </w:r>
      <w:r>
        <w:rPr>
          <w:rFonts w:ascii="Times New Roman" w:hAnsi="Times New Roman"/>
          <w:noProof/>
          <w:lang w:val="bg-BG"/>
        </w:rPr>
        <w:t>юни и септември 2017 г.</w:t>
      </w:r>
    </w:p>
  </w:footnote>
  <w:footnote w:id="4">
    <w:p w:rsidR="00792097" w:rsidRDefault="00AC774E">
      <w:pPr>
        <w:pStyle w:val="FootnoteText"/>
        <w:spacing w:after="0" w:line="20" w:lineRule="atLeast"/>
        <w:ind w:left="284" w:hanging="284"/>
        <w:jc w:val="both"/>
        <w:rPr>
          <w:rFonts w:ascii="Times New Roman" w:hAnsi="Times New Roman"/>
          <w:noProof/>
          <w:lang w:val="bg-BG"/>
        </w:rPr>
      </w:pPr>
      <w:r>
        <w:rPr>
          <w:rStyle w:val="FootnoteReference"/>
          <w:rFonts w:ascii="Times New Roman" w:hAnsi="Times New Roman"/>
          <w:noProof/>
          <w:lang w:val="bg-BG"/>
        </w:rPr>
        <w:footnoteRef/>
      </w:r>
      <w:r>
        <w:rPr>
          <w:rFonts w:ascii="Times New Roman" w:hAnsi="Times New Roman"/>
          <w:noProof/>
          <w:lang w:val="bg-BG"/>
        </w:rPr>
        <w:t xml:space="preserve"> </w:t>
      </w:r>
      <w:r>
        <w:rPr>
          <w:lang w:val="bg-BG"/>
        </w:rPr>
        <w:tab/>
      </w:r>
      <w:r>
        <w:rPr>
          <w:rFonts w:ascii="Times New Roman" w:hAnsi="Times New Roman"/>
          <w:noProof/>
          <w:lang w:val="bg-BG"/>
        </w:rPr>
        <w:t>Комисията има съветник по въпросите на МСП, който е установен в представителството на Комисията в София.</w:t>
      </w:r>
    </w:p>
  </w:footnote>
  <w:footnote w:id="5">
    <w:p w:rsidR="00792097" w:rsidRDefault="00AC774E">
      <w:pPr>
        <w:pStyle w:val="FootnoteText"/>
        <w:tabs>
          <w:tab w:val="left" w:pos="284"/>
        </w:tabs>
        <w:spacing w:after="0" w:line="20" w:lineRule="atLeast"/>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noProof/>
          <w:lang w:val="bg-BG"/>
        </w:rPr>
        <w:t xml:space="preserve">В процес на изпълнение са 28 проекта, финансирани от Оперативна програма „Добро управление“, които обхващат една трета от наличните средства. Сред бенефициерите са Висшият съдебен съвет, Министерството на правосъдието, прокуратурата, Националният институт </w:t>
      </w:r>
      <w:r>
        <w:rPr>
          <w:rFonts w:ascii="Times New Roman" w:hAnsi="Times New Roman"/>
          <w:noProof/>
          <w:lang w:val="bg-BG"/>
        </w:rPr>
        <w:t xml:space="preserve">на правосъдието, Инспекторатът към ВСС, Националното бюро за правна помощ и неправителствени организации. Повечето от проектите са на ранен етап от изпълнението. </w:t>
      </w:r>
    </w:p>
  </w:footnote>
  <w:footnote w:id="6">
    <w:p w:rsidR="00792097" w:rsidRDefault="00AC774E">
      <w:pPr>
        <w:pStyle w:val="FootnoteText"/>
        <w:spacing w:after="0" w:line="20" w:lineRule="atLeast"/>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Финансиране за Министерството на вътрешните работи е налично освен това по линия на Фонд „</w:t>
      </w:r>
      <w:r>
        <w:rPr>
          <w:rFonts w:ascii="Times New Roman" w:hAnsi="Times New Roman"/>
          <w:lang w:val="bg-BG"/>
        </w:rPr>
        <w:t xml:space="preserve">Вътрешна сигурност“ — Полиция. </w:t>
      </w:r>
    </w:p>
  </w:footnote>
  <w:footnote w:id="7">
    <w:p w:rsidR="00792097" w:rsidRDefault="00AC774E">
      <w:pPr>
        <w:pStyle w:val="FootnoteText"/>
        <w:tabs>
          <w:tab w:val="left" w:pos="284"/>
        </w:tabs>
        <w:spacing w:after="0" w:line="20" w:lineRule="atLeast"/>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Европейски съд по правата на човека. </w:t>
      </w:r>
    </w:p>
  </w:footnote>
  <w:footnote w:id="8">
    <w:p w:rsidR="00792097" w:rsidRDefault="00AC774E">
      <w:pPr>
        <w:pStyle w:val="FootnoteText"/>
        <w:tabs>
          <w:tab w:val="left" w:pos="284"/>
        </w:tabs>
        <w:spacing w:after="0" w:line="20" w:lineRule="atLeast"/>
        <w:ind w:left="284" w:hanging="284"/>
        <w:jc w:val="both"/>
        <w:rPr>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Информационно табло на ЕС в областта на правосъдието: http://ec.europa.eu/justice/effective-justice/scoreboard/.</w:t>
      </w:r>
    </w:p>
  </w:footnote>
  <w:footnote w:id="9">
    <w:p w:rsidR="00792097" w:rsidRDefault="00AC774E">
      <w:pPr>
        <w:pStyle w:val="FootnoteText"/>
        <w:tabs>
          <w:tab w:val="left" w:pos="284"/>
        </w:tabs>
        <w:spacing w:after="0" w:line="0" w:lineRule="atLeast"/>
        <w:jc w:val="both"/>
        <w:rPr>
          <w:lang w:val="bg-BG"/>
        </w:rPr>
      </w:pPr>
      <w:r>
        <w:rPr>
          <w:rStyle w:val="FootnoteReference"/>
          <w:lang w:val="bg-BG"/>
        </w:rPr>
        <w:footnoteRef/>
      </w:r>
      <w:r>
        <w:rPr>
          <w:lang w:val="bg-BG"/>
        </w:rPr>
        <w:t xml:space="preserve"> </w:t>
      </w:r>
      <w:r>
        <w:rPr>
          <w:lang w:val="bg-BG"/>
        </w:rPr>
        <w:tab/>
      </w:r>
      <w:r>
        <w:rPr>
          <w:rFonts w:ascii="Times New Roman" w:hAnsi="Times New Roman"/>
          <w:noProof/>
          <w:lang w:val="bg-BG"/>
        </w:rPr>
        <w:t>COM(2017) 43 final, стp. 3.</w:t>
      </w:r>
    </w:p>
  </w:footnote>
  <w:footnote w:id="10">
    <w:p w:rsidR="00792097" w:rsidRDefault="00AC774E">
      <w:pPr>
        <w:pStyle w:val="FootnoteText"/>
        <w:tabs>
          <w:tab w:val="left" w:pos="284"/>
        </w:tabs>
        <w:spacing w:after="0" w:line="20" w:lineRule="atLeast"/>
        <w:jc w:val="both"/>
        <w:rPr>
          <w:rFonts w:ascii="Times New Roman" w:hAnsi="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COM(2017) 43 final, стp. 13.</w:t>
      </w:r>
    </w:p>
  </w:footnote>
  <w:footnote w:id="11">
    <w:p w:rsidR="00792097" w:rsidRDefault="00AC774E">
      <w:pPr>
        <w:pStyle w:val="FootnoteText"/>
        <w:tabs>
          <w:tab w:val="left" w:pos="284"/>
        </w:tabs>
        <w:spacing w:after="0" w:line="20" w:lineRule="atLeast"/>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COM(2017) 43 final, стp. 8. Докладът отбеляза също, че напрежението между членовете на Съвета на фона на твърденията за липса на обективност при вземането на ключови решения продължава да буди безпокойство (пак там, стр. 5).</w:t>
      </w:r>
    </w:p>
  </w:footnote>
  <w:footnote w:id="12">
    <w:p w:rsidR="00792097" w:rsidRDefault="00AC774E">
      <w:pPr>
        <w:pStyle w:val="FootnoteText"/>
        <w:spacing w:after="0" w:line="240" w:lineRule="auto"/>
        <w:ind w:left="284" w:hanging="284"/>
        <w:jc w:val="both"/>
        <w:rPr>
          <w:rFonts w:ascii="Times New Roman" w:hAnsi="Times New Roman"/>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В доклада по МСП от януари 2</w:t>
      </w:r>
      <w:r>
        <w:rPr>
          <w:rFonts w:ascii="Times New Roman" w:hAnsi="Times New Roman"/>
          <w:lang w:val="bg-BG"/>
        </w:rPr>
        <w:t>014 г. Комисията изрази съжаление, че изборът на съдебната квота през 2012 г. е пострадал от решението да не се позволи пряк избор на кандидатите от всички магистрати — COM(2014) 36 final, стр. 3.</w:t>
      </w:r>
    </w:p>
  </w:footnote>
  <w:footnote w:id="13">
    <w:p w:rsidR="00792097" w:rsidRDefault="00AC774E">
      <w:pPr>
        <w:pStyle w:val="FootnoteText"/>
        <w:tabs>
          <w:tab w:val="left" w:pos="284"/>
        </w:tabs>
        <w:spacing w:after="0" w:line="0" w:lineRule="atLeast"/>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25-членният състав на ВСС се формира като от всяка квота</w:t>
      </w:r>
      <w:r>
        <w:rPr>
          <w:rFonts w:ascii="Times New Roman" w:hAnsi="Times New Roman"/>
          <w:spacing w:val="-2"/>
          <w:lang w:val="bg-BG"/>
        </w:rPr>
        <w:t xml:space="preserve"> се избират по шестима членове на съдийската колегия и петима членове на прокурорската колегия и към тях се добавят тримата членове по право (председателите на Върховния касационен съд и на Върховния административен съд, както и главният прокурор). Изисква</w:t>
      </w:r>
      <w:r>
        <w:rPr>
          <w:rFonts w:ascii="Times New Roman" w:hAnsi="Times New Roman"/>
          <w:spacing w:val="-2"/>
          <w:lang w:val="bg-BG"/>
        </w:rPr>
        <w:t>нето за мнозинство от 2/3 за парламентарната квота беше въведено по препоръка на Венецианската комисия с цел да се сведе до минимум рискът от политизиране, като не се позволи назначаване на цялата парламентарна квота с много малко мнозинство в Народното съ</w:t>
      </w:r>
      <w:r>
        <w:rPr>
          <w:rFonts w:ascii="Times New Roman" w:hAnsi="Times New Roman"/>
          <w:spacing w:val="-2"/>
          <w:lang w:val="bg-BG"/>
        </w:rPr>
        <w:t>брание.</w:t>
      </w:r>
      <w:r>
        <w:rPr>
          <w:spacing w:val="-2"/>
          <w:lang w:val="bg-BG"/>
        </w:rPr>
        <w:t xml:space="preserve"> </w:t>
      </w:r>
    </w:p>
  </w:footnote>
  <w:footnote w:id="14">
    <w:p w:rsidR="00792097" w:rsidRDefault="00AC774E">
      <w:pPr>
        <w:pStyle w:val="FootnoteText"/>
        <w:tabs>
          <w:tab w:val="left" w:pos="284"/>
        </w:tabs>
        <w:spacing w:after="0" w:line="240" w:lineRule="auto"/>
        <w:ind w:left="284" w:hanging="284"/>
        <w:rPr>
          <w:lang w:val="bg-BG"/>
        </w:rPr>
      </w:pPr>
      <w:r>
        <w:rPr>
          <w:rStyle w:val="FootnoteReference"/>
          <w:rFonts w:ascii="Times New Roman" w:hAnsi="Times New Roman"/>
          <w:lang w:val="bg-BG"/>
        </w:rPr>
        <w:footnoteRef/>
      </w:r>
      <w:r>
        <w:rPr>
          <w:rFonts w:ascii="Times New Roman" w:hAnsi="Times New Roman"/>
          <w:lang w:val="bg-BG"/>
        </w:rPr>
        <w:t xml:space="preserve"> </w:t>
      </w:r>
      <w:r>
        <w:rPr>
          <w:lang w:val="bg-BG"/>
        </w:rPr>
        <w:tab/>
      </w:r>
      <w:r>
        <w:rPr>
          <w:rFonts w:ascii="Times New Roman" w:hAnsi="Times New Roman"/>
          <w:lang w:val="bg-BG"/>
        </w:rPr>
        <w:t>Наличието на система за електронно гласуване даде възможност за много високо участие.</w:t>
      </w:r>
    </w:p>
  </w:footnote>
  <w:footnote w:id="15">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noProof/>
          <w:lang w:val="bg-BG"/>
        </w:rPr>
        <w:t>Въпреки това са били получени въпроси от гражданското общество и до тях е бил предоставен обществен достъп на уебсайта на Народното събрание, както се изис</w:t>
      </w:r>
      <w:r>
        <w:rPr>
          <w:rFonts w:ascii="Times New Roman" w:hAnsi="Times New Roman"/>
          <w:noProof/>
          <w:lang w:val="bg-BG"/>
        </w:rPr>
        <w:t>ква от закона.</w:t>
      </w:r>
    </w:p>
  </w:footnote>
  <w:footnote w:id="16">
    <w:p w:rsidR="00792097" w:rsidRDefault="00AC774E">
      <w:pPr>
        <w:pStyle w:val="FootnoteText"/>
        <w:tabs>
          <w:tab w:val="left" w:pos="284"/>
        </w:tabs>
        <w:spacing w:after="0" w:line="240" w:lineRule="auto"/>
        <w:ind w:left="284" w:hanging="284"/>
        <w:jc w:val="both"/>
        <w:rPr>
          <w:spacing w:val="-2"/>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noProof/>
          <w:spacing w:val="-2"/>
          <w:lang w:val="bg-BG"/>
        </w:rPr>
        <w:t xml:space="preserve">През годините тази загриженост е отразявана и в анализите на органи на Съвета на Европа, като Венецианската комисия и Групата държави срещу корупцията (GRECO), в които се изтъква значителната квота за политически назначения в българския </w:t>
      </w:r>
      <w:r>
        <w:rPr>
          <w:rFonts w:ascii="Times New Roman" w:hAnsi="Times New Roman"/>
          <w:noProof/>
          <w:spacing w:val="-2"/>
          <w:lang w:val="bg-BG"/>
        </w:rPr>
        <w:t>съдебен съвет. Неотдавна въпросът за риска от неправомерно политическо влияние беше повдигнат от GRECO в нейния доклад за изпълнението за България в рамките на четвъртия кръг на оценка, който беше приет през юни 2017 г. (</w:t>
      </w:r>
      <w:hyperlink r:id="rId1">
        <w:r>
          <w:rPr>
            <w:rStyle w:val="Hyperlink"/>
            <w:rFonts w:ascii="Times New Roman" w:hAnsi="Times New Roman"/>
            <w:noProof/>
            <w:spacing w:val="-2"/>
            <w:lang w:val="bg-BG"/>
          </w:rPr>
          <w:t>https://www.coe.int/en/web/greco/-/bulgaria-publication-of-the-fourth-round-compliance-report</w:t>
        </w:r>
      </w:hyperlink>
      <w:r>
        <w:rPr>
          <w:rFonts w:ascii="Times New Roman" w:hAnsi="Times New Roman"/>
          <w:noProof/>
          <w:spacing w:val="-2"/>
          <w:lang w:val="bg-BG"/>
        </w:rPr>
        <w:t>). Освен това в неотдавнашно становище относно Бълга</w:t>
      </w:r>
      <w:r>
        <w:rPr>
          <w:rFonts w:ascii="Times New Roman" w:hAnsi="Times New Roman"/>
          <w:noProof/>
          <w:spacing w:val="-2"/>
          <w:lang w:val="bg-BG"/>
        </w:rPr>
        <w:t>рия Венецианската комисия изразява отново своята загриженост относно рисковете за независимостта на съдиите в рамките на ВСС и отправя редица препоръки в тази връзка. Становището на Венецианската комисия се съсредоточава по-конкретно върху ролята на прокур</w:t>
      </w:r>
      <w:r>
        <w:rPr>
          <w:rFonts w:ascii="Times New Roman" w:hAnsi="Times New Roman"/>
          <w:noProof/>
          <w:spacing w:val="-2"/>
          <w:lang w:val="bg-BG"/>
        </w:rPr>
        <w:t xml:space="preserve">орите във ВСС и върху факта, че съдиите, избирани от своите колеги, са малцинство. Вж. Венецианската комисия, „Bulgaria: Opinion on the Judicial System Act“ („България: становище относно Закона за съдебната власт“), прието на 112-ото пленарно заседание на </w:t>
      </w:r>
      <w:r>
        <w:rPr>
          <w:rFonts w:ascii="Times New Roman" w:hAnsi="Times New Roman"/>
          <w:noProof/>
          <w:spacing w:val="-2"/>
          <w:lang w:val="bg-BG"/>
        </w:rPr>
        <w:t xml:space="preserve">6—7 октомври 2017 г. </w:t>
      </w:r>
      <w:hyperlink r:id="rId2">
        <w:r>
          <w:rPr>
            <w:rStyle w:val="Hyperlink"/>
            <w:rFonts w:ascii="Times New Roman" w:hAnsi="Times New Roman"/>
            <w:noProof/>
            <w:spacing w:val="-2"/>
            <w:lang w:val="bg-BG"/>
          </w:rPr>
          <w:t>http://www.venice.coe.int/webforms/documents/default.aspx?pdffile=CDL-AD(2017)018-e</w:t>
        </w:r>
      </w:hyperlink>
      <w:r>
        <w:rPr>
          <w:rFonts w:ascii="Times New Roman" w:hAnsi="Times New Roman"/>
          <w:noProof/>
          <w:spacing w:val="-2"/>
        </w:rPr>
        <w:t>.</w:t>
      </w:r>
    </w:p>
  </w:footnote>
  <w:footnote w:id="17">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noProof/>
          <w:lang w:val="bg-BG"/>
        </w:rPr>
        <w:t>Самите назначения се извършват от президента</w:t>
      </w:r>
      <w:r>
        <w:rPr>
          <w:rFonts w:ascii="Times New Roman" w:hAnsi="Times New Roman"/>
          <w:noProof/>
          <w:lang w:val="bg-BG"/>
        </w:rPr>
        <w:t xml:space="preserve"> на Република България.</w:t>
      </w:r>
      <w:r>
        <w:rPr>
          <w:lang w:val="bg-BG"/>
        </w:rPr>
        <w:t xml:space="preserve"> </w:t>
      </w:r>
    </w:p>
  </w:footnote>
  <w:footnote w:id="18">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t>Вж. напр.</w:t>
      </w:r>
      <w:r>
        <w:rPr>
          <w:rFonts w:ascii="Times New Roman" w:hAnsi="Times New Roman"/>
          <w:noProof/>
          <w:lang w:val="bg-BG"/>
        </w:rPr>
        <w:t xml:space="preserve"> COM(2017) 43, стр. 4 и COM(2016) 40 final, стp. 4. </w:t>
      </w:r>
    </w:p>
  </w:footnote>
  <w:footnote w:id="19">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Както вече бе посочено, напрежението бе най-видимо в съдийската колегия (вж. работния документ на службите на Комисията SWD (2017) 24 final, стр. 8). </w:t>
      </w:r>
    </w:p>
  </w:footnote>
  <w:footnote w:id="2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Мандатът </w:t>
      </w:r>
      <w:r>
        <w:rPr>
          <w:rFonts w:ascii="Times New Roman" w:hAnsi="Times New Roman"/>
          <w:lang w:val="bg-BG"/>
        </w:rPr>
        <w:t>на досегашния председател изтича през втората половина на ноември.</w:t>
      </w:r>
    </w:p>
  </w:footnote>
  <w:footnote w:id="21">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noProof/>
          <w:lang w:val="bg-BG"/>
        </w:rPr>
        <w:t xml:space="preserve">Процедурата обаче не е давала възможност за тайно гласуване. </w:t>
      </w:r>
    </w:p>
  </w:footnote>
  <w:footnote w:id="2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Наред с други въпроси, критиките бяха насочени срещу факта, че предишният ВСС съзнателно е избрал да изтегли решението на</w:t>
      </w:r>
      <w:r>
        <w:rPr>
          <w:rFonts w:ascii="Times New Roman" w:hAnsi="Times New Roman"/>
          <w:lang w:val="bg-BG"/>
        </w:rPr>
        <w:t xml:space="preserve">пред във времето, въпреки че новият състав на ВСС би разполагал с достатъчно време, за да номинира кандидат преди края на мандата на действащия председател. </w:t>
      </w:r>
    </w:p>
  </w:footnote>
  <w:footnote w:id="23">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Президентът подписа указ за назначението на 23 октомври.</w:t>
      </w:r>
    </w:p>
  </w:footnote>
  <w:footnote w:id="24">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Инспекторатът може да започне такив</w:t>
      </w:r>
      <w:r>
        <w:rPr>
          <w:rFonts w:ascii="Times New Roman" w:hAnsi="Times New Roman"/>
          <w:lang w:val="bg-BG"/>
        </w:rPr>
        <w:t>а проверки по сигнали, подадени от обществеността, както и въз основа на съобщения в медиите.</w:t>
      </w:r>
    </w:p>
  </w:footnote>
  <w:footnote w:id="25">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Решенията на ВСС освен това подлежат на обжалване пред Върховния административен съд. </w:t>
      </w:r>
    </w:p>
  </w:footnote>
  <w:footnote w:id="26">
    <w:p w:rsidR="00792097" w:rsidRDefault="00AC774E">
      <w:pPr>
        <w:pStyle w:val="FootnoteText"/>
        <w:tabs>
          <w:tab w:val="left" w:pos="284"/>
        </w:tabs>
        <w:spacing w:after="0" w:line="240" w:lineRule="auto"/>
        <w:ind w:left="284" w:hanging="284"/>
        <w:jc w:val="both"/>
        <w:rPr>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В становището на Венецианската комисия се отправят конкретни препорък</w:t>
      </w:r>
      <w:r>
        <w:rPr>
          <w:rFonts w:ascii="Times New Roman" w:hAnsi="Times New Roman"/>
          <w:spacing w:val="-6"/>
          <w:lang w:val="bg-BG"/>
        </w:rPr>
        <w:t>и относно процедурите за назначаване и освобождаване от длъжност на инспекторите, относно разделянето на правомощията спрямо тези на ВСС, както и относно необходимостта от допълнително разясняване на правилата за извършваните от Инспектората проверки и дис</w:t>
      </w:r>
      <w:r>
        <w:rPr>
          <w:rFonts w:ascii="Times New Roman" w:hAnsi="Times New Roman"/>
          <w:spacing w:val="-6"/>
          <w:lang w:val="bg-BG"/>
        </w:rPr>
        <w:t>циплинарните производства. Вж. Венецианската комисия, пак там.</w:t>
      </w:r>
    </w:p>
  </w:footnote>
  <w:footnote w:id="2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Съгласно получените данни набавянето на нов софтуер е в ход, като са предоставени средства по Оперативна програма „Добро управление“ на Европейския социален фонд. </w:t>
      </w:r>
    </w:p>
  </w:footnote>
  <w:footnote w:id="28">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Освен това </w:t>
      </w:r>
      <w:r>
        <w:rPr>
          <w:rFonts w:ascii="Times New Roman" w:hAnsi="Times New Roman"/>
          <w:lang w:val="bg-BG"/>
        </w:rPr>
        <w:t>законодателството изглежда не предвижда административна отговорност за магистратите, напуснали службата си, съгласно новите правила. Следователно, въпреки че от тях се изисква да продължат да подават декларации в края на кариерата си, може да възникне проб</w:t>
      </w:r>
      <w:r>
        <w:rPr>
          <w:rFonts w:ascii="Times New Roman" w:hAnsi="Times New Roman"/>
          <w:lang w:val="bg-BG"/>
        </w:rPr>
        <w:t>лем при последващите дисциплинарни действия във връзка с неподаването на такива декларации. (Източник: среща с ИВСС, декември 2017 г.)</w:t>
      </w:r>
    </w:p>
  </w:footnote>
  <w:footnote w:id="2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Това се постига чрез въвеждането на нов етап в наказателното производство — разпоредително заседание, на което трябва </w:t>
      </w:r>
      <w:r>
        <w:rPr>
          <w:rFonts w:ascii="Times New Roman" w:hAnsi="Times New Roman"/>
          <w:lang w:val="bg-BG"/>
        </w:rPr>
        <w:t>да се вземе решение дали са допуснати процесуални нарушения в досъдебното производство. След това заседание съдът вече няма да може да връща делото на основание такива нарушения. Новите разпоредби са съсредоточени върху общи процесуални нарушения, като нап</w:t>
      </w:r>
      <w:r>
        <w:rPr>
          <w:rFonts w:ascii="Times New Roman" w:hAnsi="Times New Roman"/>
          <w:lang w:val="bg-BG"/>
        </w:rPr>
        <w:t xml:space="preserve">ример неуведомяване на обвиняемия за какво престъпление е привлечен в това качество или за правото му да не се самоуличава. Разпоредителното заседание не разглежда грешки, свързани с допустимостта, събирането, проверката или оценката на доказателства (вж. </w:t>
      </w:r>
      <w:r>
        <w:rPr>
          <w:rFonts w:ascii="Times New Roman" w:hAnsi="Times New Roman"/>
          <w:lang w:val="bg-BG"/>
        </w:rPr>
        <w:t xml:space="preserve">изменения Наказателно-процесуален кодекс, чл. 248 и чл. 249). </w:t>
      </w:r>
    </w:p>
  </w:footnote>
  <w:footnote w:id="30">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Така например чрез въвеждането на независима преценка от съда беше смекчена действаща разпоредба, позволяваща на обвиняемите по дела за тежки престъпления след изтичане на две години от досъ</w:t>
      </w:r>
      <w:r>
        <w:rPr>
          <w:rFonts w:ascii="Times New Roman" w:hAnsi="Times New Roman"/>
          <w:lang w:val="bg-BG"/>
        </w:rPr>
        <w:t>дебното производство да направят искане за пращане на делото им в съда или сваляне на обвиненията. Същевременно подобни правила бяха разширени, така че да обхващат съответните съдебни производства (вж. изменения Наказателно-процесуален кодекс, чл. 368—369)</w:t>
      </w:r>
      <w:r>
        <w:rPr>
          <w:rFonts w:ascii="Times New Roman" w:hAnsi="Times New Roman"/>
          <w:lang w:val="bg-BG"/>
        </w:rPr>
        <w:t xml:space="preserve">. </w:t>
      </w:r>
    </w:p>
  </w:footnote>
  <w:footnote w:id="3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През 2016 г. предишното правителство създаде специален консултативен съвет за съдебната реформа, който бе използван, за да се гарантира тясното участие на съответните заинтересовани страни в подготвянето на мащабна реформа на Закона за съдебната влас</w:t>
      </w:r>
      <w:r>
        <w:rPr>
          <w:rFonts w:ascii="Times New Roman" w:hAnsi="Times New Roman"/>
          <w:lang w:val="bg-BG"/>
        </w:rPr>
        <w:t xml:space="preserve">т. Този подход, който беше изтъкнат в доклада по МСП от януари, изглежда не е приложен по същия начин в този случай. </w:t>
      </w:r>
    </w:p>
  </w:footnote>
  <w:footnote w:id="3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Някои наблюдатели изтъкнаха, че на това основание може да има проблеми във връзка с конституционността. </w:t>
      </w:r>
    </w:p>
  </w:footnote>
  <w:footnote w:id="33">
    <w:p w:rsidR="00792097" w:rsidRDefault="00AC774E">
      <w:pPr>
        <w:pStyle w:val="FootnoteText"/>
        <w:tabs>
          <w:tab w:val="left" w:pos="284"/>
        </w:tabs>
        <w:spacing w:after="0" w:line="240" w:lineRule="auto"/>
        <w:ind w:left="284" w:hanging="284"/>
        <w:jc w:val="both"/>
        <w:rPr>
          <w:spacing w:val="-4"/>
          <w:lang w:val="bg-BG"/>
        </w:rPr>
      </w:pPr>
      <w:r>
        <w:rPr>
          <w:rStyle w:val="FootnoteReference"/>
          <w:spacing w:val="-4"/>
          <w:lang w:val="bg-BG"/>
        </w:rPr>
        <w:footnoteRef/>
      </w:r>
      <w:r>
        <w:rPr>
          <w:spacing w:val="-4"/>
          <w:lang w:val="bg-BG"/>
        </w:rPr>
        <w:t xml:space="preserve"> </w:t>
      </w:r>
      <w:r>
        <w:rPr>
          <w:spacing w:val="-4"/>
          <w:lang w:val="bg-BG"/>
        </w:rPr>
        <w:tab/>
      </w:r>
      <w:r>
        <w:rPr>
          <w:rFonts w:ascii="Times New Roman" w:hAnsi="Times New Roman"/>
          <w:spacing w:val="-4"/>
          <w:lang w:val="bg-BG"/>
        </w:rPr>
        <w:t>Някои заинтересовани страни</w:t>
      </w:r>
      <w:r>
        <w:rPr>
          <w:rFonts w:ascii="Times New Roman" w:hAnsi="Times New Roman"/>
          <w:spacing w:val="-4"/>
          <w:lang w:val="bg-BG"/>
        </w:rPr>
        <w:t xml:space="preserve"> поставиха под въпрос правния подход, възприет при определянето на компетентността в такива случаи, като евентуално повдигащ въпроси, свързани с конституционността. Тези опасения обаче бяха отхвърлени от прокуратурата и Министерството на правосъдието.</w:t>
      </w:r>
      <w:r>
        <w:rPr>
          <w:spacing w:val="-4"/>
          <w:lang w:val="bg-BG"/>
        </w:rPr>
        <w:t xml:space="preserve"> </w:t>
      </w:r>
    </w:p>
  </w:footnote>
  <w:footnote w:id="34">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COM(2017) 43 final, стр. 13.</w:t>
      </w:r>
      <w:r>
        <w:rPr>
          <w:lang w:val="bg-BG"/>
        </w:rPr>
        <w:t xml:space="preserve"> </w:t>
      </w:r>
    </w:p>
  </w:footnote>
  <w:footnote w:id="35">
    <w:p w:rsidR="00792097" w:rsidRDefault="00AC774E">
      <w:pPr>
        <w:pStyle w:val="FootnoteText"/>
        <w:tabs>
          <w:tab w:val="left" w:pos="284"/>
        </w:tabs>
        <w:spacing w:after="0" w:line="240" w:lineRule="auto"/>
        <w:ind w:left="284" w:hanging="284"/>
        <w:jc w:val="both"/>
        <w:rPr>
          <w:rFonts w:ascii="Times New Roman" w:hAnsi="Times New Roman"/>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В началото на октомври в Народното събрание е бил внесен проект за изменение на Закона за съдебната власт, чиято цел изглежда е да се улесни командироването на служители в специализираните съд и прокуратура. Представители н</w:t>
      </w:r>
      <w:r>
        <w:rPr>
          <w:rFonts w:ascii="Times New Roman" w:hAnsi="Times New Roman"/>
          <w:spacing w:val="-6"/>
          <w:lang w:val="bg-BG"/>
        </w:rPr>
        <w:t xml:space="preserve">а гражданското общество са изразили загриженост относно факта, че тези предложения са внесени директно от народни представители без предварителна консултация или дебат и създават впечатлението, че се правят стъпки назад по ключови елементи на реформата от </w:t>
      </w:r>
      <w:r>
        <w:rPr>
          <w:rFonts w:ascii="Times New Roman" w:hAnsi="Times New Roman"/>
          <w:spacing w:val="-6"/>
          <w:lang w:val="bg-BG"/>
        </w:rPr>
        <w:t>2016 г. Предложените изменения биха дали възможност за продължаване на командироването за по-дълги периоди и биха предвидили работещите в специализираните съд и прокуратура да получават възнаграждение въз основа на постигнатите резултати. Въпреки че предло</w:t>
      </w:r>
      <w:r>
        <w:rPr>
          <w:rFonts w:ascii="Times New Roman" w:hAnsi="Times New Roman"/>
          <w:spacing w:val="-6"/>
          <w:lang w:val="bg-BG"/>
        </w:rPr>
        <w:t>женията не са на правителството, Съветът за съдебна реформа е бил свикан впоследствие от министъра на правосъдието, за да може те да бъдат обсъдени със заинтересованите страни. На този етап обаче процедурите в Народното събрание вече са били в доста напред</w:t>
      </w:r>
      <w:r>
        <w:rPr>
          <w:rFonts w:ascii="Times New Roman" w:hAnsi="Times New Roman"/>
          <w:spacing w:val="-6"/>
          <w:lang w:val="bg-BG"/>
        </w:rPr>
        <w:t xml:space="preserve">нала фаза. Измененията са били окончателно приети на 27 октомври. </w:t>
      </w:r>
    </w:p>
  </w:footnote>
  <w:footnote w:id="3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Друго изменение в Закона за съдебната власт, прието през юли 2017 г., предизвикало широка критика от страна на магистратите, беше нововъведеното изискване за всички магистрати да деклари</w:t>
      </w:r>
      <w:r>
        <w:rPr>
          <w:rFonts w:ascii="Times New Roman" w:hAnsi="Times New Roman"/>
          <w:lang w:val="bg-BG"/>
        </w:rPr>
        <w:t xml:space="preserve">рат членството си в съсловни организации или сдружения (което явно е станало повод за значителен брой прекратявания на членство в Съюза на съдиите в България, отдавани на страх от страна на някои съдии, че членството им би могло да има негативно отражение </w:t>
      </w:r>
      <w:r>
        <w:rPr>
          <w:rFonts w:ascii="Times New Roman" w:hAnsi="Times New Roman"/>
          <w:lang w:val="bg-BG"/>
        </w:rPr>
        <w:t>върху тяхното кариерно развитие).</w:t>
      </w:r>
    </w:p>
  </w:footnote>
  <w:footnote w:id="3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Венецианска комисия, op cit., стр. 10—11. </w:t>
      </w:r>
    </w:p>
  </w:footnote>
  <w:footnote w:id="38">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По предложение на министъра на правосъдието впоследствие на 27 октомври бяха приети допълнителни изменения, за да се даде на ВСС известна възможност за преценка на основател</w:t>
      </w:r>
      <w:r>
        <w:rPr>
          <w:rFonts w:ascii="Times New Roman" w:hAnsi="Times New Roman"/>
          <w:lang w:val="bg-BG"/>
        </w:rPr>
        <w:t>ността по делата, които не се отнасят до престъпления, свързани със служебните задължения на съответните магистрати, и да се предвиди обжалване пред Върховния административен съд.</w:t>
      </w:r>
    </w:p>
  </w:footnote>
  <w:footnote w:id="3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Както е посочена по показатели 3 и 4 по-долу.</w:t>
      </w:r>
    </w:p>
  </w:footnote>
  <w:footnote w:id="4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Българското звено за фин</w:t>
      </w:r>
      <w:r>
        <w:rPr>
          <w:rFonts w:ascii="Times New Roman" w:hAnsi="Times New Roman"/>
          <w:lang w:val="bg-BG"/>
        </w:rPr>
        <w:t>ансово разузнаване е в структурата на Държавна агенция „Национална сигурност“ (ДАНС).</w:t>
      </w:r>
    </w:p>
  </w:footnote>
  <w:footnote w:id="4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Чл. 14, чл. 246 и чл. 249, ал. 2 от Наказателно-процесуалния кодекс. </w:t>
      </w:r>
    </w:p>
  </w:footnote>
  <w:footnote w:id="4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Сред допълнителните обсъждани аспекти, които евентуално касаят Наказателния кодекс, са възможността да се използват сътрудничещи свидетели и служители под прикритие (по-специално във връзка с подкупи). </w:t>
      </w:r>
    </w:p>
  </w:footnote>
  <w:footnote w:id="43">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Някои изменения вече са публикувани с цел провеждане на обществена консултация. </w:t>
      </w:r>
    </w:p>
  </w:footnote>
  <w:footnote w:id="44">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Версия на стратегията на английски език може да бъде намерена на следния адрес: </w:t>
      </w:r>
      <w:hyperlink r:id="rId3">
        <w:r>
          <w:rPr>
            <w:rStyle w:val="Hyperlink"/>
            <w:rFonts w:ascii="Times New Roman" w:hAnsi="Times New Roman"/>
            <w:lang w:val="bg-BG"/>
          </w:rPr>
          <w:t>www.strategy.bg/FileH</w:t>
        </w:r>
        <w:r>
          <w:rPr>
            <w:rStyle w:val="Hyperlink"/>
            <w:rFonts w:ascii="Times New Roman" w:hAnsi="Times New Roman"/>
            <w:lang w:val="bg-BG"/>
          </w:rPr>
          <w:t>andler.ashx?fileId=5570</w:t>
        </w:r>
      </w:hyperlink>
      <w:r>
        <w:rPr>
          <w:rFonts w:ascii="Times New Roman" w:hAnsi="Times New Roman"/>
          <w:lang w:val="bg-BG"/>
        </w:rPr>
        <w:t>.</w:t>
      </w:r>
    </w:p>
  </w:footnote>
  <w:footnote w:id="45">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По-рано беше налице известна несигурност, що се отнася до възможността за отделяне на реформата на прокурорските служби от тази на съдилищата съгласно Конституцията на Република България, но в началото на 2017 г. главният прокур</w:t>
      </w:r>
      <w:r>
        <w:rPr>
          <w:rFonts w:ascii="Times New Roman" w:hAnsi="Times New Roman"/>
          <w:lang w:val="bg-BG"/>
        </w:rPr>
        <w:t xml:space="preserve">ор отнесе въпроса до Конституционния съд, който потвърди, че такова отделяне е възможно. </w:t>
      </w:r>
    </w:p>
  </w:footnote>
  <w:footnote w:id="4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Очаква се проект, финансиран по Оперативна програма „Добро управление“ на Европейския социален фонд, да осигури подкрепа за придвижване на процеса към следващия му</w:t>
      </w:r>
      <w:r>
        <w:rPr>
          <w:rFonts w:ascii="Times New Roman" w:hAnsi="Times New Roman"/>
          <w:lang w:val="bg-BG"/>
        </w:rPr>
        <w:t xml:space="preserve"> етап, като това включва и въвеждането на обща информационна система за съдебната система. Сведенията обаче сочат, че проектът е бил забавен и е все още в ранна фаза на изпълнение. </w:t>
      </w:r>
    </w:p>
  </w:footnote>
  <w:footnote w:id="4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Подобни дискусии са водени във връзка с консолидирането на петте апелат</w:t>
      </w:r>
      <w:r>
        <w:rPr>
          <w:rFonts w:ascii="Times New Roman" w:hAnsi="Times New Roman"/>
          <w:lang w:val="bg-BG"/>
        </w:rPr>
        <w:t xml:space="preserve">ивни и трите военни съдилища, както и във връзка с нуждата от по-нататъшен анализ на системата от 28 административни съдилища, като и по тези въпроси не са взети окончателни решения. </w:t>
      </w:r>
    </w:p>
  </w:footnote>
  <w:footnote w:id="48">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Следва също така да се отбележи, че следващите стъпки вероятно ще кас</w:t>
      </w:r>
      <w:r>
        <w:rPr>
          <w:rFonts w:ascii="Times New Roman" w:hAnsi="Times New Roman"/>
          <w:lang w:val="bg-BG"/>
        </w:rPr>
        <w:t xml:space="preserve">аят не толкова извършването на по-нататъшен анализ, колкото съставянето на заключения и постигането на консенсус. </w:t>
      </w:r>
    </w:p>
  </w:footnote>
  <w:footnote w:id="4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Тази липса на последващи действия е довела до фрустрация в засегнатите съдилища и критики заради липсата на ефективен механизъм за разреша</w:t>
      </w:r>
      <w:r>
        <w:rPr>
          <w:rFonts w:ascii="Times New Roman" w:hAnsi="Times New Roman"/>
          <w:lang w:val="bg-BG"/>
        </w:rPr>
        <w:t xml:space="preserve">ване на установените проблеми. </w:t>
      </w:r>
    </w:p>
  </w:footnote>
  <w:footnote w:id="5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Съгласно българското законодателство ВСС разполага с широки правомощия по отношение на цялостното управление на съдебната система, включително за вземането на решения относно броя на съдебните райони, като последният вид </w:t>
      </w:r>
      <w:r>
        <w:rPr>
          <w:rFonts w:ascii="Times New Roman" w:hAnsi="Times New Roman"/>
          <w:lang w:val="bg-BG"/>
        </w:rPr>
        <w:t>решения следва да се вземат при съгласуване с министъра на правосъдието (Закон за съдебната власт, чл. 30, ал. 2.).</w:t>
      </w:r>
    </w:p>
  </w:footnote>
  <w:footnote w:id="5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COM(2017) 43 final, стр. 5.</w:t>
      </w:r>
    </w:p>
  </w:footnote>
  <w:footnote w:id="5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Обобщение на доклада може да бъде намерено на уебсайта на Министерството на правосъдието на България: </w:t>
      </w:r>
      <w:hyperlink r:id="rId4">
        <w:r>
          <w:rPr>
            <w:rStyle w:val="Hyperlink"/>
            <w:rFonts w:ascii="Times New Roman" w:hAnsi="Times New Roman"/>
            <w:lang w:val="bg-BG"/>
          </w:rPr>
          <w:t>http://www.mjs.bg/Files/Executive%20Summary%20Final%20Report%20BG%2015122016.pdf</w:t>
        </w:r>
      </w:hyperlink>
      <w:r>
        <w:rPr>
          <w:rFonts w:ascii="Times New Roman" w:hAnsi="Times New Roman"/>
          <w:lang w:val="bg-BG"/>
        </w:rPr>
        <w:t>.</w:t>
      </w:r>
    </w:p>
  </w:footnote>
  <w:footnote w:id="53">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По-специално не са приети някои от препоръките, насочени към засилване на о</w:t>
      </w:r>
      <w:r>
        <w:rPr>
          <w:rFonts w:ascii="Times New Roman" w:hAnsi="Times New Roman"/>
          <w:lang w:val="bg-BG"/>
        </w:rPr>
        <w:t xml:space="preserve">тговорността и отчетността на висшето ръководство в прокуратурата по отношение на важни дела, както и препоръките за разширяване на механизмите за съдебен контрол върху някои решения на прокуратурата, тъй като властите са счели, че е трудно да се съчетаят </w:t>
      </w:r>
      <w:r>
        <w:rPr>
          <w:rFonts w:ascii="Times New Roman" w:hAnsi="Times New Roman"/>
          <w:lang w:val="bg-BG"/>
        </w:rPr>
        <w:t xml:space="preserve">с българската система или представляват връщане към практики, които не са функционирали добре в миналото. </w:t>
      </w:r>
    </w:p>
  </w:footnote>
  <w:footnote w:id="54">
    <w:p w:rsidR="00792097" w:rsidRDefault="00AC774E">
      <w:pPr>
        <w:pStyle w:val="FootnoteText"/>
        <w:tabs>
          <w:tab w:val="left" w:pos="284"/>
        </w:tabs>
        <w:spacing w:after="0" w:line="240" w:lineRule="auto"/>
        <w:ind w:left="284" w:hanging="284"/>
        <w:jc w:val="both"/>
        <w:rPr>
          <w:rFonts w:ascii="Times New Roman" w:hAnsi="Times New Roman"/>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 xml:space="preserve">Една от честите критики към българската система е, че се смята за трудно да се проведе независимо разследване на евентуални престъпни действия на </w:t>
      </w:r>
      <w:r>
        <w:rPr>
          <w:rFonts w:ascii="Times New Roman" w:hAnsi="Times New Roman"/>
          <w:spacing w:val="-6"/>
          <w:lang w:val="bg-BG"/>
        </w:rPr>
        <w:t>действащ главен прокурор. В тази връзка често се препраща към решение на ЕСПЧ от 2009 г. (</w:t>
      </w:r>
      <w:r>
        <w:rPr>
          <w:rFonts w:ascii="Times New Roman" w:hAnsi="Times New Roman"/>
          <w:i/>
          <w:spacing w:val="-6"/>
          <w:lang w:val="bg-BG"/>
        </w:rPr>
        <w:t>Колеви срещу България</w:t>
      </w:r>
      <w:r>
        <w:rPr>
          <w:rFonts w:ascii="Times New Roman" w:hAnsi="Times New Roman"/>
          <w:spacing w:val="-6"/>
          <w:lang w:val="bg-BG"/>
        </w:rPr>
        <w:t xml:space="preserve">), вж. </w:t>
      </w:r>
      <w:hyperlink r:id="rId5" w:anchor="{&quot;itemid&quot;:[&quot;001-95607&quot;]}" w:history="1">
        <w:r>
          <w:rPr>
            <w:rStyle w:val="Hyperlink"/>
            <w:rFonts w:ascii="Times New Roman" w:hAnsi="Times New Roman"/>
            <w:spacing w:val="-6"/>
            <w:lang w:val="bg-BG"/>
          </w:rPr>
          <w:t>https://hudoc.echr.coe.int/eng#{"itemid":["001-95607"]}</w:t>
        </w:r>
      </w:hyperlink>
      <w:r>
        <w:rPr>
          <w:rFonts w:ascii="Times New Roman" w:hAnsi="Times New Roman"/>
          <w:spacing w:val="-6"/>
          <w:lang w:val="bg-BG"/>
        </w:rPr>
        <w:t>. Този въпрос бе повдигнат и в неотдавнашно становище на Венецианската комисия, която препоръчва да се повиши отчетността на главния прокурор, като в закона се предвиди процедура, даваща възможност за ефективно и независимо разследване на твърдения за непр</w:t>
      </w:r>
      <w:r>
        <w:rPr>
          <w:rFonts w:ascii="Times New Roman" w:hAnsi="Times New Roman"/>
          <w:spacing w:val="-6"/>
          <w:lang w:val="bg-BG"/>
        </w:rPr>
        <w:t xml:space="preserve">авомерни действия от страна на действащ главен прокурор. Венецианската комисия, op cit. </w:t>
      </w:r>
    </w:p>
  </w:footnote>
  <w:footnote w:id="55">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Без обаче да се говори за конкретни случаи. </w:t>
      </w:r>
    </w:p>
  </w:footnote>
  <w:footnote w:id="5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Комисията за отнемане на незаконно придобито имущество (КОНПИ). </w:t>
      </w:r>
    </w:p>
  </w:footnote>
  <w:footnote w:id="5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Обсъждането на доклада на СПСР се оказа трудно п</w:t>
      </w:r>
      <w:r>
        <w:rPr>
          <w:rFonts w:ascii="Times New Roman" w:hAnsi="Times New Roman"/>
          <w:lang w:val="bg-BG"/>
        </w:rPr>
        <w:t xml:space="preserve">о време на предходния мандат на ВСС. Предстои да се види как тези дискусии ще бъдат водени от новия състав на ВСС. </w:t>
      </w:r>
    </w:p>
  </w:footnote>
  <w:footnote w:id="58">
    <w:p w:rsidR="00792097" w:rsidRDefault="00AC774E">
      <w:pPr>
        <w:pStyle w:val="FootnoteText"/>
        <w:tabs>
          <w:tab w:val="left" w:pos="284"/>
        </w:tabs>
        <w:spacing w:after="0" w:line="240" w:lineRule="auto"/>
        <w:ind w:left="284" w:hanging="284"/>
        <w:jc w:val="both"/>
        <w:rPr>
          <w:rFonts w:ascii="Times New Roman" w:hAnsi="Times New Roman"/>
          <w:spacing w:val="-6"/>
          <w:lang w:val="bg-BG"/>
        </w:rPr>
      </w:pPr>
      <w:r>
        <w:rPr>
          <w:rStyle w:val="FootnoteReference"/>
          <w:spacing w:val="-6"/>
          <w:lang w:val="bg-BG"/>
        </w:rPr>
        <w:footnoteRef/>
      </w:r>
      <w:r>
        <w:rPr>
          <w:spacing w:val="-6"/>
          <w:lang w:val="bg-BG"/>
        </w:rPr>
        <w:t xml:space="preserve"> </w:t>
      </w:r>
      <w:r>
        <w:rPr>
          <w:spacing w:val="-6"/>
          <w:lang w:val="bg-BG"/>
        </w:rPr>
        <w:tab/>
        <w:t xml:space="preserve">Вж. </w:t>
      </w:r>
      <w:r>
        <w:rPr>
          <w:rFonts w:ascii="Times New Roman" w:hAnsi="Times New Roman"/>
          <w:i/>
          <w:spacing w:val="-6"/>
          <w:lang w:val="bg-BG"/>
        </w:rPr>
        <w:t>Systemic problem of ineffectiveness of investigations in Bulgaria (Системният проблем с липсата на ефективност при разследванията в Б</w:t>
      </w:r>
      <w:r>
        <w:rPr>
          <w:rFonts w:ascii="Times New Roman" w:hAnsi="Times New Roman"/>
          <w:i/>
          <w:spacing w:val="-6"/>
          <w:lang w:val="bg-BG"/>
        </w:rPr>
        <w:t>ългария)</w:t>
      </w:r>
      <w:r>
        <w:rPr>
          <w:rFonts w:ascii="Times New Roman" w:hAnsi="Times New Roman"/>
          <w:spacing w:val="-6"/>
          <w:lang w:val="bg-BG"/>
        </w:rPr>
        <w:t xml:space="preserve">, ECHR 070 (2015) </w:t>
      </w:r>
      <w:hyperlink r:id="rId6">
        <w:r>
          <w:rPr>
            <w:rStyle w:val="Hyperlink"/>
            <w:rFonts w:ascii="Times New Roman" w:hAnsi="Times New Roman"/>
            <w:spacing w:val="-6"/>
            <w:lang w:val="bg-BG"/>
          </w:rPr>
          <w:t>https://www.slideshare.net/NatashaDobreva/sz-v-bulgaria-systemic-problem-of-ineffectivene</w:t>
        </w:r>
        <w:r>
          <w:rPr>
            <w:rStyle w:val="Hyperlink"/>
            <w:rFonts w:ascii="Times New Roman" w:hAnsi="Times New Roman"/>
            <w:spacing w:val="-6"/>
            <w:lang w:val="bg-BG"/>
          </w:rPr>
          <w:t>ss-of-investigations-in-bulgaria</w:t>
        </w:r>
      </w:hyperlink>
      <w:r>
        <w:rPr>
          <w:rFonts w:ascii="Times New Roman" w:hAnsi="Times New Roman"/>
          <w:spacing w:val="-6"/>
          <w:lang w:val="bg-BG"/>
        </w:rPr>
        <w:t>.</w:t>
      </w:r>
    </w:p>
  </w:footnote>
  <w:footnote w:id="5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Одобрена със заповед на главния прокурор от 28 юли 2017 г. </w:t>
      </w:r>
    </w:p>
  </w:footnote>
  <w:footnote w:id="6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Вж. дискусията по-горе относно наказателните производства, както и относно последващите действия по анализа на СПСР във връзка с наказателното разследване н</w:t>
      </w:r>
      <w:r>
        <w:rPr>
          <w:rFonts w:ascii="Times New Roman" w:hAnsi="Times New Roman"/>
          <w:lang w:val="bg-BG"/>
        </w:rPr>
        <w:t xml:space="preserve">а действащ главен прокурор. </w:t>
      </w:r>
    </w:p>
  </w:footnote>
  <w:footnote w:id="61">
    <w:p w:rsidR="00792097" w:rsidRDefault="00AC774E">
      <w:pPr>
        <w:pStyle w:val="FootnoteText"/>
        <w:tabs>
          <w:tab w:val="left" w:pos="284"/>
        </w:tabs>
        <w:spacing w:after="0" w:line="240" w:lineRule="auto"/>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Това се отнася по-специално до съдебния контрол върху прекратяването на наказателни разследвания от страна на прокурорите, когато се счита, на базата на анализ на сегашната практика, че с него се изяснява дисциплинарната отг</w:t>
      </w:r>
      <w:r>
        <w:rPr>
          <w:rFonts w:ascii="Times New Roman" w:hAnsi="Times New Roman"/>
          <w:spacing w:val="-2"/>
          <w:lang w:val="bg-BG"/>
        </w:rPr>
        <w:t xml:space="preserve">оворност на прокурорите, които не изпълняват този вид съдебни решения. </w:t>
      </w:r>
    </w:p>
  </w:footnote>
  <w:footnote w:id="62">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Става дума за съдебен контрол на решенията на прокурори за отказ да започнат разследване, които понастоящем подлежат на контрол единствено от по-горестоящ прокурор. Както бе посочен</w:t>
      </w:r>
      <w:r>
        <w:rPr>
          <w:rFonts w:ascii="Times New Roman" w:hAnsi="Times New Roman"/>
          <w:lang w:val="bg-BG"/>
        </w:rPr>
        <w:t>о по-горе, този въпрос не е бил разгледан в контекста на последващите действия по анализа на СПСР, но изглежда все пак е бил взет под внимание в този контекст.</w:t>
      </w:r>
      <w:r>
        <w:rPr>
          <w:lang w:val="bg-BG"/>
        </w:rPr>
        <w:t xml:space="preserve"> </w:t>
      </w:r>
    </w:p>
  </w:footnote>
  <w:footnote w:id="63">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В новия орган биха били включени редица институции, в това число Комисията за предотвратяван</w:t>
      </w:r>
      <w:r>
        <w:rPr>
          <w:rFonts w:ascii="Times New Roman" w:hAnsi="Times New Roman"/>
          <w:lang w:val="bg-BG"/>
        </w:rPr>
        <w:t>е и установяване на конфликт на интереси (КПУКИ), звената на Сметната палата на Република България (СПРБ), занимаващи се с имуществените декларации на лица на публични длъжности, както и Центъра за превенция и противодействие на корупцията и организираната</w:t>
      </w:r>
      <w:r>
        <w:rPr>
          <w:rFonts w:ascii="Times New Roman" w:hAnsi="Times New Roman"/>
          <w:lang w:val="bg-BG"/>
        </w:rPr>
        <w:t xml:space="preserve"> престъпност (БОРКОР).</w:t>
      </w:r>
    </w:p>
  </w:footnote>
  <w:footnote w:id="64">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COM (2016) 40 final, стр. 8. </w:t>
      </w:r>
    </w:p>
  </w:footnote>
  <w:footnote w:id="65">
    <w:p w:rsidR="00792097" w:rsidRDefault="00AC774E">
      <w:pPr>
        <w:pStyle w:val="FootnoteText"/>
        <w:tabs>
          <w:tab w:val="left" w:pos="284"/>
        </w:tabs>
        <w:spacing w:after="0" w:line="240" w:lineRule="auto"/>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 xml:space="preserve">Важен нов елемент във втория законопроект бе предложението отнемането на незаконно придобито имущество да се включи в задълженията на новия единен орган за борба с корупцията, както и действащата </w:t>
      </w:r>
      <w:r>
        <w:rPr>
          <w:rFonts w:ascii="Times New Roman" w:hAnsi="Times New Roman"/>
          <w:spacing w:val="-2"/>
          <w:lang w:val="bg-BG"/>
        </w:rPr>
        <w:t>Комисия за отнемане на незаконно придобито имущество (КОНПИ) да се интегрира в него.</w:t>
      </w:r>
    </w:p>
  </w:footnote>
  <w:footnote w:id="6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COM (2017) 43 final, стр. 6. </w:t>
      </w:r>
    </w:p>
  </w:footnote>
  <w:footnote w:id="6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Въпросът за необходимостта от продължаване на независимото и ефективно функциониране на КОНПИ беше повдигнат в доклада по МСП от януари</w:t>
      </w:r>
      <w:r>
        <w:rPr>
          <w:rFonts w:ascii="Times New Roman" w:hAnsi="Times New Roman"/>
          <w:lang w:val="bg-BG"/>
        </w:rPr>
        <w:t xml:space="preserve"> (COM (2017) 43 final, стр. 11).</w:t>
      </w:r>
    </w:p>
  </w:footnote>
  <w:footnote w:id="68">
    <w:p w:rsidR="00792097" w:rsidRDefault="00AC774E">
      <w:pPr>
        <w:pStyle w:val="FootnoteText"/>
        <w:tabs>
          <w:tab w:val="left" w:pos="284"/>
        </w:tabs>
        <w:spacing w:after="0" w:line="240" w:lineRule="auto"/>
        <w:ind w:left="284" w:hanging="284"/>
        <w:jc w:val="both"/>
        <w:rPr>
          <w:lang w:val="bg-BG"/>
        </w:rPr>
      </w:pPr>
      <w:r>
        <w:rPr>
          <w:rStyle w:val="FootnoteReference"/>
          <w:lang w:val="bg-BG"/>
        </w:rPr>
        <w:footnoteRef/>
      </w:r>
      <w:r>
        <w:rPr>
          <w:lang w:val="bg-BG"/>
        </w:rPr>
        <w:t xml:space="preserve"> </w:t>
      </w:r>
      <w:r>
        <w:rPr>
          <w:lang w:val="bg-BG"/>
        </w:rPr>
        <w:tab/>
      </w:r>
      <w:r>
        <w:rPr>
          <w:rFonts w:ascii="Times New Roman" w:hAnsi="Times New Roman"/>
          <w:lang w:val="bg-BG"/>
        </w:rPr>
        <w:t>Това не попречи на критиките от някои заинтересовани страни, които счетоха, че консултациите са били проведени по ограничаващ начин, което не е дало възможност за подобаващо обсъждане на предложението като цяло.</w:t>
      </w:r>
    </w:p>
  </w:footnote>
  <w:footnote w:id="6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 25</w:t>
      </w:r>
      <w:r>
        <w:rPr>
          <w:rFonts w:ascii="Times New Roman" w:hAnsi="Times New Roman"/>
          <w:lang w:val="bg-BG"/>
        </w:rPr>
        <w:t xml:space="preserve"> октомври законопроектът беше одобрен на първо четене на пленарно заседание на Народното събрание, което позволява да се пристъпи към по-подробното му обсъждане в съответните комисии. </w:t>
      </w:r>
    </w:p>
  </w:footnote>
  <w:footnote w:id="70">
    <w:p w:rsidR="00792097" w:rsidRDefault="00AC774E">
      <w:pPr>
        <w:pStyle w:val="FootnoteText"/>
        <w:tabs>
          <w:tab w:val="left" w:pos="284"/>
        </w:tabs>
        <w:spacing w:after="0" w:line="240" w:lineRule="auto"/>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 xml:space="preserve">COM (2015) 36 final, стр. 7. При анализа бяха установени проблеми </w:t>
      </w:r>
      <w:r>
        <w:rPr>
          <w:rFonts w:ascii="Times New Roman" w:hAnsi="Times New Roman"/>
          <w:spacing w:val="-2"/>
          <w:lang w:val="bg-BG"/>
        </w:rPr>
        <w:t>като ограничените човешки ресурси и голямото текучество, както и липсата на ясно уредено понятие за вътрешен административен контрол в законодателството, които затрудняват прилагането на общи задължителни насоки и потенциално създават риск от политическо в</w:t>
      </w:r>
      <w:r>
        <w:rPr>
          <w:rFonts w:ascii="Times New Roman" w:hAnsi="Times New Roman"/>
          <w:spacing w:val="-2"/>
          <w:lang w:val="bg-BG"/>
        </w:rPr>
        <w:t>лияние върху инспекциите. Вж. SWD (2015) 9 final, стр. 21.</w:t>
      </w:r>
    </w:p>
  </w:footnote>
  <w:footnote w:id="7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Като цяло административният контрол има за цел проверка и оценка на действията на администрацията за съответствие с нормативните актове с цел ефективност, прозрачност и предотвратяване на корупц</w:t>
      </w:r>
      <w:r>
        <w:rPr>
          <w:rFonts w:ascii="Times New Roman" w:hAnsi="Times New Roman"/>
          <w:lang w:val="bg-BG"/>
        </w:rPr>
        <w:t xml:space="preserve">ията. </w:t>
      </w:r>
    </w:p>
  </w:footnote>
  <w:footnote w:id="72">
    <w:p w:rsidR="00792097" w:rsidRDefault="00AC774E">
      <w:pPr>
        <w:pStyle w:val="FootnoteText"/>
        <w:tabs>
          <w:tab w:val="left" w:pos="284"/>
        </w:tabs>
        <w:spacing w:after="0" w:line="240" w:lineRule="auto"/>
        <w:ind w:left="284" w:hanging="284"/>
        <w:jc w:val="both"/>
        <w:rPr>
          <w:rFonts w:ascii="Times New Roman" w:hAnsi="Times New Roman"/>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 xml:space="preserve">Главният инспекторат отговаря за цялостната координация и се отчита пряко пред министър-председателя. </w:t>
      </w:r>
    </w:p>
  </w:footnote>
  <w:footnote w:id="73">
    <w:p w:rsidR="00792097" w:rsidRDefault="00AC774E">
      <w:pPr>
        <w:pStyle w:val="FootnoteText"/>
        <w:tabs>
          <w:tab w:val="left" w:pos="284"/>
        </w:tabs>
        <w:spacing w:after="0" w:line="240" w:lineRule="auto"/>
        <w:ind w:left="284" w:hanging="284"/>
        <w:jc w:val="both"/>
        <w:rPr>
          <w:rFonts w:ascii="Times New Roman" w:hAnsi="Times New Roman"/>
          <w:lang w:val="bg-BG" w:eastAsia="bg-BG" w:bidi="bg-BG"/>
        </w:rPr>
      </w:pPr>
      <w:r>
        <w:rPr>
          <w:rStyle w:val="FootnoteReference"/>
          <w:lang w:val="bg-BG"/>
        </w:rPr>
        <w:footnoteRef/>
      </w:r>
      <w:r>
        <w:rPr>
          <w:lang w:val="bg-BG"/>
        </w:rPr>
        <w:t xml:space="preserve"> </w:t>
      </w:r>
      <w:r>
        <w:rPr>
          <w:lang w:val="bg-BG"/>
        </w:rPr>
        <w:tab/>
      </w:r>
      <w:r>
        <w:rPr>
          <w:rFonts w:ascii="Times New Roman" w:hAnsi="Times New Roman"/>
          <w:lang w:val="bg-BG"/>
        </w:rPr>
        <w:t xml:space="preserve">Вж. например: COM (2017) 43 final, стр. 12; COM (2016) 40 final, стр. 12. </w:t>
      </w:r>
    </w:p>
  </w:footnote>
  <w:footnote w:id="74">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SWD(2017) 24 final, стр. 31-33. </w:t>
      </w:r>
    </w:p>
  </w:footnote>
  <w:footnote w:id="75">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Този съвет беше създаден о</w:t>
      </w:r>
      <w:r>
        <w:rPr>
          <w:rFonts w:ascii="Times New Roman" w:hAnsi="Times New Roman"/>
          <w:lang w:val="bg-BG"/>
        </w:rPr>
        <w:t>т предишното правителство като орган за наблюдение и оценка на напредъка по антикорупционната стратегия и се оглавява от националния координатор по антикорупционни политики (понастоящем това е заместник министър-председателят по правосъдната реформа и мини</w:t>
      </w:r>
      <w:r>
        <w:rPr>
          <w:rFonts w:ascii="Times New Roman" w:hAnsi="Times New Roman"/>
          <w:lang w:val="bg-BG"/>
        </w:rPr>
        <w:t xml:space="preserve">стър на външните работи). </w:t>
      </w:r>
    </w:p>
  </w:footnote>
  <w:footnote w:id="7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Естествено, има значително припокриване между проблемите, набелязани в хода на този процес, и проблемите, установени при анализа на структурата и функционалния модел на прокуратурата, както и при по-широкото обсъждане на наказ</w:t>
      </w:r>
      <w:r>
        <w:rPr>
          <w:rFonts w:ascii="Times New Roman" w:hAnsi="Times New Roman"/>
          <w:lang w:val="bg-BG"/>
        </w:rPr>
        <w:t xml:space="preserve">ателното производство. </w:t>
      </w:r>
    </w:p>
  </w:footnote>
  <w:footnote w:id="77">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В този контекст се споменава специализираното звено за борба с корупцията, работещо понастоящем при Софийска градска прокуратура. При все това, взетото впоследствие решение за прехвърляне на ключовите дела за корупция по високите етажи на властта към специ</w:t>
      </w:r>
      <w:r>
        <w:rPr>
          <w:rFonts w:ascii="Times New Roman" w:hAnsi="Times New Roman"/>
          <w:lang w:val="bg-BG"/>
        </w:rPr>
        <w:t xml:space="preserve">ализираната прокуратура за дела за организирана престъпност вероятно ще наложи известно преразглеждане на тези планове, в зависимост от конкретните работни договорености между различните институции. </w:t>
      </w:r>
    </w:p>
  </w:footnote>
  <w:footnote w:id="78">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t xml:space="preserve">Вж. напр. </w:t>
      </w:r>
      <w:r>
        <w:rPr>
          <w:rFonts w:ascii="Times New Roman" w:hAnsi="Times New Roman"/>
          <w:lang w:val="bg-BG"/>
        </w:rPr>
        <w:t>COM (2017) 43 final, стр. 11;</w:t>
      </w:r>
      <w:r>
        <w:rPr>
          <w:lang w:val="bg-BG"/>
        </w:rPr>
        <w:t xml:space="preserve"> </w:t>
      </w:r>
      <w:r>
        <w:rPr>
          <w:rFonts w:ascii="Times New Roman" w:hAnsi="Times New Roman"/>
          <w:lang w:val="bg-BG"/>
        </w:rPr>
        <w:t>COM (2016) 40</w:t>
      </w:r>
      <w:r>
        <w:rPr>
          <w:rFonts w:ascii="Times New Roman" w:hAnsi="Times New Roman"/>
          <w:lang w:val="bg-BG"/>
        </w:rPr>
        <w:t xml:space="preserve"> final, стр. 9. </w:t>
      </w:r>
    </w:p>
  </w:footnote>
  <w:footnote w:id="7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Това не означава, че оправдателните присъди са проблем, когато липсват доказателства. Въпросът е свързан по-скоро с липсата като цяло на осъдителни присъди по дела за корупция по високите етажи на властта — ситуация, която не съответств</w:t>
      </w:r>
      <w:r>
        <w:rPr>
          <w:rFonts w:ascii="Times New Roman" w:hAnsi="Times New Roman"/>
          <w:lang w:val="bg-BG"/>
        </w:rPr>
        <w:t>а на възприятията за мащаба на проблема с този вид корупция в България и която изпъква още повече предвид високия брой дела, внасяни ежегодно от прокуратурата в съда. Въпреки че през годините бяха образувани значителен брой дела срещу високопоставени длъжн</w:t>
      </w:r>
      <w:r>
        <w:rPr>
          <w:rFonts w:ascii="Times New Roman" w:hAnsi="Times New Roman"/>
          <w:lang w:val="bg-BG"/>
        </w:rPr>
        <w:t>остни лица, както и срещу министри и магистрати, те рядко водят до окончателни осъдителни присъди; вж. работния документ на службите на Комисията SWD (2017) 24 final, стр. 30—33.</w:t>
      </w:r>
      <w:r>
        <w:rPr>
          <w:lang w:val="bg-BG"/>
        </w:rPr>
        <w:t xml:space="preserve"> </w:t>
      </w:r>
      <w:r>
        <w:rPr>
          <w:rFonts w:ascii="Times New Roman" w:hAnsi="Times New Roman"/>
          <w:lang w:val="bg-BG"/>
        </w:rPr>
        <w:t>Тази тенденция сочи, че е налице по-общ проблем.</w:t>
      </w:r>
    </w:p>
  </w:footnote>
  <w:footnote w:id="8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 специализирания съд за</w:t>
      </w:r>
      <w:r>
        <w:rPr>
          <w:rFonts w:ascii="Times New Roman" w:hAnsi="Times New Roman"/>
          <w:lang w:val="bg-BG"/>
        </w:rPr>
        <w:t xml:space="preserve"> организираната престъпност е посветен отделен раздел, като същото се отнася и за военните съдилища. </w:t>
      </w:r>
    </w:p>
  </w:footnote>
  <w:footnote w:id="8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Тази разпоредба бе въведена през 2016 г. Чл. 138, т. 11 от Закона за съдебната власт. </w:t>
      </w:r>
    </w:p>
  </w:footnote>
  <w:footnote w:id="8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Чл. 84, т. 16 от Конституцията на Република България. </w:t>
      </w:r>
    </w:p>
  </w:footnote>
  <w:footnote w:id="83">
    <w:p w:rsidR="00792097" w:rsidRDefault="00AC774E">
      <w:pPr>
        <w:pStyle w:val="FootnoteText"/>
        <w:tabs>
          <w:tab w:val="left" w:pos="284"/>
        </w:tabs>
        <w:spacing w:after="0" w:line="240" w:lineRule="auto"/>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Спи</w:t>
      </w:r>
      <w:r>
        <w:rPr>
          <w:rFonts w:ascii="Times New Roman" w:hAnsi="Times New Roman"/>
          <w:spacing w:val="-2"/>
          <w:lang w:val="bg-BG"/>
        </w:rPr>
        <w:t>съкът включва по-специално наскоро потвърдена на последна инстанция условна присъда лишаване от свобода за срок от една година по дело за незаконно използване на разузнавателни средства, образувано срещу бившия председател на Софийски градски съд (т.нар. д</w:t>
      </w:r>
      <w:r>
        <w:rPr>
          <w:rFonts w:ascii="Times New Roman" w:hAnsi="Times New Roman"/>
          <w:spacing w:val="-2"/>
          <w:lang w:val="bg-BG"/>
        </w:rPr>
        <w:t>ело „Червеи“). Сред другите окончателни присъди, потвърдени от март т.г. насам, са: присъди по четири дела за активен подкуп (подкуп на полицейски служители), за които наложените присъди достигат до две години и осем месеца ефективно лишаване от свобода; т</w:t>
      </w:r>
      <w:r>
        <w:rPr>
          <w:rFonts w:ascii="Times New Roman" w:hAnsi="Times New Roman"/>
          <w:spacing w:val="-2"/>
          <w:lang w:val="bg-BG"/>
        </w:rPr>
        <w:t>ри дела за пасивен подкуп (включително дело за изнудване от висш държавен служител) с условни присъди лишаване от свобода до три години; дело за контрабанда на хора, извършена от длъжностни лица, свързани с митническите органи, по което са наложени условни</w:t>
      </w:r>
      <w:r>
        <w:rPr>
          <w:rFonts w:ascii="Times New Roman" w:hAnsi="Times New Roman"/>
          <w:spacing w:val="-2"/>
          <w:lang w:val="bg-BG"/>
        </w:rPr>
        <w:t xml:space="preserve"> присъди лишаване от свобода до три години; дело за умишлено сключване на неизгодна сделка в ущърб на държавата, по което е наложена условна присъда шест месеца лишаване от свобода; и дело за незаконно присвояване с условна присъда лишаване от свобода за д</w:t>
      </w:r>
      <w:r>
        <w:rPr>
          <w:rFonts w:ascii="Times New Roman" w:hAnsi="Times New Roman"/>
          <w:spacing w:val="-2"/>
          <w:lang w:val="bg-BG"/>
        </w:rPr>
        <w:t>ве години.</w:t>
      </w:r>
    </w:p>
  </w:footnote>
  <w:footnote w:id="84">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t xml:space="preserve">Вж. </w:t>
      </w:r>
      <w:r>
        <w:rPr>
          <w:rFonts w:ascii="Times New Roman" w:hAnsi="Times New Roman"/>
          <w:lang w:val="bg-BG"/>
        </w:rPr>
        <w:t>COM(2016) 40 final, стр. 12.</w:t>
      </w:r>
    </w:p>
  </w:footnote>
  <w:footnote w:id="85">
    <w:p w:rsidR="00792097" w:rsidRDefault="00AC774E">
      <w:pPr>
        <w:pStyle w:val="FootnoteText"/>
        <w:tabs>
          <w:tab w:val="left" w:pos="284"/>
        </w:tabs>
        <w:spacing w:after="0" w:line="240" w:lineRule="auto"/>
        <w:ind w:left="284" w:hanging="284"/>
        <w:jc w:val="both"/>
        <w:rPr>
          <w:spacing w:val="-6"/>
          <w:lang w:val="bg-BG"/>
        </w:rPr>
      </w:pPr>
      <w:r>
        <w:rPr>
          <w:rStyle w:val="FootnoteReference"/>
          <w:spacing w:val="-6"/>
          <w:lang w:val="bg-BG"/>
        </w:rPr>
        <w:footnoteRef/>
      </w:r>
      <w:r>
        <w:rPr>
          <w:spacing w:val="-6"/>
          <w:lang w:val="bg-BG"/>
        </w:rPr>
        <w:t xml:space="preserve"> </w:t>
      </w:r>
      <w:r>
        <w:rPr>
          <w:spacing w:val="-6"/>
          <w:lang w:val="bg-BG"/>
        </w:rPr>
        <w:tab/>
      </w:r>
      <w:r>
        <w:rPr>
          <w:rFonts w:ascii="Times New Roman" w:hAnsi="Times New Roman"/>
          <w:spacing w:val="-6"/>
          <w:lang w:val="bg-BG"/>
        </w:rPr>
        <w:t>Твърди се, че пакетът, приет през януари 2016 г., е имал за цел транспонирането в националното право на последните изменения на правилата на ЕС в областта на обществените поръчки. Следва да се отбележи обач</w:t>
      </w:r>
      <w:r>
        <w:rPr>
          <w:rFonts w:ascii="Times New Roman" w:hAnsi="Times New Roman"/>
          <w:spacing w:val="-6"/>
          <w:lang w:val="bg-BG"/>
        </w:rPr>
        <w:t>е, че България не спази крайния срок за транспонирането в националния правен ред на Директива 2014/23/ЕС за възлагане на договори за концесия, който бе 18 април 2016 г. Като се има предвид важността на тази директива за сектора на обществените поръчки, лип</w:t>
      </w:r>
      <w:r>
        <w:rPr>
          <w:rFonts w:ascii="Times New Roman" w:hAnsi="Times New Roman"/>
          <w:spacing w:val="-6"/>
          <w:lang w:val="bg-BG"/>
        </w:rPr>
        <w:t>сата на навременно транспониране може да доведе до намаляване на правната сигурност и до неоптимално използване на публичните средства.</w:t>
      </w:r>
    </w:p>
  </w:footnote>
  <w:footnote w:id="86">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Агенцията за държавна финансова инспекция и Сметната палата на Република България. </w:t>
      </w:r>
    </w:p>
  </w:footnote>
  <w:footnote w:id="87">
    <w:p w:rsidR="00792097" w:rsidRDefault="00AC774E">
      <w:pPr>
        <w:pStyle w:val="FootnoteText"/>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Наскоро беше подписано споразу</w:t>
      </w:r>
      <w:r>
        <w:rPr>
          <w:rFonts w:ascii="Times New Roman" w:hAnsi="Times New Roman"/>
          <w:lang w:val="bg-BG"/>
        </w:rPr>
        <w:t xml:space="preserve">мение за сътрудничество с цел увеличаване на полезното взаимодействие между тези институции. </w:t>
      </w:r>
    </w:p>
  </w:footnote>
  <w:footnote w:id="88">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COM (2017) 43 final, стр. 6–7. Това включва и специален акцент върху предотвратяването на корупцията по границите, включително на митниците, с целенасочени про</w:t>
      </w:r>
      <w:r>
        <w:rPr>
          <w:rFonts w:ascii="Times New Roman" w:hAnsi="Times New Roman"/>
          <w:lang w:val="bg-BG"/>
        </w:rPr>
        <w:t xml:space="preserve">верки, ротация на персонала, видео наблюдение и др. </w:t>
      </w:r>
    </w:p>
  </w:footnote>
  <w:footnote w:id="89">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Общи политики, свързани с етиката, съществуват в различни сектори на държавното управление, като те включват обучение на новите служители, правила относно приемането на подаръци и др. </w:t>
      </w:r>
    </w:p>
  </w:footnote>
  <w:footnote w:id="90">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Както бе пос</w:t>
      </w:r>
      <w:r>
        <w:rPr>
          <w:rFonts w:ascii="Times New Roman" w:hAnsi="Times New Roman"/>
          <w:lang w:val="bg-BG"/>
        </w:rPr>
        <w:t xml:space="preserve">очено по-горе, тя се оглавява от заместник министър-председателя по правосъдната реформа и министър на външните работи, на когото е възложена и функцията на национален координатор по антикорупционни политики. </w:t>
      </w:r>
    </w:p>
  </w:footnote>
  <w:footnote w:id="91">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Анализът се извършва от Центъра за превенци</w:t>
      </w:r>
      <w:r>
        <w:rPr>
          <w:rFonts w:ascii="Times New Roman" w:hAnsi="Times New Roman"/>
          <w:lang w:val="bg-BG"/>
        </w:rPr>
        <w:t xml:space="preserve">я и противодействие на корупцията и организираната престъпност (БОРКОР). </w:t>
      </w:r>
    </w:p>
  </w:footnote>
  <w:footnote w:id="92">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Версия на английски език може да бъде намерена на следния адрес: </w:t>
      </w:r>
      <w:hyperlink r:id="rId7" w:history="1">
        <w:r>
          <w:rPr>
            <w:rStyle w:val="Hyperlink"/>
            <w:rFonts w:ascii="Times New Roman" w:hAnsi="Times New Roman"/>
            <w:lang w:val="bg-BG"/>
          </w:rPr>
          <w:t>http://rai-see.org/wp-content/uploads/2015/08/Bulgaria_Anti-corruption_strategy_-2015.pdf</w:t>
        </w:r>
      </w:hyperlink>
      <w:r>
        <w:rPr>
          <w:rFonts w:ascii="Times New Roman" w:hAnsi="Times New Roman"/>
          <w:lang w:val="bg-BG"/>
        </w:rPr>
        <w:t>.</w:t>
      </w:r>
    </w:p>
  </w:footnote>
  <w:footnote w:id="93">
    <w:p w:rsidR="00792097" w:rsidRDefault="00AC774E">
      <w:pPr>
        <w:pStyle w:val="FootnoteText"/>
        <w:tabs>
          <w:tab w:val="left" w:pos="284"/>
        </w:tabs>
        <w:spacing w:after="0" w:line="240" w:lineRule="auto"/>
        <w:ind w:left="284" w:hanging="284"/>
        <w:jc w:val="both"/>
        <w:rPr>
          <w:rFonts w:ascii="Times New Roman" w:hAnsi="Times New Roman"/>
          <w:spacing w:val="-2"/>
          <w:lang w:val="bg-BG"/>
        </w:rPr>
      </w:pPr>
      <w:r>
        <w:rPr>
          <w:rStyle w:val="FootnoteReference"/>
          <w:spacing w:val="-2"/>
          <w:lang w:val="bg-BG"/>
        </w:rPr>
        <w:footnoteRef/>
      </w:r>
      <w:r>
        <w:rPr>
          <w:spacing w:val="-2"/>
          <w:lang w:val="bg-BG"/>
        </w:rPr>
        <w:t xml:space="preserve"> </w:t>
      </w:r>
      <w:r>
        <w:rPr>
          <w:spacing w:val="-2"/>
          <w:lang w:val="bg-BG"/>
        </w:rPr>
        <w:tab/>
      </w:r>
      <w:r>
        <w:rPr>
          <w:rFonts w:ascii="Times New Roman" w:hAnsi="Times New Roman"/>
          <w:spacing w:val="-2"/>
          <w:lang w:val="bg-BG"/>
        </w:rPr>
        <w:t>Броят на влезлите в сила присъди с лишаване от свобода е варирал между 20 и 72 годишно от 2012 г. насам, като за първата половина на 2017 г. тези присъди са 33. С</w:t>
      </w:r>
      <w:r>
        <w:rPr>
          <w:rFonts w:ascii="Times New Roman" w:hAnsi="Times New Roman"/>
          <w:spacing w:val="-2"/>
          <w:lang w:val="bg-BG"/>
        </w:rPr>
        <w:t>ред примерите за окончателни присъди, потвърдени от март т.г. досега, са дело срещу група, занимавала се с подправяне на платежни инструменти, и дело срещу група (включваща и член на силите на гранична полиция), занимавала се с измами с акцизи, като и двет</w:t>
      </w:r>
      <w:r>
        <w:rPr>
          <w:rFonts w:ascii="Times New Roman" w:hAnsi="Times New Roman"/>
          <w:spacing w:val="-2"/>
          <w:lang w:val="bg-BG"/>
        </w:rPr>
        <w:t xml:space="preserve">е дела са довели до присъди с лишаване от свобода до шест години. </w:t>
      </w:r>
    </w:p>
  </w:footnote>
  <w:footnote w:id="94">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Общият размер на отнетото имущество е възлизал на 9,4 млн. евро през 2016 г., което е значително повече, отколкото през предходните години. Неговият размер продължава да се увеличава пре</w:t>
      </w:r>
      <w:r>
        <w:rPr>
          <w:rFonts w:ascii="Times New Roman" w:hAnsi="Times New Roman"/>
          <w:lang w:val="bg-BG"/>
        </w:rPr>
        <w:t xml:space="preserve">з 2017 г., като до септември е било конфискувано имущество на стойност над 11 млн. евро. </w:t>
      </w:r>
    </w:p>
  </w:footnote>
  <w:footnote w:id="95">
    <w:p w:rsidR="00792097" w:rsidRDefault="00AC774E">
      <w:pPr>
        <w:pStyle w:val="FootnoteText"/>
        <w:tabs>
          <w:tab w:val="left" w:pos="284"/>
        </w:tabs>
        <w:spacing w:after="0" w:line="240" w:lineRule="auto"/>
        <w:ind w:left="284" w:hanging="284"/>
        <w:jc w:val="both"/>
        <w:rPr>
          <w:rFonts w:ascii="Times New Roman" w:hAnsi="Times New Roman"/>
          <w:lang w:val="bg-BG"/>
        </w:rPr>
      </w:pPr>
      <w:r>
        <w:rPr>
          <w:rStyle w:val="FootnoteReference"/>
          <w:lang w:val="bg-BG"/>
        </w:rPr>
        <w:footnoteRef/>
      </w:r>
      <w:r>
        <w:rPr>
          <w:lang w:val="bg-BG"/>
        </w:rPr>
        <w:t xml:space="preserve"> </w:t>
      </w:r>
      <w:r>
        <w:rPr>
          <w:lang w:val="bg-BG"/>
        </w:rPr>
        <w:tab/>
      </w:r>
      <w:r>
        <w:rPr>
          <w:rFonts w:ascii="Times New Roman" w:hAnsi="Times New Roman"/>
          <w:lang w:val="bg-BG"/>
        </w:rPr>
        <w:t xml:space="preserve">Вж. също по-горе.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74E" w:rsidRPr="00AC774E" w:rsidRDefault="00AC774E" w:rsidP="00AC774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7" w:rsidRDefault="0079209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7" w:rsidRDefault="0079209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97" w:rsidRDefault="00792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599E"/>
    <w:multiLevelType w:val="hybridMultilevel"/>
    <w:tmpl w:val="B4025306"/>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1">
    <w:nsid w:val="49D47C56"/>
    <w:multiLevelType w:val="multilevel"/>
    <w:tmpl w:val="8C26F68C"/>
    <w:lvl w:ilvl="0">
      <w:start w:val="1"/>
      <w:numFmt w:val="decimal"/>
      <w:pStyle w:val="Heading1"/>
      <w:lvlText w:val="%1."/>
      <w:lvlJc w:val="left"/>
      <w:pPr>
        <w:tabs>
          <w:tab w:val="num" w:pos="850"/>
        </w:tabs>
        <w:ind w:left="850" w:hanging="850"/>
      </w:pPr>
      <w:rPr>
        <w:rFonts w:cs="Times New Roman"/>
      </w:rPr>
    </w:lvl>
    <w:lvl w:ilvl="1">
      <w:start w:val="2"/>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6F5852F7"/>
    <w:multiLevelType w:val="hybridMultilevel"/>
    <w:tmpl w:val="3ADEE1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7?\u1088?\u1080?\u1076?\u1088?\u1091?\u1078?\u1072?\u1074?\u1072?\u1097?"/>
    <w:docVar w:name="LW_CORRIGENDUM" w:val="&lt;UNUSED&gt;"/>
    <w:docVar w:name="LW_COVERPAGE_EXISTS" w:val="True"/>
    <w:docVar w:name="LW_COVERPAGE_GUID" w:val="AB6988C1-DD08-4254-8C6C-53A03EC83A5E"/>
    <w:docVar w:name="LW_COVERPAGE_TYPE" w:val="1"/>
    <w:docVar w:name="LW_CROSSREFERENCE" w:val="{COM(2017) 750 final}"/>
    <w:docVar w:name="LW_DocType" w:val="NORMAL"/>
    <w:docVar w:name="LW_EMISSION" w:val="15.11.2017"/>
    <w:docVar w:name="LW_EMISSION_ISODATE" w:val="2017-11-15"/>
    <w:docVar w:name="LW_EMISSION_LOCATION" w:val="BRX"/>
    <w:docVar w:name="LW_EMISSION_PREFIX" w:val="\u1041?\u1088?\u1102?\u1082?\u1089?\u1077?\u1083?,"/>
    <w:docVar w:name="LW_EMISSION_SUFFIX" w:val="\u1075?."/>
    <w:docVar w:name="LW_ID_DOCTYPE_NONLW" w:val="CP-025"/>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86?\u1090?\u1085?\u1086?\u1089?\u1085?\u1086? \u1085?\u1072?\u1087?\u1088?\u1077?\u1076?\u1098?\u1082?\u1072? \u1085?\u1072? \u1041?\u1098?\u1083?\u1075?\u1072?\u1088?\u1080?\u1103? \u1087?\u1086? \u1084?\u1077?\u1093?\u1072?\u1085?\u1080?\u1079?\u1084?\u1072? \u1079?\u1072? \u1089?\u1098?\u1090?\u1088?\u1091?\u1076?\u1085?\u1080?\u1095?\u1077?\u1089?\u1090?\u1074?\u1086? \u1080? \u1087?\u1088?\u1086?\u1074?\u1077?\u1088?\u1082?\u1072?"/>
    <w:docVar w:name="LW_PART_NBR" w:val="1"/>
    <w:docVar w:name="LW_PART_NBR_TOTAL" w:val="1"/>
    <w:docVar w:name="LW_REF.INST.NEW" w:val="SWD"/>
    <w:docVar w:name="LW_REF.INST.NEW_ADOPTED" w:val="final"/>
    <w:docVar w:name="LW_REF.INST.NEW_TEXT" w:val="(2017) 7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1041?\u1066?\u1051?\u1043?\u1040?\u1056?\u1048?\u1071?: \u1058?\u1077?\u1093?\u1085?\u1080?\u1095?\u1077?\u1089?\u1082?\u1080? \u1076?\u1086?\u1082?\u1083?\u1072?\u1076?"/>
    <w:docVar w:name="LW_TYPE.DOC.CP" w:val="\u1056?\u1040?\u1041?\u1054?\u1058?\u1045?\u1053? \u1044?\u1054?\u1050?\u1059?\u1052?\u1045?\u1053?\u1058? \u1053?\u1040? \u1057?\u1051?\u1059?\u1046?\u1041?\u1048?\u1058?\u1045? \u1053?\u1040? \u1050?\u1054?\u1052?\u1048?\u1057?\u1048?\u1071?\u1058?\u1040?"/>
    <w:docVar w:name="LW_TYPEACTEPRINCIPAL.CP" w:val="\u1044?\u1054?\u1050?\u1051?\u1040?\u1044? \u1053?\u1040? \u1050?\u1054?\u1052?\u1048?\u1057?\u1048?\u1071?\u1058?\u1040? \u1044?\u1054? \u1045?\u1042?\u1056?\u1054?\u1055?\u1045?\u1049?\u1057?\u1050?\u1048?\u1071? \u1055?\u1040?\u1056?\u1051?\u1040?\u1052?\u1045?\u1053?\u1058? \u1048? \u1057?\u1066?\u1042?\u1045?\u1058?\u1040?"/>
  </w:docVars>
  <w:rsids>
    <w:rsidRoot w:val="00792097"/>
    <w:rsid w:val="00792097"/>
    <w:rsid w:val="00AC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semiHidden/>
    <w:unhideWhenUsed/>
    <w:qFormat/>
    <w:pPr>
      <w:keepNext/>
      <w:numPr>
        <w:ilvl w:val="1"/>
        <w:numId w:val="3"/>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e"/>
    <w:uiPriority w:val="99"/>
    <w:unhideWhenUsed/>
    <w:qFormat/>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semiHidden/>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semiHidden/>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semiHidden/>
    <w:rPr>
      <w:rFonts w:ascii="Times New Roman" w:eastAsia="Times New Roman" w:hAnsi="Times New Roman" w:cs="Times New Roman"/>
      <w:bCs/>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semiHidden/>
    <w:unhideWhenUsed/>
    <w:qFormat/>
    <w:pPr>
      <w:keepNext/>
      <w:numPr>
        <w:ilvl w:val="1"/>
        <w:numId w:val="3"/>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e"/>
    <w:uiPriority w:val="99"/>
    <w:unhideWhenUsed/>
    <w:qFormat/>
    <w:rPr>
      <w:vertAlign w:val="superscript"/>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semiHidden/>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semiHidden/>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semiHidden/>
    <w:rPr>
      <w:rFonts w:ascii="Times New Roman" w:eastAsia="Times New Roman" w:hAnsi="Times New Roman" w:cs="Times New Roman"/>
      <w:bCs/>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45783">
      <w:bodyDiv w:val="1"/>
      <w:marLeft w:val="0"/>
      <w:marRight w:val="0"/>
      <w:marTop w:val="0"/>
      <w:marBottom w:val="0"/>
      <w:divBdr>
        <w:top w:val="none" w:sz="0" w:space="0" w:color="auto"/>
        <w:left w:val="none" w:sz="0" w:space="0" w:color="auto"/>
        <w:bottom w:val="none" w:sz="0" w:space="0" w:color="auto"/>
        <w:right w:val="none" w:sz="0" w:space="0" w:color="auto"/>
      </w:divBdr>
    </w:div>
    <w:div w:id="1094782020">
      <w:bodyDiv w:val="1"/>
      <w:marLeft w:val="0"/>
      <w:marRight w:val="0"/>
      <w:marTop w:val="0"/>
      <w:marBottom w:val="0"/>
      <w:divBdr>
        <w:top w:val="none" w:sz="0" w:space="0" w:color="auto"/>
        <w:left w:val="none" w:sz="0" w:space="0" w:color="auto"/>
        <w:bottom w:val="none" w:sz="0" w:space="0" w:color="auto"/>
        <w:right w:val="none" w:sz="0" w:space="0" w:color="auto"/>
      </w:divBdr>
    </w:div>
    <w:div w:id="1619872920">
      <w:bodyDiv w:val="1"/>
      <w:marLeft w:val="0"/>
      <w:marRight w:val="0"/>
      <w:marTop w:val="0"/>
      <w:marBottom w:val="0"/>
      <w:divBdr>
        <w:top w:val="none" w:sz="0" w:space="0" w:color="auto"/>
        <w:left w:val="none" w:sz="0" w:space="0" w:color="auto"/>
        <w:bottom w:val="none" w:sz="0" w:space="0" w:color="auto"/>
        <w:right w:val="none" w:sz="0" w:space="0" w:color="auto"/>
      </w:divBdr>
    </w:div>
    <w:div w:id="18727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rategy.bg/FileHandler.ashx?fileId=5570" TargetMode="External"/><Relationship Id="rId7" Type="http://schemas.openxmlformats.org/officeDocument/2006/relationships/hyperlink" Target="http://rai-see.org/wp-content/uploads/2015/08/Bulgaria_Anti-corruption_strategy_-2015.pdf%20" TargetMode="External"/><Relationship Id="rId2" Type="http://schemas.openxmlformats.org/officeDocument/2006/relationships/hyperlink" Target="http://www.venice.coe.int/webforms/documents/default.aspx?pdffile=CDL-AD(2017)018-e" TargetMode="External"/><Relationship Id="rId1" Type="http://schemas.openxmlformats.org/officeDocument/2006/relationships/hyperlink" Target="https://www.coe.int/en/web/greco/-/bulgaria-publication-of-the-fourth-round-compliance-report" TargetMode="External"/><Relationship Id="rId6" Type="http://schemas.openxmlformats.org/officeDocument/2006/relationships/hyperlink" Target="https://www.slideshare.net/NatashaDobreva/sz-v-bulgaria-systemic-problem-of-ineffectiveness-of-investigations-in-bulgaria" TargetMode="External"/><Relationship Id="rId5" Type="http://schemas.openxmlformats.org/officeDocument/2006/relationships/hyperlink" Target="https://hudoc.echr.coe.int/eng" TargetMode="External"/><Relationship Id="rId4" Type="http://schemas.openxmlformats.org/officeDocument/2006/relationships/hyperlink" Target="http://www.mjs.bg/Files/Executive%20Summary%20Final%20Report%20BG%20151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D1D0-E518-46EC-ACC0-62CCF3EF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9418</Words>
  <Characters>56138</Characters>
  <Application>Microsoft Office Word</Application>
  <DocSecurity>0</DocSecurity>
  <Lines>780</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24</cp:revision>
  <cp:lastPrinted>2017-10-30T13:39:00Z</cp:lastPrinted>
  <dcterms:created xsi:type="dcterms:W3CDTF">2017-11-13T16:47:00Z</dcterms:created>
  <dcterms:modified xsi:type="dcterms:W3CDTF">2017-11-16T09:33:00Z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