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F884CA38-C1FF-4694-8EAC-BA2B27E6B719" style="width:450.6pt;height:410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  <w:u w:val="none"/>
        </w:rPr>
        <w:lastRenderedPageBreak/>
        <w:t xml:space="preserve">ПРИЛОЖЕНИЕ </w:t>
      </w:r>
      <w:r>
        <w:rPr>
          <w:noProof/>
          <w:u w:val="none"/>
        </w:rPr>
        <w:br/>
      </w:r>
      <w:r>
        <w:rPr>
          <w:noProof/>
          <w:u w:val="none"/>
        </w:rPr>
        <w:br/>
        <w:t>РЕШЕНИЕ НА СЪВМЕСТНИЯ КОМИТЕТ ЕС—ШВЕЙЦАРИЯ</w:t>
      </w:r>
      <w:r>
        <w:rPr>
          <w:rStyle w:val="FootnoteReference"/>
          <w:noProof/>
          <w:u w:val="none"/>
        </w:rPr>
        <w:footnoteReference w:id="2"/>
      </w:r>
      <w:r>
        <w:rPr>
          <w:noProof/>
          <w:u w:val="none"/>
        </w:rPr>
        <w:t xml:space="preserve"> </w:t>
      </w:r>
      <w:r>
        <w:rPr>
          <w:noProof/>
          <w:u w:val="none"/>
        </w:rPr>
        <w:br/>
      </w:r>
      <w:r>
        <w:rPr>
          <w:noProof/>
          <w:u w:val="none"/>
        </w:rPr>
        <w:br/>
        <w:t>за изменение на приложенията и протоколите към Споразумението между Европейската икономическа общност и Конфедерация Швейцария относно прякото застраховане, различно от животозастраховането, и за установяване на съвместимостта на вътрешното законодателство на договарящите страни с посоченото споразумение</w:t>
      </w:r>
    </w:p>
    <w:p>
      <w:pPr>
        <w:pStyle w:val="Institutionquiagit"/>
        <w:rPr>
          <w:noProof/>
        </w:rPr>
      </w:pPr>
      <w:r>
        <w:rPr>
          <w:noProof/>
        </w:rPr>
        <w:t>СЪВМЕСТНИЯТ КОМИТЕТ ЕС—ШВЕЙЦАРИЯ,</w:t>
      </w:r>
    </w:p>
    <w:p>
      <w:pPr>
        <w:rPr>
          <w:noProof/>
        </w:rPr>
      </w:pPr>
      <w:r>
        <w:rPr>
          <w:noProof/>
        </w:rPr>
        <w:t xml:space="preserve">като взе предвид член 39 и член 40, параграф 3 от Споразумението между Европейската икономическа общност и Конфедерация Швейцария относно прякото застраховане, различно от животозастраховането („споразумението“), </w:t>
      </w:r>
    </w:p>
    <w:p>
      <w:pPr>
        <w:rPr>
          <w:noProof/>
        </w:rPr>
      </w:pPr>
      <w:r>
        <w:rPr>
          <w:noProof/>
        </w:rPr>
        <w:t>като взе предвид Решение № 1/2001 на Съвместния комитет ЕС—Швейцария,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Considrant"/>
        <w:numPr>
          <w:ilvl w:val="0"/>
          <w:numId w:val="9"/>
        </w:numPr>
        <w:rPr>
          <w:noProof/>
        </w:rPr>
      </w:pPr>
      <w:r>
        <w:rPr>
          <w:noProof/>
        </w:rPr>
        <w:t>Към Съюза се присъединиха нови държави членки и тяхното присъединяване налага някои технически изменения на приложение III към споразумението;</w:t>
      </w:r>
    </w:p>
    <w:p>
      <w:pPr>
        <w:pStyle w:val="Considrant"/>
        <w:rPr>
          <w:noProof/>
        </w:rPr>
      </w:pPr>
      <w:r>
        <w:rPr>
          <w:noProof/>
        </w:rPr>
        <w:t>Някои законодателни разпоредби, приети от Съюза и от Швейцария, изискват изменение на протоколите и приложенията към споразумението;</w:t>
      </w:r>
    </w:p>
    <w:p>
      <w:pPr>
        <w:pStyle w:val="Considrant"/>
        <w:rPr>
          <w:noProof/>
        </w:rPr>
      </w:pPr>
      <w:r>
        <w:rPr>
          <w:noProof/>
        </w:rPr>
        <w:t>След преглед бе установено, че някои законодателни разпоредби, приети от Швейцария, не налагат изменение на споразумението.</w:t>
      </w:r>
    </w:p>
    <w:p>
      <w:pPr>
        <w:pStyle w:val="Considrant"/>
        <w:rPr>
          <w:noProof/>
        </w:rPr>
      </w:pPr>
      <w:r>
        <w:rPr>
          <w:noProof/>
        </w:rPr>
        <w:t>В резултат на приемането от Конфедерация Швейцария и от Европейския съюз на законодателни разпоредби в периода между 18 юли 2001 г. и [датата на подписване на решението], и за да се вземе предвид присъединяването на нови държави членки към Европейския съюз,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Споразумението се изменя, както следва:</w:t>
      </w:r>
    </w:p>
    <w:p>
      <w:pPr>
        <w:pStyle w:val="Point0number"/>
        <w:numPr>
          <w:ilvl w:val="0"/>
          <w:numId w:val="10"/>
        </w:numPr>
        <w:tabs>
          <w:tab w:val="clear" w:pos="850"/>
          <w:tab w:val="left" w:pos="567"/>
        </w:tabs>
        <w:ind w:left="0" w:firstLine="0"/>
        <w:rPr>
          <w:noProof/>
        </w:rPr>
      </w:pPr>
      <w:r>
        <w:rPr>
          <w:noProof/>
        </w:rPr>
        <w:t>Обменната стойност между EUR и CHF за всички приложения и протоколи се определя на 1 EUR = 1,14 CHF.</w:t>
      </w:r>
    </w:p>
    <w:p>
      <w:pPr>
        <w:pStyle w:val="Point0number"/>
        <w:tabs>
          <w:tab w:val="clear" w:pos="850"/>
          <w:tab w:val="left" w:pos="567"/>
        </w:tabs>
        <w:ind w:left="0" w:firstLine="0"/>
        <w:rPr>
          <w:noProof/>
        </w:rPr>
      </w:pPr>
      <w:r>
        <w:rPr>
          <w:noProof/>
        </w:rPr>
        <w:t>Протокол № 1 към споразумението се изменя, както следва:</w:t>
      </w:r>
    </w:p>
    <w:p>
      <w:pPr>
        <w:pStyle w:val="Point1"/>
        <w:tabs>
          <w:tab w:val="left" w:pos="1134"/>
        </w:tabs>
        <w:ind w:left="567" w:firstLine="0"/>
        <w:rPr>
          <w:noProof/>
        </w:rPr>
      </w:pPr>
      <w:r>
        <w:rPr>
          <w:noProof/>
        </w:rPr>
        <w:t>а)</w:t>
      </w:r>
      <w:r>
        <w:rPr>
          <w:noProof/>
        </w:rPr>
        <w:tab/>
        <w:t>Член 1 се заменя със следното:</w:t>
      </w:r>
    </w:p>
    <w:p>
      <w:pPr>
        <w:pStyle w:val="Point1"/>
        <w:ind w:left="840" w:right="568" w:firstLine="10"/>
        <w:jc w:val="center"/>
        <w:rPr>
          <w:noProof/>
        </w:rPr>
      </w:pPr>
      <w:r>
        <w:rPr>
          <w:noProof/>
        </w:rPr>
        <w:t>„Член 1</w:t>
      </w:r>
    </w:p>
    <w:p>
      <w:pPr>
        <w:pStyle w:val="Point1"/>
        <w:ind w:left="840" w:right="568" w:firstLine="10"/>
        <w:jc w:val="center"/>
        <w:rPr>
          <w:noProof/>
        </w:rPr>
      </w:pPr>
      <w:r>
        <w:rPr>
          <w:noProof/>
        </w:rPr>
        <w:t>Определяне на границата на платежоспособност</w:t>
      </w:r>
    </w:p>
    <w:p>
      <w:pPr>
        <w:pStyle w:val="Point1"/>
        <w:ind w:left="1134" w:right="568" w:firstLine="0"/>
        <w:rPr>
          <w:noProof/>
        </w:rPr>
      </w:pPr>
      <w:r>
        <w:rPr>
          <w:noProof/>
        </w:rPr>
        <w:t>Границата на платежоспособност за предприятия, чието главно управление се намира на територията на Съюза, е капиталовото изискване за платежоспособност, посочено в членове 100 и 101 от Директива 2009/138/ЕО на Европейския парламент и на Съвета* (Платежоспособност II), изменена с Директива 2014/51/ЕС на Европейския парламент и на Съвета** (Омнибус II).</w:t>
      </w:r>
    </w:p>
    <w:p>
      <w:pPr>
        <w:pStyle w:val="Point1"/>
        <w:ind w:left="1134" w:right="568" w:firstLine="10"/>
        <w:rPr>
          <w:noProof/>
        </w:rPr>
      </w:pPr>
      <w:r>
        <w:rPr>
          <w:noProof/>
        </w:rPr>
        <w:t>Границата на платежоспособност за предприятия, чието главно управление се намира на територията на Конфедерация Швейцария, е целевият капитал (Zielkapital), който се определя — съвместно със свързаните с него понятия на швейцарския тест за платежоспособност, като например оценката на активите и пасивите и рисковият капитал (Risikotragendes Kapital) — във Versicherungsaufsichtsgesetz*** (Закона за надзор на застрахователната дейност) и Aufsichtsverordnung**** (Наредбата за надзор на застрахователната дейност).</w:t>
      </w:r>
    </w:p>
    <w:p>
      <w:pPr>
        <w:pStyle w:val="Point1"/>
        <w:ind w:left="1134" w:right="568" w:firstLine="10"/>
        <w:rPr>
          <w:rFonts w:eastAsia="Times New Roman"/>
          <w:noProof/>
          <w:szCs w:val="24"/>
        </w:rPr>
      </w:pPr>
      <w:r>
        <w:rPr>
          <w:noProof/>
        </w:rPr>
        <w:t>_____________________________________________________________</w:t>
      </w:r>
    </w:p>
    <w:p>
      <w:pPr>
        <w:pStyle w:val="Point1"/>
        <w:ind w:left="1701" w:right="568" w:hanging="557"/>
        <w:rPr>
          <w:rFonts w:eastAsia="Times New Roman"/>
          <w:noProof/>
          <w:sz w:val="20"/>
          <w:szCs w:val="20"/>
        </w:rPr>
      </w:pPr>
      <w:r>
        <w:rPr>
          <w:noProof/>
          <w:sz w:val="20"/>
        </w:rPr>
        <w:t>*</w:t>
      </w:r>
      <w:r>
        <w:rPr>
          <w:noProof/>
        </w:rPr>
        <w:tab/>
      </w:r>
      <w:r>
        <w:rPr>
          <w:noProof/>
          <w:sz w:val="20"/>
        </w:rPr>
        <w:t>Директива 2009/138/ЕО на Европейския парламент и на Съвета от 25 ноември 2009 г. относно започването и упражняването на застрахователна и презастрахователна дейност (ОВ L 335, 17.12.2009 г., стр. 1).</w:t>
      </w:r>
    </w:p>
    <w:p>
      <w:pPr>
        <w:pStyle w:val="Point1"/>
        <w:ind w:left="1701" w:right="568" w:hanging="557"/>
        <w:rPr>
          <w:rFonts w:eastAsia="Times New Roman"/>
          <w:noProof/>
          <w:sz w:val="20"/>
          <w:szCs w:val="20"/>
        </w:rPr>
      </w:pPr>
      <w:r>
        <w:rPr>
          <w:noProof/>
          <w:sz w:val="20"/>
        </w:rPr>
        <w:t>**</w:t>
      </w:r>
      <w:r>
        <w:rPr>
          <w:noProof/>
        </w:rPr>
        <w:tab/>
      </w:r>
      <w:r>
        <w:rPr>
          <w:noProof/>
          <w:sz w:val="20"/>
        </w:rPr>
        <w:t>Директива 2014/51/ЕС на Европейския парламент и на Съвета от 16 април 2014 г. за изменение на Директива 2003/71/ЕО, Директива 2009/138/ЕО, Регламент (ЕО) № 1060/2009, Регламент (ЕС) № 1094/2010 и Регламент (ЕС) № 1095/2010 във връзка с правомощията на Европейския надзорен орган (Европейския орган за застраховане и професионално пенсионно осигуряване) и на Европейския надзорен орган (Европейския орган за ценни книжа и пазари) (ОВ L 153, 22.5.2014 г., стр. 1).</w:t>
      </w:r>
    </w:p>
    <w:p>
      <w:pPr>
        <w:pStyle w:val="Point1"/>
        <w:ind w:left="1701" w:right="568" w:hanging="557"/>
        <w:rPr>
          <w:rFonts w:eastAsia="Times New Roman"/>
          <w:noProof/>
          <w:sz w:val="20"/>
          <w:szCs w:val="20"/>
        </w:rPr>
      </w:pPr>
      <w:r>
        <w:rPr>
          <w:noProof/>
          <w:sz w:val="20"/>
        </w:rPr>
        <w:t>***</w:t>
      </w:r>
      <w:r>
        <w:rPr>
          <w:noProof/>
        </w:rPr>
        <w:tab/>
      </w:r>
      <w:r>
        <w:rPr>
          <w:noProof/>
          <w:sz w:val="20"/>
        </w:rPr>
        <w:t>Versicherungsaufsichtsgesetz, SR 961.01.</w:t>
      </w:r>
    </w:p>
    <w:p>
      <w:pPr>
        <w:pStyle w:val="Point1"/>
        <w:ind w:left="1701" w:right="568" w:hanging="557"/>
        <w:rPr>
          <w:rFonts w:eastAsia="Times New Roman"/>
          <w:noProof/>
          <w:sz w:val="20"/>
          <w:szCs w:val="20"/>
        </w:rPr>
      </w:pPr>
      <w:r>
        <w:rPr>
          <w:noProof/>
          <w:sz w:val="20"/>
        </w:rPr>
        <w:t>****</w:t>
      </w:r>
      <w:r>
        <w:rPr>
          <w:noProof/>
        </w:rPr>
        <w:tab/>
      </w:r>
      <w:r>
        <w:rPr>
          <w:noProof/>
          <w:sz w:val="20"/>
        </w:rPr>
        <w:t>Aufsichtsverordnung, SR 961.011.“;</w:t>
      </w:r>
    </w:p>
    <w:p>
      <w:pPr>
        <w:pStyle w:val="Point1"/>
        <w:ind w:left="1134" w:right="568"/>
        <w:rPr>
          <w:noProof/>
        </w:rPr>
      </w:pPr>
      <w:r>
        <w:rPr>
          <w:noProof/>
        </w:rPr>
        <w:t>б)</w:t>
      </w:r>
      <w:r>
        <w:rPr>
          <w:noProof/>
        </w:rPr>
        <w:tab/>
        <w:t>Член 2 се заличава;</w:t>
      </w:r>
    </w:p>
    <w:p>
      <w:pPr>
        <w:pStyle w:val="Point1"/>
        <w:ind w:left="1134"/>
        <w:rPr>
          <w:rFonts w:eastAsia="Times New Roman"/>
          <w:noProof/>
          <w:szCs w:val="24"/>
        </w:rPr>
      </w:pPr>
      <w:r>
        <w:rPr>
          <w:noProof/>
        </w:rPr>
        <w:t>в)</w:t>
      </w:r>
      <w:r>
        <w:rPr>
          <w:noProof/>
        </w:rPr>
        <w:tab/>
        <w:t>Член 3 се заменя със следното:</w:t>
      </w:r>
    </w:p>
    <w:p>
      <w:pPr>
        <w:pStyle w:val="Point1"/>
        <w:ind w:left="1134" w:right="568" w:firstLine="0"/>
        <w:jc w:val="center"/>
        <w:rPr>
          <w:rFonts w:eastAsia="Times New Roman"/>
          <w:noProof/>
          <w:szCs w:val="24"/>
        </w:rPr>
      </w:pPr>
      <w:r>
        <w:rPr>
          <w:noProof/>
        </w:rPr>
        <w:t>„Член 3</w:t>
      </w:r>
    </w:p>
    <w:p>
      <w:pPr>
        <w:pStyle w:val="Point1"/>
        <w:ind w:left="1134" w:right="568" w:firstLine="0"/>
        <w:jc w:val="center"/>
        <w:rPr>
          <w:noProof/>
        </w:rPr>
      </w:pPr>
      <w:r>
        <w:rPr>
          <w:noProof/>
        </w:rPr>
        <w:t>Определение на гаранционния фонд</w:t>
      </w:r>
    </w:p>
    <w:p>
      <w:pPr>
        <w:pStyle w:val="Point1"/>
        <w:ind w:left="1134" w:right="568" w:hanging="1"/>
        <w:rPr>
          <w:noProof/>
        </w:rPr>
      </w:pPr>
      <w:r>
        <w:rPr>
          <w:noProof/>
        </w:rPr>
        <w:t>Гаранционният фонд за предприятия, чието главно управление се намира на територията на Съюза, е минималното капиталово изискване, посочено в членове 128 и 129 от Директивата „Платежоспособност II“, изменена с Директивата „Омнибус II“.</w:t>
      </w:r>
    </w:p>
    <w:p>
      <w:pPr>
        <w:pStyle w:val="Point1"/>
        <w:ind w:left="1134" w:right="568" w:firstLine="0"/>
        <w:rPr>
          <w:noProof/>
        </w:rPr>
      </w:pPr>
      <w:r>
        <w:rPr>
          <w:noProof/>
        </w:rPr>
        <w:t>Гаранционният фонд за предприятия, чието главно управление се намира на територията на Конфедерация Швейцария, е минималният капитал (най-ниското ниво на интервенция) според швейцарския тест за платежоспособност.“;</w:t>
      </w:r>
    </w:p>
    <w:p>
      <w:pPr>
        <w:pStyle w:val="Point1"/>
        <w:ind w:left="1134"/>
        <w:rPr>
          <w:noProof/>
        </w:rPr>
      </w:pPr>
      <w:r>
        <w:rPr>
          <w:noProof/>
        </w:rPr>
        <w:t>г)</w:t>
      </w:r>
      <w:r>
        <w:rPr>
          <w:noProof/>
        </w:rPr>
        <w:tab/>
        <w:t>Член 4 се заличава.</w:t>
      </w:r>
    </w:p>
    <w:p>
      <w:pPr>
        <w:pStyle w:val="Point0number"/>
        <w:tabs>
          <w:tab w:val="clear" w:pos="850"/>
          <w:tab w:val="left" w:pos="567"/>
        </w:tabs>
        <w:ind w:left="0" w:firstLine="0"/>
        <w:rPr>
          <w:noProof/>
        </w:rPr>
      </w:pPr>
      <w:r>
        <w:rPr>
          <w:noProof/>
        </w:rPr>
        <w:t>Списъкът на разрешените правни форми в част Б от приложение III към споразумението следва да бъде заменен със списъка в част А от приложение III към Директива 2009/138/ЕО на Европейския парламент и на Съвета</w:t>
      </w:r>
      <w:r>
        <w:rPr>
          <w:rStyle w:val="FootnoteReference"/>
          <w:noProof/>
        </w:rPr>
        <w:footnoteReference w:id="3"/>
      </w:r>
      <w:r>
        <w:rPr>
          <w:noProof/>
        </w:rPr>
        <w:t>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spacing w:before="150" w:after="150"/>
        <w:ind w:right="1"/>
        <w:rPr>
          <w:noProof/>
        </w:rPr>
      </w:pPr>
      <w:r>
        <w:rPr>
          <w:noProof/>
        </w:rPr>
        <w:t>Следните актове на Съюза са съвместими със споразумението:</w:t>
      </w:r>
    </w:p>
    <w:p>
      <w:pPr>
        <w:pStyle w:val="Tiret0"/>
        <w:numPr>
          <w:ilvl w:val="0"/>
          <w:numId w:val="11"/>
        </w:numPr>
        <w:rPr>
          <w:noProof/>
        </w:rPr>
      </w:pPr>
      <w:r>
        <w:rPr>
          <w:noProof/>
        </w:rPr>
        <w:t>Директива 2009/138/ЕО (Платежоспособност II), изменена с Директива 2014/51/ЕС на Европейския парламент и на Съвета (Омнибус II)</w:t>
      </w:r>
      <w:r>
        <w:rPr>
          <w:rStyle w:val="FootnoteReference"/>
          <w:noProof/>
        </w:rPr>
        <w:footnoteReference w:id="4"/>
      </w:r>
      <w:r>
        <w:rPr>
          <w:noProof/>
        </w:rPr>
        <w:t>;</w:t>
      </w:r>
    </w:p>
    <w:p>
      <w:pPr>
        <w:pStyle w:val="Tiret0"/>
        <w:rPr>
          <w:noProof/>
        </w:rPr>
      </w:pPr>
      <w:r>
        <w:rPr>
          <w:noProof/>
        </w:rPr>
        <w:t xml:space="preserve">Делегиран регламент (ЕС) 2015/35 на Комисията, в редакцията му, публикувана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 на 17 януари 2015 г.</w:t>
      </w:r>
      <w:r>
        <w:rPr>
          <w:rStyle w:val="FootnoteReference"/>
          <w:noProof/>
        </w:rPr>
        <w:footnoteReference w:id="5"/>
      </w:r>
      <w:r>
        <w:rPr>
          <w:noProof/>
        </w:rPr>
        <w:t>;</w:t>
      </w:r>
    </w:p>
    <w:p>
      <w:pPr>
        <w:pStyle w:val="Tiret0"/>
        <w:rPr>
          <w:noProof/>
        </w:rPr>
      </w:pPr>
      <w:r>
        <w:rPr>
          <w:noProof/>
        </w:rPr>
        <w:t xml:space="preserve">Регламент за изпълнение (ЕС) 2015/460 на Комисията за одобряване на вътрешен модел, в редакцията му, публикувана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 на 20 март 2015 г.</w:t>
      </w:r>
      <w:r>
        <w:rPr>
          <w:rStyle w:val="FootnoteReference"/>
          <w:noProof/>
        </w:rPr>
        <w:footnoteReference w:id="6"/>
      </w:r>
      <w:r>
        <w:rPr>
          <w:noProof/>
        </w:rPr>
        <w:t>;</w:t>
      </w:r>
    </w:p>
    <w:p>
      <w:pPr>
        <w:pStyle w:val="Tiret0"/>
        <w:rPr>
          <w:noProof/>
        </w:rPr>
      </w:pPr>
      <w:r>
        <w:rPr>
          <w:noProof/>
        </w:rPr>
        <w:t xml:space="preserve">Регламент за изпълнение (ЕС) 2015/462 на Комисията относно процедурите за одобрение от надзорните органи за учредяване на ССЦАПЗР, за сътрудничеството и обмен на информация между надзорните органи във връзка със ССЦАПЗР, както и за определяне на форматите и образците за информацията, която се отчита от ССЦАПЗР, в редакцията му, публикувана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 на 20 март 2015 г.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; </w:t>
      </w:r>
    </w:p>
    <w:p>
      <w:pPr>
        <w:pStyle w:val="Tiret0"/>
        <w:rPr>
          <w:noProof/>
        </w:rPr>
      </w:pPr>
      <w:r>
        <w:rPr>
          <w:noProof/>
        </w:rPr>
        <w:t xml:space="preserve">Регламент за изпълнение (ЕС) 2015/461 на Комисията относно процеса на постигане на съвместно решение относно заявлението за използване на вътрешен модел на групата, в редакцията му, публикувана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 на 20 март 2015 г.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; </w:t>
      </w:r>
    </w:p>
    <w:p>
      <w:pPr>
        <w:pStyle w:val="Tiret0"/>
        <w:rPr>
          <w:noProof/>
        </w:rPr>
      </w:pPr>
      <w:r>
        <w:rPr>
          <w:noProof/>
        </w:rPr>
        <w:t xml:space="preserve">Регламент за изпълнение (ЕС) 2015/498 на Комисията за процедурите за одобряване от надзорния орган на използването на специфични за предприятието параметри, в редакцията му, публикувана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 на 25 март 2015 г.</w:t>
      </w:r>
      <w:r>
        <w:rPr>
          <w:rStyle w:val="FootnoteReference"/>
          <w:noProof/>
        </w:rPr>
        <w:footnoteReference w:id="9"/>
      </w:r>
      <w:r>
        <w:rPr>
          <w:noProof/>
        </w:rPr>
        <w:t xml:space="preserve">; </w:t>
      </w:r>
    </w:p>
    <w:p>
      <w:pPr>
        <w:pStyle w:val="Tiret0"/>
        <w:rPr>
          <w:noProof/>
        </w:rPr>
      </w:pPr>
      <w:r>
        <w:rPr>
          <w:noProof/>
        </w:rPr>
        <w:t xml:space="preserve">Регламент за изпълнение (ЕС) 2015/500 на Комисията относно приложимите процедури за одобряване от надзорния орган на заявлението за прилагане на изравнителна корекция, в редакцията му, публикувана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 на 25 март 2015 г.</w:t>
      </w:r>
      <w:r>
        <w:rPr>
          <w:rStyle w:val="FootnoteReference"/>
          <w:noProof/>
        </w:rPr>
        <w:footnoteReference w:id="10"/>
      </w:r>
      <w:r>
        <w:rPr>
          <w:noProof/>
        </w:rPr>
        <w:t xml:space="preserve">; </w:t>
      </w:r>
    </w:p>
    <w:p>
      <w:pPr>
        <w:pStyle w:val="Tiret0"/>
        <w:rPr>
          <w:noProof/>
        </w:rPr>
      </w:pPr>
      <w:r>
        <w:rPr>
          <w:noProof/>
        </w:rPr>
        <w:t xml:space="preserve">Регламент за изпълнение (ЕС) 2015/499 на Комисията относно процедурите за одобряване от надзорния орган на използването на елементи на допълнителните собствени средства, в редакцията му, публикувана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 на 25 март 2015 г.</w:t>
      </w:r>
      <w:r>
        <w:rPr>
          <w:rStyle w:val="FootnoteReference"/>
          <w:noProof/>
        </w:rPr>
        <w:footnoteReference w:id="11"/>
      </w:r>
      <w:r>
        <w:rPr>
          <w:noProof/>
        </w:rPr>
        <w:t xml:space="preserve">; </w:t>
      </w:r>
    </w:p>
    <w:p>
      <w:pPr>
        <w:pStyle w:val="Tiret0"/>
        <w:rPr>
          <w:noProof/>
        </w:rPr>
      </w:pPr>
      <w:r>
        <w:rPr>
          <w:noProof/>
        </w:rPr>
        <w:t xml:space="preserve">Делегирано решение (ЕС) 2015/1602 на Комисията относно еквивалентността на действащия в Швейцария режим на платежоспособност и пруденциалност за застрахователните и презастрахователните предприятия, в редакцията му, публикувана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 на 24 септември 2015 г.</w:t>
      </w:r>
      <w:r>
        <w:rPr>
          <w:rStyle w:val="FootnoteReference"/>
          <w:noProof/>
        </w:rPr>
        <w:footnoteReference w:id="12"/>
      </w:r>
      <w:r>
        <w:rPr>
          <w:noProof/>
        </w:rPr>
        <w:t xml:space="preserve">; </w:t>
      </w:r>
    </w:p>
    <w:p>
      <w:pPr>
        <w:pStyle w:val="Tiret0"/>
        <w:rPr>
          <w:noProof/>
        </w:rPr>
      </w:pPr>
      <w:r>
        <w:rPr>
          <w:noProof/>
        </w:rPr>
        <w:t xml:space="preserve">Делегирано решение (ЕС) 2015/2290 на Комисията относно временната еквивалентност на режимите за платежоспособност, действащи в Австралия, Бермуда, Бразилия, Канада, Мексико и Съединените щати, в редакцията му, публикувана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 на 9 декември 2015 г.</w:t>
      </w:r>
      <w:r>
        <w:rPr>
          <w:rStyle w:val="FootnoteReference"/>
          <w:noProof/>
        </w:rPr>
        <w:footnoteReference w:id="13"/>
      </w:r>
      <w:r>
        <w:rPr>
          <w:noProof/>
        </w:rPr>
        <w:t xml:space="preserve">; </w:t>
      </w:r>
    </w:p>
    <w:p>
      <w:pPr>
        <w:pStyle w:val="Tiret0"/>
        <w:rPr>
          <w:noProof/>
        </w:rPr>
      </w:pPr>
      <w:r>
        <w:rPr>
          <w:noProof/>
        </w:rPr>
        <w:t xml:space="preserve">Делегиран регламент (ЕС) 2016/467 на Комисията за изменение на Делегиран регламент (ЕС) 2015/35 по отношение на изчислението на регулаторните капиталови изисквания за някои категории активи, притежавани от застрахователни и презастрахователни предприятия, в редакцията му, публикувана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 на 1 април 2016 г.</w:t>
      </w:r>
      <w:r>
        <w:rPr>
          <w:rStyle w:val="FootnoteReference"/>
          <w:noProof/>
        </w:rPr>
        <w:footnoteReference w:id="14"/>
      </w:r>
      <w:r>
        <w:rPr>
          <w:noProof/>
        </w:rPr>
        <w:t>;</w:t>
      </w:r>
    </w:p>
    <w:p>
      <w:pPr>
        <w:pStyle w:val="Tiret0"/>
        <w:rPr>
          <w:noProof/>
        </w:rPr>
      </w:pPr>
      <w:r>
        <w:rPr>
          <w:noProof/>
        </w:rPr>
        <w:t xml:space="preserve">Регламент за изпълнение (ЕС) 2015/2011 на Комисията относно списъците на регионални правителства и местни органи, експозициите към които се разглеждат като експозиции към централни правителства, в съответствие с Директива 2009/138/ЕО, в редакцията му, публикувана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 на 12 ноември 2015 г.</w:t>
      </w:r>
      <w:r>
        <w:rPr>
          <w:rStyle w:val="FootnoteReference"/>
          <w:noProof/>
        </w:rPr>
        <w:footnoteReference w:id="15"/>
      </w:r>
      <w:r>
        <w:rPr>
          <w:noProof/>
        </w:rPr>
        <w:t>;</w:t>
      </w:r>
    </w:p>
    <w:p>
      <w:pPr>
        <w:pStyle w:val="Tiret0"/>
        <w:rPr>
          <w:noProof/>
        </w:rPr>
      </w:pPr>
      <w:r>
        <w:rPr>
          <w:noProof/>
        </w:rPr>
        <w:t xml:space="preserve">Регламент за изпълнение (ЕС) 2016/2015 на Комисията относно капиталовия индекс за симетричната корекция на стандартната капиталова такса върху ценните книжа, в редакцията му, публикувана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 на 12 ноември 2015 г.</w:t>
      </w:r>
      <w:r>
        <w:rPr>
          <w:rStyle w:val="FootnoteReference"/>
          <w:noProof/>
        </w:rPr>
        <w:footnoteReference w:id="16"/>
      </w:r>
      <w:r>
        <w:rPr>
          <w:noProof/>
        </w:rPr>
        <w:t>;</w:t>
      </w:r>
    </w:p>
    <w:p>
      <w:pPr>
        <w:pStyle w:val="Tiret0"/>
        <w:rPr>
          <w:noProof/>
        </w:rPr>
      </w:pPr>
      <w:r>
        <w:rPr>
          <w:noProof/>
        </w:rPr>
        <w:t xml:space="preserve">Регламент за изпълнение (ЕС) 2015/2017 на Комисията относно коригираните коефициенти за изчисляване на капиталовото изискване за валутен риск за фиксираните спрямо еврото валути, в редакцията му, публикувана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 на12 ноември 2015 г.</w:t>
      </w:r>
      <w:r>
        <w:rPr>
          <w:rStyle w:val="FootnoteReference"/>
          <w:noProof/>
        </w:rPr>
        <w:footnoteReference w:id="17"/>
      </w:r>
      <w:r>
        <w:rPr>
          <w:noProof/>
        </w:rPr>
        <w:t>;</w:t>
      </w:r>
    </w:p>
    <w:p>
      <w:pPr>
        <w:pStyle w:val="Tiret0"/>
        <w:rPr>
          <w:noProof/>
        </w:rPr>
      </w:pPr>
      <w:r>
        <w:rPr>
          <w:noProof/>
        </w:rPr>
        <w:t xml:space="preserve">Регламент за изпълнение (ЕС) 2015/2013 на Комисията относно стандартните отклонения във връзка със системите за изравняване на здравнозастрахователния риск, в редакцията му, публикувана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 на 12 ноември 2015 г.</w:t>
      </w:r>
      <w:r>
        <w:rPr>
          <w:rStyle w:val="FootnoteReference"/>
          <w:noProof/>
        </w:rPr>
        <w:footnoteReference w:id="18"/>
      </w:r>
      <w:r>
        <w:rPr>
          <w:noProof/>
        </w:rPr>
        <w:t>;</w:t>
      </w:r>
    </w:p>
    <w:p>
      <w:pPr>
        <w:pStyle w:val="Tiret0"/>
        <w:rPr>
          <w:noProof/>
        </w:rPr>
      </w:pPr>
      <w:r>
        <w:rPr>
          <w:noProof/>
        </w:rPr>
        <w:t xml:space="preserve">Регламент за изпълнение (ЕС) 2015/2014 на Комисията относно процедурите и образците за предоставяне на информация на органа за групов надзор и относно обмена на информация между надзорните органи, в редакцията му, публикувана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 на 12 ноември 2015 г.</w:t>
      </w:r>
      <w:r>
        <w:rPr>
          <w:rStyle w:val="FootnoteReference"/>
          <w:noProof/>
        </w:rPr>
        <w:footnoteReference w:id="19"/>
      </w:r>
      <w:r>
        <w:rPr>
          <w:noProof/>
        </w:rPr>
        <w:t>;</w:t>
      </w:r>
    </w:p>
    <w:p>
      <w:pPr>
        <w:pStyle w:val="Tiret0"/>
        <w:rPr>
          <w:noProof/>
        </w:rPr>
      </w:pPr>
      <w:r>
        <w:rPr>
          <w:noProof/>
        </w:rPr>
        <w:t xml:space="preserve">Регламент за изпълнение (ЕС) 2012/2015 на Комисията относно процедурите за решение за налагане, изчисляване и отмяна на изискване за добавен капитал, в редакцията му, публикувана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 на 12 ноември 2015 г.</w:t>
      </w:r>
      <w:r>
        <w:rPr>
          <w:rStyle w:val="FootnoteReference"/>
          <w:noProof/>
        </w:rPr>
        <w:footnoteReference w:id="20"/>
      </w:r>
      <w:r>
        <w:rPr>
          <w:noProof/>
        </w:rPr>
        <w:t>;</w:t>
      </w:r>
    </w:p>
    <w:p>
      <w:pPr>
        <w:pStyle w:val="Tiret0"/>
        <w:rPr>
          <w:noProof/>
        </w:rPr>
      </w:pPr>
      <w:r>
        <w:rPr>
          <w:noProof/>
        </w:rPr>
        <w:t xml:space="preserve">Регламент за изпълнение (ЕС) 2015/2015 на Комисията относно процедурите за оценка на външните кредитни оценки, в редакцията му, публикувана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 на 12 ноември 2015 г.</w:t>
      </w:r>
      <w:r>
        <w:rPr>
          <w:rStyle w:val="FootnoteReference"/>
          <w:noProof/>
        </w:rPr>
        <w:footnoteReference w:id="21"/>
      </w:r>
      <w:r>
        <w:rPr>
          <w:noProof/>
        </w:rPr>
        <w:t>;</w:t>
      </w:r>
    </w:p>
    <w:p>
      <w:pPr>
        <w:pStyle w:val="Tiret0"/>
        <w:rPr>
          <w:noProof/>
        </w:rPr>
      </w:pPr>
      <w:r>
        <w:rPr>
          <w:noProof/>
        </w:rPr>
        <w:t xml:space="preserve">Делегирано решение (ЕС) 2016/310 на Комисията относно еквивалентността на действащия в Япония режим на платежоспособност за застрахователните и презастрахователните дружества, в редакцията му, публикувана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 на 4 март 2016 г.</w:t>
      </w:r>
      <w:r>
        <w:rPr>
          <w:rStyle w:val="FootnoteReference"/>
          <w:noProof/>
        </w:rPr>
        <w:footnoteReference w:id="22"/>
      </w:r>
      <w:r>
        <w:rPr>
          <w:noProof/>
        </w:rPr>
        <w:t>;</w:t>
      </w:r>
    </w:p>
    <w:p>
      <w:pPr>
        <w:pStyle w:val="Tiret0"/>
        <w:rPr>
          <w:noProof/>
        </w:rPr>
      </w:pPr>
      <w:r>
        <w:rPr>
          <w:noProof/>
        </w:rPr>
        <w:t xml:space="preserve">Делегирано решение (ЕС) 2016/309 на Комисията относно еквивалентността на действащия в Бермуда надзорен режим за застрахователните и презастрахователните дружества и за изменение на Делегирано решение (ЕС) 2015/2290 на Комисията, в редакцията му, публикувана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 на 4 март 2016 г.</w:t>
      </w:r>
      <w:r>
        <w:rPr>
          <w:rStyle w:val="FootnoteReference"/>
          <w:noProof/>
        </w:rPr>
        <w:footnoteReference w:id="23"/>
      </w:r>
      <w:r>
        <w:rPr>
          <w:noProof/>
        </w:rPr>
        <w:t>;</w:t>
      </w:r>
    </w:p>
    <w:p>
      <w:pPr>
        <w:pStyle w:val="Tiret0"/>
        <w:rPr>
          <w:noProof/>
        </w:rPr>
      </w:pPr>
      <w:r>
        <w:rPr>
          <w:noProof/>
        </w:rPr>
        <w:t xml:space="preserve">Регламент за изпълнение (ЕС) 2015/2450 на Комисията — Надзорна отчетност: образци за предоставяне на информация, в редакцията му, публикувана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 на 31 декември 2015 г.</w:t>
      </w:r>
      <w:r>
        <w:rPr>
          <w:rStyle w:val="FootnoteReference"/>
          <w:noProof/>
        </w:rPr>
        <w:footnoteReference w:id="24"/>
      </w:r>
      <w:r>
        <w:rPr>
          <w:noProof/>
        </w:rPr>
        <w:t>;</w:t>
      </w:r>
    </w:p>
    <w:p>
      <w:pPr>
        <w:pStyle w:val="Tiret0"/>
        <w:rPr>
          <w:noProof/>
        </w:rPr>
      </w:pPr>
      <w:r>
        <w:rPr>
          <w:noProof/>
        </w:rPr>
        <w:t xml:space="preserve">Регламент за изпълнение (ЕС) 2015/2452 на Комисията относно отчета за платежоспособността и финансовото състояние, в редакцията му, публикувана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 на 31 декември 2015 г.</w:t>
      </w:r>
      <w:r>
        <w:rPr>
          <w:rStyle w:val="FootnoteReference"/>
          <w:noProof/>
        </w:rPr>
        <w:footnoteReference w:id="25"/>
      </w:r>
      <w:r>
        <w:rPr>
          <w:noProof/>
        </w:rPr>
        <w:t>;</w:t>
      </w:r>
    </w:p>
    <w:p>
      <w:pPr>
        <w:pStyle w:val="Tiret0"/>
        <w:rPr>
          <w:noProof/>
        </w:rPr>
      </w:pPr>
      <w:r>
        <w:rPr>
          <w:noProof/>
        </w:rPr>
        <w:t xml:space="preserve">Регламент за изпълнение (ЕС) 2015/2451 на Комисията относно оповестяването от страна на надзорните органи, в редакцията му, публикувана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 на 31 декември 2015 г.</w:t>
      </w:r>
      <w:r>
        <w:rPr>
          <w:rStyle w:val="FootnoteReference"/>
          <w:noProof/>
        </w:rPr>
        <w:footnoteReference w:id="26"/>
      </w:r>
      <w:r>
        <w:rPr>
          <w:noProof/>
        </w:rPr>
        <w:t>;</w:t>
      </w:r>
    </w:p>
    <w:p>
      <w:pPr>
        <w:pStyle w:val="Tiret0"/>
        <w:rPr>
          <w:noProof/>
        </w:rPr>
      </w:pPr>
      <w:r>
        <w:rPr>
          <w:noProof/>
        </w:rPr>
        <w:t xml:space="preserve">Регламент за изпълнение (ЕС) 2016/165 на Комисията относно изчисляването на техническите резерви и основните собствени средства за целите на отчитането, чиито референтни дати попадат в периода 1 януари — 30 март 2016 г., в редакцията му, публикувана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 на 9 февруари 2016 г.</w:t>
      </w:r>
      <w:r>
        <w:rPr>
          <w:rStyle w:val="FootnoteReference"/>
          <w:noProof/>
        </w:rPr>
        <w:footnoteReference w:id="27"/>
      </w:r>
      <w:r>
        <w:rPr>
          <w:noProof/>
        </w:rPr>
        <w:t>;</w:t>
      </w:r>
    </w:p>
    <w:p>
      <w:pPr>
        <w:pStyle w:val="Tiret0"/>
        <w:rPr>
          <w:noProof/>
        </w:rPr>
      </w:pPr>
      <w:r>
        <w:rPr>
          <w:noProof/>
        </w:rPr>
        <w:t xml:space="preserve">Регламент за изпълнение (ЕС) 2016/869 на Комисията относно изчисляването на техническите резерви и основните собствени средства за целите на отчитането, чиито референтни дати попадат в периода 31 март — 29 юни 2016 г., в редакцията му, публикувана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 на 3 юни 2016 г.</w:t>
      </w:r>
      <w:r>
        <w:rPr>
          <w:rStyle w:val="FootnoteReference"/>
          <w:noProof/>
        </w:rPr>
        <w:footnoteReference w:id="28"/>
      </w:r>
      <w:r>
        <w:rPr>
          <w:noProof/>
        </w:rPr>
        <w:t>;</w:t>
      </w:r>
    </w:p>
    <w:p>
      <w:pPr>
        <w:pStyle w:val="Tiret0"/>
        <w:rPr>
          <w:noProof/>
        </w:rPr>
      </w:pPr>
      <w:r>
        <w:rPr>
          <w:noProof/>
        </w:rPr>
        <w:t xml:space="preserve">Регламент за изпълнение (ЕС) 2016/1376 на Комисията относно изчисляването на техническите резерви и основните собствени средства за целите на отчитането, чиито референтни дати попадат в периода от 30 юни до 29 септември 2016 г., в редакцията му, публикувана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 на 18 август 2016 г.</w:t>
      </w:r>
      <w:r>
        <w:rPr>
          <w:rStyle w:val="FootnoteReference"/>
          <w:noProof/>
        </w:rPr>
        <w:footnoteReference w:id="29"/>
      </w:r>
      <w:r>
        <w:rPr>
          <w:noProof/>
        </w:rPr>
        <w:t>;</w:t>
      </w:r>
    </w:p>
    <w:p>
      <w:pPr>
        <w:pStyle w:val="Tiret0"/>
        <w:rPr>
          <w:noProof/>
        </w:rPr>
      </w:pPr>
      <w:r>
        <w:rPr>
          <w:noProof/>
        </w:rPr>
        <w:t xml:space="preserve">Регламент за изпълнение (ЕС) 2016/1630 на Комисията относно процедурите за прилагане на преходната мярка за подмодула на риска, свързан с капиталови инструменти, в редакцията му, публикувана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 на 10 септември 2016 г.</w:t>
      </w:r>
      <w:r>
        <w:rPr>
          <w:rStyle w:val="FootnoteReference"/>
          <w:noProof/>
        </w:rPr>
        <w:footnoteReference w:id="30"/>
      </w:r>
      <w:r>
        <w:rPr>
          <w:noProof/>
        </w:rPr>
        <w:t>;</w:t>
      </w:r>
    </w:p>
    <w:p>
      <w:pPr>
        <w:pStyle w:val="Tiret0"/>
        <w:rPr>
          <w:noProof/>
        </w:rPr>
      </w:pPr>
      <w:r>
        <w:rPr>
          <w:noProof/>
        </w:rPr>
        <w:t xml:space="preserve">Регламент за изпълнение (ЕС) 2016/1800 относно разпределянето на кредитните оценки на агенциите за външна кредитна оценка по обективна скала на степените на кредитно качество, в редакцията му, публикувана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 на 12 октомври 2016 г.</w:t>
      </w:r>
      <w:r>
        <w:rPr>
          <w:rStyle w:val="FootnoteReference"/>
          <w:noProof/>
        </w:rPr>
        <w:footnoteReference w:id="31"/>
      </w:r>
      <w:r>
        <w:rPr>
          <w:noProof/>
        </w:rPr>
        <w:t>;</w:t>
      </w:r>
    </w:p>
    <w:p>
      <w:pPr>
        <w:pStyle w:val="Tiret0"/>
        <w:rPr>
          <w:noProof/>
        </w:rPr>
      </w:pPr>
      <w:r>
        <w:rPr>
          <w:noProof/>
        </w:rPr>
        <w:t xml:space="preserve">Регламент за изпълнение (ЕС) 2016/1868 на Комисията за изменение и поправка на Регламент за изпълнение (ЕС) 2015/2450 относно образците за предоставяне на информация на надзорните органи, в редакцията му, публикувана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 на 21 октомври 2016 г.</w:t>
      </w:r>
      <w:r>
        <w:rPr>
          <w:rStyle w:val="FootnoteReference"/>
          <w:noProof/>
        </w:rPr>
        <w:footnoteReference w:id="32"/>
      </w:r>
      <w:r>
        <w:rPr>
          <w:noProof/>
        </w:rPr>
        <w:t>;</w:t>
      </w:r>
    </w:p>
    <w:p>
      <w:pPr>
        <w:pStyle w:val="Tiret0"/>
        <w:rPr>
          <w:noProof/>
        </w:rPr>
      </w:pPr>
      <w:r>
        <w:rPr>
          <w:noProof/>
        </w:rPr>
        <w:t xml:space="preserve">Регламент за изпълнение (ЕС) 2016/1976 на Комисията за определяне на техническата информация, необходима за изчисляването на техническите резерви и основните собствени средства за целите на отчитането, чиито референтни дати попадат в периода от 30 септември до 30 декември 2016 г., в редакцията му, публикувана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 на 16 ноември 2016 г.</w:t>
      </w:r>
      <w:r>
        <w:rPr>
          <w:rStyle w:val="FootnoteReference"/>
          <w:noProof/>
        </w:rPr>
        <w:footnoteReference w:id="33"/>
      </w:r>
      <w:r>
        <w:rPr>
          <w:noProof/>
        </w:rPr>
        <w:t>;</w:t>
      </w:r>
    </w:p>
    <w:p>
      <w:pPr>
        <w:pStyle w:val="Tiret0"/>
        <w:rPr>
          <w:noProof/>
        </w:rPr>
      </w:pPr>
      <w:r>
        <w:rPr>
          <w:noProof/>
        </w:rPr>
        <w:t xml:space="preserve">Регламент за изпълнение (ЕС) 2017/309 на Комисията за определяне на техническата информация, необходима за изчисляването, за целите на отчитането, на техническите резерви и основните собствени средства, при референтни дати от периода 31 декември 2016 г. — 30 март 2017 г., в редакцията му, публикувана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 на 28 февруари 2017 г.</w:t>
      </w:r>
      <w:r>
        <w:rPr>
          <w:rStyle w:val="FootnoteReference"/>
          <w:noProof/>
        </w:rPr>
        <w:footnoteReference w:id="34"/>
      </w:r>
      <w:r>
        <w:rPr>
          <w:noProof/>
        </w:rPr>
        <w:t>;</w:t>
      </w:r>
    </w:p>
    <w:p>
      <w:pPr>
        <w:pStyle w:val="Tiret0"/>
        <w:rPr>
          <w:noProof/>
        </w:rPr>
      </w:pPr>
      <w:r>
        <w:rPr>
          <w:noProof/>
        </w:rPr>
        <w:t xml:space="preserve">Регламент за изпълнение (ЕС) 2017/812 на Комисията за определяне на техническата информация, необходима за изчисляването на техническите резерви и основните собствени средства за целите на отчитането, чиито референтни дати попадат в периода 31 март — 29 юни 2017 г., в редакцията му, публикувана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 на 18 май 2017 г.</w:t>
      </w:r>
      <w:r>
        <w:rPr>
          <w:rStyle w:val="FootnoteReference"/>
          <w:noProof/>
        </w:rPr>
        <w:footnoteReference w:id="35"/>
      </w:r>
      <w:r>
        <w:rPr>
          <w:noProof/>
        </w:rPr>
        <w:t>;</w:t>
      </w:r>
    </w:p>
    <w:p>
      <w:pPr>
        <w:pStyle w:val="Tiret0"/>
        <w:rPr>
          <w:noProof/>
        </w:rPr>
      </w:pPr>
      <w:r>
        <w:rPr>
          <w:noProof/>
        </w:rPr>
        <w:t xml:space="preserve">Делегиран регламент (ЕС) 2017/1542 на Комисията за изменение на Делегиран регламент (ЕС) 2015/35 по отношение на изчислението на регулаторните капиталови изисквания за някои категории активи, притежавани от застрахователни и презастрахователни предприятия (инфраструктурни предприятия), в редакцията му, публикувана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 на 14 септември 2017 г.</w:t>
      </w:r>
      <w:r>
        <w:rPr>
          <w:rStyle w:val="FootnoteReference"/>
          <w:noProof/>
        </w:rPr>
        <w:footnoteReference w:id="36"/>
      </w:r>
      <w:r>
        <w:rPr>
          <w:noProof/>
        </w:rPr>
        <w:t>;</w:t>
      </w:r>
    </w:p>
    <w:p>
      <w:pPr>
        <w:pStyle w:val="Tiret0"/>
        <w:rPr>
          <w:noProof/>
        </w:rPr>
      </w:pPr>
      <w:r>
        <w:rPr>
          <w:noProof/>
        </w:rPr>
        <w:t xml:space="preserve">Регламент за изпълнение (ЕС) 2017/1421 на Комисията за определяне на техническата информация, необходима за изчисляването на техническите резерви и основните собствени средства за целите на докладването с референтни дати между 30 юни и 29 септември 2017 г., в съответствие с Директива 2009/138/ЕО на Европейския парламент и на Съвета относно започването и упражняването на застрахователна и презастрахователна дейност, в редакцията му, публикувана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 на 14 септември 2017 г.</w:t>
      </w:r>
      <w:r>
        <w:rPr>
          <w:rStyle w:val="FootnoteReference"/>
          <w:noProof/>
        </w:rPr>
        <w:footnoteReference w:id="37"/>
      </w:r>
      <w:r>
        <w:rPr>
          <w:noProof/>
        </w:rPr>
        <w:t>;</w:t>
      </w:r>
    </w:p>
    <w:p>
      <w:pPr>
        <w:spacing w:before="150" w:after="150"/>
        <w:ind w:right="1"/>
        <w:rPr>
          <w:noProof/>
        </w:rPr>
      </w:pPr>
      <w:r>
        <w:rPr>
          <w:noProof/>
        </w:rPr>
        <w:t>Следните законодателни актове на Конфедерация Швейцария са съвместими със споразумението:</w:t>
      </w:r>
    </w:p>
    <w:p>
      <w:pPr>
        <w:pStyle w:val="Tiret0"/>
        <w:rPr>
          <w:noProof/>
        </w:rPr>
      </w:pPr>
      <w:r>
        <w:rPr>
          <w:noProof/>
        </w:rPr>
        <w:t>Закон за надзор на застрахователната дейност (SR 961.01)</w:t>
      </w:r>
      <w:r>
        <w:rPr>
          <w:rStyle w:val="FootnoteReference"/>
          <w:noProof/>
        </w:rPr>
        <w:footnoteReference w:id="38"/>
      </w:r>
    </w:p>
    <w:p>
      <w:pPr>
        <w:pStyle w:val="Tiret0"/>
        <w:rPr>
          <w:noProof/>
        </w:rPr>
      </w:pPr>
      <w:r>
        <w:rPr>
          <w:noProof/>
        </w:rPr>
        <w:t>Наредба за надзор на застрахователната дейност (SR 961.01)</w:t>
      </w:r>
      <w:r>
        <w:rPr>
          <w:rStyle w:val="FootnoteReference"/>
          <w:noProof/>
        </w:rPr>
        <w:footnoteReference w:id="39"/>
      </w:r>
      <w:r>
        <w:rPr>
          <w:noProof/>
        </w:rPr>
        <w:t>;</w:t>
      </w:r>
    </w:p>
    <w:p>
      <w:pPr>
        <w:pStyle w:val="Fait"/>
        <w:rPr>
          <w:noProof/>
        </w:rPr>
      </w:pPr>
    </w:p>
    <w:p>
      <w:pPr>
        <w:pStyle w:val="Fait"/>
        <w:rPr>
          <w:noProof/>
        </w:rPr>
      </w:pPr>
    </w:p>
    <w:p>
      <w:pPr>
        <w:pStyle w:val="Fait"/>
        <w:rPr>
          <w:noProof/>
        </w:rPr>
      </w:pPr>
      <w:r>
        <w:rPr>
          <w:noProof/>
        </w:rPr>
        <w:t xml:space="preserve">Съставено в </w:t>
      </w:r>
      <w:r>
        <w:rPr>
          <w:noProof/>
          <w:highlight w:val="yellow"/>
        </w:rPr>
        <w:t>XX</w:t>
      </w:r>
      <w:r>
        <w:rPr>
          <w:noProof/>
        </w:rPr>
        <w:t xml:space="preserve"> на </w:t>
      </w:r>
      <w:r>
        <w:rPr>
          <w:rStyle w:val="Marker"/>
          <w:noProof/>
        </w:rPr>
        <w:t>[...]</w:t>
      </w:r>
      <w:r>
        <w:rPr>
          <w:noProof/>
        </w:rP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Съвместния комитет</w:t>
      </w:r>
    </w:p>
    <w:p>
      <w:pPr>
        <w:pStyle w:val="Personnequisigne"/>
        <w:rPr>
          <w:noProof/>
          <w:color w:val="0000FF"/>
        </w:rPr>
      </w:pPr>
      <w:r>
        <w:rPr>
          <w:noProof/>
        </w:rPr>
        <w:tab/>
        <w:t>Председател</w:t>
      </w:r>
      <w:r>
        <w:rPr>
          <w:noProof/>
        </w:rPr>
        <w:br/>
      </w:r>
      <w:r>
        <w:rPr>
          <w:noProof/>
        </w:rPr>
        <w:tab/>
      </w:r>
      <w:r>
        <w:rPr>
          <w:rStyle w:val="Marker"/>
          <w:noProof/>
        </w:rPr>
        <w:t>[…]</w:t>
      </w:r>
      <w:r>
        <w:rPr>
          <w:noProof/>
        </w:rPr>
        <w:tab/>
      </w:r>
      <w:r>
        <w:rPr>
          <w:noProof/>
        </w:rPr>
        <w:br/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type="continuationNotice" w:id="1">
    <w:p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type="continuationNotice" w:id="1">
    <w:p>
      <w:pPr>
        <w:spacing w:before="0" w:after="0"/>
      </w:pP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Бившият Съвместен комитет ЕО—Швейцария.</w:t>
      </w:r>
    </w:p>
  </w:footnote>
  <w:footnote w:id="3">
    <w:p>
      <w:pPr>
        <w:pStyle w:val="FootnfoteText"/>
      </w:pPr>
      <w:r>
        <w:rPr>
          <w:rStyle w:val="FootnoteReference"/>
        </w:rPr>
        <w:footnoteRef/>
      </w:r>
      <w:r>
        <w:tab/>
      </w:r>
      <w:r>
        <w:rPr>
          <w:rStyle w:val="Strong"/>
          <w:b w:val="0"/>
        </w:rPr>
        <w:t>Директива 2009/138/ЕО на Европейския парламент и на Съвета от 25 ноември 2009 г. относно започването и упражняването на застрахователна и презастрахователна дейност (Платежоспособност II)</w:t>
      </w:r>
      <w:r>
        <w:t xml:space="preserve"> (ОВ L 335, 17.12.2009 г., стр. 1).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Директива 2014/51/ЕС на Европейския парламент и на Съвета от 16 април 2014 г. за изменение на Директива 2003/71/ЕО, Директива 2009/138/ЕО, Регламент (ЕО) № 1060/2009, Регламент (ЕС) № 1094/2010 и Регламент (ЕС) № 1095/2010 във връзка с правомощията на Европейския надзорен орган (Европейския орган за застраховане и професионално пенсионно осигуряване) и на Европейския надзорен орган (Европейския орган за ценни книжа и пазари) (ОВ L 153, 22.5.2014 г., стр. 1).</w:t>
      </w:r>
    </w:p>
  </w:footnote>
  <w:footnote w:id="5">
    <w:p>
      <w:pPr>
        <w:pStyle w:val="FootnfoteText"/>
      </w:pPr>
      <w:r>
        <w:rPr>
          <w:rStyle w:val="FootnoteReference"/>
        </w:rPr>
        <w:footnoteRef/>
      </w:r>
      <w:r>
        <w:tab/>
        <w:t>Делегиран регламент (ЕС) 2015/35 на Комисията от 10 октомври 2014 г. за допълнение на Директива 2009/138/ЕО на Европейския парламент и на Съвета относно започването и упражняването на застрахователна и презастрахователна дейност (Платежоспособност II) (ОВ L 12, 17.1.2015 г., стр. 1).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Регламент за изпълнение (ЕС) 2015/460 на Комисията от 19 март 2015 г. за одобряване на вътрешен модел (ОВ L 76, 20.3.2015 г., стр. 13).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Регламент за изпълнение (ЕС) 2015/462 на Комисията относно процедурите за одобрение от надзорните органи за учредяване на ССЦАПЗР, за сътрудничеството и обмен на информация между надзорните органи във връзка със ССЦАПЗР, както и за определяне на форматите и образците за информацията, която се отчита от ССЦАПЗР (OВ L 76, 20.3.2015 г., стр. 23).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>Регламент за изпълнение (ЕС) 2015/461 на Комисията от 19 март 2015 г. относно процеса за постигане на съвместно решение относно заявлението за използване на вътрешен модел на групата (ОВ L 76, 20.3.2015 г., стр. 19).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ab/>
        <w:t>Регламент за изпълнение (ЕС) 2015/498 на Комисията от 24 март 2015 г. за процедурите за одобряване от надзорния орган на използването на специфични за предприятието параметри (OВ L 79, 25.3.2015 г., стр. 8).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ab/>
        <w:t>Регламент за изпълнение (ЕС) 2015/500 на Комисията от 24 март 2015 г. относно приложимите процедури за одобряване от надзорния орган на заявлението за прилагане на изравнителна корекция (ОВ L 79, 25.3.2015 г., стр. 18).</w:t>
      </w:r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ab/>
        <w:t>Регламент за изпълнение (ЕС) 2015/499 на Комисията от 24 март 2015 г. относно процедурите за одобряване от надзорния орган на използването на елементи на допълнителните собствени средства (ОВ L 79, 25.3.2015 г., стр. 12).</w:t>
      </w:r>
    </w:p>
  </w:footnote>
  <w:footnote w:id="12">
    <w:p>
      <w:pPr>
        <w:pStyle w:val="FootnoteText"/>
      </w:pPr>
      <w:r>
        <w:rPr>
          <w:rStyle w:val="FootnoteReference"/>
        </w:rPr>
        <w:footnoteRef/>
      </w:r>
      <w:r>
        <w:tab/>
        <w:t>Делегирано решение (ЕС) 2015/1602 на Комисията от 5 юни 2015 г. относно еквивалентността на действащия в Швейцария режим на платежоспособност и пруденциалност за застрахователните и презастрахователните предприятия (ОВ L 248, 24.9.2015 г., стр. 95).</w:t>
      </w:r>
    </w:p>
  </w:footnote>
  <w:footnote w:id="13">
    <w:p>
      <w:pPr>
        <w:pStyle w:val="FootnoteText"/>
      </w:pPr>
      <w:r>
        <w:rPr>
          <w:rStyle w:val="FootnoteReference"/>
        </w:rPr>
        <w:footnoteRef/>
      </w:r>
      <w:r>
        <w:tab/>
        <w:t>Делегирано решение (ЕС) 2015/2290 на Комисията от 12 юни 2015 г. относно временната еквивалентност на режимите за платежоспособност, действащи в Австралия, Бермуда, Бразилия, Канада, Мексико и Съединените щати (OВ L 323, 9.12.2015 г., стр. 22).</w:t>
      </w:r>
    </w:p>
  </w:footnote>
  <w:footnote w:id="14">
    <w:p>
      <w:pPr>
        <w:pStyle w:val="FootnoteText"/>
      </w:pPr>
      <w:r>
        <w:rPr>
          <w:rStyle w:val="FootnoteReference"/>
        </w:rPr>
        <w:footnoteRef/>
      </w:r>
      <w:r>
        <w:tab/>
        <w:t>Делегиран регламент (ЕС) 2016/467 на Комисията от 30 септември 2015 г. за изменение на Делегиран регламент (ЕС) 2015/35 по отношение на изчислението на регулаторните капиталови изисквания за някои категории активи, притежавани от застрахователни и презастрахователни предприятия (ОВ L 85, 1.4.2016 г., стр. 6).</w:t>
      </w:r>
    </w:p>
  </w:footnote>
  <w:footnote w:id="15">
    <w:p>
      <w:pPr>
        <w:pStyle w:val="FootnoteText"/>
      </w:pPr>
      <w:r>
        <w:rPr>
          <w:rStyle w:val="FootnoteReference"/>
        </w:rPr>
        <w:footnoteRef/>
      </w:r>
      <w:r>
        <w:tab/>
        <w:t>Регламент за изпълнение (ЕС) 2015/2011 на Комисията от 11 ноември 2015 г. относно списъците на регионални правителства и местни органи, експозициите към които се разглеждат като експозиции към централни правителства, в съответствие с Директива 2009/138/ЕО (OВ L 295, 12.11.2015 г., стр. 3)</w:t>
      </w:r>
    </w:p>
  </w:footnote>
  <w:footnote w:id="16">
    <w:p>
      <w:pPr>
        <w:pStyle w:val="FootnoteText"/>
      </w:pPr>
      <w:r>
        <w:rPr>
          <w:rStyle w:val="FootnoteReference"/>
        </w:rPr>
        <w:footnoteRef/>
      </w:r>
      <w:r>
        <w:tab/>
        <w:t>Регламент за изпълнение (ЕС) 2015/2016 на Комисията от 11 ноември 2015 г. относно капиталовия индекс за симетричната корекция на стандартната капиталова такса върху ценните книжа (ОВ L 295, 12.11.2015 г., стр. 18).</w:t>
      </w:r>
    </w:p>
  </w:footnote>
  <w:footnote w:id="17">
    <w:p>
      <w:pPr>
        <w:pStyle w:val="FootnoteText"/>
      </w:pPr>
      <w:r>
        <w:rPr>
          <w:rStyle w:val="FootnoteReference"/>
        </w:rPr>
        <w:footnoteRef/>
      </w:r>
      <w:r>
        <w:tab/>
        <w:t>Регламент за изпълнение (ЕС) 2015/2017 на Комисията от 11 ноември 2015 г. относно коригираните коефициенти за изчисляване на капиталовото изискване за валутен риск за фиксираните спрямо еврото валути (ОВ L 295, 12.11.2015 г., стр. 21).</w:t>
      </w:r>
    </w:p>
  </w:footnote>
  <w:footnote w:id="18">
    <w:p>
      <w:pPr>
        <w:pStyle w:val="FootnoteText"/>
      </w:pPr>
      <w:r>
        <w:rPr>
          <w:rStyle w:val="FootnoteReference"/>
        </w:rPr>
        <w:footnoteRef/>
      </w:r>
      <w:r>
        <w:tab/>
        <w:t>Регламент за изпълнение (ЕС) 2015/2013 на Комисията от 11 ноември 2015 г. относно стандартните отклонения във връзка със системите за изравняване на здравнозастрахователния риск (OВ L 295, 12.11.2015 г., стр. 9).</w:t>
      </w:r>
    </w:p>
  </w:footnote>
  <w:footnote w:id="19">
    <w:p>
      <w:pPr>
        <w:pStyle w:val="FootnoteText"/>
      </w:pPr>
      <w:r>
        <w:rPr>
          <w:rStyle w:val="FootnoteReference"/>
        </w:rPr>
        <w:footnoteRef/>
      </w:r>
      <w:r>
        <w:tab/>
        <w:t>Регламент за изпълнение (ЕС) 2015/2014 на Комисията от 11 ноември 2015 г. относно процедурите и образците за предоставяне на информация на органа за групов надзор и относно обмена на информация между надзорните органи (ОВ L 295, 12.11.2015 г., стр. 11).</w:t>
      </w:r>
    </w:p>
  </w:footnote>
  <w:footnote w:id="20">
    <w:p>
      <w:pPr>
        <w:pStyle w:val="FootnoteText"/>
      </w:pPr>
      <w:r>
        <w:rPr>
          <w:rStyle w:val="FootnoteReference"/>
        </w:rPr>
        <w:footnoteRef/>
      </w:r>
      <w:r>
        <w:tab/>
        <w:t>Регламент за изпълнение (ЕС) 2015/2012 на Комисията от 11 ноември 2015 г. относно процедурите за решение за налагане, изчисляване и отмяна на изискване за добавен капитал (ОВ L 295, 12.11.2015 г., стр. 5).</w:t>
      </w:r>
    </w:p>
  </w:footnote>
  <w:footnote w:id="21">
    <w:p>
      <w:pPr>
        <w:pStyle w:val="FootnoteText"/>
      </w:pPr>
      <w:r>
        <w:rPr>
          <w:rStyle w:val="FootnoteReference"/>
        </w:rPr>
        <w:footnoteRef/>
      </w:r>
      <w:r>
        <w:tab/>
        <w:t>Регламент за изпълнение (ЕС) 2015/2015 на Комисията от 11 ноември 2015 г. относно процедурите за оценка на външните кредитни оценки (ОВ L 295, 12.11.2015 г., стр. 16).</w:t>
      </w:r>
    </w:p>
  </w:footnote>
  <w:footnote w:id="22">
    <w:p>
      <w:pPr>
        <w:pStyle w:val="FootnoteText"/>
      </w:pPr>
      <w:r>
        <w:rPr>
          <w:rStyle w:val="FootnoteReference"/>
        </w:rPr>
        <w:footnoteRef/>
      </w:r>
      <w:r>
        <w:tab/>
        <w:t>Делегирано решение (ЕС) 2016/310 на Комисията от 26 ноември 2015 г. относно еквивалентността на действащия в Япония режим на платежоспособност за застрахователните и презастрахователните дружества (ОВ L 58, 4.3.2016 г., стр. 55).</w:t>
      </w:r>
    </w:p>
  </w:footnote>
  <w:footnote w:id="23">
    <w:p>
      <w:pPr>
        <w:pStyle w:val="FootnoteText"/>
      </w:pPr>
      <w:r>
        <w:rPr>
          <w:rStyle w:val="FootnoteReference"/>
        </w:rPr>
        <w:footnoteRef/>
      </w:r>
      <w:r>
        <w:tab/>
        <w:t>Делегирано решение (ЕС) 2016/309 на Комисията от 26 ноември 2015 г. относно еквивалентността на действащия в Бермуда надзорен режим за застрахователните и презастрахователните дружества и за изменение на Делегирано решение (ЕС) 2015/2290 на Комисията (ОВ L 58, 4.3.2016 г., стр. 50).</w:t>
      </w:r>
    </w:p>
  </w:footnote>
  <w:footnote w:id="24">
    <w:p>
      <w:pPr>
        <w:pStyle w:val="FootnoteText"/>
      </w:pPr>
      <w:r>
        <w:rPr>
          <w:rStyle w:val="FootnoteReference"/>
        </w:rPr>
        <w:footnoteRef/>
      </w:r>
      <w:r>
        <w:tab/>
        <w:t>Регламент за изпълнение (ЕС) № 2015/2450 на Комисията от 2 декември 2015 г. — Надзорна отчетност: образци за предоставяне на информация (ОВ L 347, 31.12.2015 г., стр. 1).</w:t>
      </w:r>
    </w:p>
  </w:footnote>
  <w:footnote w:id="25">
    <w:p>
      <w:pPr>
        <w:pStyle w:val="FootnoteText"/>
      </w:pPr>
      <w:r>
        <w:rPr>
          <w:rStyle w:val="FootnoteReference"/>
        </w:rPr>
        <w:footnoteRef/>
      </w:r>
      <w:r>
        <w:tab/>
        <w:t>Регламент за изпълнение (ЕС) 2015/2452 на Комисията от 2 декември 2015 г. относно отчета за платежоспособността и финансовото състояние (ОВ L 347, 31.12.2015 г., стр. 1285).</w:t>
      </w:r>
    </w:p>
  </w:footnote>
  <w:footnote w:id="26">
    <w:p>
      <w:pPr>
        <w:pStyle w:val="FootnoteText"/>
      </w:pPr>
      <w:r>
        <w:rPr>
          <w:rStyle w:val="FootnoteReference"/>
        </w:rPr>
        <w:footnoteRef/>
      </w:r>
      <w:r>
        <w:tab/>
        <w:t>Регламент за изпълнение (ЕС) 2015/2451 на Комисията от 2 декември 2015 г. относно оповестяването от страна на надзорните органи (ОВ L 347, 31.12.2015 г., стр. 1224).</w:t>
      </w:r>
    </w:p>
  </w:footnote>
  <w:footnote w:id="27">
    <w:p>
      <w:pPr>
        <w:pStyle w:val="FootnoteText"/>
      </w:pPr>
      <w:r>
        <w:rPr>
          <w:rStyle w:val="FootnoteReference"/>
        </w:rPr>
        <w:footnoteRef/>
      </w:r>
      <w:r>
        <w:tab/>
        <w:t>Регламент за изпълнение (ЕС) 2016/165 на Комисията от 5 февруари 2016 г. относно изчисляването на техническите резерви и основните собствени средства за целите на отчитането, чиито референтни дати попадат в периода 1 януари — 30 март 2016 г. (ОВ L 32, 9.2.2016 г., стр. 31).</w:t>
      </w:r>
    </w:p>
  </w:footnote>
  <w:footnote w:id="28">
    <w:p>
      <w:pPr>
        <w:pStyle w:val="FootnoteText"/>
      </w:pPr>
      <w:r>
        <w:rPr>
          <w:rStyle w:val="FootnoteReference"/>
        </w:rPr>
        <w:footnoteRef/>
      </w:r>
      <w:r>
        <w:tab/>
        <w:t>Регламент за изпълнение (ЕС) 2016/869 на Комисията от 27 май 2016 г. относно изчисляването на техническите резерви и основните собствени средства за целите на отчитането, чиито референтни дати попадат в периода 31 март — 29 юни 2016 г. (ОВ L 147, 3.6.2016 г., стр. 1).</w:t>
      </w:r>
    </w:p>
  </w:footnote>
  <w:footnote w:id="29">
    <w:p>
      <w:pPr>
        <w:pStyle w:val="FootnoteText"/>
      </w:pPr>
      <w:r>
        <w:rPr>
          <w:rStyle w:val="FootnoteReference"/>
        </w:rPr>
        <w:footnoteRef/>
      </w:r>
      <w:r>
        <w:tab/>
        <w:t>Регламент за изпълнение (ЕС) 2016/1376 на Комисията от 8 август 2016 г. относно изчисляването на техническите резерви и основните собствени средства за целите на отчитането, чиито референтни дати попадат в периода от 30 юни до 29 септември 2016 г. (ОВ L 224, 18.8.2016 г., стр. 1).</w:t>
      </w:r>
    </w:p>
  </w:footnote>
  <w:footnote w:id="30">
    <w:p>
      <w:pPr>
        <w:pStyle w:val="FootnoteText"/>
      </w:pPr>
      <w:r>
        <w:rPr>
          <w:rStyle w:val="FootnoteReference"/>
        </w:rPr>
        <w:footnoteRef/>
      </w:r>
      <w:r>
        <w:tab/>
        <w:t>Регламент за изпълнение (ЕС) 2016/1630 на Комисията от 9 септември 2016 г. процедурите за прилагане на преходната мярка за подмодула на риска, свързан с капиталови инструменти (ОВ L 243, 10.9.2016 г., стр. 1).</w:t>
      </w:r>
    </w:p>
  </w:footnote>
  <w:footnote w:id="31">
    <w:p>
      <w:pPr>
        <w:pStyle w:val="FootnoteText"/>
      </w:pPr>
      <w:r>
        <w:rPr>
          <w:rStyle w:val="FootnoteReference"/>
        </w:rPr>
        <w:footnoteRef/>
      </w:r>
      <w:r>
        <w:tab/>
        <w:t>Регламент за изпълнение (ЕС) 2016/1800 на Комисията от 11 октомври 2016 г. относно разпределянето на кредитните оценки на агенциите за външна кредитна оценка по обективна скала на степените на кредитно качество (ОВ L 275, 12.10.2016 г., стр. 19).</w:t>
      </w:r>
    </w:p>
  </w:footnote>
  <w:footnote w:id="32">
    <w:p>
      <w:pPr>
        <w:pStyle w:val="FootnoteText"/>
      </w:pPr>
      <w:r>
        <w:rPr>
          <w:rStyle w:val="FootnoteReference"/>
        </w:rPr>
        <w:footnoteRef/>
      </w:r>
      <w:r>
        <w:tab/>
        <w:t>Регламент за изпълнение (ЕС) 2016/1868 на Комисията от 20 октомври 2016 г. за изменение и поправка на Регламент за изпълнение (ЕС) 2015/2450 относно образците за предоставяне на информация на надзорните органи (ОВ L 286, 21.10.2016 г., стр. 35).</w:t>
      </w:r>
    </w:p>
  </w:footnote>
  <w:footnote w:id="33">
    <w:p>
      <w:pPr>
        <w:pStyle w:val="FootnoteText"/>
      </w:pPr>
      <w:r>
        <w:rPr>
          <w:rStyle w:val="FootnoteReference"/>
        </w:rPr>
        <w:footnoteRef/>
      </w:r>
      <w:r>
        <w:tab/>
        <w:t>Регламент за изпълнение (ЕС) 2016/1976 на Комисията от 10 ноември 2016 г. за определяне на техническата информация, необходима за изчисляването на техническите резерви и основните собствени средства за целите на отчитането, чиито референтни дати попадат в периода от 30 септември до 30 декември 2016 г. (ОВ L 309, 16.11.2016 г., стр. 1).</w:t>
      </w:r>
    </w:p>
  </w:footnote>
  <w:footnote w:id="34">
    <w:p>
      <w:pPr>
        <w:pStyle w:val="FootnoteText"/>
      </w:pPr>
      <w:r>
        <w:rPr>
          <w:rStyle w:val="FootnoteReference"/>
        </w:rPr>
        <w:footnoteRef/>
      </w:r>
      <w:r>
        <w:tab/>
        <w:t>Регламент за изпълнение (ЕС) 2017/309 на Комисията от 23 февруари 2017 г. за определяне на техническата информация, необходима за изчисляването, за целите на отчитането, на техническите резерви и основните собствени средства, при референтни дати от периода 31 декември 2016 г. — 30 март 2017 г. (ОВ L 53, 28.2.2017 г., стр. 1).</w:t>
      </w:r>
    </w:p>
  </w:footnote>
  <w:footnote w:id="35">
    <w:p>
      <w:pPr>
        <w:pStyle w:val="FootnoteText"/>
      </w:pPr>
      <w:r>
        <w:rPr>
          <w:rStyle w:val="FootnoteReference"/>
        </w:rPr>
        <w:footnoteRef/>
      </w:r>
      <w:r>
        <w:tab/>
        <w:t>Регламент за изпълнение (ЕС) 2017/812 на Комисията от 15 май 2017 г. за определяне на техническата информация, необходима за изчисляването на техническите резерви и основните собствени средства за целите на отчитането, чиито референтни дати попадат в периода 31 март — 29 юни 2017 г. (ОВ L 126, 18.5.2017 г., стр. 1).</w:t>
      </w:r>
    </w:p>
  </w:footnote>
  <w:footnote w:id="36">
    <w:p>
      <w:pPr>
        <w:pStyle w:val="FootnoteText"/>
      </w:pPr>
      <w:r>
        <w:rPr>
          <w:rStyle w:val="FootnoteReference"/>
        </w:rPr>
        <w:footnoteRef/>
      </w:r>
      <w:r>
        <w:tab/>
        <w:t>Делегиран регламент (ЕС) 2017/1542 на Комисията от 8 юни 2017 г. за изменение на Делегиран регламент (ЕС) 2015/35 по отношение на изчислението на регулаторните капиталови изисквания за някои категории активи, притежавани от застрахователни и презастрахователни предприятия (инфраструктурни предприятия) (ОВ L 236, 14.9.2017 г., стр. 14).</w:t>
      </w:r>
    </w:p>
  </w:footnote>
  <w:footnote w:id="37">
    <w:p>
      <w:pPr>
        <w:pStyle w:val="FootnoteText"/>
      </w:pPr>
      <w:r>
        <w:rPr>
          <w:rStyle w:val="FootnoteReference"/>
        </w:rPr>
        <w:footnoteRef/>
      </w:r>
      <w:r>
        <w:tab/>
        <w:t>Регламент за изпълнение (ЕС) 2017/1421 на Комисията от 2 август 2017 г. за определяне на техническата информация, необходима за изчисляването на техническите резерви и основните собствени средства за целите на докладването с референтни дати между 30 юни и 29 септември 2017 г., в съответствие с Директива 2009/138/ЕО на Европейския парламент и на Съвета относно започването и упражняването на застрахователна и презастрахователна дейност (OВ L 204, 5.8.2017 г., стр.7).</w:t>
      </w:r>
    </w:p>
  </w:footnote>
  <w:footnote w:id="38">
    <w:p>
      <w:pPr>
        <w:pStyle w:val="Foot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40"/>
        </w:tabs>
        <w:rPr>
          <w:lang w:val="de-CH"/>
        </w:rPr>
      </w:pPr>
      <w:r>
        <w:rPr>
          <w:rStyle w:val="FootnoteReference"/>
        </w:rPr>
        <w:footnoteRef/>
      </w:r>
      <w:r>
        <w:tab/>
        <w:t>Versicherungsaufsichtsgesetz, SR 961.01.</w:t>
      </w:r>
      <w:r>
        <w:tab/>
      </w:r>
    </w:p>
  </w:footnote>
  <w:footnote w:id="39">
    <w:p>
      <w:pPr>
        <w:pStyle w:val="FootnoteText"/>
        <w:rPr>
          <w:lang w:val="de-CH"/>
        </w:rPr>
      </w:pPr>
      <w:r>
        <w:rPr>
          <w:rStyle w:val="FootnoteReference"/>
        </w:rPr>
        <w:footnoteRef/>
      </w:r>
      <w:r>
        <w:tab/>
        <w:t>Aufsichtsverordnung, SR 961.011.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6E6A17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5AEE3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D24188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142F7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560C8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112AF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C709E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A22A8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1"/>
    <w:lvlOverride w:ilvl="0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</w:num>
  <w:num w:numId="12">
    <w:abstractNumId w:val="18"/>
  </w:num>
  <w:num w:numId="13">
    <w:abstractNumId w:val="12"/>
  </w:num>
  <w:num w:numId="14">
    <w:abstractNumId w:val="20"/>
  </w:num>
  <w:num w:numId="15">
    <w:abstractNumId w:val="11"/>
  </w:num>
  <w:num w:numId="16">
    <w:abstractNumId w:val="13"/>
  </w:num>
  <w:num w:numId="17">
    <w:abstractNumId w:val="9"/>
  </w:num>
  <w:num w:numId="18">
    <w:abstractNumId w:val="19"/>
  </w:num>
  <w:num w:numId="19">
    <w:abstractNumId w:val="8"/>
  </w:num>
  <w:num w:numId="20">
    <w:abstractNumId w:val="14"/>
  </w:num>
  <w:num w:numId="21">
    <w:abstractNumId w:val="16"/>
  </w:num>
  <w:num w:numId="22">
    <w:abstractNumId w:val="17"/>
  </w:num>
  <w:num w:numId="23">
    <w:abstractNumId w:val="10"/>
  </w:num>
  <w:num w:numId="24">
    <w:abstractNumId w:val="15"/>
  </w:num>
  <w:num w:numId="2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9"/>
  <w:hideSpellingErrors/>
  <w:hideGrammaticalErrors/>
  <w:attachedTemplate r:id="rId1"/>
  <w:revisionView w:markup="0"/>
  <w:doNotTrackFormatting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7-11-15 09:48:56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2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2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F884CA38-C1FF-4694-8EAC-BA2B27E6B719"/>
    <w:docVar w:name="LW_COVERPAGE_TYPE" w:val="1"/>
    <w:docVar w:name="LW_CROSSREFERENCE" w:val="&lt;UNUSED&gt;"/>
    <w:docVar w:name="LW_DocType" w:val="ANNEX"/>
    <w:docVar w:name="LW_EMISSION" w:val="17.11.2017"/>
    <w:docVar w:name="LW_EMISSION_ISODATE" w:val="2017-11-17"/>
    <w:docVar w:name="LW_EMISSION_LOCATION" w:val="BRX"/>
    <w:docVar w:name="LW_EMISSION_PREFIX" w:val="\u1041?\u1088?\u1102?\u1082?\u1089?\u1077?\u1083?,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45?\u1057?\u8212?\u1064?\u1074?\u1077?\u1081?\u1094?\u1072?\u1088?\u1080?\u1103? \u1074?\u1098?\u1074? \u1074?\u1088?\u1098?\u1079?\u1082?\u1072? \u1089? \u1090?\u1077?\u1093?\u1085?\u1080?\u1095?\u1077?\u1089?\u1082?\u1086?\u1090?\u1086? \u1087?\u1088?\u1077?\u1088?\u1072?\u1079?\u1075?\u1083?\u1077?\u1078?\u1076?\u1072?\u1085?\u1077? \u1085?\u1072? \u1057?\u1087?\u1086?\u1088?\u1072?\u1079?\u1091?\u1084?\u1077?\u1085?\u1080?\u1077?\u1090?\u1086? \u1086?\u1090?\u1085?\u1086?\u1089?\u1085?\u1086? \u1087?\u1088?\u1103?\u1082?\u1086?\u1090?\u1086? \u1079?\u1072?\u1089?\u1090?\u1088?\u1072?\u1093?\u1086?\u1074?\u1072?\u1085?\u1077?, \u1088?\u1072?\u1079?\u1083?\u1080?\u1095?\u1085?\u1086? \u1086?\u1090? \u1078?\u1080?\u1074?\u1086?\u1090?\u1086?\u1079?\u1072?\u1089?\u1090?\u1088?\u1072?\u1093?\u1086?\u1074?\u1072?\u1085?\u1077?\u1090?\u1086?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45?\u1057?\u8212?\u1064?\u1074?\u1077?\u1081?\u1094?\u1072?\u1088?\u1080?\u1103? \u1074?\u1098?\u1074? \u1074?\u1088?\u1098?\u1079?\u1082?\u1072? \u1089? \u1090?\u1077?\u1093?\u1085?\u1080?\u1095?\u1077?\u1089?\u1082?\u1086?\u1090?\u1086? \u1087?\u1088?\u1077?\u1088?\u1072?\u1079?\u1075?\u1083?\u1077?\u1078?\u1076?\u1072?\u1085?\u1077? \u1085?\u1072? \u1057?\u1087?\u1086?\u1088?\u1072?\u1079?\u1091?\u1084?\u1077?\u1085?\u1080?\u1077?\u1090?\u1086? \u1086?\u1090?\u1085?\u1086?\u1089?\u1085?\u1086? \u1087?\u1088?\u1103?\u1082?\u1086?\u1090?\u1086? \u1079?\u1072?\u1089?\u1090?\u1088?\u1072?\u1093?\u1086?\u1074?\u1072?\u1085?\u1077?, \u1088?\u1072?\u1079?\u1083?\u1080?\u1095?\u1085?\u1086? \u1086?\u1090? \u1078?\u1080?\u1074?\u1086?\u1090?\u1086?\u1079?\u1072?\u1089?\u1090?\u1088?\u1072?\u1093?\u1086?\u1074?\u1072?\u1085?\u1077?\u1090?\u1086?"/>
    <w:docVar w:name="LW_PART_NBR" w:val="1"/>
    <w:docVar w:name="LW_PART_NBR_TOTAL" w:val="1"/>
    <w:docVar w:name="LW_REF.INST.NEW" w:val="COM"/>
    <w:docVar w:name="LW_REF.INST.NEW_ADOPTED" w:val="final"/>
    <w:docVar w:name="LW_REF.INST.NEW_TEXT" w:val="(2017) 66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6?\u1077?\u1096?\u1077?\u1085?\u1080?\u1077? \u1085?\u1072? \u1057?\u1098?\u1074?\u1077?\u1090?\u1072?"/>
    <w:docVar w:name="LW_TYPEACTEPRINCIPAL.CP" w:val="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character" w:customStyle="1" w:styleId="Point1Char">
    <w:name w:val="Point 1 Char"/>
    <w:rPr>
      <w:rFonts w:ascii="Times New Roman" w:hAnsi="Times New Roman"/>
      <w:sz w:val="24"/>
      <w:szCs w:val="22"/>
      <w:lang w:eastAsia="bg-BG"/>
    </w:rPr>
  </w:style>
  <w:style w:type="character" w:customStyle="1" w:styleId="Point0Char">
    <w:name w:val="Point 0 Char"/>
    <w:rPr>
      <w:rFonts w:ascii="Times New Roman" w:hAnsi="Times New Roman"/>
      <w:sz w:val="24"/>
      <w:szCs w:val="22"/>
      <w:lang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FootnfoteText">
    <w:name w:val="Footnfote Text"/>
    <w:basedOn w:val="FootnoteText"/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character" w:customStyle="1" w:styleId="Point1Char">
    <w:name w:val="Point 1 Char"/>
    <w:rPr>
      <w:rFonts w:ascii="Times New Roman" w:hAnsi="Times New Roman"/>
      <w:sz w:val="24"/>
      <w:szCs w:val="22"/>
      <w:lang w:eastAsia="bg-BG"/>
    </w:rPr>
  </w:style>
  <w:style w:type="character" w:customStyle="1" w:styleId="Point0Char">
    <w:name w:val="Point 0 Char"/>
    <w:rPr>
      <w:rFonts w:ascii="Times New Roman" w:hAnsi="Times New Roman"/>
      <w:sz w:val="24"/>
      <w:szCs w:val="22"/>
      <w:lang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FootnfoteText">
    <w:name w:val="Footnfote Text"/>
    <w:basedOn w:val="FootnoteText"/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03CA8-A278-421A-92C1-9D2CB34E2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9</Pages>
  <Words>2005</Words>
  <Characters>12077</Characters>
  <Application>Microsoft Office Word</Application>
  <DocSecurity>0</DocSecurity>
  <Lines>241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RIBEIRO MIRANDA (EEAS)</dc:creator>
  <cp:lastModifiedBy>DIGIT/A3</cp:lastModifiedBy>
  <cp:revision>7</cp:revision>
  <cp:lastPrinted>2017-10-18T12:20:00Z</cp:lastPrinted>
  <dcterms:created xsi:type="dcterms:W3CDTF">2017-11-14T14:03:00Z</dcterms:created>
  <dcterms:modified xsi:type="dcterms:W3CDTF">2017-11-15T08:48:00Z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5.8.86.0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5.8.3, Build 20130911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0</vt:lpwstr>
  </property>
  <property fmtid="{D5CDD505-2E9C-101B-9397-08002B2CF9AE}" pid="13" name="DQCStatus">
    <vt:lpwstr>Green (DQC version 03)</vt:lpwstr>
  </property>
</Properties>
</file>