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A38390A-0C2D-4903-9E21-E8EB712EC45A" style="width:450.75pt;height:379.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ЕС—Швейцария във връзка с предвиденото приемане на Решение относно техническото преразглеждане на Споразумението относно прякото застраховане, различно от животозастраховането („предвидения акт“).</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w:t>
      </w:r>
    </w:p>
    <w:p>
      <w:pPr>
        <w:rPr>
          <w:rFonts w:eastAsia="Arial Unicode MS"/>
          <w:noProof/>
        </w:rPr>
      </w:pPr>
      <w:r>
        <w:rPr>
          <w:noProof/>
        </w:rPr>
        <w:t>Споразумението между Европейската икономическа общност и Конфедерация Швейцария относно прякото застраховане, различно от животозастраховането („споразумението“) има за цел да предложи специални условия за швейцарските клоновете на застрахователни дружества, извършващи дейност в ЕС, и обратното. По-специално по силата на споразумението изискванията за платежоспособност съгласно швейцарското законодателство ще продължат да се прилагат за швейцарските клонове в ЕС, като по този начин тяхната дейност ще подлежи на същите условия като приложимите в Швейцария. Споразумението влезе в сила на 1 януари 1993 г.</w:t>
      </w:r>
    </w:p>
    <w:p>
      <w:pPr>
        <w:pStyle w:val="ManualHeading2"/>
        <w:rPr>
          <w:noProof/>
        </w:rPr>
      </w:pPr>
      <w:r>
        <w:t>2.2.</w:t>
      </w:r>
      <w:r>
        <w:tab/>
      </w:r>
      <w:r>
        <w:rPr>
          <w:noProof/>
        </w:rPr>
        <w:t>Съвместният комитет ЕС—Швейцария</w:t>
      </w:r>
    </w:p>
    <w:p>
      <w:pPr>
        <w:rPr>
          <w:noProof/>
        </w:rPr>
      </w:pPr>
      <w:r>
        <w:rPr>
          <w:noProof/>
        </w:rPr>
        <w:t>Със споразумението се създава съвместен комитет, съставен от представители на Швейцария и представители на Европейския съюз („Съвместният комитет ЕС—Швейцария“). Неговите решения се вземат по взаимно съгласие (член 37). Съгласно член 39 и член 40, параграф 3 от споразумението Съвместният комитет ЕС—Швейцария може да изменя приложенията и протоколите към споразумението.</w:t>
      </w:r>
    </w:p>
    <w:p>
      <w:pPr>
        <w:pStyle w:val="ManualHeading2"/>
        <w:rPr>
          <w:noProof/>
        </w:rPr>
      </w:pPr>
      <w:r>
        <w:t>2.3.</w:t>
      </w:r>
      <w:r>
        <w:tab/>
      </w:r>
      <w:r>
        <w:rPr>
          <w:noProof/>
        </w:rPr>
        <w:t>Предвиденият акт на Съвместния комитет ЕС—Швейцария</w:t>
      </w:r>
    </w:p>
    <w:p>
      <w:pPr>
        <w:rPr>
          <w:rFonts w:eastAsia="Arial Unicode MS"/>
          <w:noProof/>
        </w:rPr>
      </w:pPr>
      <w:r>
        <w:rPr>
          <w:noProof/>
        </w:rPr>
        <w:t>Съвместният комитет ЕС—Швейцария трябва да приеме предвидения акт, приложен към предложението за решение на Съвета. Комисията се надява да има възможност да представи позицията на Съюза пред Съвместния комитет възможно най-скоро.</w:t>
      </w:r>
    </w:p>
    <w:p>
      <w:pPr>
        <w:rPr>
          <w:noProof/>
        </w:rPr>
      </w:pPr>
      <w:r>
        <w:rPr>
          <w:noProof/>
        </w:rPr>
        <w:t>Целта на предвидения акт е да се изменят приложенията и протоколите към споразумението, за да се включат следните изменения:</w:t>
      </w:r>
    </w:p>
    <w:p>
      <w:pPr>
        <w:pStyle w:val="Bullet0"/>
        <w:numPr>
          <w:ilvl w:val="0"/>
          <w:numId w:val="11"/>
        </w:numPr>
        <w:rPr>
          <w:noProof/>
        </w:rPr>
      </w:pPr>
      <w:r>
        <w:rPr>
          <w:noProof/>
        </w:rPr>
        <w:t>Адаптиране към новите, основани на риска режими за платежоспособност в ЕС (Директива 2009/138/ЕО — „Платежоспособност II“) и в Швейцария (швейцарския тест за платежоспособност). Директивата „Платежоспособност II“ влезе в сила на 1 януари 2016 г., а швейцарският тест за платежоспособност влезе в сила след споразумението. Актуализирането на споразумението в това отношение ще гарантира, че надзорните органи на Швейцария и ЕС прилагат тези модернизирани режими по отношение на застрахователите, които са предмет на споразумението, така както и към тези, които не попадат в обхвата му. Това е основната причина за предвиденото техническо преразглеждане;</w:t>
      </w:r>
    </w:p>
    <w:p>
      <w:pPr>
        <w:pStyle w:val="Bullet0"/>
        <w:rPr>
          <w:noProof/>
        </w:rPr>
      </w:pPr>
      <w:r>
        <w:rPr>
          <w:noProof/>
        </w:rPr>
        <w:lastRenderedPageBreak/>
        <w:t xml:space="preserve">Актуализиране на списъка на разрешените правни форми за държавите членки в приложение III. Това е от особено значение за държавите, присъединили се към ЕС след предходното преразглеждане. Комисията възнамерява да използва списъка на правните форми на общозастрахователните предприятия, включен в приложение III към Директивата „Платежоспособност II“; </w:t>
      </w:r>
    </w:p>
    <w:p>
      <w:pPr>
        <w:pStyle w:val="Bullet0"/>
        <w:rPr>
          <w:rFonts w:eastAsia="Arial Unicode MS"/>
          <w:noProof/>
        </w:rPr>
      </w:pPr>
      <w:r>
        <w:rPr>
          <w:noProof/>
        </w:rPr>
        <w:t>Актуализиране на обменния курс евро—швейцарски франк, за да отразява настоящия обменен курс.</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Целесъобразно е да се установи позицията, която трябва да се заеме от името на Съюза в рамките на Съвместния комитет ЕС—Швейцария във връзка с предвидения акт, тъй като той ще бъде обвързващ за Съюза.</w:t>
      </w:r>
    </w:p>
    <w:p>
      <w:pPr>
        <w:rPr>
          <w:rFonts w:eastAsia="Arial Unicode MS"/>
          <w:noProof/>
        </w:rPr>
      </w:pPr>
      <w:r>
        <w:rPr>
          <w:noProof/>
        </w:rPr>
        <w:t>Предвиденият акт се ограничава до техническо преразглеждане на съществуващото споразумение. Той е в съответствие със съществуващите разпоредби относно третирането на клонове съгласно Директива 2009/138/ЕО. Целта е да се избегне дублирането на регулаторния надзор на клоновете от приемащата страна и страната на произход. Освен това Комисията оцени режима за надзор на Швейцария като еквивалентен на режима на ЕС съгласно Директива 2009/138/ЕО.</w:t>
      </w:r>
    </w:p>
    <w:p>
      <w:pPr>
        <w:rPr>
          <w:rFonts w:eastAsia="Arial Unicode MS"/>
          <w:noProof/>
        </w:rPr>
      </w:pPr>
      <w:r>
        <w:rPr>
          <w:noProof/>
        </w:rPr>
        <w:t xml:space="preserve">Причините да се подкрепи техническото преразглеждане на споразумението са следните: </w:t>
      </w:r>
    </w:p>
    <w:p>
      <w:pPr>
        <w:pStyle w:val="Bullet0"/>
        <w:rPr>
          <w:noProof/>
        </w:rPr>
      </w:pPr>
      <w:r>
        <w:rPr>
          <w:noProof/>
        </w:rPr>
        <w:t>Двете юрисдикции ще могат да използват своите модернизирани режими за платежоспособност в рамките на споразумението. Режимите за платежоспособност в Съюза и в Швейцария действително са претърпели изменения след 2001 г. В резултат на преразглеждането надзорът във и извън рамките на споразумението ще се извършва въз основа на модернизираната, основана на риска рамка за платежоспособност, което ще е от полза за застрахователите в двете юрисдикции;</w:t>
      </w:r>
    </w:p>
    <w:p>
      <w:pPr>
        <w:pStyle w:val="Bullet0"/>
        <w:rPr>
          <w:noProof/>
        </w:rPr>
      </w:pPr>
      <w:r>
        <w:rPr>
          <w:noProof/>
        </w:rPr>
        <w:t>Определеният в споразумението списък на разрешените правни форми за държавите членки ще бъде актуализиран, за да бъдат включени по-специално разрешените правни форми за тези държави членки, които се присъединиха към Съюза след 2001 г.;</w:t>
      </w:r>
    </w:p>
    <w:p>
      <w:pPr>
        <w:pStyle w:val="Bullet0"/>
        <w:rPr>
          <w:noProof/>
        </w:rPr>
      </w:pPr>
      <w:r>
        <w:rPr>
          <w:noProof/>
        </w:rPr>
        <w:t>Обменният курс евро—швейцарски франк ще отразява настоящия обменен курс.</w:t>
      </w:r>
    </w:p>
    <w:p>
      <w:pPr>
        <w:rPr>
          <w:rFonts w:eastAsia="Arial Unicode MS"/>
          <w:noProof/>
        </w:rPr>
      </w:pPr>
      <w:r>
        <w:rPr>
          <w:noProof/>
        </w:rPr>
        <w:t>Органите на ЕС и на Швейцария са провели количествено проучване, използвайки наред с другото данни от Европейския орган за застраховане и професионално пенсионно осигуряване (ЕОЗППО), в рамките на което се разглежда кои застрахователи от двете страни и за какви обеми на дейността използват в момента споразумението. В проучването се заключава, че достатъчен брой застрахователни предприятия в ЕС и Швейцария се възползват от споразумението в достатъчна степен, за да се счита, че то е взаимноизгодно и е целесъобразно да бъде запазено.</w:t>
      </w:r>
    </w:p>
    <w:p>
      <w:pPr>
        <w:rPr>
          <w:rFonts w:eastAsia="Arial Unicode MS"/>
          <w:noProof/>
        </w:rPr>
      </w:pPr>
      <w:r>
        <w:rPr>
          <w:noProof/>
        </w:rPr>
        <w:t>Комисията се консултира с държавите членки, които не се противопоставиха на предложените изменения.</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
      </w:r>
      <w:r>
        <w:rPr>
          <w:noProof/>
        </w:rPr>
        <w:t>.</w:t>
      </w:r>
    </w:p>
    <w:p>
      <w:pPr>
        <w:pStyle w:val="ManualHeading3"/>
        <w:rPr>
          <w:noProof/>
        </w:rPr>
      </w:pPr>
      <w:r>
        <w:t>4.1.2.</w:t>
      </w:r>
      <w:r>
        <w:tab/>
      </w:r>
      <w:r>
        <w:rPr>
          <w:noProof/>
        </w:rPr>
        <w:t>Приложение в конкретния случай</w:t>
      </w:r>
    </w:p>
    <w:p>
      <w:pPr>
        <w:rPr>
          <w:noProof/>
        </w:rPr>
      </w:pPr>
      <w:r>
        <w:rPr>
          <w:noProof/>
        </w:rPr>
        <w:t>Съвместният комитет ЕС—Швейцария е орган, създаден със споразумение.</w:t>
      </w:r>
    </w:p>
    <w:p>
      <w:pPr>
        <w:rPr>
          <w:noProof/>
        </w:rPr>
      </w:pPr>
      <w:r>
        <w:rPr>
          <w:noProof/>
        </w:rPr>
        <w:t>Актът, който Съвместният комитет ЕС—Швейцария има за задача да приеме, представлява акт с правно действие. Предвиденият акт ще бъде обвързващ съгласно международното право в съответствие с член 39 от споразумението. 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предвидения акт са свързани с актуализирането на приложенията и протоколите към споразумението и установяването на съвместимостта на вътрешното законодателство на договарящите страни с посоченото споразумение, като по този начин се премахва дублирането на надзора.</w:t>
      </w:r>
      <w:r>
        <w:rPr>
          <w:noProof/>
          <w:color w:val="000000"/>
        </w:rPr>
        <w:t xml:space="preserve"> </w:t>
      </w:r>
      <w:r>
        <w:rPr>
          <w:noProof/>
        </w:rPr>
        <w:t>Въз основа на това предвиденият акт ще подкрепя двустранното предоставяне на услуги по общо застраховане между двете юрисдикции.</w:t>
      </w:r>
    </w:p>
    <w:p>
      <w:pPr>
        <w:rPr>
          <w:i/>
          <w:noProof/>
        </w:rPr>
      </w:pPr>
      <w:r>
        <w:rPr>
          <w:noProof/>
        </w:rPr>
        <w:lastRenderedPageBreak/>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на предложеното решение следва да бъде член 207 от ДФЕС във връзка с член 218, параграф 9 от ДФЕС.</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2017/0300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ЕС—Швейцария във връзка с техническото преразглеждане на Споразумението относно прякото застраховане, различно от животозастраховането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между Европейската икономическа общност и Конфедерация Швейцария относно прякото застраховане, различно от животозастраховането („споразумението“) бе сключено от Съюза с Решение 91/370/ЕИО на Съвета</w:t>
      </w:r>
      <w:r>
        <w:rPr>
          <w:rStyle w:val="FootnoteReference"/>
          <w:noProof/>
        </w:rPr>
        <w:footnoteReference w:id="2"/>
      </w:r>
      <w:r>
        <w:rPr>
          <w:noProof/>
        </w:rPr>
        <w:t xml:space="preserve"> и влезе в сила на 1 януари 1993 г.</w:t>
      </w:r>
    </w:p>
    <w:p>
      <w:pPr>
        <w:pStyle w:val="ManualConsidrant"/>
        <w:rPr>
          <w:noProof/>
        </w:rPr>
      </w:pPr>
      <w:r>
        <w:t>(2)</w:t>
      </w:r>
      <w:r>
        <w:tab/>
      </w:r>
      <w:r>
        <w:rPr>
          <w:noProof/>
        </w:rPr>
        <w:t>Съгласно член 39 и член 40, параграф 3 от споразумението Съвместният комитет ЕС—Швейцария може да изменя приложенията и протоколите към споразумението.</w:t>
      </w:r>
    </w:p>
    <w:p>
      <w:pPr>
        <w:pStyle w:val="ManualConsidrant"/>
        <w:rPr>
          <w:noProof/>
        </w:rPr>
      </w:pPr>
      <w:r>
        <w:t>(3)</w:t>
      </w:r>
      <w:r>
        <w:tab/>
      </w:r>
      <w:r>
        <w:rPr>
          <w:noProof/>
        </w:rPr>
        <w:t>Съвместният комитет ЕС—Швейцария прие на 18 юли 2001 г. Решение № 1/2001</w:t>
      </w:r>
      <w:r>
        <w:rPr>
          <w:rStyle w:val="FootnoteReference"/>
          <w:noProof/>
        </w:rPr>
        <w:footnoteReference w:id="3"/>
      </w:r>
      <w:r>
        <w:rPr>
          <w:noProof/>
        </w:rPr>
        <w:t xml:space="preserve"> за изменение на приложенията и протоколите към споразумението и за установяване на съвместимостта на вътрешното законодателство на договарящите страни с посоченото споразумение.</w:t>
      </w:r>
    </w:p>
    <w:p>
      <w:pPr>
        <w:pStyle w:val="ManualConsidrant"/>
        <w:rPr>
          <w:noProof/>
        </w:rPr>
      </w:pPr>
      <w:r>
        <w:t>(4)</w:t>
      </w:r>
      <w:r>
        <w:tab/>
      </w:r>
      <w:r>
        <w:rPr>
          <w:noProof/>
        </w:rPr>
        <w:t>По време на следващото си заседание Съвместният комитет ЕС—Швейцария трябва да приеме решение относно техническото преразглеждане на споразумението.</w:t>
      </w:r>
    </w:p>
    <w:p>
      <w:pPr>
        <w:pStyle w:val="ManualConsidrant"/>
        <w:rPr>
          <w:noProof/>
        </w:rPr>
      </w:pPr>
      <w:r>
        <w:t>(5)</w:t>
      </w:r>
      <w:r>
        <w:tab/>
      </w:r>
      <w:r>
        <w:rPr>
          <w:noProof/>
        </w:rPr>
        <w:t xml:space="preserve">Целесъобразно е да се установи позицията, която трябва да се заеме от името на Съюза в рамките на Съвместния комитет ЕС—Швейцария във връзка с </w:t>
      </w:r>
      <w:r>
        <w:rPr>
          <w:noProof/>
        </w:rPr>
        <w:lastRenderedPageBreak/>
        <w:t>измененията на приложенията и протоколите към споразумението и съвместимостта на вътрешното законодателство със споразумението, тъй като решението ще бъде обвързващо за Съюза.</w:t>
      </w:r>
    </w:p>
    <w:p>
      <w:pPr>
        <w:pStyle w:val="ManualConsidrant"/>
        <w:rPr>
          <w:noProof/>
        </w:rPr>
      </w:pPr>
      <w:r>
        <w:t>(6)</w:t>
      </w:r>
      <w:r>
        <w:tab/>
      </w:r>
      <w:r>
        <w:rPr>
          <w:noProof/>
          <w:color w:val="000000"/>
        </w:rPr>
        <w:t xml:space="preserve">Режимите за платежоспособност в Съюза и в Швейцария са претърпели изменения след 2001 г. </w:t>
      </w:r>
      <w:r>
        <w:rPr>
          <w:noProof/>
        </w:rPr>
        <w:t>Следователно е необходимо да се актуализира режимът за платежоспособност, посочен в споразумението, за да бъде приведен в съответствие с действащите режими в Съюза и в Швейцария.</w:t>
      </w:r>
    </w:p>
    <w:p>
      <w:pPr>
        <w:pStyle w:val="ManualConsidrant"/>
        <w:rPr>
          <w:noProof/>
        </w:rPr>
      </w:pPr>
      <w:r>
        <w:t>(7)</w:t>
      </w:r>
      <w:r>
        <w:tab/>
      </w:r>
      <w:r>
        <w:rPr>
          <w:noProof/>
        </w:rPr>
        <w:t>Обменният курс евро—швейцарски франк следва да бъде изменен, за да отразява настоящия обменен курс.</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Позицията, която трябва да се заеме от името на Съюза в рамките на Съвместния комитет ЕС—Швейцария във връзка с предложеното техническо преразглеждане на Споразумението относно прякото застраховане, различно от животозастраховането, се основава на проекта на решение на Съвместния комитет ЕС—Швейцария, приложен към настоящото решение.</w:t>
      </w:r>
    </w:p>
    <w:p>
      <w:pPr>
        <w:pStyle w:val="Titrearticle"/>
        <w:rPr>
          <w:noProof/>
        </w:rPr>
      </w:pPr>
      <w:r>
        <w:rPr>
          <w:noProof/>
        </w:rPr>
        <w:t>Член 2</w:t>
      </w:r>
    </w:p>
    <w:p>
      <w:pPr>
        <w:pStyle w:val="Titrearticle"/>
        <w:jc w:val="both"/>
        <w:rPr>
          <w:noProof/>
        </w:rPr>
      </w:pPr>
      <w:r>
        <w:rPr>
          <w:i w:val="0"/>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Дело C-399/12 Германия/Съвет (OIV), ECLI:EU:C:2014:2258, т. 61—64. </w:t>
      </w:r>
    </w:p>
  </w:footnote>
  <w:footnote w:id="2">
    <w:p>
      <w:pPr>
        <w:pStyle w:val="FootnoteText"/>
      </w:pPr>
      <w:r>
        <w:rPr>
          <w:rStyle w:val="FootnoteReference"/>
        </w:rPr>
        <w:footnoteRef/>
      </w:r>
      <w:r>
        <w:tab/>
        <w:t>Решение 91/370/ЕИО на Съвета от 20 юни 1991 г. относно сключването на Споразумение между Европейската икономическа общност и Конфедерация Швейцария относно прякото застраховане, различно от животозастраховането (ОВ L 205, 27.7.1991 г., стр. 2)</w:t>
      </w:r>
    </w:p>
  </w:footnote>
  <w:footnote w:id="3">
    <w:p>
      <w:pPr>
        <w:pStyle w:val="FootnoteText"/>
      </w:pPr>
      <w:r>
        <w:rPr>
          <w:rStyle w:val="FootnoteReference"/>
        </w:rPr>
        <w:footnoteRef/>
      </w:r>
      <w:r>
        <w:tab/>
        <w:t>Решение № 1/2001 на Съвместния комитет ЕС—Швейцария от 18 юли 2001 г. за изменение на приложенията и протоколите към Споразумението между Европейската икономическа общност и Конфедерация Швейцария относно прякото застраховане, различно от животозастраховането, и за установяване на съвместимостта на вътрешното законодателство на договарящите страни с посоченото споразумение (OВ L 291, 8.11.2001 г., стр.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9"/>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15 09:47: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A38390A-0C2D-4903-9E21-E8EB712EC45A"/>
    <w:docVar w:name="LW_COVERPAGE_TYPE" w:val="1"/>
    <w:docVar w:name="LW_CROSSREFERENCE" w:val="&lt;UNUSED&gt;"/>
    <w:docVar w:name="LW_DocType" w:val="COM"/>
    <w:docVar w:name="LW_EMISSION" w:val="17.11.2017"/>
    <w:docVar w:name="LW_EMISSION_ISODATE" w:val="2017-11-1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0"/>
    <w:docVar w:name="LW_REF.II.NEW.CP_YEAR" w:val="2017"/>
    <w:docVar w:name="LW_REF.INST.NEW" w:val="COM"/>
    <w:docVar w:name="LW_REF.INST.NEW_ADOPTED" w:val="final"/>
    <w:docVar w:name="LW_REF.INST.NEW_TEXT" w:val="(2017)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45?\u1057?\u8212?\u1064?\u1074?\u1077?\u1081?\u1094?\u1072?\u1088?\u1080?\u1103? \u1074?\u1098?\u1074? \u1074?\u1088?\u1098?\u1079?\u1082?\u1072? \u1089? \u1090?\u1077?\u1093?\u1085?\u1080?\u1095?\u1077?\u1089?\u1082?\u1086?\u1090?\u1086? \u1087?\u1088?\u1077?\u1088?\u1072?\u1079?\u1075?\u1083?\u1077?\u1078?\u1076?\u1072?\u1085?\u1077? \u1085?\u1072? \u1057?\u1087?\u1086?\u1088?\u1072?\u1079?\u1091?\u1084?\u1077?\u1085?\u1080?\u1077?\u1090?\u1086? \u1086?\u1090?\u1085?\u1086?\u1089?\u1085?\u1086? \u1087?\u1088?\u1103?\u1082?\u1086?\u1090?\u1086? \u1079?\u1072?\u1089?\u1090?\u1088?\u1072?\u1093?\u1086?\u1074?\u1072?\u1085?\u1077?, \u1088?\u1072?\u1079?\u1083?\u1080?\u1095?\u1085?\u1086? \u1086?\u1090? \u1078?\u1080?\u1074?\u1086?\u1090?\u1086?\u1079?\u1072?\u1089?\u1090?\u1088?\u1072?\u1093?\u1086?\u1074?\u1072?\u1085?\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ADD31255-A181-43AB-BDE1-865820F8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1454</Words>
  <Characters>8813</Characters>
  <Application>Microsoft Office Word</Application>
  <DocSecurity>0</DocSecurity>
  <Lines>172</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2017-11-14T13:14:00Z</dcterms:created>
  <dcterms:modified xsi:type="dcterms:W3CDTF">2017-11-15T08:47:00Z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