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5E" w:rsidRDefault="006611E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A11B70-9AC9-4694-A738-FE91E4C43137" style="width:450.25pt;height:320.8pt">
            <v:imagedata r:id="rId9" o:title=""/>
          </v:shape>
        </w:pict>
      </w:r>
    </w:p>
    <w:bookmarkEnd w:id="0"/>
    <w:p w:rsidR="00352C5E" w:rsidRDefault="00352C5E">
      <w:pPr>
        <w:rPr>
          <w:noProof/>
        </w:rPr>
        <w:sectPr w:rsidR="00352C5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352C5E" w:rsidRDefault="006611ED">
      <w:pPr>
        <w:pStyle w:val="Heading1"/>
        <w:rPr>
          <w:noProof/>
        </w:rPr>
      </w:pPr>
      <w:r>
        <w:rPr>
          <w:noProof/>
        </w:rPr>
        <w:lastRenderedPageBreak/>
        <w:t xml:space="preserve">Разликата в заплащането на жените и мъжете в ЕС </w:t>
      </w:r>
    </w:p>
    <w:p w:rsidR="00352C5E" w:rsidRDefault="006611ED">
      <w:pPr>
        <w:rPr>
          <w:i/>
          <w:noProof/>
        </w:rPr>
      </w:pPr>
      <w:r>
        <w:rPr>
          <w:i/>
          <w:noProof/>
        </w:rPr>
        <w:t>Разликата в заплащането на жените и мъжете се е запазила в резултат на...</w:t>
      </w:r>
    </w:p>
    <w:p w:rsidR="00352C5E" w:rsidRDefault="006611ED">
      <w:pPr>
        <w:rPr>
          <w:noProof/>
        </w:rPr>
      </w:pPr>
      <w:r>
        <w:rPr>
          <w:noProof/>
        </w:rPr>
        <w:t xml:space="preserve">Равенството между половете е </w:t>
      </w:r>
      <w:r>
        <w:rPr>
          <w:noProof/>
        </w:rPr>
        <w:t xml:space="preserve">една от основните ценности на Европейския съюз. То обаче не се е превърнало в реалност на работното място. Жените в ЕС, които работят във всички сфери на икономиката, печелят на час средно с 16 % по-малко от мъжете. През последните 5 години тази разлика в </w:t>
      </w:r>
      <w:r>
        <w:rPr>
          <w:noProof/>
        </w:rPr>
        <w:t xml:space="preserve">заплащането на жените и мъжете се е стабилизирала. При сегашното темпо на промените тя може да изчезне едва в началото на следващото хилядолетие. Сегашното положение на застой поражда въпроси по отношение на необходимостта от укрепване и приспособяване на </w:t>
      </w:r>
      <w:r>
        <w:rPr>
          <w:noProof/>
        </w:rPr>
        <w:t>съществуващите инициативи: неравенството между половете на пазара на труда бе ограничено, но не и премахнато</w:t>
      </w:r>
      <w:r>
        <w:rPr>
          <w:rStyle w:val="FootnoteReference"/>
          <w:noProof/>
        </w:rPr>
        <w:footnoteReference w:id="1"/>
      </w:r>
      <w:r>
        <w:rPr>
          <w:noProof/>
        </w:rPr>
        <w:t xml:space="preserve">. </w:t>
      </w:r>
    </w:p>
    <w:p w:rsidR="00352C5E" w:rsidRDefault="006611ED">
      <w:pPr>
        <w:rPr>
          <w:i/>
          <w:noProof/>
        </w:rPr>
      </w:pPr>
      <w:r>
        <w:rPr>
          <w:i/>
          <w:noProof/>
        </w:rPr>
        <w:t>... широко разпространената сегрегация на пазара на труда,</w:t>
      </w:r>
    </w:p>
    <w:p w:rsidR="00352C5E" w:rsidRDefault="006611ED">
      <w:pPr>
        <w:rPr>
          <w:noProof/>
        </w:rPr>
      </w:pPr>
      <w:r>
        <w:rPr>
          <w:noProof/>
        </w:rPr>
        <w:t>Секторите и професиите са сегрегирани: повечето работници в Европа имат колеги главно</w:t>
      </w:r>
      <w:r>
        <w:rPr>
          <w:noProof/>
        </w:rPr>
        <w:t xml:space="preserve"> от същия пол</w:t>
      </w:r>
      <w:r>
        <w:rPr>
          <w:rStyle w:val="FootnoteReference"/>
          <w:noProof/>
        </w:rPr>
        <w:footnoteReference w:id="2"/>
      </w:r>
      <w:r>
        <w:rPr>
          <w:noProof/>
        </w:rPr>
        <w:t xml:space="preserve"> и секторите, в които работят повече жени, често пъти са по-ниско платени отколкото тези, в които работят повече мъже</w:t>
      </w:r>
      <w:r>
        <w:rPr>
          <w:rStyle w:val="FootnoteReference"/>
          <w:noProof/>
        </w:rPr>
        <w:footnoteReference w:id="3"/>
      </w:r>
      <w:r>
        <w:rPr>
          <w:noProof/>
        </w:rPr>
        <w:t>. Макар че редица инициативи успешно са насърчили включването на жените в доминираните от мъжете сектори, като например наук</w:t>
      </w:r>
      <w:r>
        <w:rPr>
          <w:noProof/>
        </w:rPr>
        <w:t>ите и технологиите, като цяло равнището на сегрегация в професиите и секторите почти не се е променило</w:t>
      </w:r>
      <w:r>
        <w:rPr>
          <w:rStyle w:val="FootnoteReference"/>
          <w:noProof/>
        </w:rPr>
        <w:footnoteReference w:id="4"/>
      </w:r>
      <w:r>
        <w:rPr>
          <w:noProof/>
        </w:rPr>
        <w:t>. Освен това в почти всички сектори мъжете са повишавани много по-често до надзорни или ръководни функции, докато жените, достигнали до най-високата длъж</w:t>
      </w:r>
      <w:r>
        <w:rPr>
          <w:noProof/>
        </w:rPr>
        <w:t>ност на главен изпълнителен директор, са по-малко от 5 %. На „вертикалната“ сегрегация се дължи значителен дял от разликата в заплащането на жените и мъжете</w:t>
      </w:r>
      <w:r>
        <w:rPr>
          <w:rStyle w:val="FootnoteReference"/>
          <w:noProof/>
        </w:rPr>
        <w:footnoteReference w:id="5"/>
      </w:r>
      <w:r>
        <w:rPr>
          <w:noProof/>
        </w:rPr>
        <w:t xml:space="preserve">. </w:t>
      </w:r>
    </w:p>
    <w:p w:rsidR="00352C5E" w:rsidRDefault="006611ED">
      <w:pPr>
        <w:rPr>
          <w:i/>
          <w:noProof/>
        </w:rPr>
      </w:pPr>
      <w:r>
        <w:rPr>
          <w:i/>
          <w:noProof/>
        </w:rPr>
        <w:t>... устойчивите стереотипи, подхранвани от неадекватни политики за постигане на равновесие между</w:t>
      </w:r>
      <w:r>
        <w:rPr>
          <w:i/>
          <w:noProof/>
        </w:rPr>
        <w:t xml:space="preserve"> професионалния и личния живот,</w:t>
      </w:r>
    </w:p>
    <w:p w:rsidR="00352C5E" w:rsidRDefault="006611ED">
      <w:pPr>
        <w:rPr>
          <w:noProof/>
        </w:rPr>
      </w:pPr>
      <w:r>
        <w:rPr>
          <w:noProof/>
        </w:rPr>
        <w:t>Все още съществуват стереотипи относно ролята на мъжете и жените в обществото и съответно за това дали жените трябва да участват на пазара на труда или трябва да останат вкъщи. Това е една от основните причини за разликата в</w:t>
      </w:r>
      <w:r>
        <w:rPr>
          <w:noProof/>
        </w:rPr>
        <w:t xml:space="preserve"> заплащането на жените и мъжете. Мъжете прекарват средно много по-малко време от жените в грижа за децата или зависими членове на семейството, докато жените не могат да </w:t>
      </w:r>
      <w:r>
        <w:rPr>
          <w:noProof/>
        </w:rPr>
        <w:lastRenderedPageBreak/>
        <w:t>използват посветеното на тези грижи време за платена работа или за да натрупват опит, к</w:t>
      </w:r>
      <w:r>
        <w:rPr>
          <w:noProof/>
        </w:rPr>
        <w:t>ойто ще им помага през целия им трудов живот</w:t>
      </w:r>
      <w:r>
        <w:rPr>
          <w:rStyle w:val="FootnoteReference"/>
          <w:noProof/>
        </w:rPr>
        <w:footnoteReference w:id="6"/>
      </w:r>
      <w:r>
        <w:rPr>
          <w:noProof/>
        </w:rPr>
        <w:t>. Ако политиките за постигане на равновесие между професионалния и личния живот са разработени добре, те могат да помогнат за намаляване на разликата в заплащането на жените и мъжете. Инвестирането в официалните</w:t>
      </w:r>
      <w:r>
        <w:rPr>
          <w:noProof/>
        </w:rPr>
        <w:t xml:space="preserve"> структури за полагане на грижи и в подходящ отпуск по семейни причини както за жените, така и за мъжете допринася за намаляването на разликата в заплащането на жените и мъжете, тъй като води до по-малко прекъсвания на кариерата и на заетостта при жените. </w:t>
      </w:r>
      <w:r>
        <w:rPr>
          <w:noProof/>
        </w:rPr>
        <w:t xml:space="preserve">Гъвкавите схеми на работа (включително гъвкаво работно време, намалено работно време и работа от разстояние) трябва да бъдат използвани по-добре както при жените, така и при мъжете и не следва да се разглеждат като разход за работодателите, които често са </w:t>
      </w:r>
      <w:r>
        <w:rPr>
          <w:noProof/>
        </w:rPr>
        <w:t>склонни да наказват служителите и работниците си под формата на намаляване на заплащането</w:t>
      </w:r>
      <w:r>
        <w:rPr>
          <w:rStyle w:val="FootnoteReference"/>
          <w:noProof/>
        </w:rPr>
        <w:footnoteReference w:id="7"/>
      </w:r>
      <w:r>
        <w:rPr>
          <w:noProof/>
        </w:rPr>
        <w:t>.</w:t>
      </w:r>
    </w:p>
    <w:p w:rsidR="00352C5E" w:rsidRDefault="006611ED">
      <w:pPr>
        <w:rPr>
          <w:rFonts w:eastAsia="Calibri"/>
          <w:i/>
          <w:noProof/>
        </w:rPr>
      </w:pPr>
      <w:r>
        <w:rPr>
          <w:i/>
          <w:noProof/>
        </w:rPr>
        <w:t>...и дискриминацията, допусната поради липсата на прозрачност</w:t>
      </w:r>
    </w:p>
    <w:p w:rsidR="00352C5E" w:rsidRDefault="006611ED">
      <w:pPr>
        <w:rPr>
          <w:rFonts w:eastAsia="Calibri"/>
          <w:noProof/>
        </w:rPr>
      </w:pPr>
      <w:r>
        <w:rPr>
          <w:noProof/>
        </w:rPr>
        <w:t>В почти всички професии мъжете получават средно по-голямо заплащане от жените. Дискриминацията при зап</w:t>
      </w:r>
      <w:r>
        <w:rPr>
          <w:noProof/>
        </w:rPr>
        <w:t>лащането все още съществува: жената може да получава по-малко заплащане от мъжа за абсолютно една и съща работа; а работа, която обикновено се извършва от жени, е по-ниско платена от работа, която обикновено се извършва от мъже, дори и когато е за равносто</w:t>
      </w:r>
      <w:r>
        <w:rPr>
          <w:noProof/>
        </w:rPr>
        <w:t>ен труд. Освен това поверителността, свързана с равнищата на заплащане, прави още по-трудно откриването на случаи на дискриминация. Макар и по-голямата част от европейците (69 %) да са запознати със съществуването на разлика в заплащането на жените и мъжет</w:t>
      </w:r>
      <w:r>
        <w:rPr>
          <w:noProof/>
        </w:rPr>
        <w:t>е в различните сфери на икономиката, работниците и служителите смятат, че в техните собствени дружества такава разлика не съществува, а една трета от тях не знаят какво е възнаграждението на техните колеги. Европейците биха подкрепили по-голяма прозрачност</w:t>
      </w:r>
      <w:r>
        <w:rPr>
          <w:noProof/>
        </w:rPr>
        <w:t xml:space="preserve"> на работното място: почти две трети биха подкрепили публикуването на средните възнаграждения по пол и по вид работа, които се получават в организацията или дружеството, в което работят</w:t>
      </w:r>
      <w:r>
        <w:rPr>
          <w:rStyle w:val="FootnoteReference"/>
          <w:noProof/>
        </w:rPr>
        <w:footnoteReference w:id="8"/>
      </w:r>
      <w:r>
        <w:rPr>
          <w:noProof/>
        </w:rPr>
        <w:t xml:space="preserve">. </w:t>
      </w:r>
    </w:p>
    <w:p w:rsidR="00352C5E" w:rsidRDefault="006611ED">
      <w:pPr>
        <w:rPr>
          <w:rFonts w:eastAsia="Calibri"/>
          <w:noProof/>
        </w:rPr>
      </w:pPr>
      <w:r>
        <w:rPr>
          <w:noProof/>
        </w:rPr>
        <w:t>Почти половината от работниците всъщност се чувстват неудобно от ид</w:t>
      </w:r>
      <w:r>
        <w:rPr>
          <w:noProof/>
        </w:rPr>
        <w:t>еята да договарят заплатите си и този процент е по-висок сред жените, отколкото сред мъжете. От значение е обаче и контекстът: жените са склонни да се договарят точно толкова, колкото и мъжете, когато е изрично посочено, че възнагражденията подлежат на дог</w:t>
      </w:r>
      <w:r>
        <w:rPr>
          <w:noProof/>
        </w:rPr>
        <w:t>оваряне, и следователно договарянето е подходящият тип поведение. Организацията на работата и разработването на политиките за наемане и за възнаграждение могат действително да оказват голямо влияние: ако са добре разработени, те могат да противодействат на</w:t>
      </w:r>
      <w:r>
        <w:rPr>
          <w:noProof/>
        </w:rPr>
        <w:t xml:space="preserve"> нашето несъзнателно предубеждение по отношение на мъжете и жените и да се избегнат „двойните стандарти“ за жени и мъже, които не получават еднакво възнаграждение. </w:t>
      </w:r>
    </w:p>
    <w:p w:rsidR="00352C5E" w:rsidRDefault="006611ED">
      <w:pPr>
        <w:rPr>
          <w:rFonts w:eastAsia="Calibri"/>
          <w:noProof/>
          <w:sz w:val="22"/>
          <w:szCs w:val="22"/>
        </w:rPr>
      </w:pPr>
      <w:r>
        <w:rPr>
          <w:noProof/>
        </w:rPr>
        <w:lastRenderedPageBreak/>
        <w:t>Величината на разликата в заплащането на жените и мъжете във всички сфери на икономиката за</w:t>
      </w:r>
      <w:r>
        <w:rPr>
          <w:noProof/>
        </w:rPr>
        <w:t>виси също от институциите, които определят заплатите. Междусекторните механизми за определяне на минималните възнаграждения и за определяне на възнагражденията могат да допринесат за увеличаването на заплатите в нископлатените сектори и следователно за нам</w:t>
      </w:r>
      <w:r>
        <w:rPr>
          <w:noProof/>
        </w:rPr>
        <w:t>аляване на разликата в заплащането на жените и мъжете</w:t>
      </w:r>
      <w:r>
        <w:rPr>
          <w:rStyle w:val="FootnoteReference"/>
          <w:noProof/>
          <w:sz w:val="22"/>
        </w:rPr>
        <w:footnoteReference w:id="9"/>
      </w:r>
      <w:r>
        <w:rPr>
          <w:noProof/>
        </w:rPr>
        <w:t>.</w:t>
      </w:r>
      <w:r>
        <w:rPr>
          <w:noProof/>
          <w:sz w:val="22"/>
        </w:rPr>
        <w:t xml:space="preserve"> </w:t>
      </w:r>
    </w:p>
    <w:p w:rsidR="00352C5E" w:rsidRDefault="006611ED">
      <w:pPr>
        <w:rPr>
          <w:rFonts w:eastAsia="Calibri"/>
          <w:noProof/>
          <w:szCs w:val="24"/>
        </w:rPr>
      </w:pPr>
      <w:r>
        <w:rPr>
          <w:noProof/>
        </w:rPr>
        <w:t>Настоящата ситуация предполага необходимостта от предприемане на по-нататъшни мерки на европейско равнище. Тези мерки ще допринесат за създаването на работни места и за растежа в ЕС, както и за един по-справедлив единен пазар на труда. В настоящото съобщен</w:t>
      </w:r>
      <w:r>
        <w:rPr>
          <w:noProof/>
        </w:rPr>
        <w:t xml:space="preserve">ие се представя план за действие за по-нататъшно преодоляване на разликата в заплащането на жените и мъжете и гарантиране на пълното прилагане на принципа на равно заплащане между жените и мъжете. </w:t>
      </w:r>
    </w:p>
    <w:p w:rsidR="00352C5E" w:rsidRDefault="006611ED">
      <w:pPr>
        <w:pStyle w:val="Heading1"/>
        <w:rPr>
          <w:noProof/>
        </w:rPr>
      </w:pPr>
      <w:r>
        <w:rPr>
          <w:noProof/>
        </w:rPr>
        <w:t>Приоритети на политиката</w:t>
      </w:r>
    </w:p>
    <w:p w:rsidR="00352C5E" w:rsidRDefault="006611ED">
      <w:pPr>
        <w:tabs>
          <w:tab w:val="left" w:pos="5103"/>
        </w:tabs>
        <w:ind w:right="-28"/>
        <w:rPr>
          <w:noProof/>
        </w:rPr>
      </w:pPr>
      <w:r>
        <w:rPr>
          <w:noProof/>
        </w:rPr>
        <w:t>Премахването на разликата в запла</w:t>
      </w:r>
      <w:r>
        <w:rPr>
          <w:noProof/>
        </w:rPr>
        <w:t>щането на жените и мъжете продължава да бъде основна цел в рамките на общия стремеж за постигне на равенство между половете</w:t>
      </w:r>
      <w:r>
        <w:rPr>
          <w:rStyle w:val="FootnoteReference"/>
          <w:noProof/>
        </w:rPr>
        <w:footnoteReference w:id="10"/>
      </w:r>
      <w:r>
        <w:rPr>
          <w:noProof/>
        </w:rPr>
        <w:t xml:space="preserve"> и изпълнение на целите за устойчиво развитие в Програмата на ООН до 2030 г. Тo допринася и за утвърждаването на европейския стълб н</w:t>
      </w:r>
      <w:r>
        <w:rPr>
          <w:noProof/>
        </w:rPr>
        <w:t xml:space="preserve">а социалните права [провъзгласен от Парламента, Съвета и Комисията по време на </w:t>
      </w:r>
      <w:hyperlink r:id="rId16">
        <w:r>
          <w:rPr>
            <w:rStyle w:val="Hyperlink"/>
            <w:noProof/>
          </w:rPr>
          <w:t>социалната среща на върха за справедливи работни места и растеж</w:t>
        </w:r>
      </w:hyperlink>
      <w:r>
        <w:rPr>
          <w:noProof/>
        </w:rPr>
        <w:t xml:space="preserve"> в Гьотеборг на 17 ноември], и по-специално на неговия принцип 2</w:t>
      </w:r>
      <w:r>
        <w:rPr>
          <w:noProof/>
        </w:rPr>
        <w:t xml:space="preserve"> за равенство между половете във всички сфери и принцип 3 за равенство на възможностите. </w:t>
      </w:r>
    </w:p>
    <w:p w:rsidR="00352C5E" w:rsidRDefault="006611ED">
      <w:pPr>
        <w:tabs>
          <w:tab w:val="left" w:pos="5103"/>
        </w:tabs>
        <w:ind w:right="-28"/>
        <w:rPr>
          <w:noProof/>
        </w:rPr>
      </w:pPr>
      <w:r>
        <w:rPr>
          <w:noProof/>
        </w:rPr>
        <w:t>Ето защо то остава политически приоритет на Комисията</w:t>
      </w:r>
      <w:r>
        <w:rPr>
          <w:rStyle w:val="FootnoteReference"/>
          <w:noProof/>
        </w:rPr>
        <w:footnoteReference w:id="11"/>
      </w:r>
      <w:r>
        <w:rPr>
          <w:noProof/>
        </w:rPr>
        <w:t>. Целта на настоящия план за действие е да се постигне допълнителен напредък в превръщането на ангажимента за пр</w:t>
      </w:r>
      <w:r>
        <w:rPr>
          <w:noProof/>
        </w:rPr>
        <w:t>еодоляване на разликата в заплащането на жените и мъжете в списък от основни, конкретни действия.</w:t>
      </w:r>
    </w:p>
    <w:p w:rsidR="00352C5E" w:rsidRDefault="006611ED">
      <w:pPr>
        <w:tabs>
          <w:tab w:val="left" w:pos="5103"/>
        </w:tabs>
        <w:spacing w:after="0"/>
        <w:ind w:right="-28"/>
        <w:rPr>
          <w:noProof/>
        </w:rPr>
      </w:pPr>
      <w:r>
        <w:rPr>
          <w:noProof/>
        </w:rPr>
        <w:t>В плана за действие е включен широк и съгласуван набор от дейности за преодоляване на разликата в заплащането на жените и мъжете, които обхващат всички измере</w:t>
      </w:r>
      <w:r>
        <w:rPr>
          <w:noProof/>
        </w:rPr>
        <w:t>ния, вместо да се изтъква само един фактор или причина. Тези дейности ще се подсилват взаимно.</w:t>
      </w:r>
    </w:p>
    <w:p w:rsidR="00352C5E" w:rsidRDefault="00352C5E">
      <w:pPr>
        <w:tabs>
          <w:tab w:val="left" w:pos="5103"/>
        </w:tabs>
        <w:spacing w:after="0"/>
        <w:ind w:right="-28"/>
        <w:rPr>
          <w:noProof/>
        </w:rPr>
      </w:pPr>
    </w:p>
    <w:p w:rsidR="00352C5E" w:rsidRDefault="006611ED">
      <w:pPr>
        <w:tabs>
          <w:tab w:val="left" w:pos="5103"/>
        </w:tabs>
        <w:spacing w:after="0"/>
        <w:ind w:right="-28"/>
        <w:rPr>
          <w:noProof/>
        </w:rPr>
      </w:pPr>
      <w:r>
        <w:rPr>
          <w:noProof/>
        </w:rPr>
        <w:t xml:space="preserve">Бяха набелязани осем основни направления за действие: </w:t>
      </w:r>
    </w:p>
    <w:p w:rsidR="00352C5E" w:rsidRDefault="00352C5E">
      <w:pPr>
        <w:tabs>
          <w:tab w:val="left" w:pos="5103"/>
        </w:tabs>
        <w:spacing w:after="0"/>
        <w:ind w:right="-28"/>
        <w:rPr>
          <w:noProof/>
        </w:rPr>
      </w:pPr>
    </w:p>
    <w:p w:rsidR="00352C5E" w:rsidRDefault="006611ED">
      <w:pPr>
        <w:tabs>
          <w:tab w:val="left" w:pos="5103"/>
        </w:tabs>
        <w:spacing w:after="0"/>
        <w:ind w:right="-28"/>
        <w:rPr>
          <w:noProof/>
        </w:rPr>
      </w:pPr>
      <w:r>
        <w:rPr>
          <w:noProof/>
        </w:rPr>
        <w:t xml:space="preserve">1 — По-добро прилагане на принципа на равно заплащане </w:t>
      </w:r>
    </w:p>
    <w:p w:rsidR="00352C5E" w:rsidRDefault="006611ED">
      <w:pPr>
        <w:tabs>
          <w:tab w:val="left" w:pos="5103"/>
        </w:tabs>
        <w:spacing w:after="0"/>
        <w:ind w:right="-28"/>
        <w:rPr>
          <w:noProof/>
        </w:rPr>
      </w:pPr>
      <w:r>
        <w:rPr>
          <w:noProof/>
        </w:rPr>
        <w:t>2 — Борба със сегрегацията в професиите и сектори</w:t>
      </w:r>
      <w:r>
        <w:rPr>
          <w:noProof/>
        </w:rPr>
        <w:t>те</w:t>
      </w:r>
    </w:p>
    <w:p w:rsidR="00352C5E" w:rsidRDefault="006611ED">
      <w:pPr>
        <w:tabs>
          <w:tab w:val="left" w:pos="5103"/>
        </w:tabs>
        <w:spacing w:after="0"/>
        <w:ind w:right="-28"/>
        <w:rPr>
          <w:noProof/>
        </w:rPr>
      </w:pPr>
      <w:r>
        <w:rPr>
          <w:noProof/>
        </w:rPr>
        <w:t>3 — Преодоляване на „стъкления таван“: инициативи за борба с вертикалната сегрегация</w:t>
      </w:r>
    </w:p>
    <w:p w:rsidR="00352C5E" w:rsidRDefault="006611ED">
      <w:pPr>
        <w:tabs>
          <w:tab w:val="left" w:pos="5103"/>
        </w:tabs>
        <w:spacing w:after="0"/>
        <w:ind w:right="-28"/>
        <w:rPr>
          <w:noProof/>
        </w:rPr>
      </w:pPr>
      <w:r>
        <w:rPr>
          <w:noProof/>
        </w:rPr>
        <w:t>4 — Противодействие на отрицателните ефекти, свързани с полагането на грижи</w:t>
      </w:r>
    </w:p>
    <w:p w:rsidR="00352C5E" w:rsidRDefault="006611ED">
      <w:pPr>
        <w:tabs>
          <w:tab w:val="left" w:pos="5103"/>
        </w:tabs>
        <w:spacing w:after="0"/>
        <w:ind w:right="-28"/>
        <w:rPr>
          <w:noProof/>
        </w:rPr>
      </w:pPr>
      <w:r>
        <w:rPr>
          <w:noProof/>
        </w:rPr>
        <w:t>5 — По-добро използване на уменията, усилията и отговорностите на жените</w:t>
      </w:r>
    </w:p>
    <w:p w:rsidR="00352C5E" w:rsidRDefault="006611ED">
      <w:pPr>
        <w:tabs>
          <w:tab w:val="left" w:pos="5103"/>
        </w:tabs>
        <w:spacing w:after="0"/>
        <w:ind w:right="-28"/>
        <w:rPr>
          <w:noProof/>
        </w:rPr>
      </w:pPr>
      <w:r>
        <w:rPr>
          <w:noProof/>
        </w:rPr>
        <w:t>6 — Да разкъсаме мъ</w:t>
      </w:r>
      <w:r>
        <w:rPr>
          <w:noProof/>
        </w:rPr>
        <w:t>глата: разкриване на неравенствата и стереотипите</w:t>
      </w:r>
    </w:p>
    <w:p w:rsidR="00352C5E" w:rsidRDefault="006611ED">
      <w:pPr>
        <w:tabs>
          <w:tab w:val="left" w:pos="5103"/>
        </w:tabs>
        <w:spacing w:after="0"/>
        <w:ind w:right="-28"/>
        <w:rPr>
          <w:noProof/>
        </w:rPr>
      </w:pPr>
      <w:r>
        <w:rPr>
          <w:noProof/>
        </w:rPr>
        <w:t>7 — Привличане на общественото внимание и информиране за разликата в заплащането на жените и мъжете</w:t>
      </w:r>
    </w:p>
    <w:p w:rsidR="00352C5E" w:rsidRDefault="006611ED">
      <w:pPr>
        <w:tabs>
          <w:tab w:val="left" w:pos="5103"/>
        </w:tabs>
        <w:spacing w:after="0"/>
        <w:ind w:right="-28"/>
        <w:rPr>
          <w:noProof/>
        </w:rPr>
      </w:pPr>
      <w:r>
        <w:rPr>
          <w:noProof/>
        </w:rPr>
        <w:t>8 — Укрепване на партньорствата за преодоляване на разликата в заплащането на жените и мъжете</w:t>
      </w:r>
    </w:p>
    <w:p w:rsidR="00352C5E" w:rsidRDefault="00352C5E">
      <w:pPr>
        <w:tabs>
          <w:tab w:val="left" w:pos="5103"/>
        </w:tabs>
        <w:spacing w:after="0"/>
        <w:ind w:right="-28"/>
        <w:rPr>
          <w:noProof/>
        </w:rPr>
      </w:pPr>
    </w:p>
    <w:p w:rsidR="00352C5E" w:rsidRDefault="006611ED">
      <w:pPr>
        <w:spacing w:after="0"/>
        <w:rPr>
          <w:noProof/>
        </w:rPr>
      </w:pPr>
      <w:r>
        <w:rPr>
          <w:noProof/>
        </w:rPr>
        <w:t>За да бъдат</w:t>
      </w:r>
      <w:r>
        <w:rPr>
          <w:noProof/>
        </w:rPr>
        <w:t xml:space="preserve"> ефективни тези действия, е необходимо да се установят синергии  между мерките, предприети от основните заинтересовани страни на европейско, национално и корпоративно равнище. </w:t>
      </w:r>
    </w:p>
    <w:p w:rsidR="00352C5E" w:rsidRDefault="00352C5E">
      <w:pPr>
        <w:spacing w:after="0"/>
        <w:rPr>
          <w:noProof/>
        </w:rPr>
      </w:pPr>
    </w:p>
    <w:p w:rsidR="00352C5E" w:rsidRDefault="00352C5E">
      <w:pPr>
        <w:spacing w:after="0"/>
        <w:jc w:val="left"/>
        <w:rPr>
          <w:b/>
          <w:smallCaps/>
          <w:noProof/>
          <w:u w:val="single"/>
        </w:rPr>
      </w:pPr>
    </w:p>
    <w:p w:rsidR="00352C5E" w:rsidRDefault="006611ED">
      <w:pPr>
        <w:pStyle w:val="Heading1"/>
        <w:numPr>
          <w:ilvl w:val="0"/>
          <w:numId w:val="0"/>
        </w:numPr>
        <w:spacing w:before="0"/>
        <w:rPr>
          <w:noProof/>
        </w:rPr>
      </w:pPr>
      <w:r>
        <w:rPr>
          <w:noProof/>
        </w:rPr>
        <w:t xml:space="preserve">Действие 1: По-добро прилагане на принципа на равно заплащане  </w:t>
      </w:r>
    </w:p>
    <w:p w:rsidR="00352C5E" w:rsidRDefault="006611ED">
      <w:pPr>
        <w:pStyle w:val="Text2"/>
        <w:ind w:left="0"/>
        <w:rPr>
          <w:b/>
          <w:i/>
          <w:noProof/>
        </w:rPr>
      </w:pPr>
      <w:r>
        <w:rPr>
          <w:b/>
          <w:i/>
          <w:noProof/>
        </w:rPr>
        <w:t xml:space="preserve">Комисията ще </w:t>
      </w:r>
      <w:r>
        <w:rPr>
          <w:b/>
          <w:i/>
          <w:noProof/>
        </w:rPr>
        <w:t>извърши оценка на необходимостта от допълнителни законодателни мерки за подобряване на прилагането на принципа и ще продължи да наблюдава и прилага съществуващите права в ЕС.</w:t>
      </w:r>
    </w:p>
    <w:p w:rsidR="00352C5E" w:rsidRDefault="006611ED">
      <w:pPr>
        <w:pStyle w:val="Text2"/>
        <w:ind w:left="0"/>
        <w:rPr>
          <w:noProof/>
        </w:rPr>
      </w:pPr>
      <w:r>
        <w:rPr>
          <w:noProof/>
        </w:rPr>
        <w:t>Член 157 от ДФЕС утвърждава принципа на равно заплащане. В член 4 от преработенат</w:t>
      </w:r>
      <w:r>
        <w:rPr>
          <w:noProof/>
        </w:rPr>
        <w:t xml:space="preserve">а Директива за равенство между половете (2006/54/ЕО) е установен принципът на равно заплащане, като се предвижда, че за еднаква работа или работа, която е с равна стойност, се премахва всяка пряка или непряка дискриминация на основата на пола по отношение </w:t>
      </w:r>
      <w:r>
        <w:rPr>
          <w:noProof/>
        </w:rPr>
        <w:t xml:space="preserve">на всички аспекти и условия на възнаграждението. </w:t>
      </w:r>
    </w:p>
    <w:p w:rsidR="00352C5E" w:rsidRDefault="006611ED">
      <w:pPr>
        <w:pStyle w:val="ListBullet"/>
        <w:rPr>
          <w:noProof/>
        </w:rPr>
      </w:pPr>
      <w:r>
        <w:rPr>
          <w:noProof/>
        </w:rPr>
        <w:t>През 2013 г. Комисията прие доклад за прилагането на преработената Директива за равенство между половете</w:t>
      </w:r>
      <w:r>
        <w:rPr>
          <w:rStyle w:val="FootnoteReference"/>
          <w:noProof/>
        </w:rPr>
        <w:footnoteReference w:id="12"/>
      </w:r>
      <w:r>
        <w:rPr>
          <w:noProof/>
        </w:rPr>
        <w:t xml:space="preserve">. В доклада се представя актуалното състояние на прилагането на директивата по места, включително по отношение на въпроса за равното заплащане. </w:t>
      </w:r>
    </w:p>
    <w:p w:rsidR="00352C5E" w:rsidRDefault="006611ED">
      <w:pPr>
        <w:pStyle w:val="ListBullet"/>
        <w:rPr>
          <w:noProof/>
        </w:rPr>
      </w:pPr>
      <w:r>
        <w:rPr>
          <w:noProof/>
        </w:rPr>
        <w:t>През 2014 г. Комисията прие Препоръка относно прозрачността в заплащането</w:t>
      </w:r>
      <w:r>
        <w:rPr>
          <w:rStyle w:val="FootnoteReference"/>
          <w:noProof/>
        </w:rPr>
        <w:footnoteReference w:id="13"/>
      </w:r>
      <w:r>
        <w:rPr>
          <w:noProof/>
        </w:rPr>
        <w:t>, с която се насърчава по-ефективно п</w:t>
      </w:r>
      <w:r>
        <w:rPr>
          <w:noProof/>
        </w:rPr>
        <w:t>рилагане на законодателството относно равното заплащане чрез набор от конкретни мерки за подобряване на прозрачността в заплащането</w:t>
      </w:r>
      <w:r>
        <w:rPr>
          <w:rStyle w:val="FootnoteReference"/>
          <w:noProof/>
        </w:rPr>
        <w:footnoteReference w:id="14"/>
      </w:r>
      <w:r>
        <w:rPr>
          <w:noProof/>
        </w:rPr>
        <w:t>. В препоръката държавите членки се приканват да изберат и да прилагат поне една от посочените мерки с оглед на вътрешните и</w:t>
      </w:r>
      <w:r>
        <w:rPr>
          <w:noProof/>
        </w:rPr>
        <w:t>м обстоятелства.</w:t>
      </w:r>
    </w:p>
    <w:p w:rsidR="00352C5E" w:rsidRDefault="006611ED">
      <w:pPr>
        <w:pStyle w:val="Text2"/>
        <w:ind w:left="0"/>
        <w:rPr>
          <w:noProof/>
        </w:rPr>
      </w:pPr>
      <w:r>
        <w:rPr>
          <w:noProof/>
        </w:rPr>
        <w:t>Заедно с този план за действие Комисията прие и доклад за оценка във връзка с препоръката относно прозрачността. В доклада се прави преглед на последващите действия, предприети от държавите членки, и общ преглед на съществуващите националн</w:t>
      </w:r>
      <w:r>
        <w:rPr>
          <w:noProof/>
        </w:rPr>
        <w:t>и мерки</w:t>
      </w:r>
      <w:r>
        <w:rPr>
          <w:rStyle w:val="FootnoteReference"/>
          <w:noProof/>
        </w:rPr>
        <w:footnoteReference w:id="15"/>
      </w:r>
      <w:r>
        <w:rPr>
          <w:noProof/>
        </w:rPr>
        <w:t xml:space="preserve">. Оценката на националните мерки, посочени от държавите членки, показва, че съществуващите към момента национални мерки за прозрачност не са достатъчни и не са ефективни сами по себе си. </w:t>
      </w:r>
    </w:p>
    <w:p w:rsidR="00352C5E" w:rsidRDefault="006611ED">
      <w:pPr>
        <w:pStyle w:val="Text2"/>
        <w:ind w:left="0"/>
        <w:rPr>
          <w:noProof/>
        </w:rPr>
      </w:pPr>
      <w:r>
        <w:rPr>
          <w:noProof/>
        </w:rPr>
        <w:t>Както докладът относно прилагането на преработената Директив</w:t>
      </w:r>
      <w:r>
        <w:rPr>
          <w:noProof/>
        </w:rPr>
        <w:t>а за равенство между половете, така и изпълнението на препоръката относно прозрачността доказват необходимостта от укрепване на съществуващата нормативна уредба  и на нейното прилагане.</w:t>
      </w:r>
    </w:p>
    <w:p w:rsidR="00352C5E" w:rsidRDefault="006611ED">
      <w:pPr>
        <w:rPr>
          <w:rFonts w:eastAsia="Calibri"/>
          <w:i/>
          <w:noProof/>
        </w:rPr>
      </w:pPr>
      <w:r>
        <w:rPr>
          <w:i/>
          <w:noProof/>
        </w:rPr>
        <w:t>По-специално Комисията:</w:t>
      </w:r>
    </w:p>
    <w:p w:rsidR="00352C5E" w:rsidRDefault="006611ED">
      <w:pPr>
        <w:pStyle w:val="Text2"/>
        <w:numPr>
          <w:ilvl w:val="0"/>
          <w:numId w:val="34"/>
        </w:numPr>
        <w:rPr>
          <w:noProof/>
        </w:rPr>
      </w:pPr>
      <w:r>
        <w:rPr>
          <w:noProof/>
        </w:rPr>
        <w:t xml:space="preserve">ще оцени възможността за целеви изменения на преработената Директива за равенство между половете, като разгледа:  </w:t>
      </w:r>
    </w:p>
    <w:p w:rsidR="00352C5E" w:rsidRDefault="006611ED">
      <w:pPr>
        <w:pStyle w:val="Text2"/>
        <w:numPr>
          <w:ilvl w:val="1"/>
          <w:numId w:val="34"/>
        </w:numPr>
        <w:rPr>
          <w:noProof/>
        </w:rPr>
      </w:pPr>
      <w:r>
        <w:rPr>
          <w:noProof/>
        </w:rPr>
        <w:t>необходимостта и възможността да направи задължителни някои или всички мерки за прозрачност в заплащането, предвидени в препоръките от 2013 г</w:t>
      </w:r>
      <w:r>
        <w:rPr>
          <w:noProof/>
        </w:rPr>
        <w:t>., като например:</w:t>
      </w:r>
    </w:p>
    <w:p w:rsidR="00352C5E" w:rsidRDefault="006611ED">
      <w:pPr>
        <w:pStyle w:val="ListBullet1"/>
        <w:numPr>
          <w:ilvl w:val="0"/>
          <w:numId w:val="21"/>
        </w:numPr>
        <w:spacing w:after="0"/>
        <w:rPr>
          <w:noProof/>
        </w:rPr>
      </w:pPr>
      <w:r>
        <w:rPr>
          <w:noProof/>
        </w:rPr>
        <w:t>правото на работниците и служителите да искат информация за заплащането;</w:t>
      </w:r>
    </w:p>
    <w:p w:rsidR="00352C5E" w:rsidRDefault="006611ED">
      <w:pPr>
        <w:pStyle w:val="ListBullet1"/>
        <w:numPr>
          <w:ilvl w:val="0"/>
          <w:numId w:val="21"/>
        </w:numPr>
        <w:spacing w:after="0"/>
        <w:rPr>
          <w:noProof/>
        </w:rPr>
      </w:pPr>
      <w:r>
        <w:rPr>
          <w:noProof/>
        </w:rPr>
        <w:t>изготвянето на редовни доклади от работодателите за възнагражденията според категорията служител или позицията;</w:t>
      </w:r>
    </w:p>
    <w:p w:rsidR="00352C5E" w:rsidRDefault="006611ED">
      <w:pPr>
        <w:pStyle w:val="ListBullet1"/>
        <w:numPr>
          <w:ilvl w:val="0"/>
          <w:numId w:val="21"/>
        </w:numPr>
        <w:spacing w:after="0"/>
        <w:rPr>
          <w:noProof/>
        </w:rPr>
      </w:pPr>
      <w:r>
        <w:rPr>
          <w:noProof/>
        </w:rPr>
        <w:t xml:space="preserve">изясняване на понятието „работа с равна стойност“; </w:t>
      </w:r>
    </w:p>
    <w:p w:rsidR="00352C5E" w:rsidRDefault="00352C5E">
      <w:pPr>
        <w:pStyle w:val="Text2"/>
        <w:spacing w:after="0"/>
        <w:rPr>
          <w:noProof/>
        </w:rPr>
      </w:pPr>
    </w:p>
    <w:p w:rsidR="00352C5E" w:rsidRDefault="006611ED">
      <w:pPr>
        <w:pStyle w:val="ListBullet2"/>
        <w:numPr>
          <w:ilvl w:val="0"/>
          <w:numId w:val="35"/>
        </w:numPr>
        <w:rPr>
          <w:b/>
          <w:noProof/>
        </w:rPr>
      </w:pPr>
      <w:r>
        <w:rPr>
          <w:noProof/>
        </w:rPr>
        <w:t>начини за подобряване на санкциите и обезщетението за жертвите, като оцени необходимостта от въвеждане на мерки, като например</w:t>
      </w:r>
      <w:r>
        <w:rPr>
          <w:rStyle w:val="FootnoteReference"/>
          <w:noProof/>
        </w:rPr>
        <w:footnoteReference w:id="16"/>
      </w:r>
      <w:r>
        <w:rPr>
          <w:noProof/>
        </w:rPr>
        <w:t>:</w:t>
      </w:r>
    </w:p>
    <w:p w:rsidR="00352C5E" w:rsidRDefault="006611ED">
      <w:pPr>
        <w:pStyle w:val="ListBullet1"/>
        <w:numPr>
          <w:ilvl w:val="0"/>
          <w:numId w:val="22"/>
        </w:numPr>
        <w:spacing w:after="0"/>
        <w:rPr>
          <w:noProof/>
        </w:rPr>
      </w:pPr>
      <w:r>
        <w:rPr>
          <w:noProof/>
        </w:rPr>
        <w:t xml:space="preserve">въвеждане на минимални санкции в случай на нарушение на принципа на равно заплащане, и </w:t>
      </w:r>
    </w:p>
    <w:p w:rsidR="00352C5E" w:rsidRDefault="006611ED">
      <w:pPr>
        <w:pStyle w:val="ListBullet1"/>
        <w:numPr>
          <w:ilvl w:val="0"/>
          <w:numId w:val="22"/>
        </w:numPr>
        <w:spacing w:after="0"/>
        <w:rPr>
          <w:noProof/>
        </w:rPr>
      </w:pPr>
      <w:r>
        <w:rPr>
          <w:noProof/>
        </w:rPr>
        <w:t>въвеждане на минимални стандарти относн</w:t>
      </w:r>
      <w:r>
        <w:rPr>
          <w:noProof/>
        </w:rPr>
        <w:t>о обезщетението, които биха поставили жертвата в положението, в което би се намирала ако е бил спазен принципът на равно заплащане.</w:t>
      </w:r>
    </w:p>
    <w:p w:rsidR="00352C5E" w:rsidRDefault="00352C5E">
      <w:pPr>
        <w:pStyle w:val="ListBullet1"/>
        <w:spacing w:after="0"/>
        <w:ind w:left="1562"/>
        <w:rPr>
          <w:noProof/>
        </w:rPr>
      </w:pPr>
    </w:p>
    <w:p w:rsidR="00352C5E" w:rsidRDefault="006611ED">
      <w:pPr>
        <w:pStyle w:val="ListBullet2"/>
        <w:numPr>
          <w:ilvl w:val="0"/>
          <w:numId w:val="23"/>
        </w:numPr>
        <w:tabs>
          <w:tab w:val="left" w:pos="1134"/>
        </w:tabs>
        <w:rPr>
          <w:noProof/>
        </w:rPr>
      </w:pPr>
      <w:r>
        <w:rPr>
          <w:noProof/>
        </w:rPr>
        <w:t>начини за гарантиране на равенството между половете в професионалните пенсионни схеми, за да се адаптира преработената Дире</w:t>
      </w:r>
      <w:r>
        <w:rPr>
          <w:noProof/>
        </w:rPr>
        <w:t>ктива за равенство между половете към съдебната практика на Съда на Европейския съюз: Директивата позволява различно третиране на жените и мъжете във връзка с професионалните пенсии поради различната статистическа продължителност на живота, в резултат на к</w:t>
      </w:r>
      <w:r>
        <w:rPr>
          <w:noProof/>
        </w:rPr>
        <w:t>оето жените получават по-ниски месечни пенсии, тъй като средно те живеят по-дълго (следователно допринася за разликата в пенсиите на жените и мъжете); подобна практика е призната за дискриминационна и е забранена от Съда на ЕС по отношение на държавните пе</w:t>
      </w:r>
      <w:r>
        <w:rPr>
          <w:noProof/>
        </w:rPr>
        <w:t>нсии</w:t>
      </w:r>
      <w:r>
        <w:rPr>
          <w:rStyle w:val="FootnoteReference"/>
          <w:noProof/>
        </w:rPr>
        <w:footnoteReference w:id="17"/>
      </w:r>
      <w:r>
        <w:rPr>
          <w:noProof/>
        </w:rPr>
        <w:t xml:space="preserve"> през 2014 г., а по отношение на частните пенсии (осигурителни договори) през 2011 г</w:t>
      </w:r>
      <w:r>
        <w:rPr>
          <w:rStyle w:val="FootnoteReference"/>
          <w:noProof/>
        </w:rPr>
        <w:footnoteReference w:id="18"/>
      </w:r>
      <w:r>
        <w:rPr>
          <w:noProof/>
        </w:rPr>
        <w:t xml:space="preserve">. </w:t>
      </w:r>
    </w:p>
    <w:p w:rsidR="00352C5E" w:rsidRDefault="006611ED">
      <w:pPr>
        <w:pStyle w:val="Text2"/>
        <w:numPr>
          <w:ilvl w:val="0"/>
          <w:numId w:val="36"/>
        </w:numPr>
        <w:tabs>
          <w:tab w:val="clear" w:pos="2160"/>
          <w:tab w:val="left" w:pos="567"/>
        </w:tabs>
        <w:rPr>
          <w:noProof/>
        </w:rPr>
      </w:pPr>
      <w:r>
        <w:rPr>
          <w:noProof/>
        </w:rPr>
        <w:t xml:space="preserve">начини за укрепване на правоприлагащата функция на органите по въпросите на равенството, например чрез: </w:t>
      </w:r>
    </w:p>
    <w:p w:rsidR="00352C5E" w:rsidRDefault="006611ED">
      <w:pPr>
        <w:pStyle w:val="ListBullet1"/>
        <w:numPr>
          <w:ilvl w:val="0"/>
          <w:numId w:val="22"/>
        </w:numPr>
        <w:spacing w:after="0"/>
        <w:rPr>
          <w:noProof/>
        </w:rPr>
      </w:pPr>
      <w:r>
        <w:rPr>
          <w:noProof/>
        </w:rPr>
        <w:t>гарантиране, че органите по въпросите на равенството могат</w:t>
      </w:r>
      <w:r>
        <w:rPr>
          <w:noProof/>
        </w:rPr>
        <w:t xml:space="preserve"> действително и изцяло да изпълняват задачата си, главно чрез наблюдение и налагане спазването на приложимите правила; </w:t>
      </w:r>
    </w:p>
    <w:p w:rsidR="00352C5E" w:rsidRDefault="006611ED">
      <w:pPr>
        <w:pStyle w:val="ListBullet1"/>
        <w:numPr>
          <w:ilvl w:val="0"/>
          <w:numId w:val="22"/>
        </w:numPr>
        <w:spacing w:after="0"/>
        <w:rPr>
          <w:noProof/>
        </w:rPr>
      </w:pPr>
      <w:r>
        <w:rPr>
          <w:noProof/>
        </w:rPr>
        <w:t>разясняване на изискванията съгласно директивата и/или определяне на хоризонтални стандарти за органите по въпросите на равенството в съ</w:t>
      </w:r>
      <w:r>
        <w:rPr>
          <w:noProof/>
        </w:rPr>
        <w:t>ответствие с техния контролен статут, по-специално по отношение на тяхната независимост, ефективност и компетентност</w:t>
      </w:r>
      <w:r>
        <w:rPr>
          <w:rStyle w:val="FootnoteReference"/>
          <w:noProof/>
        </w:rPr>
        <w:footnoteReference w:id="19"/>
      </w:r>
      <w:r>
        <w:rPr>
          <w:noProof/>
        </w:rPr>
        <w:t xml:space="preserve">.  </w:t>
      </w:r>
    </w:p>
    <w:p w:rsidR="00352C5E" w:rsidRDefault="00352C5E">
      <w:pPr>
        <w:pStyle w:val="ListBullet1"/>
        <w:spacing w:after="0"/>
        <w:ind w:left="1562"/>
        <w:rPr>
          <w:noProof/>
        </w:rPr>
      </w:pPr>
    </w:p>
    <w:p w:rsidR="00352C5E" w:rsidRDefault="006611ED">
      <w:pPr>
        <w:pStyle w:val="Text2"/>
        <w:numPr>
          <w:ilvl w:val="0"/>
          <w:numId w:val="24"/>
        </w:numPr>
        <w:tabs>
          <w:tab w:val="clear" w:pos="2160"/>
          <w:tab w:val="left" w:pos="0"/>
        </w:tabs>
        <w:rPr>
          <w:noProof/>
        </w:rPr>
      </w:pPr>
      <w:r>
        <w:rPr>
          <w:noProof/>
        </w:rPr>
        <w:t xml:space="preserve">ще продължи да прави оценка на това дали достиженията на правото на ЕС се прилагат правилно в различните държави — членки на ЕС, и да </w:t>
      </w:r>
      <w:r>
        <w:rPr>
          <w:noProof/>
        </w:rPr>
        <w:t>наблюдава как се прилага принципът на равно заплащане по места; в случай на неспазване Комисията ще продължи да води процедури за нарушение спрямо въпросната държава членка поради неизпълнение на задълженията ѝ, произтичащи от правото на ЕС;</w:t>
      </w:r>
    </w:p>
    <w:p w:rsidR="00352C5E" w:rsidRDefault="006611ED">
      <w:pPr>
        <w:pStyle w:val="Text2"/>
        <w:numPr>
          <w:ilvl w:val="0"/>
          <w:numId w:val="24"/>
        </w:numPr>
        <w:rPr>
          <w:noProof/>
        </w:rPr>
      </w:pPr>
      <w:r>
        <w:rPr>
          <w:noProof/>
        </w:rPr>
        <w:t>ще приеме през</w:t>
      </w:r>
      <w:r>
        <w:rPr>
          <w:noProof/>
        </w:rPr>
        <w:t xml:space="preserve"> 2019 г. доклад относно националните мерки, приети въз основа на член 157, параграф 4 от ДФЕС, предвиждащи специфични придобивки за улеснение на упражняването на професионална дейност от недостатъчно представения пол или за предотвратяване или компенсиране</w:t>
      </w:r>
      <w:r>
        <w:rPr>
          <w:noProof/>
        </w:rPr>
        <w:t xml:space="preserve"> на неблагоприятното положение в професионалното развитие;</w:t>
      </w:r>
    </w:p>
    <w:p w:rsidR="00352C5E" w:rsidRDefault="006611ED">
      <w:pPr>
        <w:pStyle w:val="Text2"/>
        <w:numPr>
          <w:ilvl w:val="0"/>
          <w:numId w:val="24"/>
        </w:numPr>
        <w:rPr>
          <w:noProof/>
        </w:rPr>
      </w:pPr>
      <w:r>
        <w:rPr>
          <w:noProof/>
        </w:rPr>
        <w:t xml:space="preserve">ще продължи да работи заедно с мрежата от органи по въпросите на равенството (EQUINET), консултативния комитет за равни възможности на жените и мъжете и групата на високо равнище за интегриране на </w:t>
      </w:r>
      <w:r>
        <w:rPr>
          <w:noProof/>
        </w:rPr>
        <w:t xml:space="preserve">проблематиката на равенството между половете, за да укрепи прилагането на принципа на равно заплащане в държавите членки. </w:t>
      </w:r>
    </w:p>
    <w:p w:rsidR="00352C5E" w:rsidRDefault="006611ED">
      <w:pPr>
        <w:pStyle w:val="Heading1"/>
        <w:numPr>
          <w:ilvl w:val="0"/>
          <w:numId w:val="0"/>
        </w:numPr>
        <w:ind w:left="480" w:hanging="480"/>
        <w:rPr>
          <w:noProof/>
        </w:rPr>
      </w:pPr>
      <w:r>
        <w:rPr>
          <w:noProof/>
        </w:rPr>
        <w:t xml:space="preserve">Действие 2:  Борба със сегрегацията в професиите и секторите </w:t>
      </w:r>
    </w:p>
    <w:p w:rsidR="00352C5E" w:rsidRDefault="006611ED">
      <w:pPr>
        <w:rPr>
          <w:rFonts w:eastAsia="Calibri"/>
          <w:b/>
          <w:i/>
          <w:noProof/>
        </w:rPr>
      </w:pPr>
      <w:r>
        <w:rPr>
          <w:b/>
          <w:i/>
          <w:noProof/>
        </w:rPr>
        <w:t>Комисията ще подкрепя практики, които са насочени към ранното премахван</w:t>
      </w:r>
      <w:r>
        <w:rPr>
          <w:b/>
          <w:i/>
          <w:noProof/>
        </w:rPr>
        <w:t>е в образованието и трудовия живот на стереотипите, водещи до различия в заетостта на жените и мъжете в различни области. Комисията ще подкрепя дружествата и други работодатели в усилията им да осигурят равно заплащане и да привличат и задържат недостатъчн</w:t>
      </w:r>
      <w:r>
        <w:rPr>
          <w:b/>
          <w:i/>
          <w:noProof/>
        </w:rPr>
        <w:t>о представения пол.</w:t>
      </w:r>
    </w:p>
    <w:p w:rsidR="00352C5E" w:rsidRDefault="006611ED">
      <w:pPr>
        <w:pStyle w:val="ListBullet"/>
        <w:spacing w:after="200"/>
        <w:rPr>
          <w:rFonts w:eastAsia="Calibri"/>
          <w:noProof/>
        </w:rPr>
      </w:pPr>
      <w:r>
        <w:rPr>
          <w:noProof/>
        </w:rPr>
        <w:t xml:space="preserve">Сегрегацията в секторите е един от основните двигатели на разликата в заплащането на жените и мъжете. </w:t>
      </w:r>
    </w:p>
    <w:p w:rsidR="00352C5E" w:rsidRDefault="006611ED">
      <w:pPr>
        <w:pStyle w:val="ListBullet"/>
        <w:rPr>
          <w:noProof/>
        </w:rPr>
      </w:pPr>
      <w:r>
        <w:rPr>
          <w:noProof/>
        </w:rPr>
        <w:t>Представителството на мъжете и жените е различно в различните икономически сектори. Жените са по-малко представени в някои от сектори</w:t>
      </w:r>
      <w:r>
        <w:rPr>
          <w:noProof/>
        </w:rPr>
        <w:t>те на икономиката, като например строителството, производството, транспорта, научните изследвания и информационните и комуникационните технологии (ИКТ)</w:t>
      </w:r>
      <w:r>
        <w:rPr>
          <w:rStyle w:val="FootnoteReference"/>
          <w:noProof/>
        </w:rPr>
        <w:footnoteReference w:id="20"/>
      </w:r>
      <w:r>
        <w:rPr>
          <w:noProof/>
        </w:rPr>
        <w:t>. Обратно, мъжете рядко участват в основни сектори, които са свързани с бъдещето на обществото и икономи</w:t>
      </w:r>
      <w:r>
        <w:rPr>
          <w:noProof/>
        </w:rPr>
        <w:t>ката в Европа, като например образованието, професията на медицински сестри и професиите, свързани с полагането на грижи в сферата на здравеопазването.</w:t>
      </w:r>
    </w:p>
    <w:p w:rsidR="00352C5E" w:rsidRDefault="006611ED">
      <w:pPr>
        <w:pStyle w:val="ListBullet"/>
        <w:rPr>
          <w:noProof/>
        </w:rPr>
      </w:pPr>
      <w:r>
        <w:rPr>
          <w:noProof/>
        </w:rPr>
        <w:t>Секторът на ИКТ се разраства през последните 10 години и се очаква в бъдеще да създава още работни места</w:t>
      </w:r>
      <w:r>
        <w:rPr>
          <w:noProof/>
        </w:rPr>
        <w:t>. От 8 милиона души, работещи в сектора на ИКТ, обаче, само около 16 % са жени. В секторите на строителството и научните изследвания разделението между половете е видно и сред младото поколение: макар че през 2014 г. жените съставляват 46 % от всички получ</w:t>
      </w:r>
      <w:r>
        <w:rPr>
          <w:noProof/>
        </w:rPr>
        <w:t xml:space="preserve">или докторска степен в ЕС, те представляват само 28 % от получилите докторска степен в областта на инженерството, производството и строителството и само 21 % от тези, които са получили степен в областта на компютърните науки. Обратно, мъжете представляват </w:t>
      </w:r>
      <w:r>
        <w:rPr>
          <w:noProof/>
        </w:rPr>
        <w:t>само 33 % от докторантите в преподавателските дисциплини.</w:t>
      </w:r>
    </w:p>
    <w:p w:rsidR="00352C5E" w:rsidRDefault="006611ED">
      <w:pPr>
        <w:pStyle w:val="ListBullet"/>
        <w:rPr>
          <w:noProof/>
        </w:rPr>
      </w:pPr>
      <w:r>
        <w:rPr>
          <w:noProof/>
        </w:rPr>
        <w:t>Привличането на повече жени в сектора на науката, технологиите, инженерството и математиката</w:t>
      </w:r>
      <w:r>
        <w:rPr>
          <w:rStyle w:val="FootnoteReference"/>
          <w:noProof/>
        </w:rPr>
        <w:footnoteReference w:id="21"/>
      </w:r>
      <w:r>
        <w:rPr>
          <w:noProof/>
        </w:rPr>
        <w:t xml:space="preserve"> ще допринесе за увеличаване на БВП на ЕС на глава от населението с 2,2 до 3,0 % през 2050 г. Това може д</w:t>
      </w:r>
      <w:r>
        <w:rPr>
          <w:noProof/>
        </w:rPr>
        <w:t xml:space="preserve">а стане въз основа на новите тенденции, като например интереса у момичетата към кодирането или появата на стартиращи  предприятия, ръководени от жени. </w:t>
      </w:r>
    </w:p>
    <w:p w:rsidR="00352C5E" w:rsidRDefault="006611ED">
      <w:pPr>
        <w:rPr>
          <w:rFonts w:eastAsia="Calibri"/>
          <w:noProof/>
        </w:rPr>
      </w:pPr>
      <w:r>
        <w:rPr>
          <w:noProof/>
        </w:rPr>
        <w:t xml:space="preserve">Тъй като изборът на кариера и образование се прави още в ранен етап от живота и често пъти е необратим, </w:t>
      </w:r>
      <w:r>
        <w:rPr>
          <w:noProof/>
        </w:rPr>
        <w:t>преодоляването на сегрегацията на пазара на труда изисква действия още на училищно ниво. Данните на Програмата за международно оценяване на учениците (PISA)</w:t>
      </w:r>
      <w:r>
        <w:rPr>
          <w:rStyle w:val="FootnoteReference"/>
          <w:noProof/>
        </w:rPr>
        <w:footnoteReference w:id="22"/>
      </w:r>
      <w:r>
        <w:rPr>
          <w:noProof/>
        </w:rPr>
        <w:t xml:space="preserve"> показват, че стереотипите по отношение на пола са все още широко разпространени, което води до раз</w:t>
      </w:r>
      <w:r>
        <w:rPr>
          <w:noProof/>
        </w:rPr>
        <w:t>лики в самочувствието и ангажираността в различни области. Малко са добрите практики за преодоляване на сегрегацията в образованието и на пазара на труда. В тази област са необходими взаимно обучение и доказателства за сполучливите решения.</w:t>
      </w:r>
    </w:p>
    <w:p w:rsidR="00352C5E" w:rsidRDefault="006611ED">
      <w:pPr>
        <w:rPr>
          <w:rFonts w:eastAsia="Calibri"/>
          <w:i/>
          <w:noProof/>
        </w:rPr>
      </w:pPr>
      <w:r>
        <w:rPr>
          <w:i/>
          <w:noProof/>
        </w:rPr>
        <w:t>По-специално Ко</w:t>
      </w:r>
      <w:r>
        <w:rPr>
          <w:i/>
          <w:noProof/>
        </w:rPr>
        <w:t>мисията:</w:t>
      </w:r>
    </w:p>
    <w:p w:rsidR="00352C5E" w:rsidRDefault="006611ED">
      <w:pPr>
        <w:pStyle w:val="ListParagraph"/>
        <w:ind w:left="644"/>
        <w:rPr>
          <w:noProof/>
        </w:rPr>
      </w:pPr>
      <w:r>
        <w:rPr>
          <w:noProof/>
        </w:rPr>
        <w:t>ще подпомага транснационални проекти за преодоляване на стереотипите и сегрегацията в образованието, обучението и на пазара на труда, с акцент върху експериментирането, даващо убедителни доказателства. Подкрепата ще се предоставя чрез програмата „</w:t>
      </w:r>
      <w:r>
        <w:rPr>
          <w:noProof/>
        </w:rPr>
        <w:t xml:space="preserve">Права, равенство и гражданство“ (REC) за периода 2014—2020 г. Това допълва подкрепата, предоставена на държавите членки чрез ЕСФ и чрез програма </w:t>
      </w:r>
      <w:hyperlink r:id="rId17">
        <w:r>
          <w:rPr>
            <w:noProof/>
          </w:rPr>
          <w:t>„Еразъм+“</w:t>
        </w:r>
      </w:hyperlink>
      <w:r>
        <w:rPr>
          <w:noProof/>
        </w:rPr>
        <w:t xml:space="preserve">; </w:t>
      </w:r>
    </w:p>
    <w:p w:rsidR="00352C5E" w:rsidRDefault="00352C5E">
      <w:pPr>
        <w:pStyle w:val="ListParagraph"/>
        <w:ind w:left="644"/>
        <w:rPr>
          <w:noProof/>
        </w:rPr>
      </w:pPr>
    </w:p>
    <w:p w:rsidR="00352C5E" w:rsidRDefault="006611ED">
      <w:pPr>
        <w:pStyle w:val="ListParagraph"/>
        <w:numPr>
          <w:ilvl w:val="0"/>
          <w:numId w:val="19"/>
        </w:numPr>
        <w:spacing w:after="0"/>
        <w:rPr>
          <w:rFonts w:eastAsia="Calibri"/>
          <w:noProof/>
        </w:rPr>
      </w:pPr>
      <w:r>
        <w:rPr>
          <w:noProof/>
        </w:rPr>
        <w:t>ще организира подготвителна конференция (през 2018 г.) и заключителна конференция (2019 г.) относно резултатите от проектите за борба със стереотипите и сегрегацията</w:t>
      </w:r>
      <w:r>
        <w:rPr>
          <w:rStyle w:val="FootnoteReference"/>
          <w:noProof/>
        </w:rPr>
        <w:footnoteReference w:id="23"/>
      </w:r>
      <w:r>
        <w:rPr>
          <w:noProof/>
        </w:rPr>
        <w:t>; в сътрудничество с основни заинтересовани страни, главно представители на училища, доставчици на услуги в сферата на образованието, университети, обществени служби по заетостта и организации за професионална ориентация. Целта на конференциите е да се пос</w:t>
      </w:r>
      <w:r>
        <w:rPr>
          <w:noProof/>
        </w:rPr>
        <w:t xml:space="preserve">очат най-обещаващите резултати и да се разпространят допълнително до широк кръг заинтересовани страни и национални правителства; </w:t>
      </w:r>
    </w:p>
    <w:p w:rsidR="00352C5E" w:rsidRDefault="00352C5E">
      <w:pPr>
        <w:pStyle w:val="ListParagraph"/>
        <w:spacing w:after="0"/>
        <w:ind w:left="644"/>
        <w:rPr>
          <w:b/>
          <w:bCs/>
          <w:smallCaps/>
          <w:noProof/>
          <w:snapToGrid w:val="0"/>
          <w:szCs w:val="24"/>
          <w:u w:val="single"/>
        </w:rPr>
      </w:pPr>
    </w:p>
    <w:p w:rsidR="00352C5E" w:rsidRDefault="006611ED">
      <w:pPr>
        <w:pStyle w:val="ListParagraph"/>
        <w:numPr>
          <w:ilvl w:val="0"/>
          <w:numId w:val="19"/>
        </w:numPr>
        <w:spacing w:after="0"/>
        <w:rPr>
          <w:noProof/>
        </w:rPr>
      </w:pPr>
      <w:r>
        <w:rPr>
          <w:noProof/>
        </w:rPr>
        <w:t>ще стартира редовен обмен на най-добри практики сред дружествата, което да спомогне за преодоляване на сегрегацията по пол, и</w:t>
      </w:r>
      <w:r>
        <w:rPr>
          <w:noProof/>
        </w:rPr>
        <w:t xml:space="preserve"> ще продължи да поддържа платформата на ЕС за хартите на многообразието</w:t>
      </w:r>
      <w:r>
        <w:rPr>
          <w:rStyle w:val="FootnoteReference"/>
          <w:noProof/>
        </w:rPr>
        <w:footnoteReference w:id="24"/>
      </w:r>
      <w:r>
        <w:rPr>
          <w:noProof/>
        </w:rPr>
        <w:t>;</w:t>
      </w:r>
    </w:p>
    <w:p w:rsidR="00352C5E" w:rsidRDefault="00352C5E">
      <w:pPr>
        <w:pStyle w:val="ListParagraph"/>
        <w:spacing w:after="0"/>
        <w:rPr>
          <w:noProof/>
        </w:rPr>
      </w:pPr>
    </w:p>
    <w:p w:rsidR="00352C5E" w:rsidRDefault="006611ED">
      <w:pPr>
        <w:pStyle w:val="ListParagraph"/>
        <w:numPr>
          <w:ilvl w:val="0"/>
          <w:numId w:val="19"/>
        </w:numPr>
        <w:spacing w:after="0"/>
        <w:rPr>
          <w:noProof/>
        </w:rPr>
      </w:pPr>
      <w:r>
        <w:rPr>
          <w:noProof/>
        </w:rPr>
        <w:t xml:space="preserve">ще продължи да финансира по места проекти, поставящи под съмнение стереотипите, под ръководството на общности в областта на образованието и обучението чрез програма </w:t>
      </w:r>
      <w:hyperlink r:id="rId18">
        <w:r>
          <w:rPr>
            <w:noProof/>
          </w:rPr>
          <w:t>„Еразъм+“</w:t>
        </w:r>
      </w:hyperlink>
      <w:r>
        <w:rPr>
          <w:noProof/>
        </w:rPr>
        <w:t>;</w:t>
      </w:r>
    </w:p>
    <w:p w:rsidR="00352C5E" w:rsidRDefault="00352C5E">
      <w:pPr>
        <w:pStyle w:val="ListParagraph"/>
        <w:spacing w:after="0"/>
        <w:ind w:left="644"/>
        <w:rPr>
          <w:noProof/>
        </w:rPr>
      </w:pPr>
    </w:p>
    <w:p w:rsidR="00352C5E" w:rsidRDefault="00352C5E">
      <w:pPr>
        <w:pStyle w:val="ListParagraph"/>
        <w:spacing w:after="0"/>
        <w:rPr>
          <w:noProof/>
        </w:rPr>
      </w:pPr>
    </w:p>
    <w:p w:rsidR="00352C5E" w:rsidRDefault="006611ED">
      <w:pPr>
        <w:pStyle w:val="ListBullet"/>
        <w:numPr>
          <w:ilvl w:val="0"/>
          <w:numId w:val="19"/>
        </w:numPr>
        <w:rPr>
          <w:noProof/>
        </w:rPr>
      </w:pPr>
      <w:r>
        <w:rPr>
          <w:noProof/>
        </w:rPr>
        <w:t>ще осъществи конкретни инициативи в различни сектори за премахване на стереотипите относно</w:t>
      </w:r>
      <w:r>
        <w:rPr>
          <w:noProof/>
        </w:rPr>
        <w:t xml:space="preserve"> уменията, способностите и ролите на жените и мъжете, като например:</w:t>
      </w:r>
    </w:p>
    <w:p w:rsidR="00352C5E" w:rsidRDefault="006611ED">
      <w:pPr>
        <w:pStyle w:val="ListBullet"/>
        <w:numPr>
          <w:ilvl w:val="0"/>
          <w:numId w:val="4"/>
        </w:numPr>
        <w:ind w:left="1286"/>
        <w:rPr>
          <w:noProof/>
        </w:rPr>
      </w:pPr>
      <w:r>
        <w:rPr>
          <w:noProof/>
        </w:rPr>
        <w:t>ще продължи да приканва дружествата да се присъединят към широката коалиция за цифрови умения и работни места</w:t>
      </w:r>
      <w:r>
        <w:rPr>
          <w:rStyle w:val="FootnoteReference"/>
          <w:noProof/>
        </w:rPr>
        <w:footnoteReference w:id="25"/>
      </w:r>
      <w:r>
        <w:rPr>
          <w:noProof/>
        </w:rPr>
        <w:t xml:space="preserve">, и по-специално да ги приканва да предоставят възможност на повече жени и </w:t>
      </w:r>
      <w:r>
        <w:rPr>
          <w:noProof/>
        </w:rPr>
        <w:t xml:space="preserve">момичета да придобиват цифрови умения и да ги насърчават  да изучават ИКТ и да градят кариера в тази област; на организациите и дружествата ще бъде отпускано финансиране от ЕС, за да продължат да обменят добри практики за нововъведенията, свързани с пола, </w:t>
      </w:r>
      <w:r>
        <w:rPr>
          <w:noProof/>
        </w:rPr>
        <w:t>многообразието и приобщаването, както и балансираното участие в управлението;</w:t>
      </w:r>
    </w:p>
    <w:p w:rsidR="00352C5E" w:rsidRDefault="006611ED">
      <w:pPr>
        <w:pStyle w:val="ListBullet"/>
        <w:numPr>
          <w:ilvl w:val="0"/>
          <w:numId w:val="4"/>
        </w:numPr>
        <w:ind w:left="1286"/>
        <w:rPr>
          <w:noProof/>
        </w:rPr>
      </w:pPr>
      <w:r>
        <w:rPr>
          <w:noProof/>
        </w:rPr>
        <w:t xml:space="preserve">ще публикува и обмисли подходящи последващи действия във връзка с проучването от есента на 2017 г. относно </w:t>
      </w:r>
      <w:r>
        <w:rPr>
          <w:i/>
          <w:noProof/>
        </w:rPr>
        <w:t>жените в цифровата ера</w:t>
      </w:r>
      <w:r>
        <w:rPr>
          <w:noProof/>
        </w:rPr>
        <w:t>, което предоставя общ преглед на тенденциите в т</w:t>
      </w:r>
      <w:r>
        <w:rPr>
          <w:noProof/>
        </w:rPr>
        <w:t xml:space="preserve">ази област; </w:t>
      </w:r>
    </w:p>
    <w:p w:rsidR="00352C5E" w:rsidRDefault="006611ED">
      <w:pPr>
        <w:pStyle w:val="ListBullet1"/>
        <w:numPr>
          <w:ilvl w:val="0"/>
          <w:numId w:val="29"/>
        </w:numPr>
        <w:ind w:left="1276" w:hanging="283"/>
        <w:rPr>
          <w:noProof/>
        </w:rPr>
      </w:pPr>
      <w:r>
        <w:rPr>
          <w:noProof/>
        </w:rPr>
        <w:t>ще предостави инструменти за насърчаване на институционални промени, които могат да стимулират постигането на равенство в научната кариера (като например инструмента за равенство между половете в академичната общност и научните изследвания (GE</w:t>
      </w:r>
      <w:r>
        <w:rPr>
          <w:noProof/>
        </w:rPr>
        <w:t>AR), разработен от Европейския институт за равенство между половете), и ще продължи редовно да наблюдава основните тенденции в науката и научните изследвания в рамките на „</w:t>
      </w:r>
      <w:r>
        <w:rPr>
          <w:i/>
          <w:noProof/>
        </w:rPr>
        <w:t xml:space="preserve">She Figures“ </w:t>
      </w:r>
      <w:r>
        <w:rPr>
          <w:noProof/>
        </w:rPr>
        <w:t>— водещата публикация на Комисията в тази област;</w:t>
      </w:r>
    </w:p>
    <w:p w:rsidR="00352C5E" w:rsidRDefault="006611ED">
      <w:pPr>
        <w:pStyle w:val="ListBullet"/>
        <w:numPr>
          <w:ilvl w:val="0"/>
          <w:numId w:val="29"/>
        </w:numPr>
        <w:ind w:left="1323" w:hanging="330"/>
        <w:rPr>
          <w:noProof/>
        </w:rPr>
      </w:pPr>
      <w:r>
        <w:rPr>
          <w:noProof/>
        </w:rPr>
        <w:t>ще продължи да подчер</w:t>
      </w:r>
      <w:r>
        <w:rPr>
          <w:noProof/>
        </w:rPr>
        <w:t xml:space="preserve">тава постиженията на жените в науката, като организира наградата на ЕС за жени новатори; </w:t>
      </w:r>
    </w:p>
    <w:p w:rsidR="00352C5E" w:rsidRDefault="006611ED">
      <w:pPr>
        <w:pStyle w:val="ListBullet"/>
        <w:numPr>
          <w:ilvl w:val="0"/>
          <w:numId w:val="29"/>
        </w:numPr>
        <w:ind w:left="1276" w:hanging="283"/>
        <w:rPr>
          <w:noProof/>
        </w:rPr>
      </w:pPr>
      <w:r>
        <w:rPr>
          <w:noProof/>
        </w:rPr>
        <w:t>ще стартира платформа на ЕС за промяна с цел да се повиши заетостта на жените и да се увеличат равните възможности в транспортния сектор</w:t>
      </w:r>
      <w:r>
        <w:rPr>
          <w:rStyle w:val="FootnoteReference"/>
          <w:noProof/>
        </w:rPr>
        <w:footnoteReference w:id="26"/>
      </w:r>
      <w:r>
        <w:rPr>
          <w:noProof/>
        </w:rPr>
        <w:t xml:space="preserve"> и ще публикува през 2018 г. </w:t>
      </w:r>
      <w:r>
        <w:rPr>
          <w:noProof/>
        </w:rPr>
        <w:t xml:space="preserve">проучване относно икономическите аргументи за по-голямата заетост на жените в транспорта; след като резултатите от това бъдат широко разпространени, най-добрите практики от сектора ще бъдат споделени, а останалите сектори ще бъдат окуражени да предприемат </w:t>
      </w:r>
      <w:r>
        <w:rPr>
          <w:noProof/>
        </w:rPr>
        <w:t xml:space="preserve">подобни действия;  </w:t>
      </w:r>
    </w:p>
    <w:p w:rsidR="00352C5E" w:rsidRDefault="006611ED">
      <w:pPr>
        <w:pStyle w:val="ListBullet"/>
        <w:tabs>
          <w:tab w:val="num" w:pos="566"/>
        </w:tabs>
        <w:ind w:left="1276" w:hanging="283"/>
        <w:rPr>
          <w:noProof/>
        </w:rPr>
      </w:pPr>
      <w:r>
        <w:rPr>
          <w:noProof/>
        </w:rPr>
        <w:t xml:space="preserve">- </w:t>
      </w:r>
      <w:r>
        <w:rPr>
          <w:noProof/>
        </w:rPr>
        <w:tab/>
        <w:t>ще насърчава партньорското обучение в държавите членки относно кариерата на учителите и училищните ръководители с цел преодоляване на нарушеното равновесие между половете в преподавателската професия</w:t>
      </w:r>
      <w:r>
        <w:rPr>
          <w:rStyle w:val="FootnoteReference"/>
          <w:noProof/>
        </w:rPr>
        <w:footnoteReference w:id="27"/>
      </w:r>
      <w:r>
        <w:rPr>
          <w:noProof/>
        </w:rPr>
        <w:t>; това ще се осъществи по линия н</w:t>
      </w:r>
      <w:r>
        <w:rPr>
          <w:noProof/>
        </w:rPr>
        <w:t>а Програмата за образование и обучение до 2020 г. чрез серия от експертни семинари и ще бъде свързано с европейския секторен социален диалог в областта на образованието</w:t>
      </w:r>
      <w:r>
        <w:rPr>
          <w:rStyle w:val="FootnoteReference"/>
          <w:noProof/>
        </w:rPr>
        <w:footnoteReference w:id="28"/>
      </w:r>
      <w:r>
        <w:rPr>
          <w:noProof/>
        </w:rPr>
        <w:t>;</w:t>
      </w:r>
    </w:p>
    <w:p w:rsidR="00352C5E" w:rsidRDefault="006611ED">
      <w:pPr>
        <w:pStyle w:val="ListBullet"/>
        <w:numPr>
          <w:ilvl w:val="0"/>
          <w:numId w:val="30"/>
        </w:numPr>
        <w:ind w:left="1276" w:hanging="283"/>
        <w:rPr>
          <w:noProof/>
        </w:rPr>
      </w:pPr>
      <w:r>
        <w:rPr>
          <w:noProof/>
        </w:rPr>
        <w:t>ще подпомага събирането на данни относно възнагражденията на учителите чрез мрежата „</w:t>
      </w:r>
      <w:r>
        <w:rPr>
          <w:noProof/>
        </w:rPr>
        <w:t>Евридика“</w:t>
      </w:r>
      <w:r>
        <w:rPr>
          <w:noProof/>
          <w:vertAlign w:val="superscript"/>
        </w:rPr>
        <w:footnoteReference w:id="29"/>
      </w:r>
      <w:r>
        <w:rPr>
          <w:noProof/>
        </w:rPr>
        <w:t xml:space="preserve"> в сътрудничество с ОИСР и ще насърчава държавите членки да предприемат действия за премахване на недостатъчното възнаграждение в този сектор.</w:t>
      </w:r>
    </w:p>
    <w:p w:rsidR="00352C5E" w:rsidRDefault="006611ED">
      <w:pPr>
        <w:pStyle w:val="Heading1"/>
        <w:numPr>
          <w:ilvl w:val="0"/>
          <w:numId w:val="0"/>
        </w:numPr>
        <w:rPr>
          <w:noProof/>
        </w:rPr>
      </w:pPr>
      <w:r>
        <w:rPr>
          <w:noProof/>
        </w:rPr>
        <w:t>Действие 3: Преодоляване на „стъкления таван“: борба с вертикалната сегрегация</w:t>
      </w:r>
    </w:p>
    <w:p w:rsidR="00352C5E" w:rsidRDefault="006611ED">
      <w:pPr>
        <w:rPr>
          <w:b/>
          <w:i/>
          <w:noProof/>
        </w:rPr>
      </w:pPr>
      <w:r>
        <w:rPr>
          <w:b/>
          <w:i/>
          <w:noProof/>
        </w:rPr>
        <w:t>Комисията ще подкрепя пр</w:t>
      </w:r>
      <w:r>
        <w:rPr>
          <w:b/>
          <w:i/>
          <w:noProof/>
        </w:rPr>
        <w:t xml:space="preserve">актики за подобряване на баланса между половете в процесите и позициите за вземане на решения във всички сектори </w:t>
      </w:r>
    </w:p>
    <w:p w:rsidR="00352C5E" w:rsidRDefault="006611ED">
      <w:pPr>
        <w:pStyle w:val="Text1"/>
        <w:ind w:left="0"/>
        <w:rPr>
          <w:noProof/>
        </w:rPr>
      </w:pPr>
      <w:r>
        <w:rPr>
          <w:noProof/>
        </w:rPr>
        <w:t>Във всеки сектор и във всяка професия е много по-малко вероятно жените да бъдат повишавани и да получават управленски отговорности. Ето защо с</w:t>
      </w:r>
      <w:r>
        <w:rPr>
          <w:noProof/>
        </w:rPr>
        <w:t>а необходими действия за подобряване на баланса между половете при вземането на решения и за гарантиране на равенството на всички равнища</w:t>
      </w:r>
      <w:r>
        <w:rPr>
          <w:rStyle w:val="FootnoteReference"/>
          <w:noProof/>
        </w:rPr>
        <w:footnoteReference w:id="30"/>
      </w:r>
      <w:r>
        <w:rPr>
          <w:noProof/>
        </w:rPr>
        <w:t>.</w:t>
      </w:r>
    </w:p>
    <w:p w:rsidR="00352C5E" w:rsidRDefault="006611ED">
      <w:pPr>
        <w:rPr>
          <w:rFonts w:eastAsia="Calibri"/>
          <w:i/>
          <w:noProof/>
        </w:rPr>
      </w:pPr>
      <w:r>
        <w:rPr>
          <w:i/>
          <w:noProof/>
        </w:rPr>
        <w:t>По-специално Комисията:</w:t>
      </w:r>
    </w:p>
    <w:p w:rsidR="00352C5E" w:rsidRDefault="006611ED">
      <w:pPr>
        <w:pStyle w:val="ListBullet"/>
        <w:numPr>
          <w:ilvl w:val="0"/>
          <w:numId w:val="31"/>
        </w:numPr>
        <w:rPr>
          <w:noProof/>
          <w:color w:val="000000"/>
        </w:rPr>
      </w:pPr>
      <w:r>
        <w:rPr>
          <w:noProof/>
        </w:rPr>
        <w:t>ще работи за приемане на предложението на Комисията за директива за подобряване на баланса м</w:t>
      </w:r>
      <w:r>
        <w:rPr>
          <w:noProof/>
        </w:rPr>
        <w:t>ежду половете сред директорите на дружествата, допуснати до борсова търговия. В него са заложени количествени цели за държавите членки и се подчертава колко е важно управителните съвети да определят прозрачни критерии за подбор за кандидатите;</w:t>
      </w:r>
    </w:p>
    <w:p w:rsidR="00352C5E" w:rsidRDefault="006611ED">
      <w:pPr>
        <w:pStyle w:val="ListBullet"/>
        <w:numPr>
          <w:ilvl w:val="0"/>
          <w:numId w:val="31"/>
        </w:numPr>
        <w:rPr>
          <w:noProof/>
        </w:rPr>
      </w:pPr>
      <w:r>
        <w:rPr>
          <w:noProof/>
        </w:rPr>
        <w:t>ще наблюдава</w:t>
      </w:r>
      <w:r>
        <w:rPr>
          <w:noProof/>
        </w:rPr>
        <w:t xml:space="preserve"> изпълнението на политиките за многообразие във връзка с равнопоставеността на половете в управителните съвети на най-големите дружества на ЕС, допуснати до борсова търговия, в контекста на Директива 2014/95/ЕС за изменение на Директива 2013/34/ЕС по отнош</w:t>
      </w:r>
      <w:r>
        <w:rPr>
          <w:noProof/>
        </w:rPr>
        <w:t>ение на оповестяването на нефинансова информация и на информация за многообразието от страна на някои големи предприятия и групи; ще предприеме последващи действия във връзка с насоките на Комисията относно нефинансовото отчитане, като по-специално разглед</w:t>
      </w:r>
      <w:r>
        <w:rPr>
          <w:noProof/>
        </w:rPr>
        <w:t>а степента, в която най-големите дружества засягат баланса между половете в своите политики на многообразие</w:t>
      </w:r>
      <w:r>
        <w:rPr>
          <w:rStyle w:val="FootnoteReference"/>
          <w:noProof/>
        </w:rPr>
        <w:footnoteReference w:id="31"/>
      </w:r>
      <w:r>
        <w:rPr>
          <w:noProof/>
        </w:rPr>
        <w:t xml:space="preserve">, </w:t>
      </w:r>
    </w:p>
    <w:p w:rsidR="00352C5E" w:rsidRDefault="006611ED">
      <w:pPr>
        <w:pStyle w:val="ListBullet"/>
        <w:numPr>
          <w:ilvl w:val="0"/>
          <w:numId w:val="31"/>
        </w:numPr>
        <w:rPr>
          <w:noProof/>
        </w:rPr>
      </w:pPr>
      <w:r>
        <w:rPr>
          <w:noProof/>
        </w:rPr>
        <w:t xml:space="preserve">ще продължи да финансира чрез програма „Права, равенство и гражданство“ проекти на правителствата, социалните партньори, бизнеса, НПО и </w:t>
      </w:r>
      <w:r>
        <w:rPr>
          <w:noProof/>
        </w:rPr>
        <w:t>университетите, насочени към подобряване на баланса между половете на ръководни позиции на всички равнища</w:t>
      </w:r>
      <w:r>
        <w:rPr>
          <w:rStyle w:val="FootnoteReference"/>
          <w:noProof/>
        </w:rPr>
        <w:footnoteReference w:id="32"/>
      </w:r>
      <w:r>
        <w:rPr>
          <w:noProof/>
        </w:rPr>
        <w:t xml:space="preserve">; </w:t>
      </w:r>
    </w:p>
    <w:p w:rsidR="00352C5E" w:rsidRDefault="006611ED">
      <w:pPr>
        <w:pStyle w:val="ListBullet"/>
        <w:numPr>
          <w:ilvl w:val="0"/>
          <w:numId w:val="31"/>
        </w:numPr>
        <w:rPr>
          <w:noProof/>
        </w:rPr>
      </w:pPr>
      <w:r>
        <w:rPr>
          <w:noProof/>
        </w:rPr>
        <w:t xml:space="preserve">ще води диалог със социалните партньори за насърчаване на мерки за подобряване на баланса между половете при вземането на решения, и ще стартира и </w:t>
      </w:r>
      <w:r>
        <w:rPr>
          <w:noProof/>
        </w:rPr>
        <w:t>изпълнява проекти, насочени към постигането на по-добър баланс между половете на позиции, свързани с вземането на решения;</w:t>
      </w:r>
    </w:p>
    <w:p w:rsidR="00352C5E" w:rsidRDefault="006611ED">
      <w:pPr>
        <w:pStyle w:val="ListBullet"/>
        <w:numPr>
          <w:ilvl w:val="0"/>
          <w:numId w:val="31"/>
        </w:numPr>
        <w:rPr>
          <w:noProof/>
        </w:rPr>
      </w:pPr>
      <w:r>
        <w:rPr>
          <w:noProof/>
        </w:rPr>
        <w:t>ще насърчава правителствата да приемат стратегии, които включват конкретни мерки, водещи до по-добро представяне на недостатъчно пред</w:t>
      </w:r>
      <w:r>
        <w:rPr>
          <w:noProof/>
        </w:rPr>
        <w:t xml:space="preserve">ставения пол при вземането на решения; </w:t>
      </w:r>
    </w:p>
    <w:p w:rsidR="00352C5E" w:rsidRDefault="006611ED">
      <w:pPr>
        <w:pStyle w:val="ListBullet"/>
        <w:numPr>
          <w:ilvl w:val="0"/>
          <w:numId w:val="31"/>
        </w:numPr>
        <w:rPr>
          <w:noProof/>
        </w:rPr>
      </w:pPr>
      <w:r>
        <w:rPr>
          <w:noProof/>
        </w:rPr>
        <w:t xml:space="preserve">ще води диалог със секторните регулаторни органи за приемане на мерки за по-добър баланс между половете при вземането на решения. </w:t>
      </w:r>
    </w:p>
    <w:p w:rsidR="00352C5E" w:rsidRDefault="006611ED">
      <w:pPr>
        <w:pStyle w:val="ListBullet"/>
        <w:numPr>
          <w:ilvl w:val="0"/>
          <w:numId w:val="31"/>
        </w:numPr>
        <w:rPr>
          <w:noProof/>
        </w:rPr>
      </w:pPr>
      <w:r>
        <w:rPr>
          <w:noProof/>
        </w:rPr>
        <w:t>ще изпълнява инициативата за постигане на равновесие между професионалния и личния жи</w:t>
      </w:r>
      <w:r>
        <w:rPr>
          <w:noProof/>
        </w:rPr>
        <w:t>вот (вж. раздел 4), която подпомага намирането на по-добър баланс и споделяне на отговорностите за полагане на грижи между мъжете и жените, като по този начин насърчава жените да кандидатстват за по-високи длъжности.</w:t>
      </w:r>
    </w:p>
    <w:p w:rsidR="00352C5E" w:rsidRDefault="006611ED">
      <w:pPr>
        <w:pStyle w:val="Heading1"/>
        <w:numPr>
          <w:ilvl w:val="0"/>
          <w:numId w:val="0"/>
        </w:numPr>
        <w:rPr>
          <w:noProof/>
        </w:rPr>
      </w:pPr>
      <w:r>
        <w:rPr>
          <w:noProof/>
        </w:rPr>
        <w:t xml:space="preserve">Действие 4: Противодействие на </w:t>
      </w:r>
      <w:r>
        <w:rPr>
          <w:noProof/>
        </w:rPr>
        <w:t>отрицателните ефекти, свързани с полагане на грижи</w:t>
      </w:r>
    </w:p>
    <w:p w:rsidR="00352C5E" w:rsidRDefault="006611ED">
      <w:pPr>
        <w:spacing w:after="200"/>
        <w:rPr>
          <w:b/>
          <w:i/>
          <w:noProof/>
        </w:rPr>
      </w:pPr>
      <w:r>
        <w:rPr>
          <w:b/>
          <w:i/>
          <w:noProof/>
        </w:rPr>
        <w:t>Комисията ще подкрепя откриването на повече икономически възможности за жените като насърчава политиките за постигане на равновесие между професионалния и личния живот</w:t>
      </w:r>
    </w:p>
    <w:p w:rsidR="00352C5E" w:rsidRDefault="006611ED">
      <w:pPr>
        <w:pStyle w:val="Text2"/>
        <w:ind w:left="0"/>
        <w:rPr>
          <w:noProof/>
        </w:rPr>
      </w:pPr>
      <w:r>
        <w:rPr>
          <w:noProof/>
        </w:rPr>
        <w:t>Днес младите жени завършват училище с</w:t>
      </w:r>
      <w:r>
        <w:rPr>
          <w:noProof/>
        </w:rPr>
        <w:t xml:space="preserve"> по-добра квалификация от младите мъже, но преди да навършат 34 години те вече печелят  10 % по-малко от мъжете в 10 държави членки</w:t>
      </w:r>
      <w:r>
        <w:rPr>
          <w:rStyle w:val="FootnoteReference"/>
          <w:noProof/>
        </w:rPr>
        <w:footnoteReference w:id="33"/>
      </w:r>
      <w:r>
        <w:rPr>
          <w:noProof/>
        </w:rPr>
        <w:t>. Тази разлика се увеличава с възрастта, особено в резултат на отрицателните последици от отсъствието по майчинство</w:t>
      </w:r>
      <w:r>
        <w:rPr>
          <w:rStyle w:val="FootnoteReference"/>
          <w:noProof/>
        </w:rPr>
        <w:footnoteReference w:id="34"/>
      </w:r>
      <w:r>
        <w:rPr>
          <w:noProof/>
        </w:rPr>
        <w:t>. Жените</w:t>
      </w:r>
      <w:r>
        <w:rPr>
          <w:noProof/>
        </w:rPr>
        <w:t xml:space="preserve"> напускат пазара на труда, за да се грижат за децата и/или за зависим(и) член(ове) на семейството, и когато това не води до пълно напускане на пазара на труда,  при завръщането си на работа те често пъти приемат по-ниско квалифицирани длъжности, за да съвм</w:t>
      </w:r>
      <w:r>
        <w:rPr>
          <w:noProof/>
        </w:rPr>
        <w:t>естяват  семейните си задължения. Политиките за постигане на равновесие между професионалния и личния живот са предпоставка за откриването на  повече икономически възможности за жените, тъй като правилният баланс между професионалния и личния живот увелича</w:t>
      </w:r>
      <w:r>
        <w:rPr>
          <w:noProof/>
        </w:rPr>
        <w:t>ва възможностите за жените на пазара на труда и премахва пречките пред достъпа до заетост</w:t>
      </w:r>
      <w:r>
        <w:rPr>
          <w:rStyle w:val="FootnoteReference"/>
          <w:noProof/>
        </w:rPr>
        <w:footnoteReference w:id="35"/>
      </w:r>
      <w:r>
        <w:rPr>
          <w:noProof/>
        </w:rPr>
        <w:t xml:space="preserve">. </w:t>
      </w:r>
    </w:p>
    <w:p w:rsidR="00352C5E" w:rsidRDefault="006611ED">
      <w:pPr>
        <w:pStyle w:val="Text2"/>
        <w:ind w:left="0"/>
        <w:rPr>
          <w:noProof/>
        </w:rPr>
      </w:pPr>
      <w:r>
        <w:rPr>
          <w:noProof/>
        </w:rPr>
        <w:t>В контекста на европейския стълб на социалните права Комисията прие инициатива за подобряване на равновесието между професионалния и личния живот за работещите род</w:t>
      </w:r>
      <w:r>
        <w:rPr>
          <w:noProof/>
        </w:rPr>
        <w:t>ители и лицата, полагащи грижи. Тази инициатива модернизира действащата законодателна рамка на ЕС за отпуските по семейни причини и гъвкавите схеми на работа и разработва всеобхватна рамка на политиката, целяща да се подобри структурата на отпуските по сем</w:t>
      </w:r>
      <w:r>
        <w:rPr>
          <w:noProof/>
        </w:rPr>
        <w:t>ейни причини и гъвкавите схеми на работа, да се подобрят качеството, ценовата достъпност и достъпът до официалните услуги за полагане на грижи и да се преодолеят възпиращите икономически фактори пред вторите работещи членове на семейството. Инициативата им</w:t>
      </w:r>
      <w:r>
        <w:rPr>
          <w:noProof/>
        </w:rPr>
        <w:t>а за цел да се преодолее по-слабото участие на жените на пазара на труда благодарение на по-добро споделяне на отговорностите за полагане на грижа между мъжете и жените, като по този начин се намалява рискът от недостатъчен напредък на жените в професионал</w:t>
      </w:r>
      <w:r>
        <w:rPr>
          <w:noProof/>
        </w:rPr>
        <w:t>ното им развитие и се преодоляват стереотипите, които обезкуражават работодателите да наемат и/или повишават жени. Това би следвало да има положително влияние за преодоляване на вертикалната сегрегация по пол на пазара на труда и за намаляване на стимулите</w:t>
      </w:r>
      <w:r>
        <w:rPr>
          <w:noProof/>
        </w:rPr>
        <w:t xml:space="preserve"> за жените да избират по-ниско платени сектори или равнища на работа, за които понастоящем се възприема, че им осигуряват по-добро равновесие между професионалния и личния живот и които често пъти са по-ниско платени (като например семейни лекари, учители </w:t>
      </w:r>
      <w:r>
        <w:rPr>
          <w:noProof/>
        </w:rPr>
        <w:t xml:space="preserve">или служители в местни органи). </w:t>
      </w:r>
    </w:p>
    <w:p w:rsidR="00352C5E" w:rsidRDefault="006611ED">
      <w:pPr>
        <w:pStyle w:val="Text2"/>
        <w:ind w:left="0"/>
        <w:rPr>
          <w:i/>
          <w:noProof/>
        </w:rPr>
      </w:pPr>
      <w:r>
        <w:rPr>
          <w:i/>
          <w:noProof/>
        </w:rPr>
        <w:t>По-специално Комисията:</w:t>
      </w:r>
    </w:p>
    <w:p w:rsidR="00352C5E" w:rsidRDefault="006611ED">
      <w:pPr>
        <w:pStyle w:val="Text2"/>
        <w:numPr>
          <w:ilvl w:val="0"/>
          <w:numId w:val="25"/>
        </w:numPr>
        <w:tabs>
          <w:tab w:val="clear" w:pos="2160"/>
          <w:tab w:val="left" w:pos="0"/>
        </w:tabs>
        <w:ind w:left="851" w:hanging="284"/>
        <w:rPr>
          <w:noProof/>
        </w:rPr>
      </w:pPr>
      <w:r>
        <w:rPr>
          <w:noProof/>
        </w:rPr>
        <w:t>ще се стреми към по-бързо приемане от страна на съзаконодателите на директивата относно равновесието между професионалния и личния живот на родителите и лицата, полагащи грижи</w:t>
      </w:r>
      <w:r>
        <w:rPr>
          <w:rStyle w:val="FootnoteReference"/>
          <w:noProof/>
        </w:rPr>
        <w:footnoteReference w:id="36"/>
      </w:r>
      <w:r>
        <w:rPr>
          <w:noProof/>
        </w:rPr>
        <w:t>,</w:t>
      </w:r>
    </w:p>
    <w:p w:rsidR="00352C5E" w:rsidRDefault="006611ED">
      <w:pPr>
        <w:pStyle w:val="Text2"/>
        <w:numPr>
          <w:ilvl w:val="0"/>
          <w:numId w:val="25"/>
        </w:numPr>
        <w:tabs>
          <w:tab w:val="clear" w:pos="2160"/>
          <w:tab w:val="left" w:pos="0"/>
        </w:tabs>
        <w:ind w:left="851" w:hanging="284"/>
        <w:rPr>
          <w:noProof/>
        </w:rPr>
      </w:pPr>
      <w:r>
        <w:rPr>
          <w:noProof/>
        </w:rPr>
        <w:t xml:space="preserve">ще гарантира бързото </w:t>
      </w:r>
      <w:r>
        <w:rPr>
          <w:noProof/>
        </w:rPr>
        <w:t>изпълнение на незаконодателните действия, изложени в съобщението</w:t>
      </w:r>
      <w:r>
        <w:rPr>
          <w:rStyle w:val="FootnoteReference"/>
          <w:noProof/>
        </w:rPr>
        <w:footnoteReference w:id="37"/>
      </w:r>
      <w:r>
        <w:rPr>
          <w:noProof/>
        </w:rPr>
        <w:t xml:space="preserve">.  </w:t>
      </w:r>
    </w:p>
    <w:p w:rsidR="00352C5E" w:rsidRDefault="006611ED">
      <w:pPr>
        <w:pStyle w:val="Heading1"/>
        <w:numPr>
          <w:ilvl w:val="0"/>
          <w:numId w:val="0"/>
        </w:numPr>
        <w:rPr>
          <w:noProof/>
        </w:rPr>
      </w:pPr>
      <w:r>
        <w:rPr>
          <w:noProof/>
        </w:rPr>
        <w:t>Действие 5: по-добро използване на уменията, усилията и отговорностите на жените</w:t>
      </w:r>
    </w:p>
    <w:p w:rsidR="00352C5E" w:rsidRDefault="006611ED">
      <w:pPr>
        <w:pStyle w:val="Text2"/>
        <w:ind w:left="0"/>
        <w:rPr>
          <w:b/>
          <w:noProof/>
        </w:rPr>
      </w:pPr>
      <w:r>
        <w:rPr>
          <w:b/>
          <w:i/>
          <w:noProof/>
        </w:rPr>
        <w:t>Сегрегацията в професиите и в секторите е широко разпространена и ситуацията се променя бавно</w:t>
      </w:r>
      <w:r>
        <w:rPr>
          <w:rStyle w:val="FootnoteReference"/>
          <w:b/>
          <w:i/>
          <w:noProof/>
        </w:rPr>
        <w:footnoteReference w:id="38"/>
      </w:r>
      <w:r>
        <w:rPr>
          <w:b/>
          <w:i/>
          <w:noProof/>
        </w:rPr>
        <w:t>. В краткоср</w:t>
      </w:r>
      <w:r>
        <w:rPr>
          <w:b/>
          <w:i/>
          <w:noProof/>
        </w:rPr>
        <w:t>очен или средносрочен план са необходими мерки и за подобряване на възнагражденията в доминираните от жените сектори като признание за мобилизираните в тези сектори умения, усилия и отговорности.</w:t>
      </w:r>
    </w:p>
    <w:p w:rsidR="00352C5E" w:rsidRDefault="006611ED">
      <w:pPr>
        <w:pStyle w:val="Text2"/>
        <w:ind w:left="0"/>
        <w:rPr>
          <w:i/>
          <w:noProof/>
        </w:rPr>
      </w:pPr>
      <w:r>
        <w:rPr>
          <w:b/>
          <w:i/>
          <w:noProof/>
        </w:rPr>
        <w:t>По-специално Комисията:</w:t>
      </w:r>
    </w:p>
    <w:p w:rsidR="00352C5E" w:rsidRDefault="006611ED">
      <w:pPr>
        <w:pStyle w:val="Text2"/>
        <w:numPr>
          <w:ilvl w:val="0"/>
          <w:numId w:val="25"/>
        </w:numPr>
        <w:tabs>
          <w:tab w:val="clear" w:pos="2160"/>
          <w:tab w:val="left" w:pos="0"/>
        </w:tabs>
        <w:rPr>
          <w:noProof/>
        </w:rPr>
      </w:pPr>
      <w:r>
        <w:rPr>
          <w:noProof/>
        </w:rPr>
        <w:t>в рамките на своята Нова програма за</w:t>
      </w:r>
      <w:r>
        <w:rPr>
          <w:noProof/>
        </w:rPr>
        <w:t xml:space="preserve"> умения ще работи за по-доброто признаване на уменията във всички сектори, включително в доминираните от жени сектори</w:t>
      </w:r>
      <w:r>
        <w:rPr>
          <w:rStyle w:val="FootnoteReference"/>
          <w:noProof/>
        </w:rPr>
        <w:footnoteReference w:id="39"/>
      </w:r>
      <w:r>
        <w:rPr>
          <w:noProof/>
        </w:rPr>
        <w:t>. Инструментите</w:t>
      </w:r>
      <w:r>
        <w:rPr>
          <w:noProof/>
          <w:vertAlign w:val="superscript"/>
        </w:rPr>
        <w:footnoteReference w:id="40"/>
      </w:r>
      <w:r>
        <w:rPr>
          <w:noProof/>
        </w:rPr>
        <w:t xml:space="preserve">, разработени в контекста на тази програма (относно квалификациите, уменията и признаването на неформалното обучение), са </w:t>
      </w:r>
      <w:r>
        <w:rPr>
          <w:noProof/>
        </w:rPr>
        <w:t>недискриминиращи по признак пол и ще спомогнат да бъдат извлечени максимални ползи от тези умения и да се подобри прозрачността на квалификациите. При изпълнението на Новата програма за умения ще бъде обърнато специално внимание на въпросите, свързани с по</w:t>
      </w:r>
      <w:r>
        <w:rPr>
          <w:noProof/>
        </w:rPr>
        <w:t>ла. По-специално ще бъдат организирани дейности за съвместно обучение с ключови заинтересовани страни за начините, по които признаването и валидирането на уменията може да насърчи равенството между половете</w:t>
      </w:r>
      <w:r>
        <w:rPr>
          <w:noProof/>
          <w:vertAlign w:val="superscript"/>
        </w:rPr>
        <w:footnoteReference w:id="41"/>
      </w:r>
      <w:r>
        <w:rPr>
          <w:noProof/>
        </w:rPr>
        <w:t>.</w:t>
      </w:r>
    </w:p>
    <w:p w:rsidR="00352C5E" w:rsidRDefault="006611ED">
      <w:pPr>
        <w:pStyle w:val="ListDash1"/>
        <w:numPr>
          <w:ilvl w:val="0"/>
          <w:numId w:val="25"/>
        </w:numPr>
        <w:rPr>
          <w:noProof/>
        </w:rPr>
      </w:pPr>
      <w:r>
        <w:rPr>
          <w:noProof/>
        </w:rPr>
        <w:t xml:space="preserve">ще продължи да повишава осведомеността относно </w:t>
      </w:r>
      <w:r>
        <w:rPr>
          <w:noProof/>
        </w:rPr>
        <w:t>значението на недискриминиращи по признак пол системи за професионално категоризиране, така че равното заплащане да се гарантира на практика. През 2018 г. Комисията ще публикува и широко ще разпространи актуализираното ръководство за недискриминиращи по пр</w:t>
      </w:r>
      <w:r>
        <w:rPr>
          <w:noProof/>
        </w:rPr>
        <w:t>изнак пол системи за професионално оценяване и категоризиране</w:t>
      </w:r>
      <w:r>
        <w:rPr>
          <w:rStyle w:val="FootnoteReference"/>
          <w:noProof/>
        </w:rPr>
        <w:footnoteReference w:id="42"/>
      </w:r>
      <w:r>
        <w:rPr>
          <w:noProof/>
        </w:rPr>
        <w:t>.</w:t>
      </w:r>
    </w:p>
    <w:p w:rsidR="00352C5E" w:rsidRDefault="006611ED">
      <w:pPr>
        <w:pStyle w:val="Heading1"/>
        <w:numPr>
          <w:ilvl w:val="0"/>
          <w:numId w:val="0"/>
        </w:numPr>
        <w:rPr>
          <w:noProof/>
        </w:rPr>
      </w:pPr>
      <w:r>
        <w:rPr>
          <w:noProof/>
        </w:rPr>
        <w:t xml:space="preserve">Действие 6: Да разкъсаме мъглата: разкриване на неравенствата и стереотипите </w:t>
      </w:r>
    </w:p>
    <w:p w:rsidR="00352C5E" w:rsidRDefault="006611ED">
      <w:pPr>
        <w:pStyle w:val="ListBullet"/>
        <w:rPr>
          <w:b/>
          <w:i/>
          <w:noProof/>
        </w:rPr>
      </w:pPr>
      <w:r>
        <w:rPr>
          <w:b/>
          <w:i/>
          <w:noProof/>
        </w:rPr>
        <w:t>Комисията ще продължи да събира и предоставя съответните данни за съществуващата разлика в заплащането на жените и</w:t>
      </w:r>
      <w:r>
        <w:rPr>
          <w:b/>
          <w:i/>
          <w:noProof/>
        </w:rPr>
        <w:t xml:space="preserve"> мъжете и последиците от нея по отношение на доходите и пенсиите </w:t>
      </w:r>
    </w:p>
    <w:p w:rsidR="00352C5E" w:rsidRDefault="006611ED">
      <w:pPr>
        <w:pStyle w:val="ListBullet"/>
        <w:rPr>
          <w:noProof/>
        </w:rPr>
      </w:pPr>
      <w:r>
        <w:rPr>
          <w:noProof/>
        </w:rPr>
        <w:t>За преодоляване на разликата в заплащането на жените и мъжете е необходимо адекватно познаване на присъщите на тази област проблеми и техния мащаб, което да позволи предлагането на  подходящ</w:t>
      </w:r>
      <w:r>
        <w:rPr>
          <w:noProof/>
        </w:rPr>
        <w:t>и конкретни мерки. Ето защо Комисията работи непрекъснато, за да предоставя съответните данни за все още съществуващата разлика в заплащането на жените и мъжете и за последиците от нея за хората, икономиките и обществата</w:t>
      </w:r>
      <w:r>
        <w:rPr>
          <w:noProof/>
          <w:vertAlign w:val="superscript"/>
        </w:rPr>
        <w:footnoteReference w:id="43"/>
      </w:r>
      <w:r>
        <w:rPr>
          <w:noProof/>
        </w:rPr>
        <w:t>, както и за да разпространява имащ</w:t>
      </w:r>
      <w:r>
        <w:rPr>
          <w:noProof/>
        </w:rPr>
        <w:t>и отношение проучвания</w:t>
      </w:r>
      <w:r>
        <w:rPr>
          <w:rStyle w:val="FootnoteReference"/>
          <w:noProof/>
        </w:rPr>
        <w:footnoteReference w:id="44"/>
      </w:r>
      <w:r>
        <w:rPr>
          <w:noProof/>
        </w:rPr>
        <w:t>.</w:t>
      </w:r>
    </w:p>
    <w:p w:rsidR="00352C5E" w:rsidRDefault="006611ED">
      <w:pPr>
        <w:pStyle w:val="ListBullet"/>
        <w:rPr>
          <w:noProof/>
        </w:rPr>
      </w:pPr>
      <w:r>
        <w:rPr>
          <w:i/>
          <w:noProof/>
        </w:rPr>
        <w:t>По-специално Комисията:</w:t>
      </w:r>
    </w:p>
    <w:p w:rsidR="00352C5E" w:rsidRDefault="006611ED">
      <w:pPr>
        <w:pStyle w:val="ListBullet"/>
        <w:numPr>
          <w:ilvl w:val="0"/>
          <w:numId w:val="26"/>
        </w:numPr>
        <w:rPr>
          <w:noProof/>
        </w:rPr>
      </w:pPr>
      <w:r>
        <w:rPr>
          <w:noProof/>
        </w:rPr>
        <w:t>ще продължи да докладва редовно за промените във връзка с разликата в заплащането, доходите и пенсиите на жените и мъжете в Европа чрез:</w:t>
      </w:r>
    </w:p>
    <w:p w:rsidR="00352C5E" w:rsidRDefault="006611ED">
      <w:pPr>
        <w:pStyle w:val="ListDash1"/>
        <w:numPr>
          <w:ilvl w:val="0"/>
          <w:numId w:val="27"/>
        </w:numPr>
        <w:rPr>
          <w:noProof/>
        </w:rPr>
      </w:pPr>
      <w:r>
        <w:rPr>
          <w:noProof/>
        </w:rPr>
        <w:t xml:space="preserve">годишния си доклад относно равенството между жените и мъжете, </w:t>
      </w:r>
      <w:r>
        <w:rPr>
          <w:noProof/>
        </w:rPr>
        <w:t>публикуван по случай международния ден на жената;</w:t>
      </w:r>
    </w:p>
    <w:p w:rsidR="00352C5E" w:rsidRDefault="006611ED">
      <w:pPr>
        <w:pStyle w:val="ListDash1"/>
        <w:numPr>
          <w:ilvl w:val="0"/>
          <w:numId w:val="27"/>
        </w:numPr>
        <w:rPr>
          <w:noProof/>
        </w:rPr>
      </w:pPr>
      <w:r>
        <w:rPr>
          <w:noProof/>
        </w:rPr>
        <w:t>данните относно „коригираната“ разлика в заплащането на жените и мъжете</w:t>
      </w:r>
      <w:r>
        <w:rPr>
          <w:noProof/>
          <w:vertAlign w:val="superscript"/>
        </w:rPr>
        <w:footnoteReference w:id="45"/>
      </w:r>
      <w:r>
        <w:rPr>
          <w:noProof/>
        </w:rPr>
        <w:t>, разработени съвместно от Комисията и Евростат през 2017 г. и 2018 г., и данните относно „некоригираната“ разлика в заплащането на же</w:t>
      </w:r>
      <w:r>
        <w:rPr>
          <w:noProof/>
        </w:rPr>
        <w:t>ните и мъжете, разработени от Комисията в набора от социални показатели</w:t>
      </w:r>
      <w:r>
        <w:rPr>
          <w:rStyle w:val="FootnoteReference"/>
          <w:noProof/>
        </w:rPr>
        <w:footnoteReference w:id="46"/>
      </w:r>
      <w:r>
        <w:rPr>
          <w:noProof/>
        </w:rPr>
        <w:t xml:space="preserve">; </w:t>
      </w:r>
    </w:p>
    <w:p w:rsidR="00352C5E" w:rsidRDefault="006611ED">
      <w:pPr>
        <w:pStyle w:val="ListDash1"/>
        <w:numPr>
          <w:ilvl w:val="0"/>
          <w:numId w:val="27"/>
        </w:numPr>
        <w:rPr>
          <w:noProof/>
        </w:rPr>
      </w:pPr>
      <w:r>
        <w:rPr>
          <w:noProof/>
        </w:rPr>
        <w:t>Евробарометър относно разликата в заплащането на жените и мъжете и прозрачността в заплащането, който ще бъде публикуван през есента на 2017 г.;</w:t>
      </w:r>
    </w:p>
    <w:p w:rsidR="00352C5E" w:rsidRDefault="006611ED">
      <w:pPr>
        <w:pStyle w:val="ListDash1"/>
        <w:numPr>
          <w:ilvl w:val="0"/>
          <w:numId w:val="27"/>
        </w:numPr>
        <w:rPr>
          <w:noProof/>
        </w:rPr>
      </w:pPr>
      <w:r>
        <w:rPr>
          <w:noProof/>
        </w:rPr>
        <w:t>доклад относно прилагането на равнот</w:t>
      </w:r>
      <w:r>
        <w:rPr>
          <w:noProof/>
        </w:rPr>
        <w:t>о заплащане, публикуван заедно с настоящия план за действие;</w:t>
      </w:r>
    </w:p>
    <w:p w:rsidR="00352C5E" w:rsidRDefault="006611ED">
      <w:pPr>
        <w:pStyle w:val="ListDash1"/>
        <w:numPr>
          <w:ilvl w:val="0"/>
          <w:numId w:val="26"/>
        </w:numPr>
        <w:rPr>
          <w:noProof/>
        </w:rPr>
      </w:pPr>
      <w:r>
        <w:rPr>
          <w:noProof/>
        </w:rPr>
        <w:t>ще започне работа за по-добра оценка на равенството между половете в икономиката на сътрудничеството, тъй като според данни, събрани в Европа и Съединените щати</w:t>
      </w:r>
      <w:r>
        <w:rPr>
          <w:rStyle w:val="FootnoteReference"/>
          <w:noProof/>
        </w:rPr>
        <w:footnoteReference w:id="47"/>
      </w:r>
      <w:r>
        <w:rPr>
          <w:noProof/>
        </w:rPr>
        <w:t>, все повече жени се включват в „и</w:t>
      </w:r>
      <w:r>
        <w:rPr>
          <w:noProof/>
        </w:rPr>
        <w:t>кономиката на  платформите“. Тази тенденция може да допринесе за увеличаване на разликата в заплащането на жените и мъжете. В годишното проучване на Евростат за работната сила ще бъде включен специален модул по тази тема;</w:t>
      </w:r>
    </w:p>
    <w:p w:rsidR="00352C5E" w:rsidRDefault="006611ED">
      <w:pPr>
        <w:pStyle w:val="ListDash1"/>
        <w:numPr>
          <w:ilvl w:val="0"/>
          <w:numId w:val="9"/>
        </w:numPr>
        <w:rPr>
          <w:b/>
          <w:smallCaps/>
          <w:noProof/>
          <w:u w:val="single"/>
        </w:rPr>
      </w:pPr>
      <w:r>
        <w:rPr>
          <w:noProof/>
        </w:rPr>
        <w:t xml:space="preserve">ще включи перспективата за </w:t>
      </w:r>
      <w:r>
        <w:rPr>
          <w:noProof/>
        </w:rPr>
        <w:t>равенство между половете в доклада за адекватността на пенсиите от 2018 г.</w:t>
      </w:r>
    </w:p>
    <w:p w:rsidR="00352C5E" w:rsidRDefault="006611ED">
      <w:pPr>
        <w:pStyle w:val="Heading1"/>
        <w:numPr>
          <w:ilvl w:val="0"/>
          <w:numId w:val="0"/>
        </w:numPr>
        <w:rPr>
          <w:noProof/>
        </w:rPr>
      </w:pPr>
      <w:r>
        <w:rPr>
          <w:noProof/>
        </w:rPr>
        <w:t>Действие 7:  Привличане на общественото внимание и информиране за разликата в заплащането на жените и мъжете</w:t>
      </w:r>
    </w:p>
    <w:p w:rsidR="00352C5E" w:rsidRDefault="006611ED">
      <w:pPr>
        <w:pStyle w:val="ListBullet"/>
        <w:rPr>
          <w:b/>
          <w:i/>
          <w:noProof/>
        </w:rPr>
      </w:pPr>
      <w:r>
        <w:rPr>
          <w:b/>
          <w:i/>
          <w:noProof/>
        </w:rPr>
        <w:t>Комисията ще участва активно в дейностите за повишаване на осведоменостт</w:t>
      </w:r>
      <w:r>
        <w:rPr>
          <w:b/>
          <w:i/>
          <w:noProof/>
        </w:rPr>
        <w:t>а за разликата в заплащането на жените и мъжете и ще предостави насоки относно принципа на равно заплащане.</w:t>
      </w:r>
    </w:p>
    <w:p w:rsidR="00352C5E" w:rsidRDefault="006611ED">
      <w:pPr>
        <w:spacing w:after="0"/>
        <w:rPr>
          <w:noProof/>
        </w:rPr>
      </w:pPr>
      <w:r>
        <w:rPr>
          <w:noProof/>
        </w:rPr>
        <w:t>Разликата в заплащането на жените и мъжете ще намалее само с активното участие на всички заинтересовани участници, т.е. работници, дружества и публи</w:t>
      </w:r>
      <w:r>
        <w:rPr>
          <w:noProof/>
        </w:rPr>
        <w:t xml:space="preserve">чни органи. Информацията е от жизнено важно значение, за да се даде възможност на жертвите на дискриминация да упражняват правата си, възможност на дружествата да коригират своите практики и политики, както и възможност на публичните органи да предприемат </w:t>
      </w:r>
      <w:r>
        <w:rPr>
          <w:noProof/>
        </w:rPr>
        <w:t>необходимите съпътстващи мерки и/или да приемат насоки.</w:t>
      </w:r>
    </w:p>
    <w:p w:rsidR="00352C5E" w:rsidRDefault="00352C5E">
      <w:pPr>
        <w:spacing w:after="0"/>
        <w:jc w:val="left"/>
        <w:rPr>
          <w:noProof/>
          <w:u w:val="single"/>
        </w:rPr>
      </w:pPr>
    </w:p>
    <w:p w:rsidR="00352C5E" w:rsidRDefault="006611ED">
      <w:pPr>
        <w:pStyle w:val="Text2"/>
        <w:ind w:left="0"/>
        <w:rPr>
          <w:noProof/>
        </w:rPr>
      </w:pPr>
      <w:r>
        <w:rPr>
          <w:i/>
          <w:noProof/>
        </w:rPr>
        <w:t>По-специално Комисията:</w:t>
      </w:r>
    </w:p>
    <w:p w:rsidR="00352C5E" w:rsidRDefault="006611ED">
      <w:pPr>
        <w:pStyle w:val="Text2"/>
        <w:numPr>
          <w:ilvl w:val="0"/>
          <w:numId w:val="28"/>
        </w:numPr>
        <w:rPr>
          <w:noProof/>
        </w:rPr>
      </w:pPr>
      <w:r>
        <w:rPr>
          <w:noProof/>
        </w:rPr>
        <w:t xml:space="preserve">ще привлече внимание върху разликата в заплащането на жените и мъжете и основните причини за нея, по-специално чрез отбелязване на Европейския ден на равното заплащане; </w:t>
      </w:r>
    </w:p>
    <w:p w:rsidR="00352C5E" w:rsidRDefault="006611ED">
      <w:pPr>
        <w:pStyle w:val="Text2"/>
        <w:numPr>
          <w:ilvl w:val="0"/>
          <w:numId w:val="28"/>
        </w:numPr>
        <w:rPr>
          <w:noProof/>
        </w:rPr>
      </w:pPr>
      <w:r>
        <w:rPr>
          <w:noProof/>
        </w:rPr>
        <w:t>ще ак</w:t>
      </w:r>
      <w:r>
        <w:rPr>
          <w:noProof/>
        </w:rPr>
        <w:t>туализира и ежегодно ще разпространява специални комуникационни материали и информационни документи по държави относно разликата в заплащането на жените и мъжете;</w:t>
      </w:r>
    </w:p>
    <w:p w:rsidR="00352C5E" w:rsidRDefault="006611ED">
      <w:pPr>
        <w:pStyle w:val="ListBullet"/>
        <w:numPr>
          <w:ilvl w:val="0"/>
          <w:numId w:val="20"/>
        </w:numPr>
        <w:rPr>
          <w:noProof/>
        </w:rPr>
      </w:pPr>
      <w:r>
        <w:rPr>
          <w:noProof/>
        </w:rPr>
        <w:t xml:space="preserve">ще продължи да публикува резултатите от проектите, финансирани по програма PROGRESS на ЕС, а </w:t>
      </w:r>
      <w:r>
        <w:rPr>
          <w:noProof/>
        </w:rPr>
        <w:t xml:space="preserve">именно осем </w:t>
      </w:r>
      <w:hyperlink r:id="rId19">
        <w:r>
          <w:rPr>
            <w:noProof/>
          </w:rPr>
          <w:t>транснационални проекта</w:t>
        </w:r>
      </w:hyperlink>
      <w:r>
        <w:rPr>
          <w:noProof/>
        </w:rPr>
        <w:t>, ръководени от гражданското общество и социалните партньори, с цел да се разбере и да се прео</w:t>
      </w:r>
      <w:r>
        <w:rPr>
          <w:noProof/>
        </w:rPr>
        <w:t xml:space="preserve">долее разликата в заплащането на жените и мъжете, с акцент върху определени сектори. Проектите включват разработването на калкулатор, който дава възможност на дружествата да разберат по-добре и да преодолеят разликата в съответното дружество в заплащането </w:t>
      </w:r>
      <w:r>
        <w:rPr>
          <w:noProof/>
        </w:rPr>
        <w:t>на жените и мъжете (по идея от LOGIB).</w:t>
      </w:r>
    </w:p>
    <w:p w:rsidR="00352C5E" w:rsidRDefault="006611ED">
      <w:pPr>
        <w:pStyle w:val="ListBullet"/>
        <w:numPr>
          <w:ilvl w:val="0"/>
          <w:numId w:val="20"/>
        </w:numPr>
        <w:rPr>
          <w:noProof/>
        </w:rPr>
      </w:pPr>
      <w:r>
        <w:rPr>
          <w:noProof/>
        </w:rPr>
        <w:t>през 2018 г. ще публикува и разпространи актуализирано ръководство за съдебната практика относно принципа на равно заплащане, въз основа на приложението</w:t>
      </w:r>
      <w:r>
        <w:rPr>
          <w:noProof/>
          <w:vertAlign w:val="superscript"/>
        </w:rPr>
        <w:footnoteReference w:id="48"/>
      </w:r>
      <w:r>
        <w:rPr>
          <w:noProof/>
        </w:rPr>
        <w:t xml:space="preserve"> към доклада за изпълнение на Директива 2006/54/ЕО</w:t>
      </w:r>
      <w:r>
        <w:rPr>
          <w:noProof/>
          <w:vertAlign w:val="superscript"/>
        </w:rPr>
        <w:footnoteReference w:id="49"/>
      </w:r>
      <w:r>
        <w:rPr>
          <w:noProof/>
        </w:rPr>
        <w:t xml:space="preserve">, в което се </w:t>
      </w:r>
      <w:r>
        <w:rPr>
          <w:noProof/>
        </w:rPr>
        <w:t xml:space="preserve">предоставя преглед на  знакови примери от съдебната практика;  </w:t>
      </w:r>
    </w:p>
    <w:p w:rsidR="00352C5E" w:rsidRDefault="006611ED">
      <w:pPr>
        <w:pStyle w:val="ListDash1"/>
        <w:numPr>
          <w:ilvl w:val="0"/>
          <w:numId w:val="20"/>
        </w:numPr>
        <w:rPr>
          <w:i/>
          <w:noProof/>
        </w:rPr>
      </w:pPr>
      <w:r>
        <w:rPr>
          <w:noProof/>
        </w:rPr>
        <w:t>през 2018 г. ще подготви и разпространи актуализирано ръководство за най-добрите практики, в което ще бъдат отразени последните действия, предприети от държавите членки, за да гарантират прила</w:t>
      </w:r>
      <w:r>
        <w:rPr>
          <w:noProof/>
        </w:rPr>
        <w:t>гането на практика на равното заплащане</w:t>
      </w:r>
      <w:r>
        <w:rPr>
          <w:rStyle w:val="FootnoteReference"/>
          <w:noProof/>
        </w:rPr>
        <w:footnoteReference w:id="50"/>
      </w:r>
      <w:r>
        <w:rPr>
          <w:noProof/>
        </w:rPr>
        <w:t xml:space="preserve">.  </w:t>
      </w:r>
      <w:bookmarkStart w:id="1" w:name="_GoBack"/>
      <w:bookmarkEnd w:id="1"/>
    </w:p>
    <w:p w:rsidR="00352C5E" w:rsidRDefault="00352C5E">
      <w:pPr>
        <w:spacing w:after="0"/>
        <w:jc w:val="left"/>
        <w:rPr>
          <w:b/>
          <w:smallCaps/>
          <w:noProof/>
        </w:rPr>
      </w:pPr>
    </w:p>
    <w:p w:rsidR="00352C5E" w:rsidRDefault="006611ED">
      <w:pPr>
        <w:pStyle w:val="Heading1"/>
        <w:numPr>
          <w:ilvl w:val="0"/>
          <w:numId w:val="0"/>
        </w:numPr>
        <w:rPr>
          <w:noProof/>
        </w:rPr>
      </w:pPr>
      <w:r>
        <w:rPr>
          <w:noProof/>
        </w:rPr>
        <w:t xml:space="preserve">Действие 8: насърчаване на партньорствата за преодоляване на разликата в заплащането на жените и мъжете </w:t>
      </w:r>
    </w:p>
    <w:p w:rsidR="00352C5E" w:rsidRDefault="006611ED">
      <w:pPr>
        <w:pStyle w:val="Heading3"/>
        <w:numPr>
          <w:ilvl w:val="0"/>
          <w:numId w:val="0"/>
        </w:numPr>
        <w:rPr>
          <w:i w:val="0"/>
          <w:noProof/>
        </w:rPr>
      </w:pPr>
      <w:r>
        <w:rPr>
          <w:b/>
          <w:noProof/>
        </w:rPr>
        <w:t>Комисията ще продължи да работи с ключови участници, за да обменя добри практики, да предоставя финансира</w:t>
      </w:r>
      <w:r>
        <w:rPr>
          <w:b/>
          <w:noProof/>
        </w:rPr>
        <w:t xml:space="preserve">не и да разглежда в рамките на европейския семестър последиците от разликата в заплащането на жените и мъжете . </w:t>
      </w:r>
    </w:p>
    <w:p w:rsidR="00352C5E" w:rsidRDefault="006611ED">
      <w:pPr>
        <w:pStyle w:val="Heading3"/>
        <w:numPr>
          <w:ilvl w:val="0"/>
          <w:numId w:val="0"/>
        </w:numPr>
        <w:rPr>
          <w:i w:val="0"/>
          <w:noProof/>
        </w:rPr>
      </w:pPr>
      <w:r>
        <w:rPr>
          <w:i w:val="0"/>
          <w:noProof/>
        </w:rPr>
        <w:t>Комисията подкрепя държавите членки, дружествата, гражданското общество и социалните партньори чрез финансиране и действия за обмен на добри пр</w:t>
      </w:r>
      <w:r>
        <w:rPr>
          <w:i w:val="0"/>
          <w:noProof/>
        </w:rPr>
        <w:t>актики. Сред най-новите примери са:</w:t>
      </w:r>
    </w:p>
    <w:p w:rsidR="00352C5E" w:rsidRDefault="006611ED">
      <w:pPr>
        <w:pStyle w:val="Heading3"/>
        <w:numPr>
          <w:ilvl w:val="0"/>
          <w:numId w:val="43"/>
        </w:numPr>
        <w:rPr>
          <w:i w:val="0"/>
          <w:noProof/>
        </w:rPr>
      </w:pPr>
      <w:r>
        <w:rPr>
          <w:i w:val="0"/>
          <w:noProof/>
        </w:rPr>
        <w:t xml:space="preserve">специалната среща на платформата на ЕС за хартите на многообразието, посветена на интегрирането на проблематиката на равенство между половете (юни 2016 г.); </w:t>
      </w:r>
    </w:p>
    <w:p w:rsidR="00352C5E" w:rsidRDefault="006611ED">
      <w:pPr>
        <w:pStyle w:val="Heading3"/>
        <w:numPr>
          <w:ilvl w:val="0"/>
          <w:numId w:val="43"/>
        </w:numPr>
        <w:rPr>
          <w:i w:val="0"/>
          <w:noProof/>
        </w:rPr>
      </w:pPr>
      <w:r>
        <w:rPr>
          <w:i w:val="0"/>
          <w:noProof/>
        </w:rPr>
        <w:t>семинар на ЕС с междуотраслови партньори и секторни социални п</w:t>
      </w:r>
      <w:r>
        <w:rPr>
          <w:i w:val="0"/>
          <w:noProof/>
        </w:rPr>
        <w:t>артньори (ноември 2016 г.); както и</w:t>
      </w:r>
    </w:p>
    <w:p w:rsidR="00352C5E" w:rsidRDefault="006611ED">
      <w:pPr>
        <w:pStyle w:val="Heading3"/>
        <w:numPr>
          <w:ilvl w:val="0"/>
          <w:numId w:val="43"/>
        </w:numPr>
        <w:rPr>
          <w:i w:val="0"/>
          <w:noProof/>
        </w:rPr>
      </w:pPr>
      <w:r>
        <w:rPr>
          <w:i w:val="0"/>
          <w:noProof/>
        </w:rPr>
        <w:t xml:space="preserve">семинар за взаимно обучение, организиран, за да се обсъдят добрите практики на Белгия в насърчаването на недискриминиращо по признак пол професионално категоризиране (октомври 2016 г.). </w:t>
      </w:r>
    </w:p>
    <w:p w:rsidR="00352C5E" w:rsidRDefault="006611ED">
      <w:pPr>
        <w:spacing w:after="120"/>
        <w:rPr>
          <w:noProof/>
        </w:rPr>
      </w:pPr>
      <w:r>
        <w:rPr>
          <w:noProof/>
        </w:rPr>
        <w:t>Комисията подкрепя  усилията на държавите членки за преодоляване на разликата в заплащането на жените и мъжете и в рамките на европейския семестър, като отправя препоръки за действия за преодоляване на проблема или на някоя от неговите първопричини, като н</w:t>
      </w:r>
      <w:r>
        <w:rPr>
          <w:noProof/>
        </w:rPr>
        <w:t xml:space="preserve">апример липсата на инвестиции в областта на грижата за децата или фискални възпиращи фактори, които пречат на вторите работещи членове на семейството — главно жените — да работят или да работят повече. </w:t>
      </w:r>
    </w:p>
    <w:p w:rsidR="00352C5E" w:rsidRDefault="006611ED">
      <w:pPr>
        <w:pStyle w:val="Text3"/>
        <w:tabs>
          <w:tab w:val="clear" w:pos="2302"/>
          <w:tab w:val="left" w:pos="0"/>
        </w:tabs>
        <w:ind w:left="0"/>
        <w:rPr>
          <w:noProof/>
        </w:rPr>
      </w:pPr>
      <w:r>
        <w:rPr>
          <w:noProof/>
        </w:rPr>
        <w:t>През 2017 г. разликата в заплащането на жените и мъже</w:t>
      </w:r>
      <w:r>
        <w:rPr>
          <w:noProof/>
        </w:rPr>
        <w:t>те беше разгледана в докладите по държави на девет държави членки</w:t>
      </w:r>
      <w:r>
        <w:rPr>
          <w:rStyle w:val="FootnoteReference"/>
          <w:noProof/>
        </w:rPr>
        <w:footnoteReference w:id="51"/>
      </w:r>
      <w:r>
        <w:rPr>
          <w:noProof/>
        </w:rPr>
        <w:t>. През май 2017 г. Комисията издаде специфични за всяка държава препоръки (CSRs), насочени към инвестиране в структурите за полагане на грижи за деца и преодоляването на фискалните възпиращи</w:t>
      </w:r>
      <w:r>
        <w:rPr>
          <w:noProof/>
        </w:rPr>
        <w:t xml:space="preserve"> фактори, както и други мерки за преодоляване на разликата в заплащането на жените и мъжете</w:t>
      </w:r>
      <w:r>
        <w:rPr>
          <w:rStyle w:val="FootnoteReference"/>
          <w:noProof/>
          <w:sz w:val="22"/>
        </w:rPr>
        <w:footnoteReference w:id="52"/>
      </w:r>
      <w:r>
        <w:rPr>
          <w:noProof/>
        </w:rPr>
        <w:t>.</w:t>
      </w:r>
    </w:p>
    <w:p w:rsidR="00352C5E" w:rsidRDefault="006611ED">
      <w:pPr>
        <w:pStyle w:val="Text3"/>
        <w:ind w:left="0"/>
        <w:rPr>
          <w:noProof/>
        </w:rPr>
      </w:pPr>
      <w:r>
        <w:rPr>
          <w:i/>
          <w:noProof/>
        </w:rPr>
        <w:t>Комисията по-специално</w:t>
      </w:r>
      <w:r>
        <w:rPr>
          <w:noProof/>
        </w:rPr>
        <w:t>:</w:t>
      </w:r>
    </w:p>
    <w:p w:rsidR="00352C5E" w:rsidRDefault="006611ED">
      <w:pPr>
        <w:pStyle w:val="Text2"/>
        <w:numPr>
          <w:ilvl w:val="0"/>
          <w:numId w:val="32"/>
        </w:numPr>
        <w:tabs>
          <w:tab w:val="clear" w:pos="2160"/>
          <w:tab w:val="left" w:pos="709"/>
        </w:tabs>
        <w:rPr>
          <w:noProof/>
        </w:rPr>
      </w:pPr>
      <w:r>
        <w:rPr>
          <w:noProof/>
        </w:rPr>
        <w:t>ще организира семинари за взаимно обучение за правителствени представители относно разликата в заплащането, доходите и пенсиите на жените и мъжете  и основните причини за това. Акцентът ще бъде върху конкретни инструменти и правни норми, както и върху пред</w:t>
      </w:r>
      <w:r>
        <w:rPr>
          <w:noProof/>
        </w:rPr>
        <w:t xml:space="preserve">извикателствата, свързани с тяхното прилагане;  </w:t>
      </w:r>
    </w:p>
    <w:p w:rsidR="00352C5E" w:rsidRDefault="006611ED">
      <w:pPr>
        <w:pStyle w:val="Text2"/>
        <w:numPr>
          <w:ilvl w:val="0"/>
          <w:numId w:val="32"/>
        </w:numPr>
        <w:tabs>
          <w:tab w:val="clear" w:pos="2160"/>
          <w:tab w:val="left" w:pos="709"/>
        </w:tabs>
        <w:rPr>
          <w:noProof/>
        </w:rPr>
      </w:pPr>
      <w:r>
        <w:rPr>
          <w:noProof/>
        </w:rPr>
        <w:t>ще подпомага взаимното обучение и изграждането на капацитет на  социалните партньори, дружествата и други заинтересовани страни за преодоляване на разликата в заплащането на мъжете и жените;</w:t>
      </w:r>
    </w:p>
    <w:p w:rsidR="00352C5E" w:rsidRDefault="006611ED">
      <w:pPr>
        <w:pStyle w:val="ListBullet"/>
        <w:numPr>
          <w:ilvl w:val="0"/>
          <w:numId w:val="33"/>
        </w:numPr>
        <w:rPr>
          <w:noProof/>
        </w:rPr>
      </w:pPr>
      <w:r>
        <w:rPr>
          <w:noProof/>
        </w:rPr>
        <w:t>ще предостави фи</w:t>
      </w:r>
      <w:r>
        <w:rPr>
          <w:noProof/>
        </w:rPr>
        <w:t xml:space="preserve">нансова подкрепа на държавите членки, които са готови да намалят разликата в заплащането на жените и мъжете, в рамките на ограничени покани за представяне на предложения по програма „Права, равенство и гражданство“ (REC) за периода 2014—2020 г.; както и </w:t>
      </w:r>
    </w:p>
    <w:p w:rsidR="00352C5E" w:rsidRDefault="006611ED">
      <w:pPr>
        <w:pStyle w:val="ListBullet"/>
        <w:numPr>
          <w:ilvl w:val="0"/>
          <w:numId w:val="33"/>
        </w:numPr>
        <w:rPr>
          <w:noProof/>
        </w:rPr>
      </w:pPr>
      <w:r>
        <w:rPr>
          <w:noProof/>
        </w:rPr>
        <w:t>щ</w:t>
      </w:r>
      <w:r>
        <w:rPr>
          <w:noProof/>
        </w:rPr>
        <w:t>е продължи да следи разликата в заплащането на жените и мъжете в контекста на европейския семестър и да води диалог със съответните държави членки относно мерките, необходими за преодоляването на тази  разлика.</w:t>
      </w:r>
    </w:p>
    <w:sectPr w:rsidR="00352C5E">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5E" w:rsidRDefault="006611ED">
      <w:pPr>
        <w:spacing w:after="0"/>
      </w:pPr>
      <w:r>
        <w:separator/>
      </w:r>
    </w:p>
  </w:endnote>
  <w:endnote w:type="continuationSeparator" w:id="0">
    <w:p w:rsidR="00352C5E" w:rsidRDefault="00661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6611ED">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6611ED">
    <w:pPr>
      <w:pStyle w:val="Footer"/>
      <w:jc w:val="center"/>
    </w:pPr>
    <w:r>
      <w:fldChar w:fldCharType="begin"/>
    </w:r>
    <w:r>
      <w:instrText>PAGE</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332107"/>
      <w:docPartObj>
        <w:docPartGallery w:val="Page Numbers (Bottom of Page)"/>
        <w:docPartUnique/>
      </w:docPartObj>
    </w:sdtPr>
    <w:sdtEndPr>
      <w:rPr>
        <w:noProof/>
      </w:rPr>
    </w:sdtEndPr>
    <w:sdtContent>
      <w:p w:rsidR="00352C5E" w:rsidRDefault="006611E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52C5E" w:rsidRDefault="00352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5E" w:rsidRDefault="006611ED">
      <w:pPr>
        <w:spacing w:after="0"/>
      </w:pPr>
      <w:r>
        <w:separator/>
      </w:r>
    </w:p>
  </w:footnote>
  <w:footnote w:type="continuationSeparator" w:id="0">
    <w:p w:rsidR="00352C5E" w:rsidRDefault="006611ED">
      <w:pPr>
        <w:spacing w:after="0"/>
      </w:pPr>
      <w:r>
        <w:continuationSeparator/>
      </w:r>
    </w:p>
  </w:footnote>
  <w:footnote w:id="1">
    <w:p w:rsidR="00352C5E" w:rsidRDefault="006611ED">
      <w:pPr>
        <w:pStyle w:val="FootnoteText"/>
        <w:spacing w:after="0"/>
        <w:ind w:left="0" w:firstLine="0"/>
        <w:rPr>
          <w:sz w:val="16"/>
          <w:szCs w:val="16"/>
        </w:rPr>
      </w:pPr>
      <w:r>
        <w:rPr>
          <w:rStyle w:val="FootnoteReference"/>
          <w:sz w:val="16"/>
        </w:rPr>
        <w:footnoteRef/>
      </w:r>
      <w:r>
        <w:rPr>
          <w:sz w:val="16"/>
        </w:rPr>
        <w:t xml:space="preserve">  По-специално данните показват, че разликата в заплащането на жените и мъжете може да се увеличи с включването на повече жени в пазара на труда. Вж. Boll, C.; Leppin, J.; Rossen, A.; Wolf, A. (2016 г.), „</w:t>
      </w:r>
      <w:hyperlink r:id="rId1">
        <w:r>
          <w:rPr>
            <w:sz w:val="16"/>
          </w:rPr>
          <w:t>Magnitude and Impact Factors of the Gender Pay Gap in EU Countries“ (Величина и фактори на въздействие на разликата в заплащането на жените и мъжете в държавите от ЕС)</w:t>
        </w:r>
      </w:hyperlink>
      <w:r>
        <w:rPr>
          <w:sz w:val="16"/>
        </w:rPr>
        <w:t xml:space="preserve">, доклад, </w:t>
      </w:r>
      <w:r>
        <w:rPr>
          <w:sz w:val="16"/>
        </w:rPr>
        <w:t>изготвен за Европейската комисия — генерална дирекция „Правосъдие и потребители“ и финансиран от нея. Освен това развитието на пазара на труда като цяло е неблагоприятно за нископлатените работници. Ето защо жените „плуват срещу течението“ на неблагоприятн</w:t>
      </w:r>
      <w:r>
        <w:rPr>
          <w:sz w:val="16"/>
        </w:rPr>
        <w:t>ите тенденции. Вж. Blau F и Kahn L (1997 г.), „Swimming Upstream: Trends in the Gender Wage Differential in the 1980s“ (Да плуваш срещу течението: Тенденциите в разликата в заплащането на жените и мъжете през 80-те години на ХХ век), Journal of Labor Econo</w:t>
      </w:r>
      <w:r>
        <w:rPr>
          <w:sz w:val="16"/>
        </w:rPr>
        <w:t xml:space="preserve">mics (Списание за икономиката на труда), Том 15, № 1, Част 1 (януари, 1997 г.), стр. 1—42 </w:t>
      </w:r>
    </w:p>
  </w:footnote>
  <w:footnote w:id="2">
    <w:p w:rsidR="00352C5E" w:rsidRDefault="006611ED">
      <w:pPr>
        <w:pStyle w:val="FootnoteText"/>
        <w:spacing w:after="0"/>
        <w:ind w:left="0" w:firstLine="0"/>
        <w:rPr>
          <w:sz w:val="16"/>
          <w:szCs w:val="16"/>
        </w:rPr>
      </w:pPr>
      <w:r>
        <w:rPr>
          <w:rStyle w:val="FootnoteReference"/>
          <w:sz w:val="16"/>
        </w:rPr>
        <w:footnoteRef/>
      </w:r>
      <w:r>
        <w:rPr>
          <w:sz w:val="16"/>
        </w:rPr>
        <w:t xml:space="preserve">  Вж. Burchell B., Hardy V., Rubery J. и Smith M. (2015 г.), „A new method to understand labour market segregation“ (Нов метод за разбиране на сегрегацията на пазар</w:t>
      </w:r>
      <w:r>
        <w:rPr>
          <w:sz w:val="16"/>
        </w:rPr>
        <w:t>а на труда), доклад, изготвен за Европейската комисия – генерална дирекция „Правосъдие и потребители“ и финансиран от нея: само 18 % от жените и 15 % от мъжете имат професии, които се упражняват в равностойно съотношение от мъже и жени (60—40 % мъже и жени</w:t>
      </w:r>
      <w:r>
        <w:rPr>
          <w:sz w:val="16"/>
        </w:rPr>
        <w:t>).</w:t>
      </w:r>
    </w:p>
  </w:footnote>
  <w:footnote w:id="3">
    <w:p w:rsidR="00352C5E" w:rsidRDefault="006611ED">
      <w:pPr>
        <w:pStyle w:val="FootnoteText"/>
        <w:spacing w:after="0"/>
        <w:ind w:left="0" w:firstLine="0"/>
        <w:rPr>
          <w:sz w:val="16"/>
          <w:szCs w:val="16"/>
        </w:rPr>
      </w:pPr>
      <w:r>
        <w:rPr>
          <w:rStyle w:val="FootnoteReference"/>
          <w:sz w:val="16"/>
        </w:rPr>
        <w:footnoteRef/>
      </w:r>
      <w:r>
        <w:rPr>
          <w:sz w:val="16"/>
        </w:rPr>
        <w:t xml:space="preserve">  Boll et al. (2016 г.): сегрегацията в секторите допринася за увеличаването на разликата в заплащането на жените и мъжете във всички държави. Ефектът от сегрегацията в професиите е по-хетерогенен в различните държави: в редица държави сегрегацията в п</w:t>
      </w:r>
      <w:r>
        <w:rPr>
          <w:sz w:val="16"/>
        </w:rPr>
        <w:t xml:space="preserve">рофесиите в действителност може да защити жените. </w:t>
      </w:r>
    </w:p>
  </w:footnote>
  <w:footnote w:id="4">
    <w:p w:rsidR="00352C5E" w:rsidRDefault="006611ED">
      <w:pPr>
        <w:pStyle w:val="FootnoteText"/>
        <w:spacing w:after="0"/>
        <w:ind w:left="0" w:firstLine="0"/>
        <w:rPr>
          <w:sz w:val="16"/>
          <w:szCs w:val="16"/>
        </w:rPr>
      </w:pPr>
      <w:r>
        <w:rPr>
          <w:rStyle w:val="FootnoteReference"/>
          <w:sz w:val="16"/>
        </w:rPr>
        <w:footnoteRef/>
      </w:r>
      <w:r>
        <w:rPr>
          <w:sz w:val="16"/>
        </w:rPr>
        <w:t xml:space="preserve">   Вж. Индекс на професионалната и секторна сегрегация, публикуван всяка година в доклада на Европейската комисия относно равенството между жените и мъжете. </w:t>
      </w:r>
    </w:p>
  </w:footnote>
  <w:footnote w:id="5">
    <w:p w:rsidR="00352C5E" w:rsidRDefault="006611ED">
      <w:pPr>
        <w:pStyle w:val="FootnoteText"/>
        <w:spacing w:after="0"/>
        <w:ind w:left="0" w:firstLine="0"/>
        <w:rPr>
          <w:sz w:val="16"/>
          <w:szCs w:val="16"/>
          <w:lang w:val="en-GB"/>
        </w:rPr>
      </w:pPr>
      <w:r>
        <w:rPr>
          <w:rStyle w:val="FootnoteReference"/>
          <w:sz w:val="16"/>
        </w:rPr>
        <w:footnoteRef/>
      </w:r>
      <w:r>
        <w:rPr>
          <w:sz w:val="16"/>
        </w:rPr>
        <w:t xml:space="preserve">    Вж. Boll et al. (2016 г.):</w:t>
      </w:r>
    </w:p>
  </w:footnote>
  <w:footnote w:id="6">
    <w:p w:rsidR="00352C5E" w:rsidRDefault="006611ED">
      <w:pPr>
        <w:pStyle w:val="FootnoteText"/>
        <w:rPr>
          <w:sz w:val="16"/>
        </w:rPr>
      </w:pPr>
      <w:r>
        <w:rPr>
          <w:rStyle w:val="FootnoteReference"/>
        </w:rPr>
        <w:footnoteRef/>
      </w:r>
      <w:r>
        <w:t xml:space="preserve">  </w:t>
      </w:r>
      <w:r>
        <w:rPr>
          <w:sz w:val="16"/>
        </w:rPr>
        <w:t xml:space="preserve">Европейска </w:t>
      </w:r>
      <w:r>
        <w:rPr>
          <w:sz w:val="16"/>
        </w:rPr>
        <w:t>комисия, 2015 г., „An ever closer union among the peoples of Europe? Rising inequalities in the EU and their social, economic and political impacts.“ (Все по-тесен съюз между народите на Европа? Увеличаване на неравенствата в ЕС и тяхното социално, икономи</w:t>
      </w:r>
      <w:r>
        <w:rPr>
          <w:sz w:val="16"/>
        </w:rPr>
        <w:t>ческо и политическо въздействие.) Резултати от финансирано от ЕС изследване. ГД „Научни изследвания и иновации“, Брюксел, стр. 54—55.</w:t>
      </w:r>
    </w:p>
  </w:footnote>
  <w:footnote w:id="7">
    <w:p w:rsidR="00352C5E" w:rsidRDefault="006611ED">
      <w:pPr>
        <w:pStyle w:val="FootnoteText"/>
        <w:spacing w:after="0"/>
        <w:ind w:left="0" w:firstLine="0"/>
        <w:rPr>
          <w:i/>
          <w:sz w:val="16"/>
          <w:szCs w:val="16"/>
        </w:rPr>
      </w:pPr>
      <w:r>
        <w:rPr>
          <w:rStyle w:val="FootnoteReference"/>
          <w:sz w:val="16"/>
        </w:rPr>
        <w:footnoteRef/>
      </w:r>
      <w:r>
        <w:rPr>
          <w:sz w:val="16"/>
        </w:rPr>
        <w:t xml:space="preserve">   Goldin C. (2014 г.), „A Grand Gender Convergence: Its Last Chapter.“ (</w:t>
      </w:r>
      <w:r>
        <w:rPr>
          <w:i/>
          <w:sz w:val="16"/>
        </w:rPr>
        <w:t xml:space="preserve">Голяма конвергенция между половете: Последната </w:t>
      </w:r>
      <w:r>
        <w:rPr>
          <w:i/>
          <w:sz w:val="16"/>
        </w:rPr>
        <w:t>глава от нея</w:t>
      </w:r>
      <w:r>
        <w:rPr>
          <w:sz w:val="16"/>
        </w:rPr>
        <w:t xml:space="preserve">), </w:t>
      </w:r>
      <w:r>
        <w:rPr>
          <w:i/>
          <w:sz w:val="16"/>
        </w:rPr>
        <w:t>American Economic Review, 104 (4) :1091—1119.</w:t>
      </w:r>
    </w:p>
  </w:footnote>
  <w:footnote w:id="8">
    <w:p w:rsidR="00352C5E" w:rsidRDefault="006611ED">
      <w:pPr>
        <w:pStyle w:val="FootnoteText"/>
        <w:spacing w:after="0"/>
      </w:pPr>
      <w:r>
        <w:rPr>
          <w:rStyle w:val="FootnoteReference"/>
        </w:rPr>
        <w:footnoteRef/>
      </w:r>
      <w:r>
        <w:t xml:space="preserve">  </w:t>
      </w:r>
      <w:r>
        <w:rPr>
          <w:sz w:val="16"/>
        </w:rPr>
        <w:t>Евробарометър 465.</w:t>
      </w:r>
    </w:p>
  </w:footnote>
  <w:footnote w:id="9">
    <w:p w:rsidR="00352C5E" w:rsidRDefault="006611ED">
      <w:pPr>
        <w:pStyle w:val="FootnoteText"/>
        <w:spacing w:after="0"/>
        <w:ind w:left="0" w:firstLine="0"/>
        <w:rPr>
          <w:sz w:val="16"/>
          <w:szCs w:val="16"/>
        </w:rPr>
      </w:pPr>
      <w:r>
        <w:rPr>
          <w:rStyle w:val="FootnoteReference"/>
          <w:sz w:val="16"/>
        </w:rPr>
        <w:footnoteRef/>
      </w:r>
      <w:r>
        <w:rPr>
          <w:sz w:val="16"/>
        </w:rPr>
        <w:t xml:space="preserve">  Така например е изчислено, че въвеждането на минимално възнаграждение в Германия намалява разликата в заплащането на жените и мъжете с 2,5 процентни пункта. Жените следва</w:t>
      </w:r>
      <w:r>
        <w:rPr>
          <w:sz w:val="16"/>
        </w:rPr>
        <w:t xml:space="preserve"> също така да се възползват от последното увеличение на минималните възнаграждения в някои от държавите с най-голяма разлика в заплащането на жените и мъжете (Чешката република, Словакия и Обединеното кралство).</w:t>
      </w:r>
    </w:p>
  </w:footnote>
  <w:footnote w:id="10">
    <w:p w:rsidR="00352C5E" w:rsidRDefault="006611ED">
      <w:pPr>
        <w:pStyle w:val="FootnoteText"/>
        <w:spacing w:after="0"/>
        <w:ind w:left="0" w:firstLine="0"/>
        <w:rPr>
          <w:sz w:val="16"/>
          <w:szCs w:val="16"/>
        </w:rPr>
      </w:pPr>
      <w:r>
        <w:rPr>
          <w:rStyle w:val="FootnoteReference"/>
        </w:rPr>
        <w:footnoteRef/>
      </w:r>
      <w:r>
        <w:t xml:space="preserve">  </w:t>
      </w:r>
      <w:r>
        <w:rPr>
          <w:sz w:val="16"/>
        </w:rPr>
        <w:t>Тази разлика води до една трета от неравенствата по отношение на доходите между жените и мъжете по време на трудовия им живот. Вж. Доклад на Комисията за 2017 г. относно равенството между жените и мъжете и данни от Евростат: http://ec.europa.eu/eurostat/st</w:t>
      </w:r>
      <w:r>
        <w:rPr>
          <w:sz w:val="16"/>
        </w:rPr>
        <w:t xml:space="preserve">atistics-explained/index.php/Gender_statistics </w:t>
      </w:r>
    </w:p>
  </w:footnote>
  <w:footnote w:id="11">
    <w:p w:rsidR="00352C5E" w:rsidRDefault="006611ED">
      <w:pPr>
        <w:pStyle w:val="FootnoteText"/>
        <w:spacing w:after="0"/>
      </w:pPr>
      <w:r>
        <w:rPr>
          <w:rStyle w:val="FootnoteReference"/>
          <w:sz w:val="16"/>
        </w:rPr>
        <w:footnoteRef/>
      </w:r>
      <w:r>
        <w:rPr>
          <w:sz w:val="16"/>
        </w:rPr>
        <w:t xml:space="preserve">   Премахването на неравенството между половете е една от целите на стратегическия ангажимент на Комисията за равенство между половете (2016—2019 г.) </w:t>
      </w:r>
      <w:hyperlink r:id="rId2" w:history="1">
        <w:r>
          <w:rPr>
            <w:rStyle w:val="Hyperlink"/>
            <w:sz w:val="16"/>
            <w:szCs w:val="16"/>
            <w:lang w:val="en-GB"/>
          </w:rPr>
          <w:t>http</w:t>
        </w:r>
        <w:r>
          <w:rPr>
            <w:rStyle w:val="Hyperlink"/>
            <w:sz w:val="16"/>
            <w:szCs w:val="16"/>
          </w:rPr>
          <w:t>://</w:t>
        </w:r>
        <w:r>
          <w:rPr>
            <w:rStyle w:val="Hyperlink"/>
            <w:sz w:val="16"/>
            <w:szCs w:val="16"/>
            <w:lang w:val="en-GB"/>
          </w:rPr>
          <w:t>ec</w:t>
        </w:r>
        <w:r>
          <w:rPr>
            <w:rStyle w:val="Hyperlink"/>
            <w:sz w:val="16"/>
            <w:szCs w:val="16"/>
          </w:rPr>
          <w:t>.</w:t>
        </w:r>
        <w:r>
          <w:rPr>
            <w:rStyle w:val="Hyperlink"/>
            <w:sz w:val="16"/>
            <w:szCs w:val="16"/>
            <w:lang w:val="en-GB"/>
          </w:rPr>
          <w:t>europa</w:t>
        </w:r>
        <w:r>
          <w:rPr>
            <w:rStyle w:val="Hyperlink"/>
            <w:sz w:val="16"/>
            <w:szCs w:val="16"/>
          </w:rPr>
          <w:t>.</w:t>
        </w:r>
        <w:r>
          <w:rPr>
            <w:rStyle w:val="Hyperlink"/>
            <w:sz w:val="16"/>
            <w:szCs w:val="16"/>
            <w:lang w:val="en-GB"/>
          </w:rPr>
          <w:t>eu</w:t>
        </w:r>
        <w:r>
          <w:rPr>
            <w:rStyle w:val="Hyperlink"/>
            <w:sz w:val="16"/>
            <w:szCs w:val="16"/>
          </w:rPr>
          <w:t>/</w:t>
        </w:r>
        <w:r>
          <w:rPr>
            <w:rStyle w:val="Hyperlink"/>
            <w:sz w:val="16"/>
            <w:szCs w:val="16"/>
            <w:lang w:val="en-GB"/>
          </w:rPr>
          <w:t>justice</w:t>
        </w:r>
        <w:r>
          <w:rPr>
            <w:rStyle w:val="Hyperlink"/>
            <w:sz w:val="16"/>
            <w:szCs w:val="16"/>
          </w:rPr>
          <w:t>/</w:t>
        </w:r>
        <w:r>
          <w:rPr>
            <w:rStyle w:val="Hyperlink"/>
            <w:sz w:val="16"/>
            <w:szCs w:val="16"/>
            <w:lang w:val="en-GB"/>
          </w:rPr>
          <w:t>gender</w:t>
        </w:r>
        <w:r>
          <w:rPr>
            <w:rStyle w:val="Hyperlink"/>
            <w:sz w:val="16"/>
            <w:szCs w:val="16"/>
          </w:rPr>
          <w:t>-</w:t>
        </w:r>
        <w:r>
          <w:rPr>
            <w:rStyle w:val="Hyperlink"/>
            <w:sz w:val="16"/>
            <w:szCs w:val="16"/>
            <w:lang w:val="en-GB"/>
          </w:rPr>
          <w:t>equality</w:t>
        </w:r>
        <w:r>
          <w:rPr>
            <w:rStyle w:val="Hyperlink"/>
            <w:sz w:val="16"/>
            <w:szCs w:val="16"/>
          </w:rPr>
          <w:t>/</w:t>
        </w:r>
        <w:r>
          <w:rPr>
            <w:rStyle w:val="Hyperlink"/>
            <w:sz w:val="16"/>
            <w:szCs w:val="16"/>
            <w:lang w:val="en-GB"/>
          </w:rPr>
          <w:t>files</w:t>
        </w:r>
        <w:r>
          <w:rPr>
            <w:rStyle w:val="Hyperlink"/>
            <w:sz w:val="16"/>
            <w:szCs w:val="16"/>
          </w:rPr>
          <w:t>/</w:t>
        </w:r>
        <w:r>
          <w:rPr>
            <w:rStyle w:val="Hyperlink"/>
            <w:sz w:val="16"/>
            <w:szCs w:val="16"/>
            <w:lang w:val="en-GB"/>
          </w:rPr>
          <w:t>documents</w:t>
        </w:r>
        <w:r>
          <w:rPr>
            <w:rStyle w:val="Hyperlink"/>
            <w:sz w:val="16"/>
            <w:szCs w:val="16"/>
          </w:rPr>
          <w:t>/151203_</w:t>
        </w:r>
        <w:r>
          <w:rPr>
            <w:rStyle w:val="Hyperlink"/>
            <w:sz w:val="16"/>
            <w:szCs w:val="16"/>
            <w:lang w:val="en-GB"/>
          </w:rPr>
          <w:t>strategic</w:t>
        </w:r>
        <w:r>
          <w:rPr>
            <w:rStyle w:val="Hyperlink"/>
            <w:sz w:val="16"/>
            <w:szCs w:val="16"/>
          </w:rPr>
          <w:t>_</w:t>
        </w:r>
        <w:r>
          <w:rPr>
            <w:rStyle w:val="Hyperlink"/>
            <w:sz w:val="16"/>
            <w:szCs w:val="16"/>
            <w:lang w:val="en-GB"/>
          </w:rPr>
          <w:t>engagement</w:t>
        </w:r>
        <w:r>
          <w:rPr>
            <w:rStyle w:val="Hyperlink"/>
            <w:sz w:val="16"/>
            <w:szCs w:val="16"/>
          </w:rPr>
          <w:t>_</w:t>
        </w:r>
        <w:r>
          <w:rPr>
            <w:rStyle w:val="Hyperlink"/>
            <w:sz w:val="16"/>
            <w:szCs w:val="16"/>
            <w:lang w:val="en-GB"/>
          </w:rPr>
          <w:t>en</w:t>
        </w:r>
        <w:r>
          <w:rPr>
            <w:rStyle w:val="Hyperlink"/>
            <w:sz w:val="16"/>
            <w:szCs w:val="16"/>
          </w:rPr>
          <w:t>.</w:t>
        </w:r>
        <w:r>
          <w:rPr>
            <w:rStyle w:val="Hyperlink"/>
            <w:sz w:val="16"/>
            <w:szCs w:val="16"/>
            <w:lang w:val="en-GB"/>
          </w:rPr>
          <w:t>pdf</w:t>
        </w:r>
      </w:hyperlink>
      <w:r>
        <w:t xml:space="preserve"> </w:t>
      </w:r>
    </w:p>
  </w:footnote>
  <w:footnote w:id="12">
    <w:p w:rsidR="00352C5E" w:rsidRDefault="006611ED">
      <w:pPr>
        <w:pStyle w:val="FootnoteText"/>
        <w:spacing w:after="0"/>
        <w:rPr>
          <w:sz w:val="16"/>
        </w:rPr>
      </w:pPr>
      <w:r>
        <w:rPr>
          <w:rStyle w:val="FootnoteReference"/>
        </w:rPr>
        <w:footnoteRef/>
      </w:r>
      <w:r>
        <w:t xml:space="preserve"> </w:t>
      </w:r>
      <w:r>
        <w:tab/>
      </w:r>
      <w:r>
        <w:rPr>
          <w:sz w:val="16"/>
        </w:rPr>
        <w:t xml:space="preserve">Доклад за прилагането на Директива 2006/54/ЕО на Европейския парламент и на Съвета от 5 юли 2006 г. за </w:t>
      </w:r>
      <w:r>
        <w:rPr>
          <w:sz w:val="16"/>
        </w:rPr>
        <w:t xml:space="preserve">прилагането на принципа на равните възможности и равното третиране на мъжете и жените в областта на заетостта и професиите (преработена), COM(2013) 861 final -- </w:t>
      </w:r>
      <w:hyperlink r:id="rId3">
        <w:r>
          <w:rPr>
            <w:rStyle w:val="Hyperlink"/>
            <w:sz w:val="16"/>
          </w:rPr>
          <w:t>http://ec.europa.eu/justice/gender-equality/files/gender_pay_gap/com-2013-861-final_en.pdf</w:t>
        </w:r>
      </w:hyperlink>
    </w:p>
  </w:footnote>
  <w:footnote w:id="13">
    <w:p w:rsidR="00352C5E" w:rsidRDefault="006611ED">
      <w:pPr>
        <w:pStyle w:val="FootnoteText"/>
        <w:spacing w:after="0"/>
        <w:rPr>
          <w:sz w:val="16"/>
        </w:rPr>
      </w:pPr>
      <w:r>
        <w:rPr>
          <w:rStyle w:val="FootnoteReference"/>
          <w:sz w:val="16"/>
        </w:rPr>
        <w:footnoteRef/>
      </w:r>
      <w:r>
        <w:rPr>
          <w:sz w:val="16"/>
        </w:rPr>
        <w:t xml:space="preserve"> </w:t>
      </w:r>
      <w:r>
        <w:tab/>
      </w:r>
      <w:r>
        <w:rPr>
          <w:sz w:val="16"/>
        </w:rPr>
        <w:t>Препоръка на Комисията от 7 март 2014 г. относно укрепването чрез прозрачност на принципа на равно заплащане за мъжете и жените, COM(2014) 1405 fin</w:t>
      </w:r>
      <w:r>
        <w:rPr>
          <w:sz w:val="16"/>
        </w:rPr>
        <w:t>al --</w:t>
      </w:r>
      <w:hyperlink r:id="rId4">
        <w:r>
          <w:rPr>
            <w:rStyle w:val="Hyperlink"/>
            <w:sz w:val="16"/>
          </w:rPr>
          <w:t>http://ec.europa.eu/justice/gender-equality/files/gender_pay_gap/c_2014_1405_bg.pdf</w:t>
        </w:r>
      </w:hyperlink>
    </w:p>
  </w:footnote>
  <w:footnote w:id="14">
    <w:p w:rsidR="00352C5E" w:rsidRDefault="006611ED">
      <w:pPr>
        <w:pStyle w:val="FootnoteText"/>
        <w:spacing w:after="0"/>
        <w:rPr>
          <w:sz w:val="16"/>
          <w:lang w:val="cs-CZ"/>
        </w:rPr>
      </w:pPr>
      <w:r>
        <w:rPr>
          <w:rStyle w:val="FootnoteReference"/>
          <w:sz w:val="16"/>
        </w:rPr>
        <w:footnoteRef/>
      </w:r>
      <w:r>
        <w:rPr>
          <w:sz w:val="16"/>
        </w:rPr>
        <w:t xml:space="preserve"> </w:t>
      </w:r>
      <w:r>
        <w:tab/>
      </w:r>
      <w:r>
        <w:rPr>
          <w:sz w:val="16"/>
        </w:rPr>
        <w:t xml:space="preserve">Те включват: i) предоставяне на възможност на работниците и </w:t>
      </w:r>
      <w:r>
        <w:rPr>
          <w:sz w:val="16"/>
        </w:rPr>
        <w:t>служителите да искат информация относно заплащането, придружена с разбивка според пола, за категориите служители, които извършват еднаква работа или работа с равна стойност; ii) редовни доклади, изготвени от работодателите, за структурата на възнаграждения</w:t>
      </w:r>
      <w:r>
        <w:rPr>
          <w:sz w:val="16"/>
        </w:rPr>
        <w:t>та според категорията служител или позицията с разбивка според пола (само за големите и средните дружества); iii) извършване на одити на заплащанията в големите дружества; и iv) обсъждане на въпросите, свързани с равното заплащане, на подходящото равнище в</w:t>
      </w:r>
      <w:r>
        <w:rPr>
          <w:sz w:val="16"/>
        </w:rPr>
        <w:t xml:space="preserve"> колективното договаряне</w:t>
      </w:r>
    </w:p>
  </w:footnote>
  <w:footnote w:id="15">
    <w:p w:rsidR="00352C5E" w:rsidRDefault="006611ED">
      <w:pPr>
        <w:pStyle w:val="FootnoteText"/>
        <w:spacing w:after="0"/>
        <w:rPr>
          <w:sz w:val="16"/>
          <w:lang w:val="cs-CZ"/>
        </w:rPr>
      </w:pPr>
      <w:r>
        <w:rPr>
          <w:rStyle w:val="FootnoteReference"/>
        </w:rPr>
        <w:footnoteRef/>
      </w:r>
      <w:r>
        <w:t xml:space="preserve">     </w:t>
      </w:r>
      <w:r>
        <w:rPr>
          <w:sz w:val="16"/>
        </w:rPr>
        <w:t>COM/2017/671</w:t>
      </w:r>
    </w:p>
  </w:footnote>
  <w:footnote w:id="16">
    <w:p w:rsidR="00352C5E" w:rsidRDefault="006611ED">
      <w:pPr>
        <w:pStyle w:val="FootnoteText"/>
        <w:spacing w:after="0"/>
        <w:rPr>
          <w:sz w:val="16"/>
          <w:lang w:val="cs-CZ"/>
        </w:rPr>
      </w:pPr>
      <w:r>
        <w:rPr>
          <w:rStyle w:val="FootnoteReference"/>
          <w:sz w:val="16"/>
        </w:rPr>
        <w:footnoteRef/>
      </w:r>
      <w:r>
        <w:rPr>
          <w:sz w:val="16"/>
        </w:rPr>
        <w:t xml:space="preserve"> </w:t>
      </w:r>
      <w:r>
        <w:tab/>
      </w:r>
      <w:r>
        <w:rPr>
          <w:sz w:val="16"/>
        </w:rPr>
        <w:t>Преработената Директива за равенство между половете задължава държавите членки да въведат санкции, които са ефективни, пропорционални и възпиращи. Санкциите, предвидени в националните законодателства на държав</w:t>
      </w:r>
      <w:r>
        <w:rPr>
          <w:sz w:val="16"/>
        </w:rPr>
        <w:t>ите членки, обаче се различават значително, което води до различно упражняване на правата, предоставени  съгласно директивата.</w:t>
      </w:r>
    </w:p>
  </w:footnote>
  <w:footnote w:id="17">
    <w:p w:rsidR="00352C5E" w:rsidRDefault="006611ED">
      <w:pPr>
        <w:pStyle w:val="FootnoteText"/>
        <w:spacing w:after="0"/>
        <w:rPr>
          <w:sz w:val="16"/>
          <w:lang w:val="cs-CZ"/>
        </w:rPr>
      </w:pPr>
      <w:r>
        <w:rPr>
          <w:rStyle w:val="FootnoteReference"/>
        </w:rPr>
        <w:footnoteRef/>
      </w:r>
      <w:r>
        <w:t xml:space="preserve"> </w:t>
      </w:r>
      <w:r>
        <w:tab/>
      </w:r>
      <w:r>
        <w:rPr>
          <w:sz w:val="16"/>
        </w:rPr>
        <w:t>В решение по Дело C-318/13, производство, образувано по инициатива на X, от 3 септември 2014 г. Съдът на ЕС посочи, че диферен</w:t>
      </w:r>
      <w:r>
        <w:rPr>
          <w:sz w:val="16"/>
        </w:rPr>
        <w:t>цираните обезщетения въз основа на специфични за пола актюерски данни са недопустими в рамките на законоустановените схеми на социално осигуряване съгласно Директива 79/7/ЕИО.</w:t>
      </w:r>
    </w:p>
  </w:footnote>
  <w:footnote w:id="18">
    <w:p w:rsidR="00352C5E" w:rsidRDefault="006611ED">
      <w:pPr>
        <w:pStyle w:val="FootnoteText"/>
        <w:spacing w:after="0"/>
        <w:rPr>
          <w:sz w:val="16"/>
        </w:rPr>
      </w:pPr>
      <w:r>
        <w:rPr>
          <w:rStyle w:val="FootnoteReference"/>
          <w:sz w:val="16"/>
        </w:rPr>
        <w:footnoteRef/>
      </w:r>
      <w:r>
        <w:rPr>
          <w:sz w:val="16"/>
        </w:rPr>
        <w:t xml:space="preserve">  </w:t>
      </w:r>
      <w:r>
        <w:tab/>
      </w:r>
      <w:r>
        <w:rPr>
          <w:sz w:val="16"/>
        </w:rPr>
        <w:t>В решение по дело C-236/09, Test Achats, от 1 март 2011 г. Съдът на ЕС отмен</w:t>
      </w:r>
      <w:r>
        <w:rPr>
          <w:sz w:val="16"/>
        </w:rPr>
        <w:t xml:space="preserve">и член 5, параграф 2 от Директива 2004/113/ЕО, който разрешава използването на актюерски фактори, свързани с пола, в застрахователните договори. Решението наложи на държавите членки до 21 декември 2012 г. да направят задължителни премиите и обезщетенията, </w:t>
      </w:r>
      <w:r>
        <w:rPr>
          <w:sz w:val="16"/>
        </w:rPr>
        <w:t xml:space="preserve">независещи от пола. </w:t>
      </w:r>
    </w:p>
  </w:footnote>
  <w:footnote w:id="19">
    <w:p w:rsidR="00352C5E" w:rsidRDefault="006611ED">
      <w:pPr>
        <w:pStyle w:val="FootnoteText"/>
        <w:spacing w:after="0"/>
        <w:rPr>
          <w:sz w:val="16"/>
        </w:rPr>
      </w:pPr>
      <w:r>
        <w:rPr>
          <w:rStyle w:val="FootnoteReference"/>
        </w:rPr>
        <w:footnoteRef/>
      </w:r>
      <w:r>
        <w:t xml:space="preserve"> </w:t>
      </w:r>
      <w:r>
        <w:tab/>
      </w:r>
      <w:r>
        <w:rPr>
          <w:sz w:val="16"/>
        </w:rPr>
        <w:t>Както е посочено в неговия доклад относно оценката на препоръката от 2014 г.,</w:t>
      </w:r>
    </w:p>
  </w:footnote>
  <w:footnote w:id="20">
    <w:p w:rsidR="00352C5E" w:rsidRDefault="006611ED">
      <w:pPr>
        <w:pStyle w:val="FootnoteText"/>
        <w:spacing w:after="0"/>
        <w:rPr>
          <w:sz w:val="16"/>
        </w:rPr>
      </w:pPr>
      <w:r>
        <w:rPr>
          <w:rStyle w:val="FootnoteReference"/>
          <w:sz w:val="16"/>
        </w:rPr>
        <w:footnoteRef/>
      </w:r>
      <w:r>
        <w:rPr>
          <w:sz w:val="16"/>
        </w:rPr>
        <w:t xml:space="preserve">     Жените представляват само 10 % от работната сила в строителния сектор, 22 % в транспортния сектор и 30 % в производството (в сравнение с 46 % в цяла</w:t>
      </w:r>
      <w:r>
        <w:rPr>
          <w:sz w:val="16"/>
        </w:rPr>
        <w:t>та икономиката)</w:t>
      </w:r>
    </w:p>
  </w:footnote>
  <w:footnote w:id="21">
    <w:p w:rsidR="00352C5E" w:rsidRDefault="006611ED">
      <w:pPr>
        <w:pStyle w:val="FootnoteText"/>
      </w:pPr>
      <w:r>
        <w:rPr>
          <w:rStyle w:val="FootnoteReference"/>
        </w:rPr>
        <w:footnoteRef/>
      </w:r>
      <w:r>
        <w:t xml:space="preserve"> </w:t>
      </w:r>
      <w:r>
        <w:tab/>
      </w:r>
      <w:r>
        <w:rPr>
          <w:sz w:val="16"/>
        </w:rPr>
        <w:t>Вж. проучването на Европейския институт за равенство между половете (EIGE) относно намаляването на разликата в участието на жените и мъжете в науката, технологиите, инженерството и математиката -</w:t>
      </w:r>
      <w:hyperlink r:id="rId5">
        <w:r>
          <w:rPr>
            <w:rStyle w:val="Hyperlink"/>
            <w:sz w:val="16"/>
          </w:rPr>
          <w:t>http://eige.europa.eu/gender-mainstreaming/policy-areas/economic-and-financial-affairs/economic-benefits-gender-equality/stem</w:t>
        </w:r>
      </w:hyperlink>
    </w:p>
  </w:footnote>
  <w:footnote w:id="22">
    <w:p w:rsidR="00352C5E" w:rsidRDefault="006611ED">
      <w:pPr>
        <w:pStyle w:val="FootnoteText"/>
        <w:spacing w:after="0"/>
        <w:rPr>
          <w:sz w:val="16"/>
        </w:rPr>
      </w:pPr>
      <w:r>
        <w:rPr>
          <w:rStyle w:val="FootnoteReference"/>
        </w:rPr>
        <w:footnoteRef/>
      </w:r>
      <w:r>
        <w:t xml:space="preserve"> </w:t>
      </w:r>
      <w:r>
        <w:tab/>
      </w:r>
      <w:r>
        <w:rPr>
          <w:sz w:val="16"/>
        </w:rPr>
        <w:t>Организацията за икономи</w:t>
      </w:r>
      <w:r>
        <w:rPr>
          <w:sz w:val="16"/>
        </w:rPr>
        <w:t xml:space="preserve">ческо сътрудничество и развитие (OECD) отговаря за Програмата за международно оценяване на учениците (PISA), която представлява тригодишно проучване на 15-годишни ученици по целия свят. Проучване от 2015 г. </w:t>
      </w:r>
    </w:p>
  </w:footnote>
  <w:footnote w:id="23">
    <w:p w:rsidR="00352C5E" w:rsidRDefault="006611ED">
      <w:pPr>
        <w:pStyle w:val="FootnoteText"/>
        <w:spacing w:after="0"/>
        <w:rPr>
          <w:sz w:val="16"/>
        </w:rPr>
      </w:pPr>
      <w:r>
        <w:rPr>
          <w:rStyle w:val="FootnoteReference"/>
          <w:sz w:val="16"/>
        </w:rPr>
        <w:footnoteRef/>
      </w:r>
      <w:r>
        <w:rPr>
          <w:sz w:val="16"/>
        </w:rPr>
        <w:t xml:space="preserve">  </w:t>
      </w:r>
      <w:r>
        <w:tab/>
      </w:r>
      <w:r>
        <w:rPr>
          <w:sz w:val="16"/>
        </w:rPr>
        <w:t>Предоставяне на безвъзмездни средства за под</w:t>
      </w:r>
      <w:r>
        <w:rPr>
          <w:sz w:val="16"/>
        </w:rPr>
        <w:t xml:space="preserve">помагане на транснационални проекти за насърчаване на добри практики относно ролята на половете и за преодоляване на стереотипите, свързани с пола, в образованието, обучението и на работното място — JUST/2015/RGEN/AG/ROLE. Вж. </w:t>
      </w:r>
      <w:hyperlink r:id="rId6">
        <w:r>
          <w:rPr>
            <w:rStyle w:val="Hyperlink"/>
            <w:sz w:val="16"/>
          </w:rPr>
          <w:t>http://ec.europa.eu/justice/grants1/calls/2015_action_grants/just_2015_rgen_ag_role_en.htm</w:t>
        </w:r>
      </w:hyperlink>
    </w:p>
  </w:footnote>
  <w:footnote w:id="24">
    <w:p w:rsidR="00352C5E" w:rsidRDefault="006611ED">
      <w:pPr>
        <w:pStyle w:val="FootnoteText"/>
        <w:spacing w:after="0"/>
        <w:rPr>
          <w:rFonts w:cs="Arial"/>
          <w:sz w:val="16"/>
        </w:rPr>
      </w:pPr>
      <w:r>
        <w:rPr>
          <w:rStyle w:val="FootnoteReference"/>
          <w:sz w:val="16"/>
        </w:rPr>
        <w:footnoteRef/>
      </w:r>
      <w:r>
        <w:rPr>
          <w:sz w:val="16"/>
        </w:rPr>
        <w:t xml:space="preserve"> </w:t>
      </w:r>
      <w:r>
        <w:tab/>
      </w:r>
      <w:r>
        <w:rPr>
          <w:sz w:val="16"/>
        </w:rPr>
        <w:t>Европейската платформа за хартите на многообразието е създадена през 2010 г. и се</w:t>
      </w:r>
      <w:r>
        <w:rPr>
          <w:sz w:val="16"/>
        </w:rPr>
        <w:t xml:space="preserve"> финансира от Европейската комисия. Понастоящем платформата включва 18 харти на многообразието от следните държави: Австрия, Белгия, Германия, Дания, Естония, Ирландия, Испания, Италия, Люксембург, Нидерландия, Полша, Португалия, Словакия, Унгария, Финланд</w:t>
      </w:r>
      <w:r>
        <w:rPr>
          <w:sz w:val="16"/>
        </w:rPr>
        <w:t xml:space="preserve">ия, Франция, Чешката република и Швеция. </w:t>
      </w:r>
    </w:p>
    <w:p w:rsidR="00352C5E" w:rsidRDefault="006611ED">
      <w:pPr>
        <w:pStyle w:val="FootnoteText"/>
        <w:spacing w:after="0"/>
        <w:ind w:firstLine="0"/>
        <w:rPr>
          <w:sz w:val="16"/>
        </w:rPr>
      </w:pPr>
      <w:r>
        <w:rPr>
          <w:sz w:val="16"/>
        </w:rPr>
        <w:t xml:space="preserve">Вж. </w:t>
      </w:r>
      <w:hyperlink r:id="rId7">
        <w:r>
          <w:rPr>
            <w:rStyle w:val="Hyperlink"/>
            <w:sz w:val="16"/>
          </w:rPr>
          <w:t>http://ec.europa.eu/justice/discrimination/diversity/charters/index_en.htm</w:t>
        </w:r>
      </w:hyperlink>
    </w:p>
  </w:footnote>
  <w:footnote w:id="25">
    <w:p w:rsidR="00352C5E" w:rsidRDefault="006611ED">
      <w:pPr>
        <w:pStyle w:val="ListBullet1"/>
        <w:spacing w:after="0"/>
        <w:ind w:left="426" w:hanging="426"/>
        <w:rPr>
          <w:sz w:val="16"/>
        </w:rPr>
      </w:pPr>
      <w:r>
        <w:rPr>
          <w:rStyle w:val="FootnoteReference"/>
          <w:sz w:val="16"/>
        </w:rPr>
        <w:footnoteRef/>
      </w:r>
      <w:r>
        <w:rPr>
          <w:sz w:val="16"/>
        </w:rPr>
        <w:t xml:space="preserve">     Коалицията за цифрови умения и рабо</w:t>
      </w:r>
      <w:r>
        <w:rPr>
          <w:sz w:val="16"/>
        </w:rPr>
        <w:t xml:space="preserve">тни места обединява държави членки, дружества, социални партньори, неправителствени организации и доставчици на образование, които предприемат действия за преодоляване на липсата на цифрови умения в Европа </w:t>
      </w:r>
      <w:r>
        <w:rPr>
          <w:rStyle w:val="Hyperlink"/>
          <w:sz w:val="16"/>
          <w:u w:val="none"/>
        </w:rPr>
        <w:t>.</w:t>
      </w:r>
    </w:p>
  </w:footnote>
  <w:footnote w:id="26">
    <w:p w:rsidR="00352C5E" w:rsidRDefault="006611ED">
      <w:pPr>
        <w:pStyle w:val="FootnoteText"/>
        <w:spacing w:after="0"/>
        <w:rPr>
          <w:sz w:val="16"/>
        </w:rPr>
      </w:pPr>
      <w:r>
        <w:rPr>
          <w:rStyle w:val="FootnoteReference"/>
          <w:sz w:val="16"/>
        </w:rPr>
        <w:footnoteRef/>
      </w:r>
      <w:r>
        <w:rPr>
          <w:sz w:val="16"/>
        </w:rPr>
        <w:t xml:space="preserve"> </w:t>
      </w:r>
      <w:r>
        <w:tab/>
      </w:r>
      <w:r>
        <w:rPr>
          <w:sz w:val="16"/>
        </w:rPr>
        <w:t xml:space="preserve">Считано от декември 2017 г. заинтересованите </w:t>
      </w:r>
      <w:r>
        <w:rPr>
          <w:sz w:val="16"/>
        </w:rPr>
        <w:t>страни от всички транспортни сектори ще могат да публикуват своите конкретни действия в полза на заетостта на жените и да обменят добри практики.</w:t>
      </w:r>
    </w:p>
  </w:footnote>
  <w:footnote w:id="27">
    <w:p w:rsidR="00352C5E" w:rsidRDefault="006611ED">
      <w:pPr>
        <w:pStyle w:val="FootnoteText"/>
        <w:spacing w:after="0"/>
        <w:rPr>
          <w:sz w:val="16"/>
        </w:rPr>
      </w:pPr>
      <w:r>
        <w:rPr>
          <w:rStyle w:val="FootnoteReference"/>
          <w:sz w:val="16"/>
        </w:rPr>
        <w:footnoteRef/>
      </w:r>
      <w:r>
        <w:rPr>
          <w:sz w:val="16"/>
        </w:rPr>
        <w:t xml:space="preserve"> </w:t>
      </w:r>
      <w:r>
        <w:tab/>
      </w:r>
      <w:r>
        <w:rPr>
          <w:sz w:val="16"/>
        </w:rPr>
        <w:t>Strengthening teaching in Europe, New evidence from teachers compiled by Eurydice and CRELL</w:t>
      </w:r>
      <w:r>
        <w:t xml:space="preserve"> (</w:t>
      </w:r>
      <w:r>
        <w:rPr>
          <w:sz w:val="16"/>
        </w:rPr>
        <w:t>Укрепване на п</w:t>
      </w:r>
      <w:r>
        <w:rPr>
          <w:sz w:val="16"/>
        </w:rPr>
        <w:t>реподаването в Европа. Нови доказателства от учители, събрани от мрежата „Евридика“ и Центъра за изследване на образованието и ученето през целия живот (CRELL), юни 2015 г.</w:t>
      </w:r>
      <w:r>
        <w:t xml:space="preserve"> </w:t>
      </w:r>
      <w:hyperlink r:id="rId8">
        <w:r>
          <w:rPr>
            <w:rStyle w:val="Hyperlink"/>
            <w:sz w:val="16"/>
          </w:rPr>
          <w:t>http://ec.europa.eu/dgs/education_culture/repository/education/library/policy/teaching-profession-practices_en.pdf</w:t>
        </w:r>
      </w:hyperlink>
    </w:p>
  </w:footnote>
  <w:footnote w:id="28">
    <w:p w:rsidR="00352C5E" w:rsidRDefault="006611ED">
      <w:pPr>
        <w:pStyle w:val="FootnoteText"/>
        <w:spacing w:after="0"/>
        <w:rPr>
          <w:sz w:val="16"/>
        </w:rPr>
      </w:pPr>
      <w:r>
        <w:rPr>
          <w:rStyle w:val="FootnoteReference"/>
          <w:sz w:val="16"/>
        </w:rPr>
        <w:footnoteRef/>
      </w:r>
      <w:r>
        <w:rPr>
          <w:sz w:val="16"/>
        </w:rPr>
        <w:t xml:space="preserve">   Подпомагане на учителите и училищните ръководители за постигане на високо качество на преподаването и ученето, част от Съобщението на Комисията „Училищно развитие и върхови постижения в областта на преподаването за по-добър старт в живота“, (COM(2017) 2</w:t>
      </w:r>
      <w:r>
        <w:rPr>
          <w:sz w:val="16"/>
        </w:rPr>
        <w:t>48).</w:t>
      </w:r>
    </w:p>
  </w:footnote>
  <w:footnote w:id="29">
    <w:p w:rsidR="00352C5E" w:rsidRDefault="006611ED">
      <w:pPr>
        <w:pStyle w:val="FootnoteText"/>
        <w:spacing w:after="0"/>
        <w:rPr>
          <w:sz w:val="16"/>
        </w:rPr>
      </w:pPr>
      <w:r>
        <w:rPr>
          <w:rStyle w:val="FootnoteReference"/>
          <w:sz w:val="16"/>
        </w:rPr>
        <w:footnoteRef/>
      </w:r>
      <w:r>
        <w:rPr>
          <w:sz w:val="16"/>
        </w:rPr>
        <w:t xml:space="preserve"> </w:t>
      </w:r>
      <w:r>
        <w:tab/>
      </w:r>
      <w:hyperlink r:id="rId9">
        <w:r>
          <w:rPr>
            <w:rStyle w:val="Hyperlink"/>
            <w:sz w:val="16"/>
          </w:rPr>
          <w:t>http://eacea.ec.europa.eu/education/eurydice/index_en.php</w:t>
        </w:r>
      </w:hyperlink>
    </w:p>
  </w:footnote>
  <w:footnote w:id="30">
    <w:p w:rsidR="00352C5E" w:rsidRDefault="006611ED">
      <w:pPr>
        <w:pStyle w:val="FootnoteText"/>
        <w:spacing w:after="0"/>
        <w:rPr>
          <w:sz w:val="16"/>
        </w:rPr>
      </w:pPr>
      <w:r>
        <w:rPr>
          <w:rStyle w:val="FootnoteReference"/>
        </w:rPr>
        <w:footnoteRef/>
      </w:r>
      <w:r>
        <w:t xml:space="preserve"> </w:t>
      </w:r>
      <w:r>
        <w:tab/>
      </w:r>
      <w:r>
        <w:rPr>
          <w:sz w:val="16"/>
        </w:rPr>
        <w:t>Така например, данните от октомври 2016 г. показват, че жените все още съставляват по-малко от една четвърт (2</w:t>
      </w:r>
      <w:r>
        <w:rPr>
          <w:sz w:val="16"/>
        </w:rPr>
        <w:t>3,9 %) от членовете  на управителните съвети на най-големите  дружества, допуснати до борсова търговия, регистрирани в държавите — членки на ЕС. През 2015 г. в политическото представителство на местно равнище едва една седма от кметовете (15,1 %) или други</w:t>
      </w:r>
      <w:r>
        <w:rPr>
          <w:sz w:val="16"/>
        </w:rPr>
        <w:t>те ръководители на местни съвети са жени (Доклад за равенството между мъжете и жените, 2017 г.).</w:t>
      </w:r>
    </w:p>
  </w:footnote>
  <w:footnote w:id="31">
    <w:p w:rsidR="00352C5E" w:rsidRDefault="006611ED">
      <w:pPr>
        <w:pStyle w:val="FootnoteText"/>
        <w:spacing w:after="0"/>
        <w:rPr>
          <w:sz w:val="16"/>
        </w:rPr>
      </w:pPr>
      <w:r>
        <w:rPr>
          <w:rStyle w:val="FootnoteReference"/>
          <w:sz w:val="16"/>
        </w:rPr>
        <w:footnoteRef/>
      </w:r>
      <w:r>
        <w:rPr>
          <w:sz w:val="16"/>
        </w:rPr>
        <w:t xml:space="preserve">     </w:t>
      </w:r>
      <w:hyperlink r:id="rId10">
        <w:r>
          <w:rPr>
            <w:rStyle w:val="Hyperlink"/>
            <w:sz w:val="16"/>
          </w:rPr>
          <w:t>http://eur-lex.europa.eu/legal-content/BG/TXT/?uri=CELEX:5201</w:t>
        </w:r>
        <w:r>
          <w:rPr>
            <w:rStyle w:val="Hyperlink"/>
            <w:sz w:val="16"/>
          </w:rPr>
          <w:t>7XC0705(01)</w:t>
        </w:r>
      </w:hyperlink>
      <w:r>
        <w:rPr>
          <w:sz w:val="16"/>
        </w:rPr>
        <w:t xml:space="preserve"> </w:t>
      </w:r>
    </w:p>
  </w:footnote>
  <w:footnote w:id="32">
    <w:p w:rsidR="00352C5E" w:rsidRDefault="006611ED">
      <w:pPr>
        <w:pStyle w:val="Default"/>
        <w:rPr>
          <w:color w:val="auto"/>
          <w:sz w:val="16"/>
          <w:szCs w:val="20"/>
          <w:lang w:eastAsia="en-US"/>
        </w:rPr>
      </w:pPr>
      <w:r>
        <w:rPr>
          <w:rStyle w:val="FootnoteReference"/>
          <w:sz w:val="16"/>
        </w:rPr>
        <w:footnoteRef/>
      </w:r>
      <w:r>
        <w:rPr>
          <w:sz w:val="16"/>
        </w:rPr>
        <w:t xml:space="preserve">     </w:t>
      </w:r>
      <w:r>
        <w:rPr>
          <w:color w:val="auto"/>
          <w:sz w:val="16"/>
        </w:rPr>
        <w:t>Между 2014 г. и 2016 г. във връзка с този въпрос бяха разпределени 5 милиона евро за 23 проекта.</w:t>
      </w:r>
    </w:p>
  </w:footnote>
  <w:footnote w:id="33">
    <w:p w:rsidR="00352C5E" w:rsidRDefault="006611ED">
      <w:pPr>
        <w:pStyle w:val="FootnoteText"/>
        <w:spacing w:after="0"/>
        <w:rPr>
          <w:sz w:val="16"/>
        </w:rPr>
      </w:pPr>
      <w:r>
        <w:rPr>
          <w:rStyle w:val="FootnoteReference"/>
          <w:sz w:val="16"/>
        </w:rPr>
        <w:footnoteRef/>
      </w:r>
      <w:r>
        <w:rPr>
          <w:sz w:val="16"/>
        </w:rPr>
        <w:t xml:space="preserve">     Евростат, Изследване на структурата на заплатите</w:t>
      </w:r>
    </w:p>
  </w:footnote>
  <w:footnote w:id="34">
    <w:p w:rsidR="00352C5E" w:rsidRDefault="006611ED">
      <w:pPr>
        <w:pStyle w:val="FootnoteText"/>
        <w:ind w:left="0" w:firstLine="0"/>
        <w:rPr>
          <w:sz w:val="16"/>
          <w:szCs w:val="16"/>
        </w:rPr>
      </w:pPr>
      <w:r>
        <w:rPr>
          <w:rStyle w:val="FootnoteReference"/>
          <w:sz w:val="16"/>
        </w:rPr>
        <w:footnoteRef/>
      </w:r>
      <w:r>
        <w:rPr>
          <w:sz w:val="16"/>
        </w:rPr>
        <w:t xml:space="preserve">     По-ниските доходи, по-високата концентрация в работата на непълно работно време и прекъсването на трудовата дейност поради отговорности за полагане на грижи правят много жени по-силно икономически зависими от техните партньори или от държавата и допри</w:t>
      </w:r>
      <w:r>
        <w:rPr>
          <w:sz w:val="16"/>
        </w:rPr>
        <w:t>насят съществено за разликата в заплащането и пенсиите на жените и мъжете. Това води до по-висок риск от излагане на бедност и социално изключване за жените, като отрицателните последици засягат и техните деца и семейства (вж. Съобщение на Комисията  „Иниц</w:t>
      </w:r>
      <w:r>
        <w:rPr>
          <w:sz w:val="16"/>
        </w:rPr>
        <w:t>иатива за подпомагане на равновесието между професионалния и личния живот на родителите и лицата, полагащи грижи“, COM(2017)525 final).</w:t>
      </w:r>
    </w:p>
  </w:footnote>
  <w:footnote w:id="35">
    <w:p w:rsidR="00352C5E" w:rsidRDefault="006611ED">
      <w:pPr>
        <w:pStyle w:val="FootnoteText"/>
        <w:spacing w:after="0"/>
        <w:rPr>
          <w:sz w:val="16"/>
          <w:szCs w:val="16"/>
        </w:rPr>
      </w:pPr>
      <w:r>
        <w:rPr>
          <w:rStyle w:val="FootnoteReference"/>
        </w:rPr>
        <w:footnoteRef/>
      </w:r>
      <w:r>
        <w:t xml:space="preserve"> </w:t>
      </w:r>
      <w:r>
        <w:tab/>
      </w:r>
      <w:r>
        <w:rPr>
          <w:sz w:val="16"/>
        </w:rPr>
        <w:t>Oláh S., Hobson B, и L. Carlson (2017 г.) „Changing families and sustainable societies: Policy contexts and diversity</w:t>
      </w:r>
      <w:r>
        <w:rPr>
          <w:sz w:val="16"/>
        </w:rPr>
        <w:t xml:space="preserve"> over the life course and across generations“ (Променящи се форми на семейството и устойчиви общества. Политики и многообразие през живота и поколенията), проект „FamiliesAndSocieties“ по Седмата рамкова програма  (GA 320116).</w:t>
      </w:r>
    </w:p>
  </w:footnote>
  <w:footnote w:id="36">
    <w:p w:rsidR="00352C5E" w:rsidRDefault="006611ED">
      <w:pPr>
        <w:pStyle w:val="FootnoteText"/>
        <w:spacing w:after="0"/>
        <w:rPr>
          <w:sz w:val="16"/>
          <w:szCs w:val="16"/>
        </w:rPr>
      </w:pPr>
      <w:r>
        <w:rPr>
          <w:rStyle w:val="FootnoteReference"/>
          <w:sz w:val="16"/>
        </w:rPr>
        <w:footnoteRef/>
      </w:r>
      <w:r>
        <w:rPr>
          <w:sz w:val="16"/>
        </w:rPr>
        <w:t xml:space="preserve"> </w:t>
      </w:r>
      <w:r>
        <w:tab/>
      </w:r>
      <w:r>
        <w:rPr>
          <w:sz w:val="16"/>
        </w:rPr>
        <w:t>Предложение за директива о</w:t>
      </w:r>
      <w:r>
        <w:rPr>
          <w:sz w:val="16"/>
        </w:rPr>
        <w:t>тносно равновесието между професионалния и личния живот на родителите и лицата, полагащи грижи, и за отмяна на Директива 2010/18/ЕС на Съвета, COM(2017) 253 final</w:t>
      </w:r>
    </w:p>
  </w:footnote>
  <w:footnote w:id="37">
    <w:p w:rsidR="00352C5E" w:rsidRDefault="006611ED">
      <w:pPr>
        <w:pStyle w:val="FootnoteText"/>
        <w:spacing w:after="0"/>
        <w:rPr>
          <w:sz w:val="16"/>
          <w:szCs w:val="16"/>
        </w:rPr>
      </w:pPr>
      <w:r>
        <w:rPr>
          <w:rStyle w:val="FootnoteReference"/>
          <w:sz w:val="16"/>
        </w:rPr>
        <w:footnoteRef/>
      </w:r>
      <w:r>
        <w:rPr>
          <w:sz w:val="16"/>
        </w:rPr>
        <w:t xml:space="preserve">      COM(2017) 252 </w:t>
      </w:r>
    </w:p>
  </w:footnote>
  <w:footnote w:id="38">
    <w:p w:rsidR="00352C5E" w:rsidRDefault="006611ED">
      <w:pPr>
        <w:pStyle w:val="FootnoteText"/>
        <w:spacing w:after="0"/>
        <w:ind w:left="0" w:firstLine="0"/>
      </w:pPr>
      <w:r>
        <w:rPr>
          <w:rStyle w:val="FootnoteReference"/>
          <w:sz w:val="16"/>
        </w:rPr>
        <w:footnoteRef/>
      </w:r>
      <w:r>
        <w:rPr>
          <w:sz w:val="16"/>
        </w:rPr>
        <w:t xml:space="preserve">     Скорошни изследвания потвърждават, че на секторната сегрегация по</w:t>
      </w:r>
      <w:r>
        <w:rPr>
          <w:sz w:val="16"/>
        </w:rPr>
        <w:t xml:space="preserve"> пол на пазара на труда се дължи значителен дял от разликата в заплащането на жените и мъжете във всички държави от ЕС: жените се включват в сравнително по-ниско платени сектори. Секторната сегрегация еволюира много бавно (Доклад относно равенството между </w:t>
      </w:r>
      <w:r>
        <w:rPr>
          <w:sz w:val="16"/>
        </w:rPr>
        <w:t>жените и мъжете в ЕС, 2017 г.).</w:t>
      </w:r>
    </w:p>
  </w:footnote>
  <w:footnote w:id="39">
    <w:p w:rsidR="00352C5E" w:rsidRDefault="006611ED">
      <w:pPr>
        <w:pStyle w:val="FootnoteText"/>
        <w:spacing w:after="0"/>
        <w:rPr>
          <w:sz w:val="16"/>
        </w:rPr>
      </w:pPr>
      <w:r>
        <w:rPr>
          <w:rStyle w:val="FootnoteReference"/>
        </w:rPr>
        <w:footnoteRef/>
      </w:r>
      <w:r>
        <w:t xml:space="preserve">    </w:t>
      </w:r>
      <w:r>
        <w:rPr>
          <w:sz w:val="16"/>
        </w:rPr>
        <w:t>Нова европейска програма за умения — Съвместни усилия за укрепване на човешкия капитал, пригодността за заетост и конкурентоспособността, COM(2016) 381 final.</w:t>
      </w:r>
    </w:p>
  </w:footnote>
  <w:footnote w:id="40">
    <w:p w:rsidR="00352C5E" w:rsidRDefault="006611ED">
      <w:pPr>
        <w:pStyle w:val="FootnoteText"/>
        <w:spacing w:after="0"/>
        <w:rPr>
          <w:sz w:val="16"/>
        </w:rPr>
      </w:pPr>
      <w:r>
        <w:rPr>
          <w:rStyle w:val="FootnoteReference"/>
          <w:sz w:val="16"/>
        </w:rPr>
        <w:footnoteRef/>
      </w:r>
      <w:r>
        <w:rPr>
          <w:sz w:val="16"/>
        </w:rPr>
        <w:t xml:space="preserve"> </w:t>
      </w:r>
      <w:r>
        <w:tab/>
      </w:r>
      <w:r>
        <w:rPr>
          <w:sz w:val="16"/>
        </w:rPr>
        <w:t>През последните 10 години беше разгърнато европейско сътр</w:t>
      </w:r>
      <w:r>
        <w:rPr>
          <w:sz w:val="16"/>
        </w:rPr>
        <w:t>удничество и бяха създадени инструменти за насърчаване на прозрачността на уменията: i) Европейска квалификационна рамка; ii) многоезична Европейска класификация на уменията, компетентностите, квалификациите и професиите (ESCO); iii) Препоръка на Съвета от</w:t>
      </w:r>
      <w:r>
        <w:rPr>
          <w:sz w:val="16"/>
        </w:rPr>
        <w:t>носно валидирането на неформалното и самостоятелното учене.</w:t>
      </w:r>
    </w:p>
  </w:footnote>
  <w:footnote w:id="41">
    <w:p w:rsidR="00352C5E" w:rsidRDefault="006611ED">
      <w:pPr>
        <w:pStyle w:val="FootnoteText"/>
        <w:spacing w:after="0"/>
        <w:rPr>
          <w:sz w:val="16"/>
        </w:rPr>
      </w:pPr>
      <w:r>
        <w:rPr>
          <w:rStyle w:val="FootnoteReference"/>
        </w:rPr>
        <w:footnoteRef/>
      </w:r>
      <w:r>
        <w:t xml:space="preserve"> </w:t>
      </w:r>
      <w:r>
        <w:tab/>
      </w:r>
      <w:r>
        <w:rPr>
          <w:sz w:val="16"/>
        </w:rPr>
        <w:t>Основните заинтересовани страни са националните органи в областта на квалификациите, службите за информация, консултации и насоки и органите, отговорни за валидирането на неформалното и самосто</w:t>
      </w:r>
      <w:r>
        <w:rPr>
          <w:sz w:val="16"/>
        </w:rPr>
        <w:t>ятелното учене.</w:t>
      </w:r>
    </w:p>
  </w:footnote>
  <w:footnote w:id="42">
    <w:p w:rsidR="00352C5E" w:rsidRDefault="006611ED">
      <w:pPr>
        <w:pStyle w:val="FootnoteText"/>
        <w:spacing w:after="0"/>
        <w:ind w:left="0" w:firstLine="0"/>
        <w:rPr>
          <w:sz w:val="16"/>
        </w:rPr>
      </w:pPr>
      <w:r>
        <w:rPr>
          <w:rStyle w:val="FootnoteReference"/>
          <w:sz w:val="16"/>
        </w:rPr>
        <w:footnoteRef/>
      </w:r>
      <w:r>
        <w:rPr>
          <w:sz w:val="16"/>
        </w:rPr>
        <w:t xml:space="preserve">    В доклада си за изпълнението на Директива 2006/54/ЕО (COM(2013) 861 final, 6.12.2013 г.) Комисията предоставя в приложението ръководство за недискриминиращите по пол системи за професионално оценяване и категоризиране (SWD(2013) 512 fi</w:t>
      </w:r>
      <w:r>
        <w:rPr>
          <w:sz w:val="16"/>
        </w:rPr>
        <w:t>nal, 6.12.2013 г.).</w:t>
      </w:r>
    </w:p>
  </w:footnote>
  <w:footnote w:id="43">
    <w:p w:rsidR="00352C5E" w:rsidRDefault="006611ED">
      <w:pPr>
        <w:pStyle w:val="FootnoteText"/>
        <w:spacing w:after="0"/>
        <w:rPr>
          <w:sz w:val="16"/>
        </w:rPr>
      </w:pPr>
      <w:r>
        <w:rPr>
          <w:rStyle w:val="FootnoteReference"/>
          <w:sz w:val="16"/>
        </w:rPr>
        <w:footnoteRef/>
      </w:r>
      <w:r>
        <w:rPr>
          <w:sz w:val="16"/>
        </w:rPr>
        <w:t xml:space="preserve"> </w:t>
      </w:r>
      <w:r>
        <w:tab/>
      </w:r>
      <w:r>
        <w:rPr>
          <w:sz w:val="16"/>
        </w:rPr>
        <w:t>See Bettio F. и Ticci E. (2017 г.), „Violence against women and economic independence“ (Насилие срещу жените и икономическа независимост).</w:t>
      </w:r>
    </w:p>
  </w:footnote>
  <w:footnote w:id="44">
    <w:p w:rsidR="00352C5E" w:rsidRDefault="006611ED">
      <w:pPr>
        <w:pStyle w:val="FootnoteText"/>
        <w:spacing w:after="0"/>
        <w:rPr>
          <w:sz w:val="16"/>
          <w:szCs w:val="16"/>
          <w:lang w:val="cs-CZ"/>
        </w:rPr>
      </w:pPr>
      <w:r>
        <w:rPr>
          <w:sz w:val="16"/>
          <w:vertAlign w:val="superscript"/>
        </w:rPr>
        <w:footnoteRef/>
      </w:r>
      <w:r>
        <w:rPr>
          <w:sz w:val="16"/>
        </w:rPr>
        <w:t xml:space="preserve"> </w:t>
      </w:r>
      <w:r>
        <w:tab/>
      </w:r>
      <w:r>
        <w:rPr>
          <w:sz w:val="16"/>
        </w:rPr>
        <w:t xml:space="preserve">Като Доклада за състоянието на прозрачността в заплащането в Европа, публикуван през май </w:t>
      </w:r>
      <w:r>
        <w:rPr>
          <w:sz w:val="16"/>
        </w:rPr>
        <w:t>2017 г. от Европейската мрежа от правни експерти в областта на равенството между половете, и проучването „Величина и фактори на въздействие на разликата в заплащането на жените и мъжете в държавите от ЕС“, изготвено от Генерална дирекция „Правосъдие“.</w:t>
      </w:r>
    </w:p>
  </w:footnote>
  <w:footnote w:id="45">
    <w:p w:rsidR="00352C5E" w:rsidRDefault="006611ED">
      <w:pPr>
        <w:pStyle w:val="FootnoteText"/>
        <w:spacing w:after="0"/>
        <w:rPr>
          <w:sz w:val="16"/>
        </w:rPr>
      </w:pPr>
      <w:r>
        <w:rPr>
          <w:rStyle w:val="FootnoteReference"/>
          <w:sz w:val="16"/>
        </w:rPr>
        <w:footnoteRef/>
      </w:r>
      <w:r>
        <w:rPr>
          <w:sz w:val="16"/>
        </w:rPr>
        <w:t xml:space="preserve">   </w:t>
      </w:r>
      <w:r>
        <w:rPr>
          <w:sz w:val="16"/>
        </w:rPr>
        <w:t xml:space="preserve"> Разликата в заплащането на жените и мъжете може да бъде обяснена с редица фактори: сегрегация, разлики в постиженията в училище, разлики в опита и т.н. Останалата „необяснена“ част от разликата в заплащането на жените и мъжете се нарича „коригирана“ разли</w:t>
      </w:r>
      <w:r>
        <w:rPr>
          <w:sz w:val="16"/>
        </w:rPr>
        <w:t xml:space="preserve">ка. Това разделение  на коригирана и некоригирана част може да осигури допълнителни данни за създателите на политики. </w:t>
      </w:r>
    </w:p>
  </w:footnote>
  <w:footnote w:id="46">
    <w:p w:rsidR="00352C5E" w:rsidRDefault="006611ED">
      <w:pPr>
        <w:pStyle w:val="FootnoteText"/>
        <w:spacing w:after="0"/>
        <w:rPr>
          <w:sz w:val="16"/>
        </w:rPr>
      </w:pPr>
      <w:r>
        <w:rPr>
          <w:rStyle w:val="FootnoteReference"/>
          <w:sz w:val="16"/>
        </w:rPr>
        <w:footnoteRef/>
      </w:r>
      <w:r>
        <w:rPr>
          <w:sz w:val="16"/>
        </w:rPr>
        <w:t xml:space="preserve"> </w:t>
      </w:r>
      <w:r>
        <w:tab/>
      </w:r>
      <w:r>
        <w:rPr>
          <w:sz w:val="16"/>
        </w:rPr>
        <w:t>Наборът от социални показатели е достъпен на адрес:</w:t>
      </w:r>
    </w:p>
    <w:p w:rsidR="00352C5E" w:rsidRDefault="006611ED">
      <w:pPr>
        <w:pStyle w:val="FootnoteText"/>
        <w:spacing w:after="0"/>
        <w:rPr>
          <w:sz w:val="16"/>
        </w:rPr>
      </w:pPr>
      <w:r>
        <w:tab/>
      </w:r>
      <w:r>
        <w:rPr>
          <w:sz w:val="16"/>
        </w:rPr>
        <w:t>https://composite-indicators.jrc.ec.europa.eu/social-scoreboard/#</w:t>
      </w:r>
    </w:p>
  </w:footnote>
  <w:footnote w:id="47">
    <w:p w:rsidR="00352C5E" w:rsidRDefault="006611ED">
      <w:pPr>
        <w:pStyle w:val="FootnoteText"/>
        <w:spacing w:after="0"/>
        <w:rPr>
          <w:sz w:val="16"/>
          <w:szCs w:val="16"/>
        </w:rPr>
      </w:pPr>
      <w:r>
        <w:rPr>
          <w:rStyle w:val="FootnoteReference"/>
        </w:rPr>
        <w:footnoteRef/>
      </w:r>
      <w:r>
        <w:t xml:space="preserve"> </w:t>
      </w:r>
      <w:r>
        <w:tab/>
      </w:r>
      <w:r>
        <w:rPr>
          <w:sz w:val="16"/>
        </w:rPr>
        <w:t xml:space="preserve">Вж. Krueger </w:t>
      </w:r>
      <w:r>
        <w:rPr>
          <w:sz w:val="16"/>
        </w:rPr>
        <w:t>и Katz (2016 г.), „The Rise and Nature of Alternative Work Arrangements in the United States, 1995—2015“ („Нарастване и естество на алтернативните схеми на работа в Съединените щати, 1995—2015 г.“). Данните от Америка показват „значително повишаване на вер</w:t>
      </w:r>
      <w:r>
        <w:rPr>
          <w:sz w:val="16"/>
        </w:rPr>
        <w:t>оятността за работа на жените в алтернативни схеми на работа. В периода 2005—2015 г. процентът на жените, които са били наети в алтернативна схема на работа, се е увеличил над  два пъти, като от 8,3 % е достигнал до 17,0 %. Увеличението на този процент е д</w:t>
      </w:r>
      <w:r>
        <w:rPr>
          <w:sz w:val="16"/>
        </w:rPr>
        <w:t>оста по-скромно при мъжете, от 11,6 % на</w:t>
      </w:r>
      <w:r>
        <w:t xml:space="preserve"> </w:t>
      </w:r>
      <w:r>
        <w:rPr>
          <w:sz w:val="16"/>
        </w:rPr>
        <w:t xml:space="preserve">14,7 %“. Вж. също „Положението на работниците в икономиката на сътрудничеството“, подробен анализ на данните, Европейски парламент за данните на ЕС </w:t>
      </w:r>
    </w:p>
  </w:footnote>
  <w:footnote w:id="48">
    <w:p w:rsidR="00352C5E" w:rsidRDefault="006611ED">
      <w:pPr>
        <w:pStyle w:val="FootnoteText"/>
        <w:spacing w:after="0"/>
        <w:ind w:left="0" w:firstLine="0"/>
        <w:rPr>
          <w:sz w:val="16"/>
          <w:szCs w:val="16"/>
          <w:lang w:val="pt-PT"/>
        </w:rPr>
      </w:pPr>
      <w:r>
        <w:rPr>
          <w:rStyle w:val="FootnoteReference"/>
          <w:sz w:val="16"/>
        </w:rPr>
        <w:footnoteRef/>
      </w:r>
      <w:r>
        <w:rPr>
          <w:sz w:val="16"/>
        </w:rPr>
        <w:t xml:space="preserve"> SWD(2013) 512 final, 6.12.2013 г.</w:t>
      </w:r>
    </w:p>
  </w:footnote>
  <w:footnote w:id="49">
    <w:p w:rsidR="00352C5E" w:rsidRDefault="006611ED">
      <w:pPr>
        <w:pStyle w:val="FootnoteText"/>
        <w:spacing w:after="0"/>
        <w:ind w:left="0" w:firstLine="0"/>
        <w:rPr>
          <w:sz w:val="16"/>
          <w:szCs w:val="16"/>
          <w:lang w:val="pt-PT"/>
        </w:rPr>
      </w:pPr>
      <w:r>
        <w:rPr>
          <w:rStyle w:val="FootnoteReference"/>
          <w:sz w:val="16"/>
        </w:rPr>
        <w:footnoteRef/>
      </w:r>
      <w:r>
        <w:rPr>
          <w:sz w:val="16"/>
        </w:rPr>
        <w:t xml:space="preserve"> COM(2013) 861 final, 6.12.20</w:t>
      </w:r>
      <w:r>
        <w:rPr>
          <w:sz w:val="16"/>
        </w:rPr>
        <w:t>13 г.</w:t>
      </w:r>
    </w:p>
  </w:footnote>
  <w:footnote w:id="50">
    <w:p w:rsidR="00352C5E" w:rsidRPr="006611ED" w:rsidRDefault="006611ED">
      <w:pPr>
        <w:pStyle w:val="FootnoteText"/>
        <w:spacing w:after="0"/>
        <w:ind w:left="0" w:firstLine="0"/>
        <w:rPr>
          <w:lang w:val="ru-RU"/>
        </w:rPr>
      </w:pPr>
      <w:r>
        <w:rPr>
          <w:sz w:val="16"/>
          <w:vertAlign w:val="superscript"/>
        </w:rPr>
        <w:footnoteRef/>
      </w:r>
      <w:r>
        <w:rPr>
          <w:sz w:val="16"/>
        </w:rPr>
        <w:t xml:space="preserve"> Въз основа на SWD(2013) 512 final, 6.12.2013 г.</w:t>
      </w:r>
    </w:p>
  </w:footnote>
  <w:footnote w:id="51">
    <w:p w:rsidR="00352C5E" w:rsidRDefault="006611ED">
      <w:pPr>
        <w:pStyle w:val="FootnoteText"/>
        <w:spacing w:after="0"/>
        <w:rPr>
          <w:sz w:val="16"/>
          <w:szCs w:val="16"/>
          <w:lang w:val="es-ES"/>
        </w:rPr>
      </w:pPr>
      <w:r>
        <w:rPr>
          <w:rStyle w:val="FootnoteReference"/>
        </w:rPr>
        <w:footnoteRef/>
      </w:r>
      <w:r>
        <w:t xml:space="preserve"> </w:t>
      </w:r>
      <w:r>
        <w:tab/>
      </w:r>
      <w:r>
        <w:rPr>
          <w:sz w:val="16"/>
        </w:rPr>
        <w:t>DE, EE, IE, ES, IT, AT, PL, RO, SK.</w:t>
      </w:r>
    </w:p>
  </w:footnote>
  <w:footnote w:id="52">
    <w:p w:rsidR="00352C5E" w:rsidRDefault="006611ED">
      <w:pPr>
        <w:pStyle w:val="FootnoteText"/>
        <w:spacing w:after="0"/>
        <w:rPr>
          <w:sz w:val="16"/>
          <w:szCs w:val="16"/>
          <w:lang w:val="en-GB"/>
        </w:rPr>
      </w:pPr>
      <w:r>
        <w:rPr>
          <w:rStyle w:val="FootnoteReference"/>
          <w:sz w:val="16"/>
        </w:rPr>
        <w:footnoteRef/>
      </w:r>
      <w:r>
        <w:rPr>
          <w:sz w:val="16"/>
        </w:rPr>
        <w:t xml:space="preserve"> По-специално в Естония.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E" w:rsidRDefault="00352C5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277C0C1A"/>
    <w:lvl w:ilvl="0">
      <w:start w:val="1"/>
      <w:numFmt w:val="bullet"/>
      <w:lvlText w:val=""/>
      <w:lvlJc w:val="left"/>
      <w:pPr>
        <w:tabs>
          <w:tab w:val="num" w:pos="360"/>
        </w:tabs>
        <w:ind w:left="360" w:hanging="360"/>
      </w:pPr>
      <w:rPr>
        <w:rFonts w:ascii="Symbol" w:hAnsi="Symbol" w:hint="default"/>
      </w:rPr>
    </w:lvl>
  </w:abstractNum>
  <w:abstractNum w:abstractNumId="3">
    <w:nsid w:val="03D4788B"/>
    <w:multiLevelType w:val="hybridMultilevel"/>
    <w:tmpl w:val="BBC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7E703B"/>
    <w:multiLevelType w:val="hybridMultilevel"/>
    <w:tmpl w:val="3CFE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B329EF"/>
    <w:multiLevelType w:val="hybridMultilevel"/>
    <w:tmpl w:val="91224606"/>
    <w:lvl w:ilvl="0" w:tplc="08090003">
      <w:start w:val="1"/>
      <w:numFmt w:val="bullet"/>
      <w:lvlText w:val="o"/>
      <w:lvlJc w:val="left"/>
      <w:pPr>
        <w:ind w:left="1742" w:hanging="360"/>
      </w:pPr>
      <w:rPr>
        <w:rFonts w:ascii="Courier New" w:hAnsi="Courier New" w:cs="Courier New" w:hint="default"/>
      </w:rPr>
    </w:lvl>
    <w:lvl w:ilvl="1" w:tplc="08090003" w:tentative="1">
      <w:start w:val="1"/>
      <w:numFmt w:val="bullet"/>
      <w:lvlText w:val="o"/>
      <w:lvlJc w:val="left"/>
      <w:pPr>
        <w:ind w:left="2462" w:hanging="360"/>
      </w:pPr>
      <w:rPr>
        <w:rFonts w:ascii="Courier New" w:hAnsi="Courier New" w:cs="Courier New" w:hint="default"/>
      </w:rPr>
    </w:lvl>
    <w:lvl w:ilvl="2" w:tplc="08090005" w:tentative="1">
      <w:start w:val="1"/>
      <w:numFmt w:val="bullet"/>
      <w:lvlText w:val=""/>
      <w:lvlJc w:val="left"/>
      <w:pPr>
        <w:ind w:left="3182" w:hanging="360"/>
      </w:pPr>
      <w:rPr>
        <w:rFonts w:ascii="Wingdings" w:hAnsi="Wingdings" w:hint="default"/>
      </w:rPr>
    </w:lvl>
    <w:lvl w:ilvl="3" w:tplc="08090001" w:tentative="1">
      <w:start w:val="1"/>
      <w:numFmt w:val="bullet"/>
      <w:lvlText w:val=""/>
      <w:lvlJc w:val="left"/>
      <w:pPr>
        <w:ind w:left="3902" w:hanging="360"/>
      </w:pPr>
      <w:rPr>
        <w:rFonts w:ascii="Symbol" w:hAnsi="Symbol" w:hint="default"/>
      </w:rPr>
    </w:lvl>
    <w:lvl w:ilvl="4" w:tplc="08090003" w:tentative="1">
      <w:start w:val="1"/>
      <w:numFmt w:val="bullet"/>
      <w:lvlText w:val="o"/>
      <w:lvlJc w:val="left"/>
      <w:pPr>
        <w:ind w:left="4622" w:hanging="360"/>
      </w:pPr>
      <w:rPr>
        <w:rFonts w:ascii="Courier New" w:hAnsi="Courier New" w:cs="Courier New" w:hint="default"/>
      </w:rPr>
    </w:lvl>
    <w:lvl w:ilvl="5" w:tplc="08090005" w:tentative="1">
      <w:start w:val="1"/>
      <w:numFmt w:val="bullet"/>
      <w:lvlText w:val=""/>
      <w:lvlJc w:val="left"/>
      <w:pPr>
        <w:ind w:left="5342" w:hanging="360"/>
      </w:pPr>
      <w:rPr>
        <w:rFonts w:ascii="Wingdings" w:hAnsi="Wingdings" w:hint="default"/>
      </w:rPr>
    </w:lvl>
    <w:lvl w:ilvl="6" w:tplc="08090001" w:tentative="1">
      <w:start w:val="1"/>
      <w:numFmt w:val="bullet"/>
      <w:lvlText w:val=""/>
      <w:lvlJc w:val="left"/>
      <w:pPr>
        <w:ind w:left="6062" w:hanging="360"/>
      </w:pPr>
      <w:rPr>
        <w:rFonts w:ascii="Symbol" w:hAnsi="Symbol" w:hint="default"/>
      </w:rPr>
    </w:lvl>
    <w:lvl w:ilvl="7" w:tplc="08090003" w:tentative="1">
      <w:start w:val="1"/>
      <w:numFmt w:val="bullet"/>
      <w:lvlText w:val="o"/>
      <w:lvlJc w:val="left"/>
      <w:pPr>
        <w:ind w:left="6782" w:hanging="360"/>
      </w:pPr>
      <w:rPr>
        <w:rFonts w:ascii="Courier New" w:hAnsi="Courier New" w:cs="Courier New" w:hint="default"/>
      </w:rPr>
    </w:lvl>
    <w:lvl w:ilvl="8" w:tplc="08090005" w:tentative="1">
      <w:start w:val="1"/>
      <w:numFmt w:val="bullet"/>
      <w:lvlText w:val=""/>
      <w:lvlJc w:val="left"/>
      <w:pPr>
        <w:ind w:left="7502" w:hanging="360"/>
      </w:pPr>
      <w:rPr>
        <w:rFonts w:ascii="Wingdings" w:hAnsi="Wingdings" w:hint="default"/>
      </w:rPr>
    </w:lvl>
  </w:abstractNum>
  <w:abstractNum w:abstractNumId="7">
    <w:nsid w:val="0741089F"/>
    <w:multiLevelType w:val="hybridMultilevel"/>
    <w:tmpl w:val="F8C07FB8"/>
    <w:lvl w:ilvl="0" w:tplc="9CC84460">
      <w:numFmt w:val="bullet"/>
      <w:lvlText w:val="-"/>
      <w:lvlJc w:val="left"/>
      <w:pPr>
        <w:ind w:left="1562" w:hanging="360"/>
      </w:pPr>
      <w:rPr>
        <w:rFonts w:ascii="Times New Roman" w:eastAsia="Times New Roman" w:hAnsi="Times New Roman"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F21E8D"/>
    <w:multiLevelType w:val="hybridMultilevel"/>
    <w:tmpl w:val="8D64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66F253D"/>
    <w:multiLevelType w:val="hybridMultilevel"/>
    <w:tmpl w:val="909AE3FE"/>
    <w:lvl w:ilvl="0" w:tplc="9CC84460">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A6D4E03"/>
    <w:multiLevelType w:val="hybridMultilevel"/>
    <w:tmpl w:val="6D7EEF6C"/>
    <w:lvl w:ilvl="0" w:tplc="9CC84460">
      <w:numFmt w:val="bullet"/>
      <w:lvlText w:val="-"/>
      <w:lvlJc w:val="left"/>
      <w:pPr>
        <w:ind w:left="3903" w:hanging="360"/>
      </w:pPr>
      <w:rPr>
        <w:rFonts w:ascii="Times New Roman" w:eastAsia="Times New Roman" w:hAnsi="Times New Roman" w:hint="default"/>
      </w:rPr>
    </w:lvl>
    <w:lvl w:ilvl="1" w:tplc="08090003" w:tentative="1">
      <w:start w:val="1"/>
      <w:numFmt w:val="bullet"/>
      <w:lvlText w:val="o"/>
      <w:lvlJc w:val="left"/>
      <w:pPr>
        <w:ind w:left="4623" w:hanging="360"/>
      </w:pPr>
      <w:rPr>
        <w:rFonts w:ascii="Courier New" w:hAnsi="Courier New" w:cs="Courier New" w:hint="default"/>
      </w:rPr>
    </w:lvl>
    <w:lvl w:ilvl="2" w:tplc="08090005" w:tentative="1">
      <w:start w:val="1"/>
      <w:numFmt w:val="bullet"/>
      <w:lvlText w:val=""/>
      <w:lvlJc w:val="left"/>
      <w:pPr>
        <w:ind w:left="5343" w:hanging="360"/>
      </w:pPr>
      <w:rPr>
        <w:rFonts w:ascii="Wingdings" w:hAnsi="Wingdings" w:hint="default"/>
      </w:rPr>
    </w:lvl>
    <w:lvl w:ilvl="3" w:tplc="08090001" w:tentative="1">
      <w:start w:val="1"/>
      <w:numFmt w:val="bullet"/>
      <w:lvlText w:val=""/>
      <w:lvlJc w:val="left"/>
      <w:pPr>
        <w:ind w:left="6063" w:hanging="360"/>
      </w:pPr>
      <w:rPr>
        <w:rFonts w:ascii="Symbol" w:hAnsi="Symbol" w:hint="default"/>
      </w:rPr>
    </w:lvl>
    <w:lvl w:ilvl="4" w:tplc="08090003" w:tentative="1">
      <w:start w:val="1"/>
      <w:numFmt w:val="bullet"/>
      <w:lvlText w:val="o"/>
      <w:lvlJc w:val="left"/>
      <w:pPr>
        <w:ind w:left="6783" w:hanging="360"/>
      </w:pPr>
      <w:rPr>
        <w:rFonts w:ascii="Courier New" w:hAnsi="Courier New" w:cs="Courier New" w:hint="default"/>
      </w:rPr>
    </w:lvl>
    <w:lvl w:ilvl="5" w:tplc="08090005" w:tentative="1">
      <w:start w:val="1"/>
      <w:numFmt w:val="bullet"/>
      <w:lvlText w:val=""/>
      <w:lvlJc w:val="left"/>
      <w:pPr>
        <w:ind w:left="7503" w:hanging="360"/>
      </w:pPr>
      <w:rPr>
        <w:rFonts w:ascii="Wingdings" w:hAnsi="Wingdings" w:hint="default"/>
      </w:rPr>
    </w:lvl>
    <w:lvl w:ilvl="6" w:tplc="08090001" w:tentative="1">
      <w:start w:val="1"/>
      <w:numFmt w:val="bullet"/>
      <w:lvlText w:val=""/>
      <w:lvlJc w:val="left"/>
      <w:pPr>
        <w:ind w:left="8223" w:hanging="360"/>
      </w:pPr>
      <w:rPr>
        <w:rFonts w:ascii="Symbol" w:hAnsi="Symbol" w:hint="default"/>
      </w:rPr>
    </w:lvl>
    <w:lvl w:ilvl="7" w:tplc="08090003" w:tentative="1">
      <w:start w:val="1"/>
      <w:numFmt w:val="bullet"/>
      <w:lvlText w:val="o"/>
      <w:lvlJc w:val="left"/>
      <w:pPr>
        <w:ind w:left="8943" w:hanging="360"/>
      </w:pPr>
      <w:rPr>
        <w:rFonts w:ascii="Courier New" w:hAnsi="Courier New" w:cs="Courier New" w:hint="default"/>
      </w:rPr>
    </w:lvl>
    <w:lvl w:ilvl="8" w:tplc="08090005" w:tentative="1">
      <w:start w:val="1"/>
      <w:numFmt w:val="bullet"/>
      <w:lvlText w:val=""/>
      <w:lvlJc w:val="left"/>
      <w:pPr>
        <w:ind w:left="9663"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51465B"/>
    <w:multiLevelType w:val="hybridMultilevel"/>
    <w:tmpl w:val="781E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EC3EC5"/>
    <w:multiLevelType w:val="hybridMultilevel"/>
    <w:tmpl w:val="7AE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6F5525"/>
    <w:multiLevelType w:val="hybridMultilevel"/>
    <w:tmpl w:val="716CDA50"/>
    <w:lvl w:ilvl="0" w:tplc="08090003">
      <w:start w:val="1"/>
      <w:numFmt w:val="bullet"/>
      <w:lvlText w:val="o"/>
      <w:lvlJc w:val="left"/>
      <w:pPr>
        <w:ind w:left="1202" w:hanging="360"/>
      </w:pPr>
      <w:rPr>
        <w:rFonts w:ascii="Courier New" w:hAnsi="Courier New" w:cs="Courier New"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47012720"/>
    <w:multiLevelType w:val="hybridMultilevel"/>
    <w:tmpl w:val="5302FB2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24FDE"/>
    <w:multiLevelType w:val="hybridMultilevel"/>
    <w:tmpl w:val="C174362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nsid w:val="53F41166"/>
    <w:multiLevelType w:val="hybridMultilevel"/>
    <w:tmpl w:val="6DC8E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BD0BEC"/>
    <w:multiLevelType w:val="singleLevel"/>
    <w:tmpl w:val="9CC84460"/>
    <w:lvl w:ilvl="0">
      <w:numFmt w:val="bullet"/>
      <w:lvlText w:val="-"/>
      <w:lvlJc w:val="left"/>
      <w:pPr>
        <w:ind w:left="720" w:hanging="360"/>
      </w:pPr>
      <w:rPr>
        <w:rFonts w:ascii="Times New Roman" w:eastAsia="Times New Roman" w:hAnsi="Times New Roman" w:hint="default"/>
      </w:rPr>
    </w:lvl>
  </w:abstractNum>
  <w:abstractNum w:abstractNumId="30">
    <w:nsid w:val="54CD7649"/>
    <w:multiLevelType w:val="hybridMultilevel"/>
    <w:tmpl w:val="1B6C6FB0"/>
    <w:lvl w:ilvl="0" w:tplc="08090003">
      <w:start w:val="1"/>
      <w:numFmt w:val="bullet"/>
      <w:lvlText w:val="o"/>
      <w:lvlJc w:val="left"/>
      <w:pPr>
        <w:ind w:left="1283" w:hanging="360"/>
      </w:pPr>
      <w:rPr>
        <w:rFonts w:ascii="Courier New" w:hAnsi="Courier New" w:cs="Courier New"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nsid w:val="54F50D18"/>
    <w:multiLevelType w:val="hybridMultilevel"/>
    <w:tmpl w:val="BD72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734654"/>
    <w:multiLevelType w:val="hybridMultilevel"/>
    <w:tmpl w:val="6DB8AE3E"/>
    <w:lvl w:ilvl="0" w:tplc="B192B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08090001"/>
    <w:lvl w:ilvl="0">
      <w:start w:val="1"/>
      <w:numFmt w:val="bullet"/>
      <w:lvlText w:val=""/>
      <w:lvlJc w:val="left"/>
      <w:pPr>
        <w:ind w:left="720" w:hanging="360"/>
      </w:pPr>
      <w:rPr>
        <w:rFonts w:ascii="Symbol" w:hAnsi="Symbol" w:hint="default"/>
      </w:rPr>
    </w:lvl>
  </w:abstractNum>
  <w:abstractNum w:abstractNumId="36">
    <w:nsid w:val="6A213202"/>
    <w:multiLevelType w:val="hybridMultilevel"/>
    <w:tmpl w:val="4E6034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F4C74"/>
    <w:multiLevelType w:val="hybridMultilevel"/>
    <w:tmpl w:val="9044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39714E"/>
    <w:multiLevelType w:val="hybridMultilevel"/>
    <w:tmpl w:val="36C2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620759F"/>
    <w:multiLevelType w:val="hybridMultilevel"/>
    <w:tmpl w:val="6FC6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4501D9"/>
    <w:multiLevelType w:val="hybridMultilevel"/>
    <w:tmpl w:val="32069694"/>
    <w:lvl w:ilvl="0" w:tplc="9CC84460">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E846E1A"/>
    <w:multiLevelType w:val="hybridMultilevel"/>
    <w:tmpl w:val="45F67942"/>
    <w:lvl w:ilvl="0" w:tplc="9CC84460">
      <w:numFmt w:val="bullet"/>
      <w:lvlText w:val="-"/>
      <w:lvlJc w:val="left"/>
      <w:pPr>
        <w:ind w:left="1286" w:hanging="360"/>
      </w:pPr>
      <w:rPr>
        <w:rFonts w:ascii="Times New Roman" w:eastAsia="Times New Roman" w:hAnsi="Times New Roman"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abstractNumId w:val="1"/>
  </w:num>
  <w:num w:numId="2">
    <w:abstractNumId w:val="0"/>
  </w:num>
  <w:num w:numId="3">
    <w:abstractNumId w:val="26"/>
  </w:num>
  <w:num w:numId="4">
    <w:abstractNumId w:val="29"/>
  </w:num>
  <w:num w:numId="5">
    <w:abstractNumId w:val="14"/>
  </w:num>
  <w:num w:numId="6">
    <w:abstractNumId w:val="9"/>
  </w:num>
  <w:num w:numId="7">
    <w:abstractNumId w:val="8"/>
  </w:num>
  <w:num w:numId="8">
    <w:abstractNumId w:val="33"/>
  </w:num>
  <w:num w:numId="9">
    <w:abstractNumId w:val="35"/>
  </w:num>
  <w:num w:numId="10">
    <w:abstractNumId w:val="34"/>
  </w:num>
  <w:num w:numId="11">
    <w:abstractNumId w:val="39"/>
  </w:num>
  <w:num w:numId="12">
    <w:abstractNumId w:val="11"/>
  </w:num>
  <w:num w:numId="13">
    <w:abstractNumId w:val="18"/>
  </w:num>
  <w:num w:numId="14">
    <w:abstractNumId w:val="21"/>
  </w:num>
  <w:num w:numId="15">
    <w:abstractNumId w:val="19"/>
  </w:num>
  <w:num w:numId="16">
    <w:abstractNumId w:val="4"/>
  </w:num>
  <w:num w:numId="17">
    <w:abstractNumId w:val="24"/>
  </w:num>
  <w:num w:numId="18">
    <w:abstractNumId w:val="15"/>
  </w:num>
  <w:num w:numId="19">
    <w:abstractNumId w:val="36"/>
  </w:num>
  <w:num w:numId="20">
    <w:abstractNumId w:val="31"/>
  </w:num>
  <w:num w:numId="21">
    <w:abstractNumId w:val="12"/>
  </w:num>
  <w:num w:numId="22">
    <w:abstractNumId w:val="7"/>
  </w:num>
  <w:num w:numId="23">
    <w:abstractNumId w:val="6"/>
  </w:num>
  <w:num w:numId="24">
    <w:abstractNumId w:val="5"/>
  </w:num>
  <w:num w:numId="25">
    <w:abstractNumId w:val="38"/>
  </w:num>
  <w:num w:numId="26">
    <w:abstractNumId w:val="27"/>
  </w:num>
  <w:num w:numId="27">
    <w:abstractNumId w:val="41"/>
  </w:num>
  <w:num w:numId="28">
    <w:abstractNumId w:val="40"/>
  </w:num>
  <w:num w:numId="29">
    <w:abstractNumId w:val="13"/>
  </w:num>
  <w:num w:numId="30">
    <w:abstractNumId w:val="42"/>
  </w:num>
  <w:num w:numId="31">
    <w:abstractNumId w:val="20"/>
  </w:num>
  <w:num w:numId="32">
    <w:abstractNumId w:val="17"/>
  </w:num>
  <w:num w:numId="33">
    <w:abstractNumId w:val="10"/>
  </w:num>
  <w:num w:numId="34">
    <w:abstractNumId w:val="28"/>
  </w:num>
  <w:num w:numId="35">
    <w:abstractNumId w:val="22"/>
  </w:num>
  <w:num w:numId="36">
    <w:abstractNumId w:val="30"/>
  </w:num>
  <w:num w:numId="37">
    <w:abstractNumId w:val="16"/>
  </w:num>
  <w:num w:numId="38">
    <w:abstractNumId w:val="2"/>
  </w:num>
  <w:num w:numId="39">
    <w:abstractNumId w:val="32"/>
  </w:num>
  <w:num w:numId="40">
    <w:abstractNumId w:val="26"/>
  </w:num>
  <w:num w:numId="41">
    <w:abstractNumId w:val="3"/>
  </w:num>
  <w:num w:numId="42">
    <w:abstractNumId w:val="37"/>
  </w:num>
  <w:num w:numId="4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A11B70-9AC9-4694-A738-FE91E4C43137"/>
    <w:docVar w:name="LW_COVERPAGE_TYPE" w:val="1"/>
    <w:docVar w:name="LW_CROSSREFERENCE" w:val="&lt;UNUSED&gt;"/>
    <w:docVar w:name="LW_DocType" w:val="NOT"/>
    <w:docVar w:name="LW_EMISSION" w:val="20.11.2017"/>
    <w:docVar w:name="LW_EMISSION_ISODATE" w:val="2017-11-20"/>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55?\u1083?\u1072?\u1085? \u1079?\u1072? \u1076?\u1077?\u1081?\u1089?\u1090?\u1074?\u1080?\u1077? \u1085?\u1072? \u1045?\u1057? \u1079?\u1072? \u1087?\u1077?\u1088?\u1080?\u1086?\u1076?\u1072? 2017\u8212?2019 \u1075?.&lt;/FMT&gt;_x000b_&lt;FMT:Bold&gt;\u1055?\u1088?\u1077?\u1086?\u1076?\u1086?\u1083?\u1103?\u1074?\u1072?\u1085?\u1077? \u1085?\u1072? \u1088?\u1072?\u1079?\u1083?\u1080?\u1082?\u1072?\u1090?\u1072? \u1074? \u1079?\u1072?\u1087?\u1083?\u1072?\u1097?\u1072?\u1085?\u1077?\u1090?\u1086? \u1085?\u1072? \u1078?\u1077?\u1085?\u1080?\u1090?\u1077? \u1080? \u1084?\u1098?\u1078?\u1077?\u1090?\u1077?&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w:rsids>
    <w:rsidRoot w:val="00352C5E"/>
    <w:rsid w:val="00352C5E"/>
    <w:rsid w:val="006611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link w:val="AddressTRChar"/>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ind w:left="0"/>
    </w:pPr>
  </w:style>
  <w:style w:type="paragraph" w:customStyle="1" w:styleId="ListDash">
    <w:name w:val="List Dash"/>
    <w:basedOn w:val="Normal"/>
    <w:pPr>
      <w:numPr>
        <w:numId w:val="8"/>
      </w:numPr>
    </w:pPr>
  </w:style>
  <w:style w:type="paragraph" w:customStyle="1" w:styleId="ListDash1">
    <w:name w:val="List Dash 1"/>
    <w:basedOn w:val="Text1"/>
    <w:pPr>
      <w:ind w:left="0"/>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bg-BG" w:eastAsia="bg-BG"/>
    </w:rPr>
  </w:style>
  <w:style w:type="character" w:customStyle="1" w:styleId="DateChar">
    <w:name w:val="Date Char"/>
    <w:basedOn w:val="DefaultParagraphFont"/>
    <w:link w:val="Date"/>
    <w:uiPriority w:val="99"/>
    <w:locked/>
    <w:rPr>
      <w:sz w:val="24"/>
      <w:lang w:val="bg-BG" w:eastAsia="bg-BG"/>
    </w:rPr>
  </w:style>
  <w:style w:type="character" w:customStyle="1" w:styleId="HeaderChar">
    <w:name w:val="Header Char"/>
    <w:basedOn w:val="DefaultParagraphFont"/>
    <w:link w:val="Header"/>
    <w:uiPriority w:val="99"/>
    <w:locked/>
    <w:rPr>
      <w:rFonts w:eastAsiaTheme="minorHAnsi"/>
      <w:sz w:val="24"/>
      <w:szCs w:val="22"/>
      <w:lang w:val="bg-BG" w:eastAsia="bg-BG"/>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lang w:val="bg-BG" w:eastAsia="bg-BG"/>
    </w:rPr>
  </w:style>
  <w:style w:type="character" w:styleId="FootnoteReference">
    <w:name w:val="footnote reference"/>
    <w:aliases w:val="Odwołanie przypisu,Footnote symbol, BVI fnr,Footnote,Footnotes refss,BVI fnr,SUPERS,Footnote Reference Superscript,Ref,de nota al pie,-E Fußnotenzeichen,Footnote reference number,Times 10 Point,Exposant 3 Point,E,E FNZ,footnote r,F,f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jc w:val="left"/>
    </w:pPr>
    <w:rPr>
      <w:sz w:val="20"/>
      <w:vertAlign w:val="superscript"/>
    </w:rPr>
  </w:style>
  <w:style w:type="character" w:customStyle="1" w:styleId="Heading1Char">
    <w:name w:val="Heading 1 Char"/>
    <w:basedOn w:val="DefaultParagraphFont"/>
    <w:link w:val="Heading1"/>
    <w:uiPriority w:val="9"/>
    <w:rPr>
      <w:b/>
      <w:smallCaps/>
      <w:sz w:val="24"/>
      <w:lang w:val="bg-BG" w:eastAsia="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val="bg-B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Heading2Char">
    <w:name w:val="Heading 2 Char"/>
    <w:basedOn w:val="DefaultParagraphFont"/>
    <w:link w:val="Heading2"/>
    <w:rPr>
      <w:b/>
      <w:sz w:val="24"/>
      <w:lang w:val="bg-BG" w:eastAsia="bg-BG"/>
    </w:rPr>
  </w:style>
  <w:style w:type="paragraph" w:customStyle="1" w:styleId="Pa5">
    <w:name w:val="Pa5"/>
    <w:basedOn w:val="Normal"/>
    <w:next w:val="Normal"/>
    <w:uiPriority w:val="99"/>
    <w:pPr>
      <w:autoSpaceDE w:val="0"/>
      <w:autoSpaceDN w:val="0"/>
      <w:adjustRightInd w:val="0"/>
      <w:spacing w:after="0" w:line="181" w:lineRule="atLeast"/>
      <w:jc w:val="left"/>
    </w:pPr>
    <w:rPr>
      <w:rFonts w:ascii="EC Square Sans Pro" w:hAnsi="EC Square Sans Pro"/>
      <w:szCs w:val="24"/>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year">
    <w:name w:val="year"/>
    <w:basedOn w:val="DefaultParagraphFont"/>
  </w:style>
  <w:style w:type="character" w:customStyle="1" w:styleId="title2">
    <w:name w:val="title2"/>
    <w:basedOn w:val="DefaultParagraphFont"/>
  </w:style>
  <w:style w:type="character" w:customStyle="1" w:styleId="journal-title">
    <w:name w:val="journal-title"/>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EBfootnote">
    <w:name w:val="EB footnote"/>
    <w:basedOn w:val="FootnoteText"/>
    <w:link w:val="EBfootnoteChar"/>
    <w:qFormat/>
    <w:pPr>
      <w:suppressAutoHyphens/>
      <w:autoSpaceDN w:val="0"/>
      <w:spacing w:after="0"/>
      <w:ind w:left="0" w:firstLine="0"/>
      <w:jc w:val="left"/>
      <w:textAlignment w:val="baseline"/>
    </w:pPr>
    <w:rPr>
      <w:rFonts w:ascii="EC Square Sans Pro" w:hAnsi="EC Square Sans Pro"/>
      <w:sz w:val="16"/>
      <w:szCs w:val="16"/>
    </w:rPr>
  </w:style>
  <w:style w:type="character" w:customStyle="1" w:styleId="EBfootnoteChar">
    <w:name w:val="EB footnote Char"/>
    <w:link w:val="EBfootnote"/>
    <w:rPr>
      <w:rFonts w:ascii="EC Square Sans Pro" w:hAnsi="EC Square Sans Pro"/>
      <w:sz w:val="16"/>
      <w:szCs w:val="16"/>
      <w:lang w:eastAsia="bg-BG"/>
    </w:rPr>
  </w:style>
  <w:style w:type="table" w:styleId="MediumGrid3-Accent1">
    <w:name w:val="Medium Grid 3 Accent 1"/>
    <w:basedOn w:val="TableNormal"/>
    <w:uiPriority w:val="69"/>
    <w:tblPr>
      <w:tblStyleRowBandSize w:val="1"/>
      <w:tblStyleColBandSize w:val="1"/>
      <w:tbl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6" w:space="0" w:color="EBEBEB" w:themeColor="background1"/>
        <w:insideV w:val="single" w:sz="6" w:space="0" w:color="EBEBEB" w:themeColor="background1"/>
      </w:tblBorders>
    </w:tblPr>
    <w:tcPr>
      <w:shd w:val="clear" w:color="auto" w:fill="D3DFEE" w:themeFill="accent1" w:themeFillTint="3F"/>
    </w:tcPr>
    <w:tblStylePr w:type="firstRow">
      <w:rPr>
        <w:b/>
        <w:bCs/>
        <w:i w:val="0"/>
        <w:iCs w:val="0"/>
        <w:color w:val="EBEBEB" w:themeColor="background1"/>
      </w:rPr>
      <w:tblPr/>
      <w:tcPr>
        <w:tcBorders>
          <w:top w:val="single" w:sz="8" w:space="0" w:color="EBEBEB" w:themeColor="background1"/>
          <w:left w:val="single" w:sz="8" w:space="0" w:color="EBEBEB" w:themeColor="background1"/>
          <w:bottom w:val="single" w:sz="24" w:space="0" w:color="EBEBEB" w:themeColor="background1"/>
          <w:right w:val="single" w:sz="8" w:space="0" w:color="EBEBEB" w:themeColor="background1"/>
          <w:insideH w:val="nil"/>
          <w:insideV w:val="single" w:sz="8" w:space="0" w:color="EBEBEB" w:themeColor="background1"/>
        </w:tcBorders>
        <w:shd w:val="clear" w:color="auto" w:fill="4F81BD" w:themeFill="accent1"/>
      </w:tcPr>
    </w:tblStylePr>
    <w:tblStylePr w:type="lastRow">
      <w:rPr>
        <w:b/>
        <w:bCs/>
        <w:i w:val="0"/>
        <w:iCs w:val="0"/>
        <w:color w:val="EBEBEB" w:themeColor="background1"/>
      </w:rPr>
      <w:tblPr/>
      <w:tcPr>
        <w:tcBorders>
          <w:top w:val="single" w:sz="24" w:space="0" w:color="EBEBEB" w:themeColor="background1"/>
          <w:left w:val="single" w:sz="8" w:space="0" w:color="EBEBEB" w:themeColor="background1"/>
          <w:bottom w:val="single" w:sz="8" w:space="0" w:color="EBEBEB" w:themeColor="background1"/>
          <w:right w:val="single" w:sz="8" w:space="0" w:color="EBEBEB" w:themeColor="background1"/>
          <w:insideH w:val="nil"/>
          <w:insideV w:val="single" w:sz="8" w:space="0" w:color="EBEBEB" w:themeColor="background1"/>
        </w:tcBorders>
        <w:shd w:val="clear" w:color="auto" w:fill="4F81BD" w:themeFill="accent1"/>
      </w:tcPr>
    </w:tblStylePr>
    <w:tblStylePr w:type="firstCol">
      <w:rPr>
        <w:b/>
        <w:bCs/>
        <w:i w:val="0"/>
        <w:iCs w:val="0"/>
        <w:color w:val="EBEBEB" w:themeColor="background1"/>
      </w:rPr>
      <w:tblPr/>
      <w:tcPr>
        <w:tcBorders>
          <w:left w:val="single" w:sz="8" w:space="0" w:color="EBEBEB" w:themeColor="background1"/>
          <w:right w:val="single" w:sz="24" w:space="0" w:color="EBEBEB" w:themeColor="background1"/>
          <w:insideH w:val="nil"/>
          <w:insideV w:val="nil"/>
        </w:tcBorders>
        <w:shd w:val="clear" w:color="auto" w:fill="4F81BD" w:themeFill="accent1"/>
      </w:tcPr>
    </w:tblStylePr>
    <w:tblStylePr w:type="lastCol">
      <w:rPr>
        <w:b/>
        <w:bCs/>
        <w:i w:val="0"/>
        <w:iCs w:val="0"/>
        <w:color w:val="EBEBEB" w:themeColor="background1"/>
      </w:rPr>
      <w:tblPr/>
      <w:tcPr>
        <w:tcBorders>
          <w:top w:val="nil"/>
          <w:left w:val="single" w:sz="24" w:space="0" w:color="EBEBEB" w:themeColor="background1"/>
          <w:bottom w:val="nil"/>
          <w:right w:val="nil"/>
          <w:insideH w:val="nil"/>
          <w:insideV w:val="nil"/>
        </w:tcBorders>
        <w:shd w:val="clear" w:color="auto" w:fill="4F81BD" w:themeFill="accent1"/>
      </w:tcPr>
    </w:tblStylePr>
    <w:tblStylePr w:type="band1Vert">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nil"/>
          <w:insideV w:val="nil"/>
        </w:tcBorders>
        <w:shd w:val="clear" w:color="auto" w:fill="A7BFDE" w:themeFill="accent1" w:themeFillTint="7F"/>
      </w:tcPr>
    </w:tblStylePr>
    <w:tblStylePr w:type="band1Horz">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8" w:space="0" w:color="EBEBEB" w:themeColor="background1"/>
          <w:insideV w:val="single" w:sz="8" w:space="0" w:color="EBEBEB" w:themeColor="background1"/>
        </w:tcBorders>
        <w:shd w:val="clear" w:color="auto" w:fill="A7BFDE" w:themeFill="accent1" w:themeFillTint="7F"/>
      </w:tcPr>
    </w:tblStylePr>
  </w:style>
  <w:style w:type="character" w:customStyle="1" w:styleId="Heading3Char">
    <w:name w:val="Heading 3 Char"/>
    <w:basedOn w:val="DefaultParagraphFont"/>
    <w:link w:val="Heading3"/>
    <w:rPr>
      <w:i/>
      <w:sz w:val="24"/>
      <w:lang w:val="bg-BG" w:eastAsia="bg-BG"/>
    </w:rPr>
  </w:style>
  <w:style w:type="paragraph" w:styleId="Revision">
    <w:name w:val="Revision"/>
    <w:hidden/>
    <w:uiPriority w:val="99"/>
    <w:semiHidden/>
    <w:rPr>
      <w:sz w:val="24"/>
    </w:rPr>
  </w:style>
  <w:style w:type="table" w:styleId="MediumGrid3-Accent5">
    <w:name w:val="Medium Grid 3 Accent 5"/>
    <w:basedOn w:val="TableNormal"/>
    <w:uiPriority w:val="69"/>
    <w:tblPr>
      <w:tblStyleRowBandSize w:val="1"/>
      <w:tblStyleColBandSize w:val="1"/>
      <w:tbl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6" w:space="0" w:color="EBEBEB" w:themeColor="background1"/>
        <w:insideV w:val="single" w:sz="6" w:space="0" w:color="EBEBEB" w:themeColor="background1"/>
      </w:tblBorders>
    </w:tblPr>
    <w:tcPr>
      <w:shd w:val="clear" w:color="auto" w:fill="D2EAF1" w:themeFill="accent5" w:themeFillTint="3F"/>
    </w:tcPr>
    <w:tblStylePr w:type="firstRow">
      <w:rPr>
        <w:b/>
        <w:bCs/>
        <w:i w:val="0"/>
        <w:iCs w:val="0"/>
        <w:color w:val="EBEBEB" w:themeColor="background1"/>
      </w:rPr>
      <w:tblPr/>
      <w:tcPr>
        <w:tcBorders>
          <w:top w:val="single" w:sz="8" w:space="0" w:color="EBEBEB" w:themeColor="background1"/>
          <w:left w:val="single" w:sz="8" w:space="0" w:color="EBEBEB" w:themeColor="background1"/>
          <w:bottom w:val="single" w:sz="24" w:space="0" w:color="EBEBEB" w:themeColor="background1"/>
          <w:right w:val="single" w:sz="8" w:space="0" w:color="EBEBEB" w:themeColor="background1"/>
          <w:insideH w:val="nil"/>
          <w:insideV w:val="single" w:sz="8" w:space="0" w:color="EBEBEB" w:themeColor="background1"/>
        </w:tcBorders>
        <w:shd w:val="clear" w:color="auto" w:fill="4BACC6" w:themeFill="accent5"/>
      </w:tcPr>
    </w:tblStylePr>
    <w:tblStylePr w:type="lastRow">
      <w:rPr>
        <w:b/>
        <w:bCs/>
        <w:i w:val="0"/>
        <w:iCs w:val="0"/>
        <w:color w:val="EBEBEB" w:themeColor="background1"/>
      </w:rPr>
      <w:tblPr/>
      <w:tcPr>
        <w:tcBorders>
          <w:top w:val="single" w:sz="24" w:space="0" w:color="EBEBEB" w:themeColor="background1"/>
          <w:left w:val="single" w:sz="8" w:space="0" w:color="EBEBEB" w:themeColor="background1"/>
          <w:bottom w:val="single" w:sz="8" w:space="0" w:color="EBEBEB" w:themeColor="background1"/>
          <w:right w:val="single" w:sz="8" w:space="0" w:color="EBEBEB" w:themeColor="background1"/>
          <w:insideH w:val="nil"/>
          <w:insideV w:val="single" w:sz="8" w:space="0" w:color="EBEBEB" w:themeColor="background1"/>
        </w:tcBorders>
        <w:shd w:val="clear" w:color="auto" w:fill="4BACC6" w:themeFill="accent5"/>
      </w:tcPr>
    </w:tblStylePr>
    <w:tblStylePr w:type="firstCol">
      <w:rPr>
        <w:b/>
        <w:bCs/>
        <w:i w:val="0"/>
        <w:iCs w:val="0"/>
        <w:color w:val="EBEBEB" w:themeColor="background1"/>
      </w:rPr>
      <w:tblPr/>
      <w:tcPr>
        <w:tcBorders>
          <w:left w:val="single" w:sz="8" w:space="0" w:color="EBEBEB" w:themeColor="background1"/>
          <w:right w:val="single" w:sz="24" w:space="0" w:color="EBEBEB" w:themeColor="background1"/>
          <w:insideH w:val="nil"/>
          <w:insideV w:val="nil"/>
        </w:tcBorders>
        <w:shd w:val="clear" w:color="auto" w:fill="4BACC6" w:themeFill="accent5"/>
      </w:tcPr>
    </w:tblStylePr>
    <w:tblStylePr w:type="lastCol">
      <w:rPr>
        <w:b/>
        <w:bCs/>
        <w:i w:val="0"/>
        <w:iCs w:val="0"/>
        <w:color w:val="EBEBEB" w:themeColor="background1"/>
      </w:rPr>
      <w:tblPr/>
      <w:tcPr>
        <w:tcBorders>
          <w:top w:val="nil"/>
          <w:left w:val="single" w:sz="24" w:space="0" w:color="EBEBEB" w:themeColor="background1"/>
          <w:bottom w:val="nil"/>
          <w:right w:val="nil"/>
          <w:insideH w:val="nil"/>
          <w:insideV w:val="nil"/>
        </w:tcBorders>
        <w:shd w:val="clear" w:color="auto" w:fill="4BACC6" w:themeFill="accent5"/>
      </w:tcPr>
    </w:tblStylePr>
    <w:tblStylePr w:type="band1Vert">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nil"/>
          <w:insideV w:val="nil"/>
        </w:tcBorders>
        <w:shd w:val="clear" w:color="auto" w:fill="A5D5E2" w:themeFill="accent5" w:themeFillTint="7F"/>
      </w:tcPr>
    </w:tblStylePr>
    <w:tblStylePr w:type="band1Horz">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8" w:space="0" w:color="EBEBEB" w:themeColor="background1"/>
          <w:insideV w:val="single" w:sz="8" w:space="0" w:color="EBEBEB" w:themeColor="background1"/>
        </w:tcBorders>
        <w:shd w:val="clear" w:color="auto" w:fill="A5D5E2" w:themeFill="accent5"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ddressTRChar">
    <w:name w:val="AddressTR Char"/>
    <w:basedOn w:val="DefaultParagraphFont"/>
    <w:link w:val="AddressTR"/>
    <w:rPr>
      <w:sz w:val="24"/>
      <w:lang w:val="bg-BG" w:eastAsia="bg-BG"/>
    </w:rPr>
  </w:style>
  <w:style w:type="character" w:customStyle="1" w:styleId="FooterCoverPageChar">
    <w:name w:val="Footer Cover Page Char"/>
    <w:basedOn w:val="AddressTRChar"/>
    <w:link w:val="FooterCoverPage"/>
    <w:rPr>
      <w:sz w:val="24"/>
      <w:lang w:val="bg-B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AddressTRChar"/>
    <w:link w:val="HeaderCoverPage"/>
    <w:rPr>
      <w:sz w:val="24"/>
      <w:lang w:val="bg-BG" w:eastAsia="bg-BG"/>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link w:val="AddressTRChar"/>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ind w:left="0"/>
    </w:pPr>
  </w:style>
  <w:style w:type="paragraph" w:customStyle="1" w:styleId="ListDash">
    <w:name w:val="List Dash"/>
    <w:basedOn w:val="Normal"/>
    <w:pPr>
      <w:numPr>
        <w:numId w:val="8"/>
      </w:numPr>
    </w:pPr>
  </w:style>
  <w:style w:type="paragraph" w:customStyle="1" w:styleId="ListDash1">
    <w:name w:val="List Dash 1"/>
    <w:basedOn w:val="Text1"/>
    <w:pPr>
      <w:ind w:left="0"/>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bg-BG" w:eastAsia="bg-BG"/>
    </w:rPr>
  </w:style>
  <w:style w:type="character" w:customStyle="1" w:styleId="DateChar">
    <w:name w:val="Date Char"/>
    <w:basedOn w:val="DefaultParagraphFont"/>
    <w:link w:val="Date"/>
    <w:uiPriority w:val="99"/>
    <w:locked/>
    <w:rPr>
      <w:sz w:val="24"/>
      <w:lang w:val="bg-BG" w:eastAsia="bg-BG"/>
    </w:rPr>
  </w:style>
  <w:style w:type="character" w:customStyle="1" w:styleId="HeaderChar">
    <w:name w:val="Header Char"/>
    <w:basedOn w:val="DefaultParagraphFont"/>
    <w:link w:val="Header"/>
    <w:uiPriority w:val="99"/>
    <w:locked/>
    <w:rPr>
      <w:rFonts w:eastAsiaTheme="minorHAnsi"/>
      <w:sz w:val="24"/>
      <w:szCs w:val="22"/>
      <w:lang w:val="bg-BG" w:eastAsia="bg-BG"/>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lang w:val="bg-BG" w:eastAsia="bg-BG"/>
    </w:rPr>
  </w:style>
  <w:style w:type="character" w:styleId="FootnoteReference">
    <w:name w:val="footnote reference"/>
    <w:aliases w:val="Odwołanie przypisu,Footnote symbol, BVI fnr,Footnote,Footnotes refss,BVI fnr,SUPERS,Footnote Reference Superscript,Ref,de nota al pie,-E Fußnotenzeichen,Footnote reference number,Times 10 Point,Exposant 3 Point,E,E FNZ,footnote r,F,f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jc w:val="left"/>
    </w:pPr>
    <w:rPr>
      <w:sz w:val="20"/>
      <w:vertAlign w:val="superscript"/>
    </w:rPr>
  </w:style>
  <w:style w:type="character" w:customStyle="1" w:styleId="Heading1Char">
    <w:name w:val="Heading 1 Char"/>
    <w:basedOn w:val="DefaultParagraphFont"/>
    <w:link w:val="Heading1"/>
    <w:uiPriority w:val="9"/>
    <w:rPr>
      <w:b/>
      <w:smallCaps/>
      <w:sz w:val="24"/>
      <w:lang w:val="bg-BG" w:eastAsia="bg-BG"/>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val="bg-B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character" w:customStyle="1" w:styleId="Heading2Char">
    <w:name w:val="Heading 2 Char"/>
    <w:basedOn w:val="DefaultParagraphFont"/>
    <w:link w:val="Heading2"/>
    <w:rPr>
      <w:b/>
      <w:sz w:val="24"/>
      <w:lang w:val="bg-BG" w:eastAsia="bg-BG"/>
    </w:rPr>
  </w:style>
  <w:style w:type="paragraph" w:customStyle="1" w:styleId="Pa5">
    <w:name w:val="Pa5"/>
    <w:basedOn w:val="Normal"/>
    <w:next w:val="Normal"/>
    <w:uiPriority w:val="99"/>
    <w:pPr>
      <w:autoSpaceDE w:val="0"/>
      <w:autoSpaceDN w:val="0"/>
      <w:adjustRightInd w:val="0"/>
      <w:spacing w:after="0" w:line="181" w:lineRule="atLeast"/>
      <w:jc w:val="left"/>
    </w:pPr>
    <w:rPr>
      <w:rFonts w:ascii="EC Square Sans Pro" w:hAnsi="EC Square Sans Pro"/>
      <w:szCs w:val="24"/>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year">
    <w:name w:val="year"/>
    <w:basedOn w:val="DefaultParagraphFont"/>
  </w:style>
  <w:style w:type="character" w:customStyle="1" w:styleId="title2">
    <w:name w:val="title2"/>
    <w:basedOn w:val="DefaultParagraphFont"/>
  </w:style>
  <w:style w:type="character" w:customStyle="1" w:styleId="journal-title">
    <w:name w:val="journal-title"/>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EBfootnote">
    <w:name w:val="EB footnote"/>
    <w:basedOn w:val="FootnoteText"/>
    <w:link w:val="EBfootnoteChar"/>
    <w:qFormat/>
    <w:pPr>
      <w:suppressAutoHyphens/>
      <w:autoSpaceDN w:val="0"/>
      <w:spacing w:after="0"/>
      <w:ind w:left="0" w:firstLine="0"/>
      <w:jc w:val="left"/>
      <w:textAlignment w:val="baseline"/>
    </w:pPr>
    <w:rPr>
      <w:rFonts w:ascii="EC Square Sans Pro" w:hAnsi="EC Square Sans Pro"/>
      <w:sz w:val="16"/>
      <w:szCs w:val="16"/>
    </w:rPr>
  </w:style>
  <w:style w:type="character" w:customStyle="1" w:styleId="EBfootnoteChar">
    <w:name w:val="EB footnote Char"/>
    <w:link w:val="EBfootnote"/>
    <w:rPr>
      <w:rFonts w:ascii="EC Square Sans Pro" w:hAnsi="EC Square Sans Pro"/>
      <w:sz w:val="16"/>
      <w:szCs w:val="16"/>
      <w:lang w:eastAsia="bg-BG"/>
    </w:rPr>
  </w:style>
  <w:style w:type="table" w:styleId="MediumGrid3-Accent1">
    <w:name w:val="Medium Grid 3 Accent 1"/>
    <w:basedOn w:val="TableNormal"/>
    <w:uiPriority w:val="69"/>
    <w:tblPr>
      <w:tblStyleRowBandSize w:val="1"/>
      <w:tblStyleColBandSize w:val="1"/>
      <w:tbl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6" w:space="0" w:color="EBEBEB" w:themeColor="background1"/>
        <w:insideV w:val="single" w:sz="6" w:space="0" w:color="EBEBEB" w:themeColor="background1"/>
      </w:tblBorders>
    </w:tblPr>
    <w:tcPr>
      <w:shd w:val="clear" w:color="auto" w:fill="D3DFEE" w:themeFill="accent1" w:themeFillTint="3F"/>
    </w:tcPr>
    <w:tblStylePr w:type="firstRow">
      <w:rPr>
        <w:b/>
        <w:bCs/>
        <w:i w:val="0"/>
        <w:iCs w:val="0"/>
        <w:color w:val="EBEBEB" w:themeColor="background1"/>
      </w:rPr>
      <w:tblPr/>
      <w:tcPr>
        <w:tcBorders>
          <w:top w:val="single" w:sz="8" w:space="0" w:color="EBEBEB" w:themeColor="background1"/>
          <w:left w:val="single" w:sz="8" w:space="0" w:color="EBEBEB" w:themeColor="background1"/>
          <w:bottom w:val="single" w:sz="24" w:space="0" w:color="EBEBEB" w:themeColor="background1"/>
          <w:right w:val="single" w:sz="8" w:space="0" w:color="EBEBEB" w:themeColor="background1"/>
          <w:insideH w:val="nil"/>
          <w:insideV w:val="single" w:sz="8" w:space="0" w:color="EBEBEB" w:themeColor="background1"/>
        </w:tcBorders>
        <w:shd w:val="clear" w:color="auto" w:fill="4F81BD" w:themeFill="accent1"/>
      </w:tcPr>
    </w:tblStylePr>
    <w:tblStylePr w:type="lastRow">
      <w:rPr>
        <w:b/>
        <w:bCs/>
        <w:i w:val="0"/>
        <w:iCs w:val="0"/>
        <w:color w:val="EBEBEB" w:themeColor="background1"/>
      </w:rPr>
      <w:tblPr/>
      <w:tcPr>
        <w:tcBorders>
          <w:top w:val="single" w:sz="24" w:space="0" w:color="EBEBEB" w:themeColor="background1"/>
          <w:left w:val="single" w:sz="8" w:space="0" w:color="EBEBEB" w:themeColor="background1"/>
          <w:bottom w:val="single" w:sz="8" w:space="0" w:color="EBEBEB" w:themeColor="background1"/>
          <w:right w:val="single" w:sz="8" w:space="0" w:color="EBEBEB" w:themeColor="background1"/>
          <w:insideH w:val="nil"/>
          <w:insideV w:val="single" w:sz="8" w:space="0" w:color="EBEBEB" w:themeColor="background1"/>
        </w:tcBorders>
        <w:shd w:val="clear" w:color="auto" w:fill="4F81BD" w:themeFill="accent1"/>
      </w:tcPr>
    </w:tblStylePr>
    <w:tblStylePr w:type="firstCol">
      <w:rPr>
        <w:b/>
        <w:bCs/>
        <w:i w:val="0"/>
        <w:iCs w:val="0"/>
        <w:color w:val="EBEBEB" w:themeColor="background1"/>
      </w:rPr>
      <w:tblPr/>
      <w:tcPr>
        <w:tcBorders>
          <w:left w:val="single" w:sz="8" w:space="0" w:color="EBEBEB" w:themeColor="background1"/>
          <w:right w:val="single" w:sz="24" w:space="0" w:color="EBEBEB" w:themeColor="background1"/>
          <w:insideH w:val="nil"/>
          <w:insideV w:val="nil"/>
        </w:tcBorders>
        <w:shd w:val="clear" w:color="auto" w:fill="4F81BD" w:themeFill="accent1"/>
      </w:tcPr>
    </w:tblStylePr>
    <w:tblStylePr w:type="lastCol">
      <w:rPr>
        <w:b/>
        <w:bCs/>
        <w:i w:val="0"/>
        <w:iCs w:val="0"/>
        <w:color w:val="EBEBEB" w:themeColor="background1"/>
      </w:rPr>
      <w:tblPr/>
      <w:tcPr>
        <w:tcBorders>
          <w:top w:val="nil"/>
          <w:left w:val="single" w:sz="24" w:space="0" w:color="EBEBEB" w:themeColor="background1"/>
          <w:bottom w:val="nil"/>
          <w:right w:val="nil"/>
          <w:insideH w:val="nil"/>
          <w:insideV w:val="nil"/>
        </w:tcBorders>
        <w:shd w:val="clear" w:color="auto" w:fill="4F81BD" w:themeFill="accent1"/>
      </w:tcPr>
    </w:tblStylePr>
    <w:tblStylePr w:type="band1Vert">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nil"/>
          <w:insideV w:val="nil"/>
        </w:tcBorders>
        <w:shd w:val="clear" w:color="auto" w:fill="A7BFDE" w:themeFill="accent1" w:themeFillTint="7F"/>
      </w:tcPr>
    </w:tblStylePr>
    <w:tblStylePr w:type="band1Horz">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8" w:space="0" w:color="EBEBEB" w:themeColor="background1"/>
          <w:insideV w:val="single" w:sz="8" w:space="0" w:color="EBEBEB" w:themeColor="background1"/>
        </w:tcBorders>
        <w:shd w:val="clear" w:color="auto" w:fill="A7BFDE" w:themeFill="accent1" w:themeFillTint="7F"/>
      </w:tcPr>
    </w:tblStylePr>
  </w:style>
  <w:style w:type="character" w:customStyle="1" w:styleId="Heading3Char">
    <w:name w:val="Heading 3 Char"/>
    <w:basedOn w:val="DefaultParagraphFont"/>
    <w:link w:val="Heading3"/>
    <w:rPr>
      <w:i/>
      <w:sz w:val="24"/>
      <w:lang w:val="bg-BG" w:eastAsia="bg-BG"/>
    </w:rPr>
  </w:style>
  <w:style w:type="paragraph" w:styleId="Revision">
    <w:name w:val="Revision"/>
    <w:hidden/>
    <w:uiPriority w:val="99"/>
    <w:semiHidden/>
    <w:rPr>
      <w:sz w:val="24"/>
    </w:rPr>
  </w:style>
  <w:style w:type="table" w:styleId="MediumGrid3-Accent5">
    <w:name w:val="Medium Grid 3 Accent 5"/>
    <w:basedOn w:val="TableNormal"/>
    <w:uiPriority w:val="69"/>
    <w:tblPr>
      <w:tblStyleRowBandSize w:val="1"/>
      <w:tblStyleColBandSize w:val="1"/>
      <w:tbl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6" w:space="0" w:color="EBEBEB" w:themeColor="background1"/>
        <w:insideV w:val="single" w:sz="6" w:space="0" w:color="EBEBEB" w:themeColor="background1"/>
      </w:tblBorders>
    </w:tblPr>
    <w:tcPr>
      <w:shd w:val="clear" w:color="auto" w:fill="D2EAF1" w:themeFill="accent5" w:themeFillTint="3F"/>
    </w:tcPr>
    <w:tblStylePr w:type="firstRow">
      <w:rPr>
        <w:b/>
        <w:bCs/>
        <w:i w:val="0"/>
        <w:iCs w:val="0"/>
        <w:color w:val="EBEBEB" w:themeColor="background1"/>
      </w:rPr>
      <w:tblPr/>
      <w:tcPr>
        <w:tcBorders>
          <w:top w:val="single" w:sz="8" w:space="0" w:color="EBEBEB" w:themeColor="background1"/>
          <w:left w:val="single" w:sz="8" w:space="0" w:color="EBEBEB" w:themeColor="background1"/>
          <w:bottom w:val="single" w:sz="24" w:space="0" w:color="EBEBEB" w:themeColor="background1"/>
          <w:right w:val="single" w:sz="8" w:space="0" w:color="EBEBEB" w:themeColor="background1"/>
          <w:insideH w:val="nil"/>
          <w:insideV w:val="single" w:sz="8" w:space="0" w:color="EBEBEB" w:themeColor="background1"/>
        </w:tcBorders>
        <w:shd w:val="clear" w:color="auto" w:fill="4BACC6" w:themeFill="accent5"/>
      </w:tcPr>
    </w:tblStylePr>
    <w:tblStylePr w:type="lastRow">
      <w:rPr>
        <w:b/>
        <w:bCs/>
        <w:i w:val="0"/>
        <w:iCs w:val="0"/>
        <w:color w:val="EBEBEB" w:themeColor="background1"/>
      </w:rPr>
      <w:tblPr/>
      <w:tcPr>
        <w:tcBorders>
          <w:top w:val="single" w:sz="24" w:space="0" w:color="EBEBEB" w:themeColor="background1"/>
          <w:left w:val="single" w:sz="8" w:space="0" w:color="EBEBEB" w:themeColor="background1"/>
          <w:bottom w:val="single" w:sz="8" w:space="0" w:color="EBEBEB" w:themeColor="background1"/>
          <w:right w:val="single" w:sz="8" w:space="0" w:color="EBEBEB" w:themeColor="background1"/>
          <w:insideH w:val="nil"/>
          <w:insideV w:val="single" w:sz="8" w:space="0" w:color="EBEBEB" w:themeColor="background1"/>
        </w:tcBorders>
        <w:shd w:val="clear" w:color="auto" w:fill="4BACC6" w:themeFill="accent5"/>
      </w:tcPr>
    </w:tblStylePr>
    <w:tblStylePr w:type="firstCol">
      <w:rPr>
        <w:b/>
        <w:bCs/>
        <w:i w:val="0"/>
        <w:iCs w:val="0"/>
        <w:color w:val="EBEBEB" w:themeColor="background1"/>
      </w:rPr>
      <w:tblPr/>
      <w:tcPr>
        <w:tcBorders>
          <w:left w:val="single" w:sz="8" w:space="0" w:color="EBEBEB" w:themeColor="background1"/>
          <w:right w:val="single" w:sz="24" w:space="0" w:color="EBEBEB" w:themeColor="background1"/>
          <w:insideH w:val="nil"/>
          <w:insideV w:val="nil"/>
        </w:tcBorders>
        <w:shd w:val="clear" w:color="auto" w:fill="4BACC6" w:themeFill="accent5"/>
      </w:tcPr>
    </w:tblStylePr>
    <w:tblStylePr w:type="lastCol">
      <w:rPr>
        <w:b/>
        <w:bCs/>
        <w:i w:val="0"/>
        <w:iCs w:val="0"/>
        <w:color w:val="EBEBEB" w:themeColor="background1"/>
      </w:rPr>
      <w:tblPr/>
      <w:tcPr>
        <w:tcBorders>
          <w:top w:val="nil"/>
          <w:left w:val="single" w:sz="24" w:space="0" w:color="EBEBEB" w:themeColor="background1"/>
          <w:bottom w:val="nil"/>
          <w:right w:val="nil"/>
          <w:insideH w:val="nil"/>
          <w:insideV w:val="nil"/>
        </w:tcBorders>
        <w:shd w:val="clear" w:color="auto" w:fill="4BACC6" w:themeFill="accent5"/>
      </w:tcPr>
    </w:tblStylePr>
    <w:tblStylePr w:type="band1Vert">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nil"/>
          <w:insideV w:val="nil"/>
        </w:tcBorders>
        <w:shd w:val="clear" w:color="auto" w:fill="A5D5E2" w:themeFill="accent5" w:themeFillTint="7F"/>
      </w:tcPr>
    </w:tblStylePr>
    <w:tblStylePr w:type="band1Horz">
      <w:tblPr/>
      <w:tcPr>
        <w:tcBorders>
          <w:top w:val="single" w:sz="8" w:space="0" w:color="EBEBEB" w:themeColor="background1"/>
          <w:left w:val="single" w:sz="8" w:space="0" w:color="EBEBEB" w:themeColor="background1"/>
          <w:bottom w:val="single" w:sz="8" w:space="0" w:color="EBEBEB" w:themeColor="background1"/>
          <w:right w:val="single" w:sz="8" w:space="0" w:color="EBEBEB" w:themeColor="background1"/>
          <w:insideH w:val="single" w:sz="8" w:space="0" w:color="EBEBEB" w:themeColor="background1"/>
          <w:insideV w:val="single" w:sz="8" w:space="0" w:color="EBEBEB" w:themeColor="background1"/>
        </w:tcBorders>
        <w:shd w:val="clear" w:color="auto" w:fill="A5D5E2" w:themeFill="accent5"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ddressTRChar">
    <w:name w:val="AddressTR Char"/>
    <w:basedOn w:val="DefaultParagraphFont"/>
    <w:link w:val="AddressTR"/>
    <w:rPr>
      <w:sz w:val="24"/>
      <w:lang w:val="bg-BG" w:eastAsia="bg-BG"/>
    </w:rPr>
  </w:style>
  <w:style w:type="character" w:customStyle="1" w:styleId="FooterCoverPageChar">
    <w:name w:val="Footer Cover Page Char"/>
    <w:basedOn w:val="AddressTRChar"/>
    <w:link w:val="FooterCoverPage"/>
    <w:rPr>
      <w:sz w:val="24"/>
      <w:lang w:val="bg-B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AddressTRChar"/>
    <w:link w:val="HeaderCoverPage"/>
    <w:rPr>
      <w:sz w:val="24"/>
      <w:lang w:val="bg-BG" w:eastAsia="bg-BG"/>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4147">
      <w:bodyDiv w:val="1"/>
      <w:marLeft w:val="0"/>
      <w:marRight w:val="0"/>
      <w:marTop w:val="0"/>
      <w:marBottom w:val="0"/>
      <w:divBdr>
        <w:top w:val="none" w:sz="0" w:space="0" w:color="auto"/>
        <w:left w:val="none" w:sz="0" w:space="0" w:color="auto"/>
        <w:bottom w:val="none" w:sz="0" w:space="0" w:color="auto"/>
        <w:right w:val="none" w:sz="0" w:space="0" w:color="auto"/>
      </w:divBdr>
      <w:divsChild>
        <w:div w:id="1017732777">
          <w:marLeft w:val="0"/>
          <w:marRight w:val="0"/>
          <w:marTop w:val="0"/>
          <w:marBottom w:val="0"/>
          <w:divBdr>
            <w:top w:val="none" w:sz="0" w:space="0" w:color="auto"/>
            <w:left w:val="none" w:sz="0" w:space="0" w:color="auto"/>
            <w:bottom w:val="none" w:sz="0" w:space="0" w:color="auto"/>
            <w:right w:val="none" w:sz="0" w:space="0" w:color="auto"/>
          </w:divBdr>
          <w:divsChild>
            <w:div w:id="1490438781">
              <w:marLeft w:val="-300"/>
              <w:marRight w:val="-300"/>
              <w:marTop w:val="0"/>
              <w:marBottom w:val="0"/>
              <w:divBdr>
                <w:top w:val="none" w:sz="0" w:space="0" w:color="auto"/>
                <w:left w:val="none" w:sz="0" w:space="0" w:color="auto"/>
                <w:bottom w:val="none" w:sz="0" w:space="0" w:color="auto"/>
                <w:right w:val="none" w:sz="0" w:space="0" w:color="auto"/>
              </w:divBdr>
              <w:divsChild>
                <w:div w:id="1447890363">
                  <w:marLeft w:val="0"/>
                  <w:marRight w:val="0"/>
                  <w:marTop w:val="0"/>
                  <w:marBottom w:val="0"/>
                  <w:divBdr>
                    <w:top w:val="none" w:sz="0" w:space="0" w:color="auto"/>
                    <w:left w:val="none" w:sz="0" w:space="0" w:color="auto"/>
                    <w:bottom w:val="none" w:sz="0" w:space="0" w:color="auto"/>
                    <w:right w:val="none" w:sz="0" w:space="0" w:color="auto"/>
                  </w:divBdr>
                  <w:divsChild>
                    <w:div w:id="826288006">
                      <w:marLeft w:val="0"/>
                      <w:marRight w:val="0"/>
                      <w:marTop w:val="0"/>
                      <w:marBottom w:val="0"/>
                      <w:divBdr>
                        <w:top w:val="none" w:sz="0" w:space="0" w:color="auto"/>
                        <w:left w:val="none" w:sz="0" w:space="0" w:color="auto"/>
                        <w:bottom w:val="none" w:sz="0" w:space="0" w:color="auto"/>
                        <w:right w:val="none" w:sz="0" w:space="0" w:color="auto"/>
                      </w:divBdr>
                      <w:divsChild>
                        <w:div w:id="982196704">
                          <w:marLeft w:val="0"/>
                          <w:marRight w:val="0"/>
                          <w:marTop w:val="0"/>
                          <w:marBottom w:val="0"/>
                          <w:divBdr>
                            <w:top w:val="none" w:sz="0" w:space="0" w:color="auto"/>
                            <w:left w:val="none" w:sz="0" w:space="0" w:color="auto"/>
                            <w:bottom w:val="none" w:sz="0" w:space="0" w:color="auto"/>
                            <w:right w:val="none" w:sz="0" w:space="0" w:color="auto"/>
                          </w:divBdr>
                          <w:divsChild>
                            <w:div w:id="1097673375">
                              <w:marLeft w:val="-300"/>
                              <w:marRight w:val="-300"/>
                              <w:marTop w:val="0"/>
                              <w:marBottom w:val="0"/>
                              <w:divBdr>
                                <w:top w:val="none" w:sz="0" w:space="0" w:color="auto"/>
                                <w:left w:val="none" w:sz="0" w:space="0" w:color="auto"/>
                                <w:bottom w:val="none" w:sz="0" w:space="0" w:color="auto"/>
                                <w:right w:val="none" w:sz="0" w:space="0" w:color="auto"/>
                              </w:divBdr>
                              <w:divsChild>
                                <w:div w:id="171263026">
                                  <w:marLeft w:val="0"/>
                                  <w:marRight w:val="0"/>
                                  <w:marTop w:val="0"/>
                                  <w:marBottom w:val="0"/>
                                  <w:divBdr>
                                    <w:top w:val="none" w:sz="0" w:space="0" w:color="auto"/>
                                    <w:left w:val="none" w:sz="0" w:space="0" w:color="auto"/>
                                    <w:bottom w:val="none" w:sz="0" w:space="0" w:color="auto"/>
                                    <w:right w:val="none" w:sz="0" w:space="0" w:color="auto"/>
                                  </w:divBdr>
                                  <w:divsChild>
                                    <w:div w:id="670958005">
                                      <w:marLeft w:val="0"/>
                                      <w:marRight w:val="0"/>
                                      <w:marTop w:val="0"/>
                                      <w:marBottom w:val="0"/>
                                      <w:divBdr>
                                        <w:top w:val="none" w:sz="0" w:space="0" w:color="auto"/>
                                        <w:left w:val="none" w:sz="0" w:space="0" w:color="auto"/>
                                        <w:bottom w:val="none" w:sz="0" w:space="0" w:color="auto"/>
                                        <w:right w:val="none" w:sz="0" w:space="0" w:color="auto"/>
                                      </w:divBdr>
                                      <w:divsChild>
                                        <w:div w:id="824128280">
                                          <w:marLeft w:val="0"/>
                                          <w:marRight w:val="0"/>
                                          <w:marTop w:val="0"/>
                                          <w:marBottom w:val="0"/>
                                          <w:divBdr>
                                            <w:top w:val="none" w:sz="0" w:space="0" w:color="auto"/>
                                            <w:left w:val="none" w:sz="0" w:space="0" w:color="auto"/>
                                            <w:bottom w:val="none" w:sz="0" w:space="0" w:color="auto"/>
                                            <w:right w:val="none" w:sz="0" w:space="0" w:color="auto"/>
                                          </w:divBdr>
                                          <w:divsChild>
                                            <w:div w:id="1052538292">
                                              <w:marLeft w:val="0"/>
                                              <w:marRight w:val="0"/>
                                              <w:marTop w:val="0"/>
                                              <w:marBottom w:val="0"/>
                                              <w:divBdr>
                                                <w:top w:val="none" w:sz="0" w:space="0" w:color="auto"/>
                                                <w:left w:val="none" w:sz="0" w:space="0" w:color="auto"/>
                                                <w:bottom w:val="none" w:sz="0" w:space="0" w:color="auto"/>
                                                <w:right w:val="none" w:sz="0" w:space="0" w:color="auto"/>
                                              </w:divBdr>
                                              <w:divsChild>
                                                <w:div w:id="937562512">
                                                  <w:marLeft w:val="0"/>
                                                  <w:marRight w:val="0"/>
                                                  <w:marTop w:val="240"/>
                                                  <w:marBottom w:val="240"/>
                                                  <w:divBdr>
                                                    <w:top w:val="none" w:sz="0" w:space="0" w:color="auto"/>
                                                    <w:left w:val="none" w:sz="0" w:space="0" w:color="auto"/>
                                                    <w:bottom w:val="none" w:sz="0" w:space="0" w:color="auto"/>
                                                    <w:right w:val="none" w:sz="0" w:space="0" w:color="auto"/>
                                                  </w:divBdr>
                                                  <w:divsChild>
                                                    <w:div w:id="899944901">
                                                      <w:marLeft w:val="0"/>
                                                      <w:marRight w:val="0"/>
                                                      <w:marTop w:val="0"/>
                                                      <w:marBottom w:val="0"/>
                                                      <w:divBdr>
                                                        <w:top w:val="none" w:sz="0" w:space="0" w:color="auto"/>
                                                        <w:left w:val="none" w:sz="0" w:space="0" w:color="auto"/>
                                                        <w:bottom w:val="none" w:sz="0" w:space="0" w:color="auto"/>
                                                        <w:right w:val="none" w:sz="0" w:space="0" w:color="auto"/>
                                                      </w:divBdr>
                                                      <w:divsChild>
                                                        <w:div w:id="1957172607">
                                                          <w:marLeft w:val="0"/>
                                                          <w:marRight w:val="0"/>
                                                          <w:marTop w:val="0"/>
                                                          <w:marBottom w:val="0"/>
                                                          <w:divBdr>
                                                            <w:top w:val="none" w:sz="0" w:space="0" w:color="auto"/>
                                                            <w:left w:val="none" w:sz="0" w:space="0" w:color="auto"/>
                                                            <w:bottom w:val="none" w:sz="0" w:space="0" w:color="auto"/>
                                                            <w:right w:val="none" w:sz="0" w:space="0" w:color="auto"/>
                                                          </w:divBdr>
                                                          <w:divsChild>
                                                            <w:div w:id="2062752432">
                                                              <w:marLeft w:val="0"/>
                                                              <w:marRight w:val="0"/>
                                                              <w:marTop w:val="0"/>
                                                              <w:marBottom w:val="0"/>
                                                              <w:divBdr>
                                                                <w:top w:val="none" w:sz="0" w:space="0" w:color="auto"/>
                                                                <w:left w:val="none" w:sz="0" w:space="0" w:color="auto"/>
                                                                <w:bottom w:val="none" w:sz="0" w:space="0" w:color="auto"/>
                                                                <w:right w:val="none" w:sz="0" w:space="0" w:color="auto"/>
                                                              </w:divBdr>
                                                              <w:divsChild>
                                                                <w:div w:id="1496532129">
                                                                  <w:marLeft w:val="0"/>
                                                                  <w:marRight w:val="0"/>
                                                                  <w:marTop w:val="0"/>
                                                                  <w:marBottom w:val="0"/>
                                                                  <w:divBdr>
                                                                    <w:top w:val="none" w:sz="0" w:space="0" w:color="auto"/>
                                                                    <w:left w:val="none" w:sz="0" w:space="0" w:color="auto"/>
                                                                    <w:bottom w:val="none" w:sz="0" w:space="0" w:color="auto"/>
                                                                    <w:right w:val="none" w:sz="0" w:space="0" w:color="auto"/>
                                                                  </w:divBdr>
                                                                  <w:divsChild>
                                                                    <w:div w:id="338385318">
                                                                      <w:marLeft w:val="0"/>
                                                                      <w:marRight w:val="0"/>
                                                                      <w:marTop w:val="0"/>
                                                                      <w:marBottom w:val="0"/>
                                                                      <w:divBdr>
                                                                        <w:top w:val="none" w:sz="0" w:space="0" w:color="auto"/>
                                                                        <w:left w:val="none" w:sz="0" w:space="0" w:color="auto"/>
                                                                        <w:bottom w:val="none" w:sz="0" w:space="0" w:color="auto"/>
                                                                        <w:right w:val="none" w:sz="0" w:space="0" w:color="auto"/>
                                                                      </w:divBdr>
                                                                      <w:divsChild>
                                                                        <w:div w:id="164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967810">
      <w:bodyDiv w:val="1"/>
      <w:marLeft w:val="0"/>
      <w:marRight w:val="0"/>
      <w:marTop w:val="0"/>
      <w:marBottom w:val="0"/>
      <w:divBdr>
        <w:top w:val="none" w:sz="0" w:space="0" w:color="auto"/>
        <w:left w:val="none" w:sz="0" w:space="0" w:color="auto"/>
        <w:bottom w:val="none" w:sz="0" w:space="0" w:color="auto"/>
        <w:right w:val="none" w:sz="0" w:space="0" w:color="auto"/>
      </w:divBdr>
    </w:div>
    <w:div w:id="1177505407">
      <w:bodyDiv w:val="1"/>
      <w:marLeft w:val="0"/>
      <w:marRight w:val="0"/>
      <w:marTop w:val="0"/>
      <w:marBottom w:val="0"/>
      <w:divBdr>
        <w:top w:val="none" w:sz="0" w:space="0" w:color="auto"/>
        <w:left w:val="none" w:sz="0" w:space="0" w:color="auto"/>
        <w:bottom w:val="none" w:sz="0" w:space="0" w:color="auto"/>
        <w:right w:val="none" w:sz="0" w:space="0" w:color="auto"/>
      </w:divBdr>
      <w:divsChild>
        <w:div w:id="588320150">
          <w:marLeft w:val="0"/>
          <w:marRight w:val="0"/>
          <w:marTop w:val="0"/>
          <w:marBottom w:val="0"/>
          <w:divBdr>
            <w:top w:val="none" w:sz="0" w:space="0" w:color="auto"/>
            <w:left w:val="none" w:sz="0" w:space="0" w:color="auto"/>
            <w:bottom w:val="none" w:sz="0" w:space="0" w:color="auto"/>
            <w:right w:val="none" w:sz="0" w:space="0" w:color="auto"/>
          </w:divBdr>
          <w:divsChild>
            <w:div w:id="275334093">
              <w:marLeft w:val="0"/>
              <w:marRight w:val="0"/>
              <w:marTop w:val="0"/>
              <w:marBottom w:val="0"/>
              <w:divBdr>
                <w:top w:val="none" w:sz="0" w:space="0" w:color="auto"/>
                <w:left w:val="none" w:sz="0" w:space="0" w:color="auto"/>
                <w:bottom w:val="none" w:sz="0" w:space="0" w:color="auto"/>
                <w:right w:val="none" w:sz="0" w:space="0" w:color="auto"/>
              </w:divBdr>
              <w:divsChild>
                <w:div w:id="1709067743">
                  <w:marLeft w:val="0"/>
                  <w:marRight w:val="0"/>
                  <w:marTop w:val="0"/>
                  <w:marBottom w:val="0"/>
                  <w:divBdr>
                    <w:top w:val="none" w:sz="0" w:space="0" w:color="auto"/>
                    <w:left w:val="none" w:sz="0" w:space="0" w:color="auto"/>
                    <w:bottom w:val="none" w:sz="0" w:space="0" w:color="auto"/>
                    <w:right w:val="none" w:sz="0" w:space="0" w:color="auto"/>
                  </w:divBdr>
                  <w:divsChild>
                    <w:div w:id="175268840">
                      <w:marLeft w:val="0"/>
                      <w:marRight w:val="0"/>
                      <w:marTop w:val="0"/>
                      <w:marBottom w:val="0"/>
                      <w:divBdr>
                        <w:top w:val="none" w:sz="0" w:space="0" w:color="auto"/>
                        <w:left w:val="none" w:sz="0" w:space="0" w:color="auto"/>
                        <w:bottom w:val="none" w:sz="0" w:space="0" w:color="auto"/>
                        <w:right w:val="none" w:sz="0" w:space="0" w:color="auto"/>
                      </w:divBdr>
                      <w:divsChild>
                        <w:div w:id="474491383">
                          <w:marLeft w:val="0"/>
                          <w:marRight w:val="0"/>
                          <w:marTop w:val="0"/>
                          <w:marBottom w:val="0"/>
                          <w:divBdr>
                            <w:top w:val="none" w:sz="0" w:space="0" w:color="auto"/>
                            <w:left w:val="none" w:sz="0" w:space="0" w:color="auto"/>
                            <w:bottom w:val="none" w:sz="0" w:space="0" w:color="auto"/>
                            <w:right w:val="none" w:sz="0" w:space="0" w:color="auto"/>
                          </w:divBdr>
                          <w:divsChild>
                            <w:div w:id="176621316">
                              <w:marLeft w:val="0"/>
                              <w:marRight w:val="0"/>
                              <w:marTop w:val="0"/>
                              <w:marBottom w:val="0"/>
                              <w:divBdr>
                                <w:top w:val="none" w:sz="0" w:space="0" w:color="auto"/>
                                <w:left w:val="none" w:sz="0" w:space="0" w:color="auto"/>
                                <w:bottom w:val="none" w:sz="0" w:space="0" w:color="auto"/>
                                <w:right w:val="none" w:sz="0" w:space="0" w:color="auto"/>
                              </w:divBdr>
                              <w:divsChild>
                                <w:div w:id="947814226">
                                  <w:marLeft w:val="0"/>
                                  <w:marRight w:val="0"/>
                                  <w:marTop w:val="0"/>
                                  <w:marBottom w:val="0"/>
                                  <w:divBdr>
                                    <w:top w:val="none" w:sz="0" w:space="0" w:color="auto"/>
                                    <w:left w:val="none" w:sz="0" w:space="0" w:color="auto"/>
                                    <w:bottom w:val="none" w:sz="0" w:space="0" w:color="auto"/>
                                    <w:right w:val="none" w:sz="0" w:space="0" w:color="auto"/>
                                  </w:divBdr>
                                  <w:divsChild>
                                    <w:div w:id="1750302377">
                                      <w:marLeft w:val="0"/>
                                      <w:marRight w:val="0"/>
                                      <w:marTop w:val="0"/>
                                      <w:marBottom w:val="0"/>
                                      <w:divBdr>
                                        <w:top w:val="none" w:sz="0" w:space="0" w:color="auto"/>
                                        <w:left w:val="none" w:sz="0" w:space="0" w:color="auto"/>
                                        <w:bottom w:val="none" w:sz="0" w:space="0" w:color="auto"/>
                                        <w:right w:val="none" w:sz="0" w:space="0" w:color="auto"/>
                                      </w:divBdr>
                                      <w:divsChild>
                                        <w:div w:id="1137071847">
                                          <w:marLeft w:val="0"/>
                                          <w:marRight w:val="0"/>
                                          <w:marTop w:val="0"/>
                                          <w:marBottom w:val="0"/>
                                          <w:divBdr>
                                            <w:top w:val="none" w:sz="0" w:space="0" w:color="auto"/>
                                            <w:left w:val="none" w:sz="0" w:space="0" w:color="auto"/>
                                            <w:bottom w:val="none" w:sz="0" w:space="0" w:color="auto"/>
                                            <w:right w:val="none" w:sz="0" w:space="0" w:color="auto"/>
                                          </w:divBdr>
                                        </w:div>
                                        <w:div w:id="2084839790">
                                          <w:marLeft w:val="0"/>
                                          <w:marRight w:val="0"/>
                                          <w:marTop w:val="0"/>
                                          <w:marBottom w:val="0"/>
                                          <w:divBdr>
                                            <w:top w:val="none" w:sz="0" w:space="0" w:color="auto"/>
                                            <w:left w:val="none" w:sz="0" w:space="0" w:color="auto"/>
                                            <w:bottom w:val="none" w:sz="0" w:space="0" w:color="auto"/>
                                            <w:right w:val="none" w:sz="0" w:space="0" w:color="auto"/>
                                          </w:divBdr>
                                        </w:div>
                                        <w:div w:id="479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445708">
      <w:bodyDiv w:val="1"/>
      <w:marLeft w:val="0"/>
      <w:marRight w:val="0"/>
      <w:marTop w:val="0"/>
      <w:marBottom w:val="0"/>
      <w:divBdr>
        <w:top w:val="none" w:sz="0" w:space="0" w:color="auto"/>
        <w:left w:val="none" w:sz="0" w:space="0" w:color="auto"/>
        <w:bottom w:val="none" w:sz="0" w:space="0" w:color="auto"/>
        <w:right w:val="none" w:sz="0" w:space="0" w:color="auto"/>
      </w:divBdr>
      <w:divsChild>
        <w:div w:id="267933131">
          <w:marLeft w:val="0"/>
          <w:marRight w:val="0"/>
          <w:marTop w:val="0"/>
          <w:marBottom w:val="0"/>
          <w:divBdr>
            <w:top w:val="none" w:sz="0" w:space="0" w:color="auto"/>
            <w:left w:val="none" w:sz="0" w:space="0" w:color="auto"/>
            <w:bottom w:val="none" w:sz="0" w:space="0" w:color="auto"/>
            <w:right w:val="none" w:sz="0" w:space="0" w:color="auto"/>
          </w:divBdr>
          <w:divsChild>
            <w:div w:id="1062873151">
              <w:marLeft w:val="0"/>
              <w:marRight w:val="0"/>
              <w:marTop w:val="0"/>
              <w:marBottom w:val="0"/>
              <w:divBdr>
                <w:top w:val="none" w:sz="0" w:space="0" w:color="auto"/>
                <w:left w:val="single" w:sz="6" w:space="0" w:color="8F9193"/>
                <w:bottom w:val="none" w:sz="0" w:space="0" w:color="auto"/>
                <w:right w:val="single" w:sz="6" w:space="0" w:color="8F9193"/>
              </w:divBdr>
              <w:divsChild>
                <w:div w:id="990792814">
                  <w:marLeft w:val="0"/>
                  <w:marRight w:val="0"/>
                  <w:marTop w:val="0"/>
                  <w:marBottom w:val="0"/>
                  <w:divBdr>
                    <w:top w:val="none" w:sz="0" w:space="0" w:color="auto"/>
                    <w:left w:val="none" w:sz="0" w:space="0" w:color="auto"/>
                    <w:bottom w:val="none" w:sz="0" w:space="0" w:color="auto"/>
                    <w:right w:val="single" w:sz="6" w:space="11" w:color="8F9193"/>
                  </w:divBdr>
                  <w:divsChild>
                    <w:div w:id="144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programmes/erasmus-plus/projects/eplus-project-details-page/?nodeRef=workspace://SpacesStore/476855f6-a184-45c2-bbb6-42e0894f7d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programmes/erasmus-plus/projects/eplus-project-details-page/?nodeRef=workspace://SpacesStore/476855f6-a184-45c2-bbb6-42e0894f7d22"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socialsummit17.s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c.europa.eu/justice/gender-equality/eu_funded-projects/transnational-project-summaries/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education_culture/repository/education/library/policy/teaching-profession-practices_en.pdf" TargetMode="External"/><Relationship Id="rId3" Type="http://schemas.openxmlformats.org/officeDocument/2006/relationships/hyperlink" Target="http://ec.europa.eu/justice/gender-equality/files/gender_pay_gap/com-2013-861-final_en.pdf" TargetMode="External"/><Relationship Id="rId7" Type="http://schemas.openxmlformats.org/officeDocument/2006/relationships/hyperlink" Target="http://ec.europa.eu/justice/discrimination/diversity/charters/index_en.htm" TargetMode="External"/><Relationship Id="rId2" Type="http://schemas.openxmlformats.org/officeDocument/2006/relationships/hyperlink" Target="http://ec.europa.eu/justice/gender-equality/files/documents/151203_strategic_engagement_en.pdf" TargetMode="External"/><Relationship Id="rId1" Type="http://schemas.openxmlformats.org/officeDocument/2006/relationships/hyperlink" Target="http://hwwi.org/fileadmin/hwwi/Publikationen/Publikationen_PDFs_2016/Magnitude_And_Impact_Factors_All.pdf" TargetMode="External"/><Relationship Id="rId6" Type="http://schemas.openxmlformats.org/officeDocument/2006/relationships/hyperlink" Target="http://ec.europa.eu/justice/grants1/calls/2015_action_grants/just_2015_rgen_ag_role_en.htm" TargetMode="External"/><Relationship Id="rId5" Type="http://schemas.openxmlformats.org/officeDocument/2006/relationships/hyperlink" Target="http://eige.europa.eu/gender-mainstreaming/policy-areas/economic-and-financial-affairs/economic-benefits-gender-equality/stem" TargetMode="External"/><Relationship Id="rId10" Type="http://schemas.openxmlformats.org/officeDocument/2006/relationships/hyperlink" Target="http://eur-lex.europa.eu/legal-content/BG/TXT/?uri=CELEX:52017XC0705(01)" TargetMode="External"/><Relationship Id="rId4" Type="http://schemas.openxmlformats.org/officeDocument/2006/relationships/hyperlink" Target="http://ec.europa.eu/justice/gender-equality/files/gender_pay_gap/c_2014_1405_bg.pdf" TargetMode="External"/><Relationship Id="rId9" Type="http://schemas.openxmlformats.org/officeDocument/2006/relationships/hyperlink" Target="http://eacea.ec.europa.eu/education/eurydice/index_en.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E0C2-94F1-43BE-A49E-ACE8669C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18</TotalTime>
  <Pages>17</Pages>
  <Words>4943</Words>
  <Characters>29156</Characters>
  <Application>Microsoft Office Word</Application>
  <DocSecurity>0</DocSecurity>
  <PresentationFormat>Microsoft Word 14.0</PresentationFormat>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LAGES CARVALHO Patrick (SG)</cp:lastModifiedBy>
  <cp:revision>26</cp:revision>
  <cp:lastPrinted>2017-11-09T10:56:00Z</cp:lastPrinted>
  <dcterms:created xsi:type="dcterms:W3CDTF">2017-11-13T14:30:00Z</dcterms:created>
  <dcterms:modified xsi:type="dcterms:W3CDTF">2017-11-20T09:55:00Z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Karen Vandeckerkhove</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