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39" w:rsidRDefault="00C763E7" w:rsidP="00C763E7">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B65A5E9-0D10-498A-B0D0-80F2FDF1C550" style="width:450.85pt;height:306.85pt">
            <v:imagedata r:id="rId9" o:title=""/>
          </v:shape>
        </w:pict>
      </w:r>
    </w:p>
    <w:bookmarkEnd w:id="0"/>
    <w:p w:rsidR="00D86939" w:rsidRDefault="00D86939">
      <w:pPr>
        <w:spacing w:after="120" w:line="240" w:lineRule="auto"/>
        <w:jc w:val="both"/>
        <w:rPr>
          <w:noProof/>
          <w:lang w:val="fr-BE"/>
        </w:rPr>
        <w:sectPr w:rsidR="00D86939" w:rsidSect="00C763E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D86939" w:rsidRDefault="00C763E7">
      <w:pPr>
        <w:pStyle w:val="ListParagraph"/>
        <w:numPr>
          <w:ilvl w:val="0"/>
          <w:numId w:val="10"/>
        </w:numPr>
        <w:spacing w:before="120" w:after="240" w:line="240" w:lineRule="auto"/>
        <w:ind w:left="567" w:hanging="567"/>
        <w:jc w:val="both"/>
        <w:rPr>
          <w:rFonts w:ascii="Times New Roman" w:hAnsi="Times New Roman"/>
          <w:b/>
          <w:noProof/>
          <w:sz w:val="24"/>
          <w:szCs w:val="24"/>
          <w:lang w:val="bg-BG"/>
        </w:rPr>
      </w:pPr>
      <w:bookmarkStart w:id="1" w:name="_GoBack"/>
      <w:bookmarkEnd w:id="1"/>
      <w:r>
        <w:rPr>
          <w:rFonts w:ascii="Times New Roman" w:hAnsi="Times New Roman"/>
          <w:b/>
          <w:noProof/>
          <w:sz w:val="24"/>
          <w:lang w:val="bg-BG"/>
        </w:rPr>
        <w:lastRenderedPageBreak/>
        <w:t xml:space="preserve">ВЪВЕДЕНИЕ </w:t>
      </w:r>
    </w:p>
    <w:p w:rsidR="00D86939" w:rsidRDefault="00C763E7">
      <w:pPr>
        <w:autoSpaceDE w:val="0"/>
        <w:autoSpaceDN w:val="0"/>
        <w:adjustRightInd w:val="0"/>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Механизмът за сътрудничество и проверка (МСП) беше създаден при присъединяването на Румъния към Европейския съюз през 2007 г.</w:t>
      </w:r>
      <w:r>
        <w:rPr>
          <w:rFonts w:ascii="Times New Roman" w:hAnsi="Times New Roman"/>
          <w:noProof/>
          <w:sz w:val="24"/>
          <w:vertAlign w:val="superscript"/>
          <w:lang w:val="bg-BG"/>
        </w:rPr>
        <w:footnoteReference w:id="1"/>
      </w:r>
      <w:r>
        <w:rPr>
          <w:rFonts w:ascii="Times New Roman" w:hAnsi="Times New Roman"/>
          <w:noProof/>
          <w:sz w:val="24"/>
          <w:vertAlign w:val="superscript"/>
          <w:lang w:val="bg-BG"/>
        </w:rPr>
        <w:t xml:space="preserve"> </w:t>
      </w:r>
      <w:r>
        <w:rPr>
          <w:rFonts w:ascii="Times New Roman" w:hAnsi="Times New Roman"/>
          <w:noProof/>
          <w:sz w:val="24"/>
          <w:lang w:val="bg-BG"/>
        </w:rPr>
        <w:t xml:space="preserve">, за да се </w:t>
      </w:r>
      <w:r>
        <w:rPr>
          <w:rFonts w:ascii="Times New Roman" w:hAnsi="Times New Roman"/>
          <w:noProof/>
          <w:sz w:val="24"/>
          <w:lang w:val="bg-BG"/>
        </w:rPr>
        <w:t>преодолеят слабостите в съдебната реформа и борбата с корупцията. Оттогава досега докладите по МСП са имали за задача да способстват за насочването на усилията на румънските органи чрез конкретни препоръки и са отразявали постигнатия напредък. Както Съветъ</w:t>
      </w:r>
      <w:r>
        <w:rPr>
          <w:rFonts w:ascii="Times New Roman" w:hAnsi="Times New Roman"/>
          <w:noProof/>
          <w:sz w:val="24"/>
          <w:lang w:val="bg-BG"/>
        </w:rPr>
        <w:t>т</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подчерта, прилагането на МСП ще приключи, когато и четирите показателя, приложими за Румъния, бъдат изпълнени по задоволителен начин.</w:t>
      </w:r>
    </w:p>
    <w:p w:rsidR="00D86939" w:rsidRDefault="00C763E7">
      <w:pPr>
        <w:autoSpaceDE w:val="0"/>
        <w:autoSpaceDN w:val="0"/>
        <w:adjustRightInd w:val="0"/>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В доклада по МСП</w:t>
      </w:r>
      <w:r>
        <w:rPr>
          <w:rStyle w:val="FootnoteReference"/>
          <w:rFonts w:ascii="Times New Roman" w:hAnsi="Times New Roman"/>
          <w:noProof/>
          <w:spacing w:val="-2"/>
          <w:sz w:val="24"/>
          <w:lang w:val="bg-BG"/>
        </w:rPr>
        <w:footnoteReference w:id="3"/>
      </w:r>
      <w:r>
        <w:rPr>
          <w:rFonts w:ascii="Times New Roman" w:hAnsi="Times New Roman"/>
          <w:noProof/>
          <w:spacing w:val="-2"/>
          <w:sz w:val="24"/>
          <w:lang w:val="bg-BG"/>
        </w:rPr>
        <w:t xml:space="preserve"> от януари 2017 г. Комисията направи равносметка и преглед на постиженията и на предизвикателства, които все още не са преодолени, като също така определели ключовите оставащи стъпки, необходими за постигането на целите на МСП. В тази връзка Комисията отпр</w:t>
      </w:r>
      <w:r>
        <w:rPr>
          <w:rFonts w:ascii="Times New Roman" w:hAnsi="Times New Roman"/>
          <w:noProof/>
          <w:spacing w:val="-2"/>
          <w:sz w:val="24"/>
          <w:lang w:val="bg-BG"/>
        </w:rPr>
        <w:t>ави дванадесет ключови препоръки, чието евентуално изпълнение ще доведе до приключването на процеса по МСП. В доклада бе подчертано, че темпът на процеса ще зависи от това колко бързо Румъния ще успее да изпълни тези препоръки по необратим начин, като и от</w:t>
      </w:r>
      <w:r>
        <w:rPr>
          <w:rFonts w:ascii="Times New Roman" w:hAnsi="Times New Roman"/>
          <w:noProof/>
          <w:spacing w:val="-2"/>
          <w:sz w:val="24"/>
          <w:lang w:val="bg-BG"/>
        </w:rPr>
        <w:t xml:space="preserve"> избягването на отрицателни стъпки, които могат да поставят под въпрос постигнатия през изминалите десет години напредък.</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Ето защо на този етап от процеса по МСП в настоящия доклад се представя напредъкът, който е постигнат при изпълнението на препоръките,</w:t>
      </w:r>
      <w:r>
        <w:rPr>
          <w:rFonts w:ascii="Times New Roman" w:hAnsi="Times New Roman"/>
          <w:noProof/>
          <w:spacing w:val="-2"/>
          <w:sz w:val="24"/>
          <w:lang w:val="bg-BG"/>
        </w:rPr>
        <w:t xml:space="preserve"> съдържащи се в доклада от януари 2017 г. Както и в предишните години, настоящият доклад е резултат от внимателен процес на анализ от страна на Комисията, който се основава на тясното сътрудничество с румънските институции, както и на информацията, предост</w:t>
      </w:r>
      <w:r>
        <w:rPr>
          <w:rFonts w:ascii="Times New Roman" w:hAnsi="Times New Roman"/>
          <w:noProof/>
          <w:spacing w:val="-2"/>
          <w:sz w:val="24"/>
          <w:lang w:val="bg-BG"/>
        </w:rPr>
        <w:t>авена от гражданското общество и други заинтересовани страни, включително други държави членки.</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 xml:space="preserve">В речта си от септември 2017 г. относно състоянието на Съюза председателят Юнкер подчерта значението на върховенството на закона и независимостта на съдебната </w:t>
      </w:r>
      <w:r>
        <w:rPr>
          <w:rFonts w:ascii="Times New Roman" w:hAnsi="Times New Roman"/>
          <w:noProof/>
          <w:spacing w:val="-2"/>
          <w:sz w:val="24"/>
          <w:lang w:val="bg-BG"/>
        </w:rPr>
        <w:t>власт</w:t>
      </w:r>
      <w:r>
        <w:rPr>
          <w:rStyle w:val="FootnoteReference"/>
          <w:rFonts w:ascii="Times New Roman" w:hAnsi="Times New Roman"/>
          <w:noProof/>
          <w:spacing w:val="-2"/>
          <w:sz w:val="24"/>
          <w:lang w:val="bg-BG"/>
        </w:rPr>
        <w:footnoteReference w:id="4"/>
      </w:r>
      <w:r>
        <w:rPr>
          <w:noProof/>
          <w:spacing w:val="-2"/>
          <w:lang w:val="bg-BG"/>
        </w:rPr>
        <w:t>,</w:t>
      </w:r>
      <w:r>
        <w:rPr>
          <w:rFonts w:ascii="Times New Roman" w:hAnsi="Times New Roman"/>
          <w:noProof/>
          <w:spacing w:val="-2"/>
          <w:lang w:val="bg-BG"/>
        </w:rPr>
        <w:t xml:space="preserve"> </w:t>
      </w:r>
      <w:r>
        <w:rPr>
          <w:rFonts w:ascii="Times New Roman" w:hAnsi="Times New Roman"/>
          <w:noProof/>
          <w:spacing w:val="-2"/>
          <w:sz w:val="24"/>
          <w:lang w:val="bg-BG"/>
        </w:rPr>
        <w:t>които са императив, валиден за всички държави — членки на ЕС, а не само за тези, които участват в МСП. Това подчертава колко е важно да се избягва климат на конфронтация между различните държавни власти, имащ вредни последици за независимостта на с</w:t>
      </w:r>
      <w:r>
        <w:rPr>
          <w:rFonts w:ascii="Times New Roman" w:hAnsi="Times New Roman"/>
          <w:noProof/>
          <w:spacing w:val="-2"/>
          <w:sz w:val="24"/>
          <w:lang w:val="bg-BG"/>
        </w:rPr>
        <w:t>ъдебната власт — проблем, който бе отбелязан в доклада от януари 2017 г. и който продължи да съществува през референтния период на настоящия доклад.</w:t>
      </w:r>
    </w:p>
    <w:p w:rsidR="00D86939" w:rsidRDefault="00C763E7">
      <w:pPr>
        <w:spacing w:before="120" w:after="120"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 xml:space="preserve">Въз основа на своя анализ на напредъка, постигнат от Румъния през целия период на процеса по МСП от 2007 г </w:t>
      </w:r>
      <w:r>
        <w:rPr>
          <w:rFonts w:ascii="Times New Roman" w:hAnsi="Times New Roman"/>
          <w:noProof/>
          <w:spacing w:val="-4"/>
          <w:sz w:val="24"/>
          <w:lang w:val="bg-BG"/>
        </w:rPr>
        <w:t>насам, както и въз основа на напредъка, постигнат след публикуването на доклада през януари 2017 г., Комисията остава на мнение, че с лоялно сътрудничество между държавните институции, с решително политическо лидерство, утвърждаващо вече постигнатия напред</w:t>
      </w:r>
      <w:r>
        <w:rPr>
          <w:rFonts w:ascii="Times New Roman" w:hAnsi="Times New Roman"/>
          <w:noProof/>
          <w:spacing w:val="-4"/>
          <w:sz w:val="24"/>
          <w:lang w:val="bg-BG"/>
        </w:rPr>
        <w:t>ък, и със зачитане на независимостта на съдебната власт Румъния ще съумее да изпълни оставащите препоръки по МСП в близко бъдеще.</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Комисията възнамерява да извърши оценка на постигнатия напредък към края на 2018 г. и е готова да предостави допълнителна помо</w:t>
      </w:r>
      <w:r>
        <w:rPr>
          <w:rFonts w:ascii="Times New Roman" w:hAnsi="Times New Roman"/>
          <w:noProof/>
          <w:sz w:val="24"/>
          <w:lang w:val="bg-BG"/>
        </w:rPr>
        <w:t>щ, за да подпомогне Румъния при изпълнението на оставащите препоръки с цел да бъде утвърден необратимия характер на напредъка и като резултат от това да бъде прекратено действието на механизма.</w:t>
      </w:r>
    </w:p>
    <w:p w:rsidR="00D86939" w:rsidRDefault="00C763E7">
      <w:pPr>
        <w:keepNext/>
        <w:spacing w:before="360" w:after="240" w:line="240" w:lineRule="auto"/>
        <w:ind w:left="567" w:hanging="567"/>
        <w:jc w:val="both"/>
        <w:rPr>
          <w:rFonts w:ascii="Times New Roman" w:hAnsi="Times New Roman"/>
          <w:b/>
          <w:noProof/>
          <w:sz w:val="24"/>
          <w:szCs w:val="24"/>
          <w:lang w:val="bg-BG"/>
        </w:rPr>
      </w:pPr>
      <w:r>
        <w:rPr>
          <w:rFonts w:ascii="Times New Roman" w:hAnsi="Times New Roman"/>
          <w:b/>
          <w:noProof/>
          <w:sz w:val="24"/>
          <w:lang w:val="bg-BG"/>
        </w:rPr>
        <w:lastRenderedPageBreak/>
        <w:t xml:space="preserve">2. </w:t>
      </w:r>
      <w:r>
        <w:rPr>
          <w:noProof/>
          <w:lang w:val="bg-BG"/>
        </w:rPr>
        <w:tab/>
      </w:r>
      <w:r>
        <w:rPr>
          <w:rFonts w:ascii="Times New Roman" w:hAnsi="Times New Roman"/>
          <w:b/>
          <w:noProof/>
          <w:sz w:val="24"/>
          <w:lang w:val="bg-BG"/>
        </w:rPr>
        <w:t>ОБЩО ПОЛОЖЕНИЕ</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Десетгодишният обзор в доклада от януари 20</w:t>
      </w:r>
      <w:r>
        <w:rPr>
          <w:rFonts w:ascii="Times New Roman" w:hAnsi="Times New Roman"/>
          <w:noProof/>
          <w:spacing w:val="-2"/>
          <w:sz w:val="24"/>
          <w:lang w:val="bg-BG"/>
        </w:rPr>
        <w:t xml:space="preserve">17 г. показа, че Румъния е постигнала значителен напредък към покриване на показателите по МСП. Редица ключови институции бяха създадени и бе приет голям обем важно законодателство. Реформата на наказателните и гражданските кодекси беше почти завършена. В </w:t>
      </w:r>
      <w:r>
        <w:rPr>
          <w:rFonts w:ascii="Times New Roman" w:hAnsi="Times New Roman"/>
          <w:noProof/>
          <w:spacing w:val="-2"/>
          <w:sz w:val="24"/>
          <w:lang w:val="bg-BG"/>
        </w:rPr>
        <w:t>доклада беше потвърдено, че румънската съдебна система коренно се е реформирала и че органите на съдебната власт многократно са демонстрирали своя професионализъм, независимост и отчетност. Беше отбелязано също така наличието на вътрешни гаранции срещу рез</w:t>
      </w:r>
      <w:r>
        <w:rPr>
          <w:rFonts w:ascii="Times New Roman" w:hAnsi="Times New Roman"/>
          <w:noProof/>
          <w:spacing w:val="-2"/>
          <w:sz w:val="24"/>
          <w:lang w:val="bg-BG"/>
        </w:rPr>
        <w:t>ки обрати на напредъка. Дванадесетте ключови препоръки от доклада от януари 2017 г. бяха формулирани с цел отстраняване на оставащите установени недостатъци. Повечето от тях се съсредоточават върху отговорността и отчетността, изисквани от румънските орган</w:t>
      </w:r>
      <w:r>
        <w:rPr>
          <w:rFonts w:ascii="Times New Roman" w:hAnsi="Times New Roman"/>
          <w:noProof/>
          <w:spacing w:val="-2"/>
          <w:sz w:val="24"/>
          <w:lang w:val="bg-BG"/>
        </w:rPr>
        <w:t>и, и вътрешните гаранции, нужни, за да се гарантира необратимост на резултатите.</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Румънското правителство изрази положителната си оценка за този подход и многократно потвърди ангажимента си за изпълнение на препоръките от доклада по МСП. В Парламента мнозин</w:t>
      </w:r>
      <w:r>
        <w:rPr>
          <w:rFonts w:ascii="Times New Roman" w:hAnsi="Times New Roman"/>
          <w:noProof/>
          <w:sz w:val="24"/>
          <w:lang w:val="bg-BG"/>
        </w:rPr>
        <w:t xml:space="preserve">ството и опозицията също изразиха желание за конструктивен диалог и реагираха положително на определени препоръки.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При все това, въпреки ангажимента на правителството да се стреми към прекратяване на действието на МСП във възможно най-кратък срок, политич</w:t>
      </w:r>
      <w:r>
        <w:rPr>
          <w:rFonts w:ascii="Times New Roman" w:hAnsi="Times New Roman"/>
          <w:noProof/>
          <w:sz w:val="24"/>
          <w:lang w:val="bg-BG"/>
        </w:rPr>
        <w:t>еската нестабилност оказа въздействие върху напредъка в изпълнението на препоръките от доклада по МСП от януари 2017 г. В рамките на девет месеца от публикуването на доклада през януари 2017 г. в Румъния бе осъществена смяна на правителството, а същевремен</w:t>
      </w:r>
      <w:r>
        <w:rPr>
          <w:rFonts w:ascii="Times New Roman" w:hAnsi="Times New Roman"/>
          <w:noProof/>
          <w:sz w:val="24"/>
          <w:lang w:val="bg-BG"/>
        </w:rPr>
        <w:t>но нарастващото напрежение между държавните власти (парламент, правителство и съдебна власт) направи сътрудничеството между тях все по-трудно.</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Освен това напредъкът и постоянно добрите резултати на съдебните институции в борбата срещу корупцията бяха в гол</w:t>
      </w:r>
      <w:r>
        <w:rPr>
          <w:rFonts w:ascii="Times New Roman" w:hAnsi="Times New Roman"/>
          <w:noProof/>
          <w:sz w:val="24"/>
          <w:lang w:val="bg-BG"/>
        </w:rPr>
        <w:t>яма степен поставени под въпрос от събития като приемането през 2017 г. от бившото правителство на извънредното правителствено постановление относно декриминализиране на определени корупционни престъпления, като например злоупотребата с власт, и предложени</w:t>
      </w:r>
      <w:r>
        <w:rPr>
          <w:rFonts w:ascii="Times New Roman" w:hAnsi="Times New Roman"/>
          <w:noProof/>
          <w:sz w:val="24"/>
          <w:lang w:val="bg-BG"/>
        </w:rPr>
        <w:t>ето за закон за помилването</w:t>
      </w:r>
      <w:r>
        <w:rPr>
          <w:rStyle w:val="FootnoteReference"/>
          <w:rFonts w:ascii="Times New Roman" w:hAnsi="Times New Roman"/>
          <w:noProof/>
          <w:sz w:val="24"/>
          <w:lang w:val="bg-BG"/>
        </w:rPr>
        <w:footnoteReference w:id="5"/>
      </w:r>
      <w:r>
        <w:rPr>
          <w:noProof/>
          <w:lang w:val="bg-BG"/>
        </w:rPr>
        <w:t>.</w:t>
      </w:r>
      <w:r>
        <w:rPr>
          <w:rFonts w:ascii="Times New Roman" w:hAnsi="Times New Roman"/>
          <w:noProof/>
          <w:sz w:val="24"/>
          <w:lang w:val="bg-BG"/>
        </w:rPr>
        <w:t xml:space="preserve"> Тези мерки бяха оспорени посредством масови протести в цяла Румъния. Въпреки че извънредното постановление беше отменено от правителството и от Парламента, тези събития оставиха съмнения сред обществото. </w:t>
      </w:r>
    </w:p>
    <w:p w:rsidR="00D86939" w:rsidRDefault="00C763E7">
      <w:pPr>
        <w:spacing w:before="120" w:after="120"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От края на август същ</w:t>
      </w:r>
      <w:r>
        <w:rPr>
          <w:rFonts w:ascii="Times New Roman" w:hAnsi="Times New Roman"/>
          <w:noProof/>
          <w:spacing w:val="-4"/>
          <w:sz w:val="24"/>
          <w:lang w:val="bg-BG"/>
        </w:rPr>
        <w:t xml:space="preserve">о тече спор, възникнал при обсъждането на предложените изменения на законите в областта на правосъдието. Висшият магистратски съвет на два пъти отхвърли предложенията, по отношение на които беше поискано неговото становище, посочвайки проблеми, свързани с </w:t>
      </w:r>
      <w:r>
        <w:rPr>
          <w:rFonts w:ascii="Times New Roman" w:hAnsi="Times New Roman"/>
          <w:noProof/>
          <w:spacing w:val="-4"/>
          <w:sz w:val="24"/>
          <w:lang w:val="bg-BG"/>
        </w:rPr>
        <w:t>независимостта на съдебната власт</w:t>
      </w:r>
      <w:r>
        <w:rPr>
          <w:rStyle w:val="FootnoteReference"/>
          <w:rFonts w:ascii="Times New Roman" w:hAnsi="Times New Roman"/>
          <w:noProof/>
          <w:spacing w:val="-4"/>
          <w:sz w:val="24"/>
          <w:lang w:val="bg-BG"/>
        </w:rPr>
        <w:footnoteReference w:id="6"/>
      </w:r>
      <w:r>
        <w:rPr>
          <w:noProof/>
          <w:spacing w:val="-4"/>
          <w:lang w:val="bg-BG"/>
        </w:rPr>
        <w:t>.</w:t>
      </w:r>
      <w:r>
        <w:rPr>
          <w:rFonts w:ascii="Times New Roman" w:hAnsi="Times New Roman"/>
          <w:noProof/>
          <w:spacing w:val="-4"/>
          <w:sz w:val="24"/>
          <w:lang w:val="bg-BG"/>
        </w:rPr>
        <w:t xml:space="preserve"> Опасения изразиха също президентът на Румъния и гражданското общество. Също така мнозинство от румънски магистрати подписаха петиция, в която призоваха становището на Висшия съвет да бъде зачетено. Трите закона в областта на правосъдието, датиращи от 2004</w:t>
      </w:r>
      <w:r>
        <w:rPr>
          <w:rFonts w:ascii="Times New Roman" w:hAnsi="Times New Roman"/>
          <w:noProof/>
          <w:spacing w:val="-4"/>
          <w:sz w:val="24"/>
          <w:lang w:val="bg-BG"/>
        </w:rPr>
        <w:t> г., уреждат статута на съдиите и на прокурорите, както и организацията и функционирането на съдилищата, на прокуратурите и на самия Висш магистратски съвет. Те имат пряко въздействие върху независимостта на съдебната власт и върху съдебната система като ц</w:t>
      </w:r>
      <w:r>
        <w:rPr>
          <w:rFonts w:ascii="Times New Roman" w:hAnsi="Times New Roman"/>
          <w:noProof/>
          <w:spacing w:val="-4"/>
          <w:sz w:val="24"/>
          <w:lang w:val="bg-BG"/>
        </w:rPr>
        <w:t xml:space="preserve">яло и в сегашната им редакция представляваха важен елемент от положителната оценка, която </w:t>
      </w:r>
      <w:r>
        <w:rPr>
          <w:rFonts w:ascii="Times New Roman" w:hAnsi="Times New Roman"/>
          <w:noProof/>
          <w:spacing w:val="-4"/>
          <w:sz w:val="24"/>
          <w:lang w:val="bg-BG"/>
        </w:rPr>
        <w:lastRenderedPageBreak/>
        <w:t>Комисията даде миналия януари. Някои от предложените промени се отнасяха до въпроси като ролята на Съдебния инспекторат и личната отговорност на съдиите, както и назн</w:t>
      </w:r>
      <w:r>
        <w:rPr>
          <w:rFonts w:ascii="Times New Roman" w:hAnsi="Times New Roman"/>
          <w:noProof/>
          <w:spacing w:val="-4"/>
          <w:sz w:val="24"/>
          <w:lang w:val="bg-BG"/>
        </w:rPr>
        <w:t>ачаването на прокурори на ръководни длъжности: въпроси, които засягат независимостта на съдебната власт и във връзка с които промените повдигнаха въпроси относно това дали съдържащата се в доклада от януари 2017 г. оценка на напредъка, свързан с независимо</w:t>
      </w:r>
      <w:r>
        <w:rPr>
          <w:rFonts w:ascii="Times New Roman" w:hAnsi="Times New Roman"/>
          <w:noProof/>
          <w:spacing w:val="-4"/>
          <w:sz w:val="24"/>
          <w:lang w:val="bg-BG"/>
        </w:rPr>
        <w:t>стта на съдебната система, ще трябва да бъде преразгледана. Силно отрицателната реакция от страна на съдебната власт и части от гражданското общество беше съсредоточена най-вече върху въпроса за независимостта на съдебната власт.</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Способността на правителст</w:t>
      </w:r>
      <w:r>
        <w:rPr>
          <w:rFonts w:ascii="Times New Roman" w:hAnsi="Times New Roman"/>
          <w:noProof/>
          <w:spacing w:val="-2"/>
          <w:sz w:val="24"/>
          <w:lang w:val="bg-BG"/>
        </w:rPr>
        <w:t>вото и Парламента за осигуряване на открит, прозрачен и конструктивен законодателен процес във връзка със законите в областта на правосъдието ще има решаващо значение. Като цяло процес, при който независимостта на съдебната власт и становището на съдебната</w:t>
      </w:r>
      <w:r>
        <w:rPr>
          <w:rFonts w:ascii="Times New Roman" w:hAnsi="Times New Roman"/>
          <w:noProof/>
          <w:spacing w:val="-2"/>
          <w:sz w:val="24"/>
          <w:lang w:val="bg-BG"/>
        </w:rPr>
        <w:t xml:space="preserve"> система се ценят и вземат надлежно предвид,</w:t>
      </w:r>
      <w:r>
        <w:rPr>
          <w:rStyle w:val="FootnoteReference"/>
          <w:rFonts w:ascii="Times New Roman" w:hAnsi="Times New Roman"/>
          <w:noProof/>
          <w:spacing w:val="-2"/>
          <w:sz w:val="24"/>
          <w:lang w:val="bg-BG"/>
        </w:rPr>
        <w:footnoteReference w:id="7"/>
      </w:r>
      <w:r>
        <w:rPr>
          <w:rFonts w:ascii="Times New Roman" w:hAnsi="Times New Roman"/>
          <w:noProof/>
          <w:spacing w:val="-2"/>
          <w:sz w:val="24"/>
          <w:lang w:val="bg-BG"/>
        </w:rPr>
        <w:t xml:space="preserve"> както и при който се взема за основа становището на Венецианската комисия, е предпоставка за устойчивостта на реформите и важен елемент в изпълнението на показателите по МСП.</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Критиката срещу съдебната власт и р</w:t>
      </w:r>
      <w:r>
        <w:rPr>
          <w:rFonts w:ascii="Times New Roman" w:hAnsi="Times New Roman"/>
          <w:noProof/>
          <w:sz w:val="24"/>
          <w:lang w:val="bg-BG"/>
        </w:rPr>
        <w:t>ешенията на нейните органи остава проблемен аспект в обществения дебат</w:t>
      </w:r>
      <w:r>
        <w:rPr>
          <w:rStyle w:val="FootnoteReference"/>
          <w:rFonts w:ascii="Times New Roman" w:hAnsi="Times New Roman"/>
          <w:noProof/>
          <w:sz w:val="24"/>
          <w:lang w:val="bg-BG"/>
        </w:rPr>
        <w:footnoteReference w:id="8"/>
      </w:r>
      <w:r>
        <w:rPr>
          <w:noProof/>
          <w:lang w:val="bg-BG"/>
        </w:rPr>
        <w:t>.</w:t>
      </w:r>
      <w:r>
        <w:rPr>
          <w:rFonts w:ascii="Times New Roman" w:hAnsi="Times New Roman"/>
          <w:noProof/>
          <w:sz w:val="24"/>
          <w:lang w:val="bg-BG"/>
        </w:rPr>
        <w:t xml:space="preserve"> Това е в противоречие с положителните констатации на Комисията относно ролята на магистратурата при осъществяването на реформата,</w:t>
      </w:r>
      <w:r>
        <w:rPr>
          <w:rStyle w:val="FootnoteReference"/>
          <w:rFonts w:ascii="Times New Roman" w:hAnsi="Times New Roman"/>
          <w:noProof/>
          <w:sz w:val="24"/>
          <w:lang w:val="bg-BG"/>
        </w:rPr>
        <w:footnoteReference w:id="9"/>
      </w:r>
      <w:r>
        <w:rPr>
          <w:rFonts w:ascii="Times New Roman" w:hAnsi="Times New Roman"/>
          <w:noProof/>
          <w:sz w:val="24"/>
          <w:lang w:val="bg-BG"/>
        </w:rPr>
        <w:t xml:space="preserve"> които се споделят от Съвета,</w:t>
      </w:r>
      <w:r>
        <w:rPr>
          <w:rStyle w:val="FootnoteReference"/>
          <w:rFonts w:ascii="Times New Roman" w:hAnsi="Times New Roman"/>
          <w:noProof/>
          <w:sz w:val="24"/>
          <w:lang w:val="bg-BG"/>
        </w:rPr>
        <w:footnoteReference w:id="10"/>
      </w:r>
      <w:r>
        <w:rPr>
          <w:rFonts w:ascii="Times New Roman" w:hAnsi="Times New Roman"/>
          <w:noProof/>
          <w:sz w:val="24"/>
          <w:lang w:val="bg-BG"/>
        </w:rPr>
        <w:t xml:space="preserve"> и с необходимостта да </w:t>
      </w:r>
      <w:r>
        <w:rPr>
          <w:rFonts w:ascii="Times New Roman" w:hAnsi="Times New Roman"/>
          <w:noProof/>
          <w:sz w:val="24"/>
          <w:lang w:val="bg-BG"/>
        </w:rPr>
        <w:t>се зачита независимостта на съдебната власт. Приемането и зачитането на окончателните съдебни решения и предоставянето на възможност на магистратите да изпълняват безпрепятствено задълженията си е от съществено значение, включително за да се отговори на из</w:t>
      </w:r>
      <w:r>
        <w:rPr>
          <w:rFonts w:ascii="Times New Roman" w:hAnsi="Times New Roman"/>
          <w:noProof/>
          <w:sz w:val="24"/>
          <w:lang w:val="bg-BG"/>
        </w:rPr>
        <w:t>искванията, посочени в доклада от януари.</w:t>
      </w:r>
    </w:p>
    <w:p w:rsidR="00D86939" w:rsidRDefault="00C763E7">
      <w:pPr>
        <w:keepNext/>
        <w:spacing w:before="360" w:after="240" w:line="240" w:lineRule="auto"/>
        <w:ind w:left="567" w:hanging="567"/>
        <w:jc w:val="both"/>
        <w:rPr>
          <w:rFonts w:ascii="Times New Roman" w:hAnsi="Times New Roman"/>
          <w:b/>
          <w:noProof/>
          <w:sz w:val="24"/>
          <w:szCs w:val="24"/>
          <w:lang w:val="bg-BG"/>
        </w:rPr>
      </w:pPr>
      <w:r>
        <w:rPr>
          <w:rFonts w:ascii="Times New Roman" w:hAnsi="Times New Roman"/>
          <w:b/>
          <w:noProof/>
          <w:sz w:val="24"/>
          <w:lang w:val="bg-BG"/>
        </w:rPr>
        <w:t>3.</w:t>
      </w:r>
      <w:r>
        <w:rPr>
          <w:noProof/>
          <w:lang w:val="bg-BG"/>
        </w:rPr>
        <w:tab/>
      </w:r>
      <w:r>
        <w:rPr>
          <w:rFonts w:ascii="Times New Roman" w:hAnsi="Times New Roman"/>
          <w:b/>
          <w:noProof/>
          <w:sz w:val="24"/>
          <w:lang w:val="bg-BG"/>
        </w:rPr>
        <w:t xml:space="preserve">ОЦЕНКА НА НАПРЕДЪКА В ИЗПЪЛНЕНИЕТО НА ПОКАЗАТЕЛИТЕ ПО МСП ВЪЗ ОСНОВА НА ПРЕПОРЪКИТЕ, СЪДЪРЖАЩИ СЕ В ДОКЛАДА ПО МСП ОТ ЯНУАРИ 2017 г. </w:t>
      </w:r>
    </w:p>
    <w:p w:rsidR="00D86939" w:rsidRDefault="00C763E7">
      <w:pPr>
        <w:keepNext/>
        <w:spacing w:before="12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3.1. </w:t>
      </w:r>
      <w:r>
        <w:rPr>
          <w:noProof/>
          <w:lang w:val="bg-BG"/>
        </w:rPr>
        <w:tab/>
      </w:r>
      <w:r>
        <w:rPr>
          <w:rFonts w:ascii="Times New Roman" w:hAnsi="Times New Roman"/>
          <w:b/>
          <w:noProof/>
          <w:sz w:val="24"/>
          <w:lang w:val="bg-BG"/>
        </w:rPr>
        <w:t>Първи показател: Независимост на съдебната власт и съдебна реформа</w:t>
      </w:r>
    </w:p>
    <w:p w:rsidR="00D86939" w:rsidRDefault="00C763E7">
      <w:pPr>
        <w:keepNext/>
        <w:spacing w:before="120" w:after="120" w:line="240" w:lineRule="auto"/>
        <w:jc w:val="both"/>
        <w:rPr>
          <w:rFonts w:ascii="Times New Roman" w:hAnsi="Times New Roman"/>
          <w:b/>
          <w:i/>
          <w:noProof/>
          <w:sz w:val="24"/>
          <w:szCs w:val="24"/>
          <w:lang w:val="bg-BG"/>
        </w:rPr>
      </w:pPr>
      <w:r>
        <w:rPr>
          <w:rFonts w:ascii="Times New Roman" w:hAnsi="Times New Roman"/>
          <w:b/>
          <w:i/>
          <w:noProof/>
          <w:sz w:val="24"/>
          <w:lang w:val="bg-BG"/>
        </w:rPr>
        <w:t>3.1.</w:t>
      </w:r>
      <w:r>
        <w:rPr>
          <w:rFonts w:ascii="Times New Roman" w:hAnsi="Times New Roman"/>
          <w:b/>
          <w:i/>
          <w:noProof/>
          <w:sz w:val="24"/>
          <w:lang w:val="bg-BG"/>
        </w:rPr>
        <w:t>1.</w:t>
      </w:r>
      <w:r>
        <w:rPr>
          <w:noProof/>
          <w:lang w:val="bg-BG"/>
        </w:rPr>
        <w:tab/>
      </w:r>
      <w:r>
        <w:rPr>
          <w:rFonts w:ascii="Times New Roman" w:hAnsi="Times New Roman"/>
          <w:b/>
          <w:i/>
          <w:noProof/>
          <w:sz w:val="24"/>
          <w:lang w:val="bg-BG"/>
        </w:rPr>
        <w:t>Независимост на съдебната власт</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bg-BG"/>
        </w:rPr>
      </w:pPr>
      <w:r>
        <w:rPr>
          <w:rFonts w:ascii="Times New Roman" w:hAnsi="Times New Roman"/>
          <w:b/>
          <w:i/>
          <w:noProof/>
          <w:sz w:val="24"/>
          <w:lang w:val="bg-BG"/>
        </w:rPr>
        <w:t>Препоръка 1:</w:t>
      </w:r>
      <w:r>
        <w:rPr>
          <w:rFonts w:ascii="Times New Roman" w:hAnsi="Times New Roman"/>
          <w:i/>
          <w:noProof/>
          <w:sz w:val="24"/>
          <w:lang w:val="bg-BG"/>
        </w:rPr>
        <w:t xml:space="preserve"> Да се въведе солидна и независима система за назначаване на висши прокурори, основана на ясни и прозрачни критерии, като се използва подкрепата на Венецианската комисия. </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bg-BG"/>
        </w:rPr>
      </w:pPr>
      <w:r>
        <w:rPr>
          <w:rFonts w:ascii="Times New Roman" w:hAnsi="Times New Roman"/>
          <w:b/>
          <w:i/>
          <w:noProof/>
          <w:sz w:val="24"/>
          <w:lang w:val="bg-BG"/>
        </w:rPr>
        <w:t>Препоръка 2</w:t>
      </w:r>
      <w:r>
        <w:rPr>
          <w:rFonts w:ascii="Times New Roman" w:hAnsi="Times New Roman"/>
          <w:i/>
          <w:noProof/>
          <w:sz w:val="24"/>
          <w:lang w:val="bg-BG"/>
        </w:rPr>
        <w:t xml:space="preserve">: Да се гарантира, че </w:t>
      </w:r>
      <w:r>
        <w:rPr>
          <w:rFonts w:ascii="Times New Roman" w:hAnsi="Times New Roman"/>
          <w:i/>
          <w:noProof/>
          <w:sz w:val="24"/>
          <w:lang w:val="bg-BG"/>
        </w:rPr>
        <w:t>подготвяният в момента от парламента Кодекс за поведение на членовете на парламента съдържа ясни разпоредби относно взаимното уважение между институциите и разпоредби, които ясно посочват, че членовете на парламента и парламентарният процес следва да зачит</w:t>
      </w:r>
      <w:r>
        <w:rPr>
          <w:rFonts w:ascii="Times New Roman" w:hAnsi="Times New Roman"/>
          <w:i/>
          <w:noProof/>
          <w:sz w:val="24"/>
          <w:lang w:val="bg-BG"/>
        </w:rPr>
        <w:t>ат независимостта на съдебната власт. Подобен кодекс за поведение може да бъде приет за министрите.</w:t>
      </w:r>
    </w:p>
    <w:p w:rsidR="00D86939" w:rsidRDefault="00C763E7">
      <w:pPr>
        <w:keepNext/>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Назначения</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През януари Комисията</w:t>
      </w:r>
      <w:r>
        <w:rPr>
          <w:rFonts w:ascii="Times New Roman" w:hAnsi="Times New Roman"/>
          <w:b/>
          <w:noProof/>
          <w:sz w:val="24"/>
          <w:lang w:val="bg-BG"/>
        </w:rPr>
        <w:t xml:space="preserve"> </w:t>
      </w:r>
      <w:r>
        <w:rPr>
          <w:rFonts w:ascii="Times New Roman" w:hAnsi="Times New Roman"/>
          <w:noProof/>
          <w:sz w:val="24"/>
          <w:lang w:val="bg-BG"/>
        </w:rPr>
        <w:t>повтори препоръката си за въвеждане на система за прозрачни и основаващи се на качествата на кандидатите назначения на висш</w:t>
      </w:r>
      <w:r>
        <w:rPr>
          <w:rFonts w:ascii="Times New Roman" w:hAnsi="Times New Roman"/>
          <w:noProof/>
          <w:sz w:val="24"/>
          <w:lang w:val="bg-BG"/>
        </w:rPr>
        <w:t>и прокурори, която да предоставя достатъчни гаранции срещу политизиране. Процедурата за назначаване на висши прокурори заема основно място в дебата от август насам относно предложените изменения на законите в областта на правосъдието. Тя фигурираше в първо</w:t>
      </w:r>
      <w:r>
        <w:rPr>
          <w:rFonts w:ascii="Times New Roman" w:hAnsi="Times New Roman"/>
          <w:noProof/>
          <w:sz w:val="24"/>
          <w:lang w:val="bg-BG"/>
        </w:rPr>
        <w:t xml:space="preserve">то отрицателно становище на Висшия магистратски съвет, дадено през септември, и беше изменена допълнително в настоящия проект.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Венецианската комисия потвърди, че съществуват различни модели по отношение на назначаването на поста главен прокурор (или </w:t>
      </w:r>
      <w:r>
        <w:rPr>
          <w:rFonts w:ascii="Times New Roman" w:hAnsi="Times New Roman"/>
          <w:noProof/>
          <w:sz w:val="24"/>
          <w:lang w:val="bg-BG"/>
        </w:rPr>
        <w:t>подобни висши прокурорски длъжности). Тя обаче подчерта необходимостта от адекватен баланс, „</w:t>
      </w:r>
      <w:r>
        <w:rPr>
          <w:rFonts w:ascii="Times New Roman" w:hAnsi="Times New Roman"/>
          <w:i/>
          <w:noProof/>
          <w:sz w:val="24"/>
          <w:lang w:val="bg-BG"/>
        </w:rPr>
        <w:t>за да може да се спечели доверието на обществото и уважението на съдебната система и юридическите професии</w:t>
      </w:r>
      <w:r>
        <w:rPr>
          <w:rFonts w:ascii="Times New Roman" w:hAnsi="Times New Roman"/>
          <w:noProof/>
          <w:sz w:val="24"/>
          <w:lang w:val="bg-BG"/>
        </w:rPr>
        <w:t>.“</w:t>
      </w:r>
      <w:r>
        <w:rPr>
          <w:rStyle w:val="FootnoteReference"/>
          <w:rFonts w:ascii="Times New Roman" w:hAnsi="Times New Roman"/>
          <w:noProof/>
          <w:sz w:val="24"/>
          <w:lang w:val="bg-BG"/>
        </w:rPr>
        <w:footnoteReference w:id="11"/>
      </w:r>
      <w:r>
        <w:rPr>
          <w:rFonts w:ascii="Times New Roman" w:hAnsi="Times New Roman"/>
          <w:noProof/>
          <w:sz w:val="24"/>
          <w:lang w:val="bg-BG"/>
        </w:rPr>
        <w:t xml:space="preserve"> Ролята на президента и степента на преценка, с която </w:t>
      </w:r>
      <w:r>
        <w:rPr>
          <w:rFonts w:ascii="Times New Roman" w:hAnsi="Times New Roman"/>
          <w:noProof/>
          <w:sz w:val="24"/>
          <w:lang w:val="bg-BG"/>
        </w:rPr>
        <w:t>разполага министърът на правосъдието</w:t>
      </w:r>
      <w:r>
        <w:rPr>
          <w:noProof/>
          <w:lang w:val="bg-BG"/>
        </w:rPr>
        <w:t xml:space="preserve"> </w:t>
      </w:r>
      <w:r>
        <w:rPr>
          <w:rFonts w:ascii="Times New Roman" w:hAnsi="Times New Roman"/>
          <w:noProof/>
          <w:sz w:val="24"/>
          <w:lang w:val="bg-BG"/>
        </w:rPr>
        <w:t xml:space="preserve">бяха сред обсъжданите въпроси по тази тема, която включваше и степента, в която същата процедура за назначаване и освобождаване от длъжност би се прилагала за по-ниски ръководни длъжности в прокуратурата. </w:t>
      </w:r>
    </w:p>
    <w:p w:rsidR="00D86939" w:rsidRDefault="00C763E7">
      <w:pPr>
        <w:spacing w:before="120" w:after="120" w:line="240" w:lineRule="auto"/>
        <w:jc w:val="both"/>
        <w:rPr>
          <w:rFonts w:ascii="Times New Roman" w:eastAsia="SimSun" w:hAnsi="Times New Roman"/>
          <w:noProof/>
          <w:sz w:val="24"/>
          <w:szCs w:val="24"/>
          <w:lang w:val="bg-BG"/>
        </w:rPr>
      </w:pPr>
      <w:r>
        <w:rPr>
          <w:rFonts w:ascii="Times New Roman" w:hAnsi="Times New Roman"/>
          <w:noProof/>
          <w:sz w:val="24"/>
          <w:lang w:val="bg-BG"/>
        </w:rPr>
        <w:t>В препоръката</w:t>
      </w:r>
      <w:r>
        <w:rPr>
          <w:rFonts w:ascii="Times New Roman" w:hAnsi="Times New Roman"/>
          <w:noProof/>
          <w:sz w:val="24"/>
          <w:lang w:val="bg-BG"/>
        </w:rPr>
        <w:t xml:space="preserve"> от януари беше посочена необходимостта от получаване на подкрепа от Венецианската комисия, с която да се подпомогне приключването на този дългогодишен дебат</w:t>
      </w:r>
      <w:r>
        <w:rPr>
          <w:rStyle w:val="FootnoteReference"/>
          <w:rFonts w:ascii="Times New Roman" w:hAnsi="Times New Roman"/>
          <w:noProof/>
          <w:sz w:val="24"/>
          <w:lang w:val="bg-BG"/>
        </w:rPr>
        <w:footnoteReference w:id="12"/>
      </w:r>
      <w:r>
        <w:rPr>
          <w:noProof/>
          <w:lang w:val="bg-BG"/>
        </w:rPr>
        <w:t>.</w:t>
      </w:r>
      <w:r>
        <w:rPr>
          <w:rFonts w:ascii="Times New Roman" w:hAnsi="Times New Roman"/>
          <w:noProof/>
          <w:sz w:val="24"/>
          <w:lang w:val="bg-BG"/>
        </w:rPr>
        <w:t xml:space="preserve"> Продължава да е актуално формулираното в препоръката изискване Румъния да поиска съвет от Венеци</w:t>
      </w:r>
      <w:r>
        <w:rPr>
          <w:rFonts w:ascii="Times New Roman" w:hAnsi="Times New Roman"/>
          <w:noProof/>
          <w:sz w:val="24"/>
          <w:lang w:val="bg-BG"/>
        </w:rPr>
        <w:t>анската комисия.</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Изпълнението на тази препоръка ще трябва също така да осигури подходящи гаранции по отношение на прозрачността, независимостта и принципите на взаимозависимост и взаимоограничаване дори ако окончателното решение продължава да се взема на п</w:t>
      </w:r>
      <w:r>
        <w:rPr>
          <w:rFonts w:ascii="Times New Roman" w:hAnsi="Times New Roman"/>
          <w:noProof/>
          <w:sz w:val="24"/>
          <w:lang w:val="bg-BG"/>
        </w:rPr>
        <w:t>олитическо равнище.</w:t>
      </w:r>
    </w:p>
    <w:p w:rsidR="00D86939" w:rsidRDefault="00C763E7">
      <w:pPr>
        <w:keepNext/>
        <w:spacing w:before="120" w:after="120" w:line="240" w:lineRule="auto"/>
        <w:jc w:val="both"/>
        <w:rPr>
          <w:rFonts w:ascii="Times New Roman" w:hAnsi="Times New Roman"/>
          <w:noProof/>
          <w:sz w:val="24"/>
          <w:szCs w:val="24"/>
          <w:lang w:val="bg-BG"/>
        </w:rPr>
      </w:pPr>
      <w:r>
        <w:rPr>
          <w:rFonts w:ascii="Times New Roman" w:hAnsi="Times New Roman"/>
          <w:i/>
          <w:noProof/>
          <w:sz w:val="24"/>
          <w:lang w:val="bg-BG"/>
        </w:rPr>
        <w:t>Кодекси за поведение</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След последния доклад по МСП критиките в медиите срещу съдебната система и магистрати бяха особено силни. Това потвърждава валидността на препоръките за предприемане на мерки за възпиране на поведение, което предста</w:t>
      </w:r>
      <w:r>
        <w:rPr>
          <w:rFonts w:ascii="Times New Roman" w:hAnsi="Times New Roman"/>
          <w:noProof/>
          <w:spacing w:val="-2"/>
          <w:sz w:val="24"/>
          <w:lang w:val="bg-BG"/>
        </w:rPr>
        <w:t>влява открито предизвикателство по отношение на независимостта на съдебната власт и правната сила на съдебните решения. Правните средства за защита, които бяха изпробвани за противодействие на такова поведение, включваха сезиране на Висшия магистратски съв</w:t>
      </w:r>
      <w:r>
        <w:rPr>
          <w:rFonts w:ascii="Times New Roman" w:hAnsi="Times New Roman"/>
          <w:noProof/>
          <w:spacing w:val="-2"/>
          <w:sz w:val="24"/>
          <w:lang w:val="bg-BG"/>
        </w:rPr>
        <w:t xml:space="preserve">ет и започване на съдебни дела от отделни магистрати. Препоръката на Комисията обаче имаше за цел този проблем да бъде признат от институциите и да се вземе решение за предприемане на стъпки за преодоляването му. Това е съображението, на което се основава </w:t>
      </w:r>
      <w:r>
        <w:rPr>
          <w:rFonts w:ascii="Times New Roman" w:hAnsi="Times New Roman"/>
          <w:noProof/>
          <w:spacing w:val="-2"/>
          <w:sz w:val="24"/>
          <w:lang w:val="bg-BG"/>
        </w:rPr>
        <w:t>препоръката за приемане на кодекс за поведение на членовете на парламента, който да включва разпоредби за зачитане на независимостта на съдебната власт.</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Парламентът прие Кодекс за поведение на 11 октомври 2017 г. Включването в него на широкообхватна разпор</w:t>
      </w:r>
      <w:r>
        <w:rPr>
          <w:rFonts w:ascii="Times New Roman" w:hAnsi="Times New Roman"/>
          <w:noProof/>
          <w:sz w:val="24"/>
          <w:lang w:val="bg-BG"/>
        </w:rPr>
        <w:t>едба за зачитане на принципа за разделение на властите е положителна стъпка. Въпреки че препоръката на Комисията за конкретно позоваване на независимостта на съдебната власт не бе последвана, прилагането на Кодекса би могло да постигне същия резултат по ра</w:t>
      </w:r>
      <w:r>
        <w:rPr>
          <w:rFonts w:ascii="Times New Roman" w:hAnsi="Times New Roman"/>
          <w:noProof/>
          <w:sz w:val="24"/>
          <w:lang w:val="bg-BG"/>
        </w:rPr>
        <w:t>злични начини. Ето защо следващият етап ще бъде да се види какво е практическото въздействие на Кодекса, що се отнася до определянето на действията, които нарушават границите, установени с него, и на мерките, които да се предприемат, когато тези граници се</w:t>
      </w:r>
      <w:r>
        <w:rPr>
          <w:rFonts w:ascii="Times New Roman" w:hAnsi="Times New Roman"/>
          <w:noProof/>
          <w:sz w:val="24"/>
          <w:lang w:val="bg-BG"/>
        </w:rPr>
        <w:t xml:space="preserve"> преминават. От полза би било например Кодексът за поведение да е придружен от насоки, примери и мерки за повишаване на осведомеността относно начините за справяне с конкретни ситуации,</w:t>
      </w:r>
      <w:r>
        <w:rPr>
          <w:rFonts w:ascii="Times New Roman" w:hAnsi="Times New Roman"/>
          <w:noProof/>
          <w:sz w:val="24"/>
          <w:vertAlign w:val="superscript"/>
          <w:lang w:val="bg-BG"/>
        </w:rPr>
        <w:footnoteReference w:id="13"/>
      </w:r>
      <w:r>
        <w:rPr>
          <w:rFonts w:ascii="Times New Roman" w:hAnsi="Times New Roman"/>
          <w:noProof/>
          <w:sz w:val="24"/>
          <w:lang w:val="bg-BG"/>
        </w:rPr>
        <w:t xml:space="preserve"> които да спомогнат за превръщането му ефективен инструмент за намаляване на критиките на обществото срещу съдиите и за повишаване на уважението спрямо съдебната система и съдебните решения. Така например би следвало да се очаква, че когато Висшият магистр</w:t>
      </w:r>
      <w:r>
        <w:rPr>
          <w:rFonts w:ascii="Times New Roman" w:hAnsi="Times New Roman"/>
          <w:noProof/>
          <w:sz w:val="24"/>
          <w:lang w:val="bg-BG"/>
        </w:rPr>
        <w:t xml:space="preserve">атски съвет осъди изявления на депутат, критикуващи магистрат или съдебната система, ще последват ясни последващи действия в Парламента, за да се прецени дали Кодексът е бил нарушен.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януарския доклад също така беше изразена идеята, че би било полезно да</w:t>
      </w:r>
      <w:r>
        <w:rPr>
          <w:rFonts w:ascii="Times New Roman" w:hAnsi="Times New Roman"/>
          <w:noProof/>
          <w:sz w:val="24"/>
          <w:lang w:val="bg-BG"/>
        </w:rPr>
        <w:t xml:space="preserve"> се приеме Кодекс за поведение на министрите. През юли 2017 г. новоназначеното правителство прие Кодекс за поведение на министрите, който съдържа подобна разпоредба относно зачитането на разделението на властите.</w:t>
      </w:r>
    </w:p>
    <w:p w:rsidR="00D86939" w:rsidRDefault="00C763E7">
      <w:pPr>
        <w:spacing w:after="0" w:line="240" w:lineRule="auto"/>
        <w:jc w:val="both"/>
        <w:rPr>
          <w:rFonts w:ascii="Times New Roman" w:hAnsi="Times New Roman"/>
          <w:noProof/>
          <w:sz w:val="24"/>
          <w:szCs w:val="24"/>
          <w:lang w:val="bg-BG"/>
        </w:rPr>
      </w:pPr>
      <w:r>
        <w:rPr>
          <w:rFonts w:ascii="Times New Roman" w:hAnsi="Times New Roman"/>
          <w:noProof/>
          <w:sz w:val="24"/>
          <w:lang w:val="bg-BG"/>
        </w:rPr>
        <w:t>Прилагането на практика на кодексите за пов</w:t>
      </w:r>
      <w:r>
        <w:rPr>
          <w:rFonts w:ascii="Times New Roman" w:hAnsi="Times New Roman"/>
          <w:noProof/>
          <w:sz w:val="24"/>
          <w:lang w:val="bg-BG"/>
        </w:rPr>
        <w:t>едение в отговор на критики от членове на парламента и правителството срещу съдебната власт следователно също е от значение.</w:t>
      </w:r>
    </w:p>
    <w:p w:rsidR="00D86939" w:rsidRDefault="00C763E7">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3.1.2. </w:t>
      </w:r>
      <w:r>
        <w:rPr>
          <w:noProof/>
          <w:lang w:val="bg-BG"/>
        </w:rPr>
        <w:tab/>
      </w:r>
      <w:r>
        <w:rPr>
          <w:rFonts w:ascii="Times New Roman" w:hAnsi="Times New Roman"/>
          <w:b/>
          <w:noProof/>
          <w:sz w:val="24"/>
          <w:lang w:val="bg-BG"/>
        </w:rPr>
        <w:t>Съдебна реформа</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pacing w:val="-4"/>
          <w:sz w:val="24"/>
          <w:szCs w:val="24"/>
          <w:lang w:val="bg-BG"/>
        </w:rPr>
      </w:pPr>
      <w:r>
        <w:rPr>
          <w:rFonts w:ascii="Times New Roman" w:hAnsi="Times New Roman"/>
          <w:b/>
          <w:i/>
          <w:noProof/>
          <w:spacing w:val="-4"/>
          <w:sz w:val="24"/>
          <w:lang w:val="bg-BG"/>
        </w:rPr>
        <w:t>Препоръка 3</w:t>
      </w:r>
      <w:r>
        <w:rPr>
          <w:rFonts w:ascii="Times New Roman" w:hAnsi="Times New Roman"/>
          <w:i/>
          <w:noProof/>
          <w:spacing w:val="-4"/>
          <w:sz w:val="24"/>
          <w:lang w:val="bg-BG"/>
        </w:rPr>
        <w:t>: Сегашната фаза на реформата на румънските наказателни кодекси следва да приключи, като парламе</w:t>
      </w:r>
      <w:r>
        <w:rPr>
          <w:rFonts w:ascii="Times New Roman" w:hAnsi="Times New Roman"/>
          <w:i/>
          <w:noProof/>
          <w:spacing w:val="-4"/>
          <w:sz w:val="24"/>
          <w:lang w:val="bg-BG"/>
        </w:rPr>
        <w:t>нтът напредне с плановете си да приеме измененията, внесени след консултацията със съдебните органи през 2016 г. Министърът на правосъдието, Висшият магистратски съвет</w:t>
      </w:r>
      <w:r>
        <w:rPr>
          <w:rFonts w:ascii="Times New Roman" w:eastAsiaTheme="minorHAnsi" w:hAnsi="Times New Roman"/>
          <w:noProof/>
          <w:spacing w:val="-4"/>
          <w:sz w:val="24"/>
          <w:lang w:val="bg-BG"/>
        </w:rPr>
        <w:t xml:space="preserve"> </w:t>
      </w:r>
      <w:r>
        <w:rPr>
          <w:rFonts w:ascii="Times New Roman" w:hAnsi="Times New Roman"/>
          <w:i/>
          <w:noProof/>
          <w:spacing w:val="-4"/>
          <w:sz w:val="24"/>
          <w:lang w:val="bg-BG"/>
        </w:rPr>
        <w:t xml:space="preserve">и Висшият касационен съд следва да финализират план за действие, за да се гарантира, че </w:t>
      </w:r>
      <w:r>
        <w:rPr>
          <w:rFonts w:ascii="Times New Roman" w:hAnsi="Times New Roman"/>
          <w:i/>
          <w:noProof/>
          <w:spacing w:val="-4"/>
          <w:sz w:val="24"/>
          <w:lang w:val="bg-BG"/>
        </w:rPr>
        <w:t>ще може да се спази новият краен срок за прилагането на останалите разпоредби на Гражданския процесуален кодекс.</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pacing w:val="-4"/>
          <w:sz w:val="24"/>
          <w:szCs w:val="24"/>
          <w:lang w:val="bg-BG"/>
        </w:rPr>
      </w:pPr>
      <w:r>
        <w:rPr>
          <w:rFonts w:ascii="Times New Roman" w:hAnsi="Times New Roman"/>
          <w:b/>
          <w:i/>
          <w:noProof/>
          <w:spacing w:val="-4"/>
          <w:sz w:val="24"/>
          <w:lang w:val="bg-BG"/>
        </w:rPr>
        <w:t>Препоръка 4</w:t>
      </w:r>
      <w:r>
        <w:rPr>
          <w:rFonts w:ascii="Times New Roman" w:hAnsi="Times New Roman"/>
          <w:i/>
          <w:noProof/>
          <w:spacing w:val="-4"/>
          <w:sz w:val="24"/>
          <w:lang w:val="bg-BG"/>
        </w:rPr>
        <w:t xml:space="preserve">: С цел да увеличат допълнително прозрачността и предвидимостта на законодателния процес и да засилят вътрешните гаранции в интерес </w:t>
      </w:r>
      <w:r>
        <w:rPr>
          <w:rFonts w:ascii="Times New Roman" w:hAnsi="Times New Roman"/>
          <w:i/>
          <w:noProof/>
          <w:spacing w:val="-4"/>
          <w:sz w:val="24"/>
          <w:lang w:val="bg-BG"/>
        </w:rPr>
        <w:t>на необратимостта на напредъка, като следват примера на въведената през 2016 г. от правителството прозрачност в процеса на вземане на решения, правителството и парламентът следва да гарантират пълна прозрачност и надлежно да отчетат консултациите със съотв</w:t>
      </w:r>
      <w:r>
        <w:rPr>
          <w:rFonts w:ascii="Times New Roman" w:hAnsi="Times New Roman"/>
          <w:i/>
          <w:noProof/>
          <w:spacing w:val="-4"/>
          <w:sz w:val="24"/>
          <w:lang w:val="bg-BG"/>
        </w:rPr>
        <w:t>етните органи и заинтересовани страни в процеса на вземане на решения и законодателната дейност по Наказателния кодекс и Наказателно-процесуалния кодекс, законодателството за борба с корупцията, законодателството за съблюдаване на етичните норми (несъвмест</w:t>
      </w:r>
      <w:r>
        <w:rPr>
          <w:rFonts w:ascii="Times New Roman" w:hAnsi="Times New Roman"/>
          <w:i/>
          <w:noProof/>
          <w:spacing w:val="-4"/>
          <w:sz w:val="24"/>
          <w:lang w:val="bg-BG"/>
        </w:rPr>
        <w:t>имост, конфликти на интереси и богатство с неизяснен произход), законодателството за правосъдието (засягащо организацията на правосъдната система) и по Гражданския кодекс и Гражданския процесуален кодекс.</w:t>
      </w:r>
    </w:p>
    <w:p w:rsidR="00D86939" w:rsidRDefault="00C763E7">
      <w:pPr>
        <w:keepNext/>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Нови кодекси</w:t>
      </w:r>
    </w:p>
    <w:p w:rsidR="00D86939" w:rsidRDefault="00C763E7">
      <w:pPr>
        <w:spacing w:before="120" w:after="120" w:line="240" w:lineRule="auto"/>
        <w:jc w:val="both"/>
        <w:rPr>
          <w:rFonts w:ascii="Times New Roman" w:eastAsia="Times New Roman" w:hAnsi="Times New Roman"/>
          <w:noProof/>
          <w:sz w:val="24"/>
          <w:szCs w:val="24"/>
          <w:lang w:val="bg-BG"/>
        </w:rPr>
      </w:pPr>
      <w:r>
        <w:rPr>
          <w:rFonts w:ascii="Times New Roman" w:hAnsi="Times New Roman"/>
          <w:noProof/>
          <w:sz w:val="24"/>
          <w:lang w:val="bg-BG"/>
        </w:rPr>
        <w:t xml:space="preserve">През 2017 г. имаше редица промени във </w:t>
      </w:r>
      <w:r>
        <w:rPr>
          <w:rFonts w:ascii="Times New Roman" w:hAnsi="Times New Roman"/>
          <w:noProof/>
          <w:sz w:val="24"/>
          <w:lang w:val="bg-BG"/>
        </w:rPr>
        <w:t>връзка с Наказателния кодекс и Наказателно-процесуалния кодекс. Докато някои от тези промени преследват целите, които са в основата на препоръките на Комисията, други възпрепятстват целта за повече сигурност и стабилност в реформата на кодексите. Трябва да</w:t>
      </w:r>
      <w:r>
        <w:rPr>
          <w:rFonts w:ascii="Times New Roman" w:hAnsi="Times New Roman"/>
          <w:noProof/>
          <w:sz w:val="24"/>
          <w:lang w:val="bg-BG"/>
        </w:rPr>
        <w:t xml:space="preserve"> се отбележи, че много от дебатите около наказателните кодекси са съсредоточени върху разпоредбите, които се отнасят до престъпления, свързани с корупция по високите етажи на властта.</w:t>
      </w:r>
    </w:p>
    <w:p w:rsidR="00D86939" w:rsidRDefault="00C763E7">
      <w:pPr>
        <w:spacing w:before="120" w:after="120" w:line="240" w:lineRule="auto"/>
        <w:jc w:val="both"/>
        <w:rPr>
          <w:rFonts w:ascii="Times New Roman" w:eastAsia="Times New Roman" w:hAnsi="Times New Roman"/>
          <w:noProof/>
          <w:sz w:val="24"/>
          <w:szCs w:val="24"/>
          <w:lang w:val="bg-BG"/>
        </w:rPr>
      </w:pPr>
      <w:r>
        <w:rPr>
          <w:rFonts w:ascii="Times New Roman" w:eastAsiaTheme="minorHAnsi" w:hAnsi="Times New Roman"/>
          <w:noProof/>
          <w:sz w:val="24"/>
          <w:lang w:val="bg-BG"/>
        </w:rPr>
        <w:t xml:space="preserve">Препоръката за приключване на сегашната фаза от реформата на румънските </w:t>
      </w:r>
      <w:r>
        <w:rPr>
          <w:rFonts w:ascii="Times New Roman" w:eastAsiaTheme="minorHAnsi" w:hAnsi="Times New Roman"/>
          <w:noProof/>
          <w:sz w:val="24"/>
          <w:lang w:val="bg-BG"/>
        </w:rPr>
        <w:t>наказателни кодекси остава неизпълнена. Парламентът досега не е приел нито един от проектите за изменения, предложени от правителството през 2016 г. в резултат от широки консултации със съдебната система.</w:t>
      </w:r>
      <w:r>
        <w:rPr>
          <w:rFonts w:ascii="Times New Roman" w:eastAsiaTheme="minorHAnsi" w:hAnsi="Times New Roman"/>
          <w:noProof/>
          <w:sz w:val="24"/>
          <w:vertAlign w:val="superscript"/>
          <w:lang w:val="bg-BG"/>
        </w:rPr>
        <w:footnoteReference w:id="14"/>
      </w:r>
      <w:r>
        <w:rPr>
          <w:rFonts w:ascii="Times New Roman" w:eastAsiaTheme="minorHAnsi" w:hAnsi="Times New Roman"/>
          <w:noProof/>
          <w:sz w:val="24"/>
          <w:lang w:val="bg-BG"/>
        </w:rPr>
        <w:t xml:space="preserve"> Парламентът обаче прие други изменения на Наказате</w:t>
      </w:r>
      <w:r>
        <w:rPr>
          <w:rFonts w:ascii="Times New Roman" w:eastAsiaTheme="minorHAnsi" w:hAnsi="Times New Roman"/>
          <w:noProof/>
          <w:sz w:val="24"/>
          <w:lang w:val="bg-BG"/>
        </w:rPr>
        <w:t>лния кодекс, и по-специално тези, вследствие на които се декриминализира конфликтът на интереси</w:t>
      </w:r>
      <w:r>
        <w:rPr>
          <w:rStyle w:val="FootnoteReference"/>
          <w:rFonts w:ascii="Times New Roman" w:eastAsiaTheme="minorHAnsi" w:hAnsi="Times New Roman"/>
          <w:noProof/>
          <w:sz w:val="24"/>
          <w:lang w:val="bg-BG"/>
        </w:rPr>
        <w:footnoteReference w:id="15"/>
      </w:r>
      <w:r>
        <w:rPr>
          <w:noProof/>
          <w:lang w:val="bg-BG"/>
        </w:rPr>
        <w:t>.</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Бързо последвалите решения на Конституционния съд за обявяване за противоконституционни на разпоредби от кодексите допълнително усложниха осигуряването на ста</w:t>
      </w:r>
      <w:r>
        <w:rPr>
          <w:rFonts w:ascii="Times New Roman" w:hAnsi="Times New Roman"/>
          <w:noProof/>
          <w:sz w:val="24"/>
          <w:lang w:val="bg-BG"/>
        </w:rPr>
        <w:t>билност. Министерството на правосъдието се зае с разрешаването на тези въпроси чрез консултации с представители на съдебната власт, юридическите професии и гражданското общество, а правителството изрази намерението си да приеме съответни изменения. Въпреки</w:t>
      </w:r>
      <w:r>
        <w:rPr>
          <w:rFonts w:ascii="Times New Roman" w:hAnsi="Times New Roman"/>
          <w:noProof/>
          <w:sz w:val="24"/>
          <w:lang w:val="bg-BG"/>
        </w:rPr>
        <w:t xml:space="preserve"> това нито една от предложените промени все още не е трансформирана в законодателно изменение и подобни закъснения могат да доведат до различни тълкувания. Вземането на бързи и последователни мерки с оглед на необходимостта от адаптиране на законодателство</w:t>
      </w:r>
      <w:r>
        <w:rPr>
          <w:rFonts w:ascii="Times New Roman" w:hAnsi="Times New Roman"/>
          <w:noProof/>
          <w:sz w:val="24"/>
          <w:lang w:val="bg-BG"/>
        </w:rPr>
        <w:t>то с цел изпълнение на решенията на Конституционния съд следва да бъде важен приоритет, без да се прави компромис с качеството на подготовката на измененията. Правителството изрази намерението си да приеме нов пакет от изменения, основаващи се на решенията</w:t>
      </w:r>
      <w:r>
        <w:rPr>
          <w:rFonts w:ascii="Times New Roman" w:hAnsi="Times New Roman"/>
          <w:noProof/>
          <w:sz w:val="24"/>
          <w:lang w:val="bg-BG"/>
        </w:rPr>
        <w:t xml:space="preserve"> на Конституционния съд. </w:t>
      </w:r>
    </w:p>
    <w:p w:rsidR="00D86939" w:rsidRDefault="00C763E7">
      <w:pPr>
        <w:spacing w:before="120" w:after="120"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Препоръката също така се отнася до приключването на реформата на Гражданския процесуален кодекс. През декември 2016 г. беше определен нов краен срок — януари 2019 г., за началото на прилагането на останалите разпоредби от Кодекса.</w:t>
      </w:r>
      <w:r>
        <w:rPr>
          <w:rFonts w:ascii="Times New Roman" w:hAnsi="Times New Roman"/>
          <w:noProof/>
          <w:spacing w:val="-4"/>
          <w:sz w:val="24"/>
          <w:lang w:val="bg-BG"/>
        </w:rPr>
        <w:t xml:space="preserve"> Понастоящем се водят обсъждания между министъра на правосъдието, Висшия магистратски съвет и Висшия касационен съд. Първите стъпки за осигуряване на необходимата инфраструктура за новите заседателни зали бяха предприети и министърът на правосъдието понаст</w:t>
      </w:r>
      <w:r>
        <w:rPr>
          <w:rFonts w:ascii="Times New Roman" w:hAnsi="Times New Roman"/>
          <w:noProof/>
          <w:spacing w:val="-4"/>
          <w:sz w:val="24"/>
          <w:lang w:val="bg-BG"/>
        </w:rPr>
        <w:t>оящем приключва изготвянето на план за приемане от страна на правителството. Що се отнася до стабилността на гражданските кодекси, решенията на Конституционния съд също създават предизвикателства. По-специално едно скорошно решение на Конституционния съд о</w:t>
      </w:r>
      <w:r>
        <w:rPr>
          <w:rFonts w:ascii="Times New Roman" w:hAnsi="Times New Roman"/>
          <w:noProof/>
          <w:spacing w:val="-4"/>
          <w:sz w:val="24"/>
          <w:lang w:val="bg-BG"/>
        </w:rPr>
        <w:t>тносно преди съществуващия праг за ограничаване на възможността за обжалване на втора инстанция би могло да доведе до значително допълнително натоварване на Висшия касационен съд</w:t>
      </w:r>
      <w:r>
        <w:rPr>
          <w:rStyle w:val="FootnoteReference"/>
          <w:rFonts w:ascii="Times New Roman" w:hAnsi="Times New Roman"/>
          <w:noProof/>
          <w:spacing w:val="-4"/>
          <w:sz w:val="24"/>
          <w:lang w:val="bg-BG"/>
        </w:rPr>
        <w:footnoteReference w:id="16"/>
      </w:r>
      <w:r>
        <w:rPr>
          <w:noProof/>
          <w:spacing w:val="-4"/>
          <w:lang w:val="bg-BG"/>
        </w:rPr>
        <w:t>.</w:t>
      </w:r>
      <w:r>
        <w:rPr>
          <w:rFonts w:ascii="Times New Roman" w:hAnsi="Times New Roman"/>
          <w:noProof/>
          <w:spacing w:val="-4"/>
          <w:sz w:val="24"/>
          <w:lang w:val="bg-BG"/>
        </w:rPr>
        <w:t xml:space="preserve"> Министърът на правосъдието обмисля начини за смекчаване на въздействието въ</w:t>
      </w:r>
      <w:r>
        <w:rPr>
          <w:rFonts w:ascii="Times New Roman" w:hAnsi="Times New Roman"/>
          <w:noProof/>
          <w:spacing w:val="-4"/>
          <w:sz w:val="24"/>
          <w:lang w:val="bg-BG"/>
        </w:rPr>
        <w:t>рху натоварването на Висшия съд посредством разглеждане на по-голям брой дела от по-долустоящи съдилища. Висшият съд вече е значително натоварен и в януарския доклад беше подчертано значението на неговата работа по упражняване на касационни правомощия и по</w:t>
      </w:r>
      <w:r>
        <w:rPr>
          <w:rFonts w:ascii="Times New Roman" w:hAnsi="Times New Roman"/>
          <w:noProof/>
          <w:spacing w:val="-4"/>
          <w:sz w:val="24"/>
          <w:lang w:val="bg-BG"/>
        </w:rPr>
        <w:t xml:space="preserve"> тълкуване на законите</w:t>
      </w:r>
      <w:r>
        <w:rPr>
          <w:rStyle w:val="FootnoteReference"/>
          <w:rFonts w:ascii="Times New Roman" w:hAnsi="Times New Roman"/>
          <w:noProof/>
          <w:spacing w:val="-4"/>
          <w:sz w:val="24"/>
          <w:lang w:val="bg-BG"/>
        </w:rPr>
        <w:footnoteReference w:id="17"/>
      </w:r>
      <w:r>
        <w:rPr>
          <w:noProof/>
          <w:spacing w:val="-4"/>
          <w:lang w:val="bg-BG"/>
        </w:rPr>
        <w:t>.</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i/>
          <w:noProof/>
          <w:sz w:val="24"/>
          <w:lang w:val="bg-BG"/>
        </w:rPr>
        <w:t>Прозрачност и предвидимост на законодателния процес за законодателството в областта на съдебната реформа и борбата с корупцията</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След доклада от януари имаше поредица от случаи, предизвикващи опасения относно прозрачността и предвид</w:t>
      </w:r>
      <w:r>
        <w:rPr>
          <w:rFonts w:ascii="Times New Roman" w:hAnsi="Times New Roman"/>
          <w:noProof/>
          <w:sz w:val="24"/>
          <w:lang w:val="bg-BG"/>
        </w:rPr>
        <w:t>имостта на законодателния процес, независимо дали той бе иницииран от правителството или парламента. Редица мерки и изменения бяха приети от парламента без възможност или при ограничена възможност за консултации и обществен дебат.</w:t>
      </w:r>
      <w:r>
        <w:rPr>
          <w:rFonts w:ascii="Times New Roman" w:hAnsi="Times New Roman"/>
          <w:noProof/>
          <w:sz w:val="24"/>
          <w:vertAlign w:val="superscript"/>
          <w:lang w:val="bg-BG"/>
        </w:rPr>
        <w:footnoteReference w:id="18"/>
      </w:r>
      <w:r>
        <w:rPr>
          <w:rFonts w:ascii="Times New Roman" w:hAnsi="Times New Roman"/>
          <w:noProof/>
          <w:sz w:val="24"/>
          <w:lang w:val="bg-BG"/>
        </w:rPr>
        <w:t xml:space="preserve"> Бяха въведени и други пр</w:t>
      </w:r>
      <w:r>
        <w:rPr>
          <w:rFonts w:ascii="Times New Roman" w:hAnsi="Times New Roman"/>
          <w:noProof/>
          <w:sz w:val="24"/>
          <w:lang w:val="bg-BG"/>
        </w:rPr>
        <w:t>облематични и несъгласувани предложения и въпреки че много от тях никога не се придвижиха напред в парламентарния процес, фактът, че те остават в дневния ред на парламента създава значително ниво на несигурност: за пример може да се вземе закона за помилва</w:t>
      </w:r>
      <w:r>
        <w:rPr>
          <w:rFonts w:ascii="Times New Roman" w:hAnsi="Times New Roman"/>
          <w:noProof/>
          <w:sz w:val="24"/>
          <w:lang w:val="bg-BG"/>
        </w:rPr>
        <w:t xml:space="preserve">нето или закона относно отговорността на магистратите.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Гласът на гражданското общество също беше важен за посочване на потенциалните последици за съдебната реформа и борбата с корупцията. Настоящият спор около законите в областта на правосъдието ще бъде важен тест за степента, в която магистратурата и другите </w:t>
      </w:r>
      <w:r>
        <w:rPr>
          <w:rFonts w:ascii="Times New Roman" w:hAnsi="Times New Roman"/>
          <w:noProof/>
          <w:sz w:val="24"/>
          <w:lang w:val="bg-BG"/>
        </w:rPr>
        <w:t xml:space="preserve">заинтересовани страни получават възможност да изразят законните си интереси, както и за това дали тези интереси се вземат под внимание в достатъчна степен при окончателните решения.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Една инициатива, предназначена да допринесе за справяне с тази ситуация, </w:t>
      </w:r>
      <w:r>
        <w:rPr>
          <w:rFonts w:ascii="Times New Roman" w:hAnsi="Times New Roman"/>
          <w:noProof/>
          <w:sz w:val="24"/>
          <w:lang w:val="bg-BG"/>
        </w:rPr>
        <w:t>беше лансирана от председателя на правната комисия на Сената, който прикани министъра на правосъдието и Висшия магистратски съвет към установяване на постоянен диалог между държавните институции относно измененията на наказателните кодекси и други важни за</w:t>
      </w:r>
      <w:r>
        <w:rPr>
          <w:rFonts w:ascii="Times New Roman" w:hAnsi="Times New Roman"/>
          <w:noProof/>
          <w:sz w:val="24"/>
          <w:lang w:val="bg-BG"/>
        </w:rPr>
        <w:t>кони. Целта бе да се създаде предвидима процедура за изменение, гарантираща дебат и обществена консултация. Парламентът възприе идеята и в началото на октомври създаде специална парламентарна комисия за систематизиране, унифициране и гарантиране на законод</w:t>
      </w:r>
      <w:r>
        <w:rPr>
          <w:rFonts w:ascii="Times New Roman" w:hAnsi="Times New Roman"/>
          <w:noProof/>
          <w:sz w:val="24"/>
          <w:lang w:val="bg-BG"/>
        </w:rPr>
        <w:t xml:space="preserve">ателна стабилност в съдебната система. </w:t>
      </w:r>
    </w:p>
    <w:p w:rsidR="00D86939" w:rsidRDefault="00C763E7">
      <w:pPr>
        <w:spacing w:before="120" w:after="120" w:line="240" w:lineRule="auto"/>
        <w:jc w:val="both"/>
        <w:rPr>
          <w:rFonts w:ascii="Times New Roman" w:eastAsiaTheme="minorHAnsi" w:hAnsi="Times New Roman"/>
          <w:noProof/>
          <w:sz w:val="24"/>
          <w:szCs w:val="24"/>
          <w:lang w:val="bg-BG"/>
        </w:rPr>
      </w:pPr>
      <w:r>
        <w:rPr>
          <w:rFonts w:ascii="Times New Roman" w:hAnsi="Times New Roman"/>
          <w:noProof/>
          <w:sz w:val="24"/>
          <w:lang w:val="bg-BG"/>
        </w:rPr>
        <w:t xml:space="preserve">За целите на изпълнението на препоръка 4, тази комисия ще трябва да докаже капацитета си за изграждане на доверие между парламента, правителството и съдебната власт, както и за улесняване на конструктивното </w:t>
      </w:r>
      <w:r>
        <w:rPr>
          <w:rFonts w:ascii="Times New Roman" w:hAnsi="Times New Roman"/>
          <w:noProof/>
          <w:sz w:val="24"/>
          <w:lang w:val="bg-BG"/>
        </w:rPr>
        <w:t>сътрудничество по ключови законодателни актове. Тази комисия има възможността да премахне несигурността по отношение на кодексите и на свързаната с тях препоръка 3 чрез консенсусно приемане на изменения, при което се запазва напредъкът, постигнат благодаре</w:t>
      </w:r>
      <w:r>
        <w:rPr>
          <w:rFonts w:ascii="Times New Roman" w:hAnsi="Times New Roman"/>
          <w:noProof/>
          <w:sz w:val="24"/>
          <w:lang w:val="bg-BG"/>
        </w:rPr>
        <w:t>ние на реформите на тези четири кодекса. Комисията би могла също така да спомогне за осигуряването на съгласуван процес за създаване на правна сигурност след постановяването на решения от страна на Конституционния съд.</w:t>
      </w:r>
    </w:p>
    <w:p w:rsidR="00D86939" w:rsidRDefault="00D86939">
      <w:pPr>
        <w:spacing w:after="120" w:line="240" w:lineRule="auto"/>
        <w:jc w:val="both"/>
        <w:rPr>
          <w:rFonts w:ascii="Times New Roman" w:hAnsi="Times New Roman"/>
          <w:noProof/>
          <w:sz w:val="24"/>
          <w:szCs w:val="24"/>
          <w:lang w:val="bg-BG"/>
        </w:rPr>
      </w:pP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bg-BG"/>
        </w:rPr>
      </w:pPr>
      <w:r>
        <w:rPr>
          <w:rFonts w:ascii="Times New Roman" w:hAnsi="Times New Roman"/>
          <w:b/>
          <w:i/>
          <w:noProof/>
          <w:sz w:val="24"/>
          <w:lang w:val="bg-BG"/>
        </w:rPr>
        <w:t>Препоръка 5:</w:t>
      </w:r>
      <w:r>
        <w:rPr>
          <w:rFonts w:ascii="Times New Roman" w:hAnsi="Times New Roman"/>
          <w:i/>
          <w:noProof/>
          <w:sz w:val="24"/>
          <w:lang w:val="bg-BG"/>
        </w:rPr>
        <w:t xml:space="preserve"> Правителството следва д</w:t>
      </w:r>
      <w:r>
        <w:rPr>
          <w:rFonts w:ascii="Times New Roman" w:hAnsi="Times New Roman"/>
          <w:i/>
          <w:noProof/>
          <w:sz w:val="24"/>
          <w:lang w:val="bg-BG"/>
        </w:rPr>
        <w:t xml:space="preserve">а въведе подходящ план за действие за решаване на въпроса с изпълнението на съдебните решения и прилагането от публичната администрация на съдебната практика, включително механизъм за осигуряване на точна статистика, за да се даде възможност за извършване </w:t>
      </w:r>
      <w:r>
        <w:rPr>
          <w:rFonts w:ascii="Times New Roman" w:hAnsi="Times New Roman"/>
          <w:i/>
          <w:noProof/>
          <w:sz w:val="24"/>
          <w:lang w:val="bg-BG"/>
        </w:rPr>
        <w:t>на мониторинг в бъдеще. То следва също така да разработи система за вътрешен мониторинг с участието на Висшия магистратски съвет и Сметната палата, за да се гарантира правилното изпълнение на плана за действие.</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pacing w:val="-6"/>
          <w:sz w:val="24"/>
          <w:szCs w:val="24"/>
          <w:lang w:val="bg-BG"/>
        </w:rPr>
      </w:pPr>
      <w:r>
        <w:rPr>
          <w:rFonts w:ascii="Times New Roman" w:hAnsi="Times New Roman"/>
          <w:b/>
          <w:i/>
          <w:noProof/>
          <w:spacing w:val="-6"/>
          <w:sz w:val="24"/>
          <w:lang w:val="bg-BG"/>
        </w:rPr>
        <w:t>Препоръка 6:</w:t>
      </w:r>
      <w:r>
        <w:rPr>
          <w:rFonts w:ascii="Times New Roman" w:hAnsi="Times New Roman"/>
          <w:i/>
          <w:noProof/>
          <w:spacing w:val="-6"/>
          <w:sz w:val="24"/>
          <w:lang w:val="bg-BG"/>
        </w:rPr>
        <w:t xml:space="preserve"> Стратегическото ръководство на с</w:t>
      </w:r>
      <w:r>
        <w:rPr>
          <w:rFonts w:ascii="Times New Roman" w:hAnsi="Times New Roman"/>
          <w:i/>
          <w:noProof/>
          <w:spacing w:val="-6"/>
          <w:sz w:val="24"/>
          <w:lang w:val="bg-BG"/>
        </w:rPr>
        <w:t>ъдебната система, а именно министърът на правосъдието, Висшият магистратски съвет, Висшият касационен съд и главният прокурор, следва да осигури изпълнението на приетия план за действие и да въведе редовно съвместно публично докладване относно изпълнението</w:t>
      </w:r>
      <w:r>
        <w:rPr>
          <w:rFonts w:ascii="Times New Roman" w:hAnsi="Times New Roman"/>
          <w:i/>
          <w:noProof/>
          <w:spacing w:val="-6"/>
          <w:sz w:val="24"/>
          <w:lang w:val="bg-BG"/>
        </w:rPr>
        <w:t xml:space="preserve"> му, в това число относно решенията на проблемите, касаещи недостига на съдебни секретари, прекомерната натовареност и закъсненията при обявяването на мотивите на решенията.</w:t>
      </w:r>
    </w:p>
    <w:p w:rsidR="00D86939" w:rsidRDefault="00C763E7">
      <w:pPr>
        <w:keepNext/>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Зачитане на съдебните решения</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Тази препоръка се отнася до изпълнението на съдебни </w:t>
      </w:r>
      <w:r>
        <w:rPr>
          <w:rFonts w:ascii="Times New Roman" w:hAnsi="Times New Roman"/>
          <w:noProof/>
          <w:sz w:val="24"/>
          <w:lang w:val="bg-BG"/>
        </w:rPr>
        <w:t>решения срещу държавата, при което публична институция трябва да заплати парична сума или да извърши определено действие вследствие на съдебно решение. Министърът на правосъдието призна, че е от съществено значение всички съдебни решения срещу държавата да</w:t>
      </w:r>
      <w:r>
        <w:rPr>
          <w:rFonts w:ascii="Times New Roman" w:hAnsi="Times New Roman"/>
          <w:noProof/>
          <w:sz w:val="24"/>
          <w:lang w:val="bg-BG"/>
        </w:rPr>
        <w:t xml:space="preserve"> бъдат изпълнявани ефективно.</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края на август Румъния актуализира своя план за действие за 2016 г., изготвен за Съвета на Европа с цел разрешаване на структурните проблеми, свързани с неизпълнение на съдебните решения срещу държавата, установени от Европе</w:t>
      </w:r>
      <w:r>
        <w:rPr>
          <w:rFonts w:ascii="Times New Roman" w:hAnsi="Times New Roman"/>
          <w:noProof/>
          <w:sz w:val="24"/>
          <w:lang w:val="bg-BG"/>
        </w:rPr>
        <w:t>йския съд по правата на човека</w:t>
      </w:r>
      <w:r>
        <w:rPr>
          <w:rStyle w:val="FootnoteReference"/>
          <w:rFonts w:ascii="Times New Roman" w:hAnsi="Times New Roman"/>
          <w:noProof/>
          <w:sz w:val="24"/>
          <w:lang w:val="bg-BG"/>
        </w:rPr>
        <w:footnoteReference w:id="19"/>
      </w:r>
      <w:r>
        <w:rPr>
          <w:noProof/>
          <w:lang w:val="bg-BG"/>
        </w:rPr>
        <w:t>.</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Изпълнението на този план за действие в голяма степен би позволило съобразяване с препоръка 5. За да направи оценка на степента на напредък в изпълнението на тази препоръка, Комисията очаква конкретни решения и подробен гра</w:t>
      </w:r>
      <w:r>
        <w:rPr>
          <w:rFonts w:ascii="Times New Roman" w:hAnsi="Times New Roman"/>
          <w:noProof/>
          <w:sz w:val="24"/>
          <w:lang w:val="bg-BG"/>
        </w:rPr>
        <w:t>фик за преодоляване на установените проблеми.</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Другото действие, необходимо за изпълнението на тази препоръка, се състои в разработването на процедури в рамките на публичната администрация, за да се гарантира, че нейните органи прилагат последователно решен</w:t>
      </w:r>
      <w:r>
        <w:rPr>
          <w:rFonts w:ascii="Times New Roman" w:hAnsi="Times New Roman"/>
          <w:noProof/>
          <w:sz w:val="24"/>
          <w:lang w:val="bg-BG"/>
        </w:rPr>
        <w:t>ията, постановени от съдилищата в подобни случаи, когато е налице окончателно решение по жалба пред Висшия касационен съд или тълкувателно решение на същия съд . Такава процедура би намалила риска от разглеждането на повтарящи се дела от съдилищата и би по</w:t>
      </w:r>
      <w:r>
        <w:rPr>
          <w:rFonts w:ascii="Times New Roman" w:hAnsi="Times New Roman"/>
          <w:noProof/>
          <w:sz w:val="24"/>
          <w:lang w:val="bg-BG"/>
        </w:rPr>
        <w:t>вишила доверието на гражданите и предприятията в решенията на публичните администрации.</w:t>
      </w:r>
    </w:p>
    <w:p w:rsidR="00D86939" w:rsidRDefault="00C763E7">
      <w:pPr>
        <w:keepNext/>
        <w:spacing w:before="120" w:after="120" w:line="240" w:lineRule="auto"/>
        <w:jc w:val="both"/>
        <w:rPr>
          <w:rFonts w:ascii="Times New Roman" w:eastAsia="Times New Roman" w:hAnsi="Times New Roman"/>
          <w:i/>
          <w:noProof/>
          <w:sz w:val="24"/>
          <w:szCs w:val="24"/>
          <w:lang w:val="bg-BG"/>
        </w:rPr>
      </w:pPr>
      <w:r>
        <w:rPr>
          <w:rFonts w:ascii="Times New Roman" w:hAnsi="Times New Roman"/>
          <w:i/>
          <w:noProof/>
          <w:sz w:val="24"/>
          <w:lang w:val="bg-BG"/>
        </w:rPr>
        <w:t>Структурни реформи на съдебната система</w:t>
      </w:r>
    </w:p>
    <w:p w:rsidR="00D86939" w:rsidRDefault="00C763E7">
      <w:pPr>
        <w:spacing w:before="120" w:after="120" w:line="240" w:lineRule="auto"/>
        <w:jc w:val="both"/>
        <w:rPr>
          <w:rFonts w:ascii="Times New Roman" w:hAnsi="Times New Roman"/>
          <w:noProof/>
          <w:spacing w:val="-6"/>
          <w:sz w:val="24"/>
          <w:szCs w:val="24"/>
          <w:lang w:val="bg-BG"/>
        </w:rPr>
      </w:pPr>
      <w:r>
        <w:rPr>
          <w:rFonts w:ascii="Times New Roman" w:hAnsi="Times New Roman"/>
          <w:noProof/>
          <w:spacing w:val="-6"/>
          <w:sz w:val="24"/>
          <w:lang w:val="bg-BG"/>
        </w:rPr>
        <w:t xml:space="preserve">След закъснение в началото на годината Съветът за стратегическо ръководство на съдебната система проведе заседания през юни и </w:t>
      </w:r>
      <w:r>
        <w:rPr>
          <w:rFonts w:ascii="Times New Roman" w:hAnsi="Times New Roman"/>
          <w:noProof/>
          <w:spacing w:val="-6"/>
          <w:sz w:val="24"/>
          <w:lang w:val="bg-BG"/>
        </w:rPr>
        <w:t>септември 2017 г. На последното заседание бе решено да се извършва цялостен мониторинг на изпълнението на плана за действие по стратегията за развитието на съдебната власт за периода 2015—2020 г посредством изготвянето на тримесечни доклади . Отделните съд</w:t>
      </w:r>
      <w:r>
        <w:rPr>
          <w:rFonts w:ascii="Times New Roman" w:hAnsi="Times New Roman"/>
          <w:noProof/>
          <w:spacing w:val="-6"/>
          <w:sz w:val="24"/>
          <w:lang w:val="bg-BG"/>
        </w:rPr>
        <w:t>ебни институции посочват, че прилагат плана за действие, а Министерството на правосъдието успешно кандидатства за отпускане на средства от структурните фондове на ЕС, за да финансира плана за действие. Тези стъпки трябва да бъдат придружени от ясен механиз</w:t>
      </w:r>
      <w:r>
        <w:rPr>
          <w:rFonts w:ascii="Times New Roman" w:hAnsi="Times New Roman"/>
          <w:noProof/>
          <w:spacing w:val="-6"/>
          <w:sz w:val="24"/>
          <w:lang w:val="bg-BG"/>
        </w:rPr>
        <w:t>ъм за мониторинг и редовно използване на Съвета като истински координационен орган за насърчаване на диалога и сътрудничеството по въпроси от общ интерес, които засягат функционирането на съдебната система.</w:t>
      </w:r>
    </w:p>
    <w:p w:rsidR="00D86939" w:rsidRDefault="00D86939">
      <w:pPr>
        <w:spacing w:after="120" w:line="240" w:lineRule="auto"/>
        <w:jc w:val="both"/>
        <w:rPr>
          <w:rFonts w:ascii="Times New Roman" w:hAnsi="Times New Roman"/>
          <w:noProof/>
          <w:sz w:val="24"/>
          <w:szCs w:val="24"/>
          <w:lang w:val="bg-BG"/>
        </w:rPr>
      </w:pP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bg-BG"/>
        </w:rPr>
      </w:pPr>
      <w:r>
        <w:rPr>
          <w:rFonts w:ascii="Times New Roman" w:hAnsi="Times New Roman"/>
          <w:b/>
          <w:i/>
          <w:noProof/>
          <w:sz w:val="24"/>
          <w:lang w:val="bg-BG"/>
        </w:rPr>
        <w:t>Препоръка 7</w:t>
      </w:r>
      <w:r>
        <w:rPr>
          <w:rFonts w:ascii="Times New Roman" w:hAnsi="Times New Roman"/>
          <w:i/>
          <w:noProof/>
          <w:sz w:val="24"/>
          <w:lang w:val="bg-BG"/>
        </w:rPr>
        <w:t>: Новият състав на Висшия магистратск</w:t>
      </w:r>
      <w:r>
        <w:rPr>
          <w:rFonts w:ascii="Times New Roman" w:hAnsi="Times New Roman"/>
          <w:i/>
          <w:noProof/>
          <w:sz w:val="24"/>
          <w:lang w:val="bg-BG"/>
        </w:rPr>
        <w:t xml:space="preserve">и съвет следва да изготви обща програма за мандата си, която да включва мерки за насърчаване на прозрачността и отчетността. Тя следва да включва стратегия за повишаване на информираността, в която да е предвидено провеждането на редовни открити заседания </w:t>
      </w:r>
      <w:r>
        <w:rPr>
          <w:rFonts w:ascii="Times New Roman" w:hAnsi="Times New Roman"/>
          <w:i/>
          <w:noProof/>
          <w:sz w:val="24"/>
          <w:lang w:val="bg-BG"/>
        </w:rPr>
        <w:t>с общи събрания на съдии и прокурори на всички равнища, както и с гражданското общество и професионалните организации, и да предвижда изготвянето на годишен доклад, който да бъде обсъждан на общи събрания на съдии и прокурори.</w:t>
      </w:r>
    </w:p>
    <w:p w:rsidR="00D86939" w:rsidRDefault="00C763E7">
      <w:pPr>
        <w:pStyle w:val="PlainText"/>
        <w:keepNext/>
        <w:spacing w:before="120" w:after="120"/>
        <w:jc w:val="both"/>
        <w:rPr>
          <w:rFonts w:ascii="Times New Roman" w:hAnsi="Times New Roman"/>
          <w:i/>
          <w:noProof/>
          <w:sz w:val="24"/>
          <w:szCs w:val="24"/>
          <w:lang w:val="bg-BG"/>
        </w:rPr>
      </w:pPr>
      <w:r>
        <w:rPr>
          <w:rFonts w:ascii="Times New Roman" w:hAnsi="Times New Roman"/>
          <w:i/>
          <w:noProof/>
          <w:sz w:val="24"/>
          <w:lang w:val="bg-BG"/>
        </w:rPr>
        <w:t>Прозрачност и отчетност на Ви</w:t>
      </w:r>
      <w:r>
        <w:rPr>
          <w:rFonts w:ascii="Times New Roman" w:hAnsi="Times New Roman"/>
          <w:i/>
          <w:noProof/>
          <w:sz w:val="24"/>
          <w:lang w:val="bg-BG"/>
        </w:rPr>
        <w:t>сшия магистратски съвет</w:t>
      </w:r>
      <w:r>
        <w:rPr>
          <w:rFonts w:ascii="Times New Roman" w:eastAsiaTheme="minorHAnsi" w:hAnsi="Times New Roman"/>
          <w:noProof/>
          <w:sz w:val="24"/>
          <w:lang w:val="bg-BG"/>
        </w:rPr>
        <w:t xml:space="preserve"> </w:t>
      </w:r>
    </w:p>
    <w:p w:rsidR="00D86939" w:rsidRDefault="00C763E7">
      <w:pPr>
        <w:spacing w:before="120" w:after="120" w:line="240" w:lineRule="auto"/>
        <w:jc w:val="both"/>
        <w:rPr>
          <w:rFonts w:ascii="Times New Roman" w:eastAsia="SimSun" w:hAnsi="Times New Roman"/>
          <w:noProof/>
          <w:spacing w:val="-2"/>
          <w:sz w:val="24"/>
          <w:szCs w:val="24"/>
          <w:lang w:val="bg-BG"/>
        </w:rPr>
      </w:pPr>
      <w:r>
        <w:rPr>
          <w:rFonts w:ascii="Times New Roman" w:hAnsi="Times New Roman"/>
          <w:noProof/>
          <w:spacing w:val="-2"/>
          <w:sz w:val="24"/>
          <w:lang w:val="bg-BG"/>
        </w:rPr>
        <w:t>На 6 януари 2017 г. новият състав на Съвета започна своята дейност</w:t>
      </w:r>
      <w:r>
        <w:rPr>
          <w:rFonts w:ascii="Times New Roman" w:hAnsi="Times New Roman"/>
          <w:noProof/>
          <w:spacing w:val="-2"/>
          <w:sz w:val="24"/>
          <w:vertAlign w:val="superscript"/>
          <w:lang w:val="bg-BG"/>
        </w:rPr>
        <w:footnoteReference w:id="20"/>
      </w:r>
      <w:r>
        <w:rPr>
          <w:rFonts w:ascii="Times New Roman" w:hAnsi="Times New Roman"/>
          <w:noProof/>
          <w:spacing w:val="-2"/>
          <w:sz w:val="24"/>
          <w:lang w:val="bg-BG"/>
        </w:rPr>
        <w:t>. Новият състав на Съвета бе изправен пред трудни обстоятелства. Той обаче показа готовността си да взема трудни решения, по-специално посредством отрицателните ста</w:t>
      </w:r>
      <w:r>
        <w:rPr>
          <w:rFonts w:ascii="Times New Roman" w:hAnsi="Times New Roman"/>
          <w:noProof/>
          <w:spacing w:val="-2"/>
          <w:sz w:val="24"/>
          <w:lang w:val="bg-BG"/>
        </w:rPr>
        <w:t>новища, които представи през февруари относно изпълнителното постановление и после относно измененията на законите в областта на правосъдието през септември и ноември. Съветът също така бе изправен пред необходимостта да защитава независимостта и репутация</w:t>
      </w:r>
      <w:r>
        <w:rPr>
          <w:rFonts w:ascii="Times New Roman" w:hAnsi="Times New Roman"/>
          <w:noProof/>
          <w:spacing w:val="-2"/>
          <w:sz w:val="24"/>
          <w:lang w:val="bg-BG"/>
        </w:rPr>
        <w:t>та на магистратите, по-специално на прокурорите, и предизвикателството, свързано с получаването на многократни дисциплинарни или административни жалби от други държавни органи срещу едни и същи магистрати. Ето защо може да се счита, че Съветът е изпълнил с</w:t>
      </w:r>
      <w:r>
        <w:rPr>
          <w:rFonts w:ascii="Times New Roman" w:hAnsi="Times New Roman"/>
          <w:noProof/>
          <w:spacing w:val="-2"/>
          <w:sz w:val="24"/>
          <w:lang w:val="bg-BG"/>
        </w:rPr>
        <w:t xml:space="preserve">воите задачи и е доказал своята институционална сила и устойчивост. </w:t>
      </w:r>
    </w:p>
    <w:p w:rsidR="00D86939" w:rsidRDefault="00C763E7">
      <w:pPr>
        <w:spacing w:before="120" w:after="120" w:line="240" w:lineRule="auto"/>
        <w:jc w:val="both"/>
        <w:rPr>
          <w:rFonts w:ascii="Times New Roman" w:eastAsiaTheme="minorHAnsi" w:hAnsi="Times New Roman"/>
          <w:noProof/>
          <w:spacing w:val="-4"/>
          <w:sz w:val="24"/>
          <w:szCs w:val="24"/>
          <w:lang w:val="bg-BG"/>
        </w:rPr>
      </w:pPr>
      <w:r>
        <w:rPr>
          <w:rFonts w:ascii="Times New Roman" w:hAnsi="Times New Roman"/>
          <w:noProof/>
          <w:spacing w:val="-4"/>
          <w:sz w:val="24"/>
          <w:lang w:val="bg-BG"/>
        </w:rPr>
        <w:t>В съответствие с препоръката, в края на февруари 2017 г. Висшият магистратски съвет изложи приоритетите си за своя мандат (2017—2022 г.). Те представляват основа за насърчаване на отчетно</w:t>
      </w:r>
      <w:r>
        <w:rPr>
          <w:rFonts w:ascii="Times New Roman" w:hAnsi="Times New Roman"/>
          <w:noProof/>
          <w:spacing w:val="-4"/>
          <w:sz w:val="24"/>
          <w:lang w:val="bg-BG"/>
        </w:rPr>
        <w:t>стта на институцията. Съветът предприе мерки за насърчаване на прозрачността и откритостта, като например създаването на нов уебсайт и предоставянето на възможност за пряко участие в заседанията на Съвета на представители на съдилищата, магистратските проф</w:t>
      </w:r>
      <w:r>
        <w:rPr>
          <w:rFonts w:ascii="Times New Roman" w:hAnsi="Times New Roman"/>
          <w:noProof/>
          <w:spacing w:val="-4"/>
          <w:sz w:val="24"/>
          <w:lang w:val="bg-BG"/>
        </w:rPr>
        <w:t>есионални сдружения или НПО. Съветът също така организира текущи консултации със съдилищата и прокуратурите, които се доказаха като важен канал за обмен на информация и становища. Съветът работи също по обща програма и стратегия, в чиито области на приложе</w:t>
      </w:r>
      <w:r>
        <w:rPr>
          <w:rFonts w:ascii="Times New Roman" w:hAnsi="Times New Roman"/>
          <w:noProof/>
          <w:spacing w:val="-4"/>
          <w:sz w:val="24"/>
          <w:lang w:val="bg-BG"/>
        </w:rPr>
        <w:t>ние ще бъдат включени информационни кампании, мерки за подобряване на обществения имидж на съдебната система, отношения с медиите и сътрудничество с правителството и Парламента.</w:t>
      </w:r>
    </w:p>
    <w:p w:rsidR="00D86939" w:rsidRDefault="00C763E7">
      <w:pPr>
        <w:spacing w:before="120" w:after="120" w:line="240" w:lineRule="auto"/>
        <w:jc w:val="both"/>
        <w:rPr>
          <w:rFonts w:ascii="Times New Roman" w:eastAsia="SimSun" w:hAnsi="Times New Roman"/>
          <w:noProof/>
          <w:spacing w:val="-2"/>
          <w:sz w:val="24"/>
          <w:szCs w:val="24"/>
          <w:lang w:val="bg-BG"/>
        </w:rPr>
      </w:pPr>
      <w:r>
        <w:rPr>
          <w:rFonts w:ascii="Times New Roman" w:eastAsiaTheme="minorHAnsi" w:hAnsi="Times New Roman"/>
          <w:noProof/>
          <w:spacing w:val="-2"/>
          <w:sz w:val="24"/>
          <w:lang w:val="bg-BG"/>
        </w:rPr>
        <w:t xml:space="preserve">Съветът следва да продължи да консолидира работата си в защита на репутацията </w:t>
      </w:r>
      <w:r>
        <w:rPr>
          <w:rFonts w:ascii="Times New Roman" w:eastAsiaTheme="minorHAnsi" w:hAnsi="Times New Roman"/>
          <w:noProof/>
          <w:spacing w:val="-2"/>
          <w:sz w:val="24"/>
          <w:lang w:val="bg-BG"/>
        </w:rPr>
        <w:t>на съдебната власт по последователен и ефективен начин и да допринася за конструктивен и прозрачен диалог с правителството и Парламента. Съветът също следва да насърчава по-нататъшното засилване на сътрудничеството между съдебните институции по основните н</w:t>
      </w:r>
      <w:r>
        <w:rPr>
          <w:rFonts w:ascii="Times New Roman" w:eastAsiaTheme="minorHAnsi" w:hAnsi="Times New Roman"/>
          <w:noProof/>
          <w:spacing w:val="-2"/>
          <w:sz w:val="24"/>
          <w:lang w:val="bg-BG"/>
        </w:rPr>
        <w:t xml:space="preserve">ерешени въпроси, включително функционирането на Съдебния инспекторат. </w:t>
      </w:r>
    </w:p>
    <w:p w:rsidR="00D86939" w:rsidRDefault="00D86939">
      <w:pPr>
        <w:spacing w:before="120" w:after="120" w:line="240" w:lineRule="auto"/>
        <w:jc w:val="both"/>
        <w:rPr>
          <w:rFonts w:ascii="Times New Roman" w:hAnsi="Times New Roman"/>
          <w:i/>
          <w:noProof/>
          <w:sz w:val="24"/>
          <w:szCs w:val="24"/>
          <w:lang w:val="bg-BG"/>
        </w:rPr>
      </w:pPr>
    </w:p>
    <w:p w:rsidR="00D86939" w:rsidRDefault="00C763E7">
      <w:pPr>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Въз основа на анализ на препоръки 1—7 Комисията счита, че е необходима допълнителна работа за изпълнението на първия показател. Налице са редица положителни промени, по-специално свързани с кодексите за поведение, гражданските кодекси, стъпките, предприети</w:t>
      </w:r>
      <w:r>
        <w:rPr>
          <w:rFonts w:ascii="Times New Roman" w:hAnsi="Times New Roman"/>
          <w:i/>
          <w:noProof/>
          <w:sz w:val="24"/>
          <w:lang w:val="bg-BG"/>
        </w:rPr>
        <w:t xml:space="preserve"> за прилагане на Стратегията за развитие на съдебната система, както и по отношение на дейността на новия състав на Висшия магистратски съвет. Въпреки това напредъкът бе възпрепятстван от политическата ситуация и законодателните предложения, които има опас</w:t>
      </w:r>
      <w:r>
        <w:rPr>
          <w:rFonts w:ascii="Times New Roman" w:hAnsi="Times New Roman"/>
          <w:i/>
          <w:noProof/>
          <w:sz w:val="24"/>
          <w:lang w:val="bg-BG"/>
        </w:rPr>
        <w:t xml:space="preserve">ност да окажат отрицателно въздействие върху реформите. В анализа на препоръките се посочват няколко инициативи и процеси, които, ако бъдат завършени, предлагат възможност за бързо подновяване на напредъка на Румъния по първи показател. </w:t>
      </w:r>
    </w:p>
    <w:p w:rsidR="00D86939" w:rsidRDefault="00C763E7">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3.2. </w:t>
      </w:r>
      <w:r>
        <w:rPr>
          <w:noProof/>
          <w:lang w:val="bg-BG"/>
        </w:rPr>
        <w:tab/>
      </w:r>
      <w:r>
        <w:rPr>
          <w:rFonts w:ascii="Times New Roman" w:hAnsi="Times New Roman"/>
          <w:b/>
          <w:noProof/>
          <w:sz w:val="24"/>
          <w:lang w:val="bg-BG"/>
        </w:rPr>
        <w:t>Втори показа</w:t>
      </w:r>
      <w:r>
        <w:rPr>
          <w:rFonts w:ascii="Times New Roman" w:hAnsi="Times New Roman"/>
          <w:b/>
          <w:noProof/>
          <w:sz w:val="24"/>
          <w:lang w:val="bg-BG"/>
        </w:rPr>
        <w:t>тел: Правната уредба за съблюдаване на етичните норми и Националната агенция по интегритет (НАИ)</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pacing w:val="-6"/>
          <w:sz w:val="24"/>
          <w:szCs w:val="24"/>
          <w:lang w:val="bg-BG"/>
        </w:rPr>
      </w:pPr>
      <w:r>
        <w:rPr>
          <w:rFonts w:ascii="Times New Roman" w:hAnsi="Times New Roman"/>
          <w:b/>
          <w:i/>
          <w:noProof/>
          <w:spacing w:val="-6"/>
          <w:sz w:val="24"/>
          <w:lang w:val="bg-BG"/>
        </w:rPr>
        <w:t>Препоръка 8:</w:t>
      </w:r>
      <w:r>
        <w:rPr>
          <w:rFonts w:ascii="Times New Roman" w:hAnsi="Times New Roman"/>
          <w:i/>
          <w:noProof/>
          <w:spacing w:val="-6"/>
          <w:sz w:val="24"/>
          <w:lang w:val="bg-BG"/>
        </w:rPr>
        <w:t xml:space="preserve"> Да се гарантира пускането в действие на системата PREVENT. Национална агенция по интегритет (НАИ) и Националната агенция за обществени поръчки сле</w:t>
      </w:r>
      <w:r>
        <w:rPr>
          <w:rFonts w:ascii="Times New Roman" w:hAnsi="Times New Roman"/>
          <w:i/>
          <w:noProof/>
          <w:spacing w:val="-6"/>
          <w:sz w:val="24"/>
          <w:lang w:val="bg-BG"/>
        </w:rPr>
        <w:t>два да въведат докладване относно предварителните проверки на процедурите за възлагане на обществени поръчки и съответно предприетите последващи действия, в това число последващи проверки, както и относно установените случаи на конфликт на интереси или кор</w:t>
      </w:r>
      <w:r>
        <w:rPr>
          <w:rFonts w:ascii="Times New Roman" w:hAnsi="Times New Roman"/>
          <w:i/>
          <w:noProof/>
          <w:spacing w:val="-6"/>
          <w:sz w:val="24"/>
          <w:lang w:val="bg-BG"/>
        </w:rPr>
        <w:t>упция, и да въведат също така организация за провеждането на обществени обсъждания, така че правителството, местните органи на управление, съдебната власт и гражданското общество да бъдат поканени за реакция.</w:t>
      </w:r>
    </w:p>
    <w:p w:rsidR="00D86939" w:rsidRDefault="00C763E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bg-BG"/>
        </w:rPr>
      </w:pPr>
      <w:r>
        <w:rPr>
          <w:rFonts w:ascii="Times New Roman" w:hAnsi="Times New Roman"/>
          <w:b/>
          <w:i/>
          <w:noProof/>
          <w:sz w:val="24"/>
          <w:lang w:val="bg-BG"/>
        </w:rPr>
        <w:t>Препоръка 9</w:t>
      </w:r>
      <w:r>
        <w:rPr>
          <w:rFonts w:ascii="Times New Roman" w:hAnsi="Times New Roman"/>
          <w:i/>
          <w:noProof/>
          <w:sz w:val="24"/>
          <w:lang w:val="bg-BG"/>
        </w:rPr>
        <w:t>: Парламентът следва да взема прозра</w:t>
      </w:r>
      <w:r>
        <w:rPr>
          <w:rFonts w:ascii="Times New Roman" w:hAnsi="Times New Roman"/>
          <w:i/>
          <w:noProof/>
          <w:sz w:val="24"/>
          <w:lang w:val="bg-BG"/>
        </w:rPr>
        <w:t>чно решенията си, що се отнася до последващите действия във връзка с окончателни и неотменими решения относно несъвместимост, конфликти на интереси и богатство с неизяснен произход, които са били постановени срещу негови членове.</w:t>
      </w:r>
    </w:p>
    <w:p w:rsidR="00D86939" w:rsidRDefault="00C763E7">
      <w:pPr>
        <w:spacing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Системата PREVENT е разраб</w:t>
      </w:r>
      <w:r>
        <w:rPr>
          <w:rFonts w:ascii="Times New Roman" w:hAnsi="Times New Roman"/>
          <w:noProof/>
          <w:spacing w:val="-2"/>
          <w:sz w:val="24"/>
          <w:lang w:val="bg-BG"/>
        </w:rPr>
        <w:t>отена за предотвратяване на конфликтите на интереси при процедурите за възлагане на обществени поръчки посредством създаване на механизъм за предварителна проверка и създаване на възможност за възлагащите органи да отстраняват тези проблеми преди възлагане</w:t>
      </w:r>
      <w:r>
        <w:rPr>
          <w:rFonts w:ascii="Times New Roman" w:hAnsi="Times New Roman"/>
          <w:noProof/>
          <w:spacing w:val="-2"/>
          <w:sz w:val="24"/>
          <w:lang w:val="bg-BG"/>
        </w:rPr>
        <w:t>то на обществената поръчка. Системата започна да функционира в края на юни. Тя е резултат от тясното сътрудничество между Националната агенция по интегритет, Агенцията за обществени поръчки и Агенцията за изпълнение на програмата в областта на цифровите те</w:t>
      </w:r>
      <w:r>
        <w:rPr>
          <w:rFonts w:ascii="Times New Roman" w:hAnsi="Times New Roman"/>
          <w:noProof/>
          <w:spacing w:val="-2"/>
          <w:sz w:val="24"/>
          <w:lang w:val="bg-BG"/>
        </w:rPr>
        <w:t xml:space="preserve">хнологии. Тя вече функционира от четири месеца и започва да постига първите си резултати. </w:t>
      </w:r>
    </w:p>
    <w:p w:rsidR="00D86939" w:rsidRDefault="00C763E7">
      <w:pPr>
        <w:spacing w:before="240" w:after="120" w:line="240" w:lineRule="auto"/>
        <w:jc w:val="both"/>
        <w:rPr>
          <w:rFonts w:ascii="Times New Roman" w:hAnsi="Times New Roman"/>
          <w:noProof/>
          <w:spacing w:val="-6"/>
          <w:sz w:val="24"/>
          <w:szCs w:val="24"/>
          <w:lang w:val="bg-BG"/>
        </w:rPr>
      </w:pPr>
      <w:r>
        <w:rPr>
          <w:rFonts w:ascii="Times New Roman" w:hAnsi="Times New Roman"/>
          <w:noProof/>
          <w:spacing w:val="-6"/>
          <w:sz w:val="24"/>
          <w:lang w:val="bg-BG"/>
        </w:rPr>
        <w:t xml:space="preserve">В поредица от доклади по МСП бе обърнато внимание на забавянията и непоследователността при прилагането на санкции по отношение на членове на Парламента, за които с </w:t>
      </w:r>
      <w:r>
        <w:rPr>
          <w:rFonts w:ascii="Times New Roman" w:hAnsi="Times New Roman"/>
          <w:noProof/>
          <w:spacing w:val="-6"/>
          <w:sz w:val="24"/>
          <w:lang w:val="bg-BG"/>
        </w:rPr>
        <w:t>окончателно съдебно решение във връзка с доклад на Националната агенция по интегритет е установено, че се намират в положение на несъвместимост или конфликт на интереси. Ето защо Комисията препоръча Парламентът да взема прозрачно решенията си, що се отнася</w:t>
      </w:r>
      <w:r>
        <w:rPr>
          <w:rFonts w:ascii="Times New Roman" w:hAnsi="Times New Roman"/>
          <w:noProof/>
          <w:spacing w:val="-6"/>
          <w:sz w:val="24"/>
          <w:lang w:val="bg-BG"/>
        </w:rPr>
        <w:t xml:space="preserve"> до последващите действия във връзка с окончателни и неотменими решения относно несъвместимост, конфликти на интереси и богатство с неизяснен произход, които са били постановени срещу негови членове. Комисията получи сведения за приложимите процедури и за </w:t>
      </w:r>
      <w:r>
        <w:rPr>
          <w:rFonts w:ascii="Times New Roman" w:hAnsi="Times New Roman"/>
          <w:noProof/>
          <w:spacing w:val="-6"/>
          <w:sz w:val="24"/>
          <w:lang w:val="bg-BG"/>
        </w:rPr>
        <w:t>публичността на парламентарните дебати, но все още не и за това дали действително са били проведени дебати и взети решения по отношение на висящи случаи. Въпреки че правилата и процедурите на Парламента за прилагането на санкции изглеждат ясни, Националнат</w:t>
      </w:r>
      <w:r>
        <w:rPr>
          <w:rFonts w:ascii="Times New Roman" w:hAnsi="Times New Roman"/>
          <w:noProof/>
          <w:spacing w:val="-6"/>
          <w:sz w:val="24"/>
          <w:lang w:val="bg-BG"/>
        </w:rPr>
        <w:t>а агенция по интегритет докладва за три висящи случая, засягащи членове на Парламента, срещу които през 2017 г. съдилищата са постановили окончателни решения, свързани с нарушаване на интегритета, които все още не са изпълнени. Не е ясно дали Парламентът е</w:t>
      </w:r>
      <w:r>
        <w:rPr>
          <w:rFonts w:ascii="Times New Roman" w:hAnsi="Times New Roman"/>
          <w:noProof/>
          <w:spacing w:val="-6"/>
          <w:sz w:val="24"/>
          <w:lang w:val="bg-BG"/>
        </w:rPr>
        <w:t xml:space="preserve"> обвързан с крайни срокове да приложи санкцията. Освен това съществуват и три случая на членове на Парламента, чиито мандати са били потвърдени след изборите в края на 2016 г., въпреки факта, че са обект на тригодишна забрана за заемането изборна длъжност </w:t>
      </w:r>
      <w:r>
        <w:rPr>
          <w:rFonts w:ascii="Times New Roman" w:hAnsi="Times New Roman"/>
          <w:noProof/>
          <w:spacing w:val="-6"/>
          <w:sz w:val="24"/>
          <w:lang w:val="bg-BG"/>
        </w:rPr>
        <w:t>вследствие на окончателно съдебно решение. През февруари 2017 г. Националната агенция по интегритет уведоми Парламента за тези случаи, но той все още не е предприел стъпки за тяхното разрешаване.</w:t>
      </w:r>
    </w:p>
    <w:p w:rsidR="00D86939" w:rsidRDefault="00C763E7">
      <w:pPr>
        <w:spacing w:before="24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Конкретни мерки, които на практика биха могли да изпълнят пр</w:t>
      </w:r>
      <w:r>
        <w:rPr>
          <w:rFonts w:ascii="Times New Roman" w:hAnsi="Times New Roman"/>
          <w:noProof/>
          <w:spacing w:val="-2"/>
          <w:sz w:val="24"/>
          <w:lang w:val="bg-BG"/>
        </w:rPr>
        <w:t>епоръката за прозрачност, биха били например публичното потвърждаване от страна на председателя на съответната камара на Парламента, че е получил окончателното съдебно решение (или доклад на Националната агенция по интегритет, който не е бил оспорен пред с</w:t>
      </w:r>
      <w:r>
        <w:rPr>
          <w:rFonts w:ascii="Times New Roman" w:hAnsi="Times New Roman"/>
          <w:noProof/>
          <w:spacing w:val="-2"/>
          <w:sz w:val="24"/>
          <w:lang w:val="bg-BG"/>
        </w:rPr>
        <w:t xml:space="preserve">ъда), обявяването на срок за вземане на решение и предоставянето на информация на обществеността и на Националната агенция по интегритет веднага след завършването на процеса по вземане на решение. Предприемането на действия от страна на Парламента по тези </w:t>
      </w:r>
      <w:r>
        <w:rPr>
          <w:rFonts w:ascii="Times New Roman" w:hAnsi="Times New Roman"/>
          <w:noProof/>
          <w:spacing w:val="-2"/>
          <w:sz w:val="24"/>
          <w:lang w:val="bg-BG"/>
        </w:rPr>
        <w:t>шест случая би дало възможност за бърз напредък по тази препоръка.</w:t>
      </w:r>
    </w:p>
    <w:p w:rsidR="00D86939" w:rsidRDefault="00C763E7">
      <w:pPr>
        <w:spacing w:before="240" w:after="120" w:line="240" w:lineRule="auto"/>
        <w:jc w:val="both"/>
        <w:rPr>
          <w:rFonts w:ascii="Times New Roman" w:hAnsi="Times New Roman"/>
          <w:noProof/>
          <w:sz w:val="24"/>
          <w:szCs w:val="24"/>
          <w:lang w:val="bg-BG"/>
        </w:rPr>
      </w:pPr>
      <w:r>
        <w:rPr>
          <w:rFonts w:ascii="Times New Roman" w:hAnsi="Times New Roman"/>
          <w:i/>
          <w:noProof/>
          <w:sz w:val="24"/>
          <w:lang w:val="bg-BG"/>
        </w:rPr>
        <w:t xml:space="preserve">Въз основа на анализа на препоръки 8 и 9, Комисията счита, че като цяло Румъния е постигнала значителен напредък по втория показател. Изпълнението на препоръка 8 е задоволително. Бързото </w:t>
      </w:r>
      <w:r>
        <w:rPr>
          <w:rFonts w:ascii="Times New Roman" w:hAnsi="Times New Roman"/>
          <w:i/>
          <w:noProof/>
          <w:sz w:val="24"/>
          <w:lang w:val="bg-BG"/>
        </w:rPr>
        <w:t>решаване на всички случаи, засягащи членове на Парламента, които са обект на окончателни решения за нарушаване на интегритета, би позволило бърз напредък по втория показател.</w:t>
      </w:r>
    </w:p>
    <w:p w:rsidR="00D86939" w:rsidRDefault="00C763E7">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3.3 </w:t>
      </w:r>
      <w:r>
        <w:rPr>
          <w:noProof/>
          <w:lang w:val="bg-BG"/>
        </w:rPr>
        <w:tab/>
      </w:r>
      <w:r>
        <w:rPr>
          <w:rFonts w:ascii="Times New Roman" w:hAnsi="Times New Roman"/>
          <w:b/>
          <w:noProof/>
          <w:sz w:val="24"/>
          <w:lang w:val="bg-BG"/>
        </w:rPr>
        <w:t>Трети показател: Борба с корупцията на високо равнище</w:t>
      </w:r>
    </w:p>
    <w:p w:rsidR="00D86939" w:rsidRDefault="00C763E7">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lang w:val="bg-BG"/>
        </w:rPr>
      </w:pPr>
      <w:r>
        <w:rPr>
          <w:rFonts w:ascii="Times New Roman" w:hAnsi="Times New Roman"/>
          <w:b/>
          <w:i/>
          <w:noProof/>
          <w:sz w:val="24"/>
          <w:lang w:val="bg-BG"/>
        </w:rPr>
        <w:t>Препоръка 10:</w:t>
      </w:r>
      <w:r>
        <w:rPr>
          <w:rFonts w:ascii="Times New Roman" w:hAnsi="Times New Roman"/>
          <w:i/>
          <w:noProof/>
          <w:sz w:val="24"/>
          <w:lang w:val="bg-BG"/>
        </w:rPr>
        <w:t xml:space="preserve"> Да са пр</w:t>
      </w:r>
      <w:r>
        <w:rPr>
          <w:rFonts w:ascii="Times New Roman" w:hAnsi="Times New Roman"/>
          <w:i/>
          <w:noProof/>
          <w:sz w:val="24"/>
          <w:lang w:val="bg-BG"/>
        </w:rPr>
        <w:t>иемат обективни критерии за вземане на решения и за мотивиране на свалянето на имунитета на членове на Парламента, за да се спомогне за това да се гарантира, че имунитетът не се използва, за да се избегнат разследване и наказателно преследване за корупцион</w:t>
      </w:r>
      <w:r>
        <w:rPr>
          <w:rFonts w:ascii="Times New Roman" w:hAnsi="Times New Roman"/>
          <w:i/>
          <w:noProof/>
          <w:sz w:val="24"/>
          <w:lang w:val="bg-BG"/>
        </w:rPr>
        <w:t>ни престъпления. Правителството би могло също така да разгледа възможността да измени закона, за да ограничи имунитета на министрите до периода, в който заемат длъжността. Тези стъпки могат да бъдат подпомогнати от Венецианската комисия и Групата държави с</w:t>
      </w:r>
      <w:r>
        <w:rPr>
          <w:rFonts w:ascii="Times New Roman" w:hAnsi="Times New Roman"/>
          <w:i/>
          <w:noProof/>
          <w:sz w:val="24"/>
          <w:lang w:val="bg-BG"/>
        </w:rPr>
        <w:t>рещу корупцията (GRECO)</w:t>
      </w:r>
      <w:r>
        <w:rPr>
          <w:rFonts w:ascii="Times New Roman" w:hAnsi="Times New Roman"/>
          <w:i/>
          <w:noProof/>
          <w:sz w:val="24"/>
          <w:vertAlign w:val="superscript"/>
          <w:lang w:val="bg-BG"/>
        </w:rPr>
        <w:footnoteReference w:id="21"/>
      </w:r>
      <w:r>
        <w:rPr>
          <w:rFonts w:ascii="Times New Roman" w:hAnsi="Times New Roman"/>
          <w:i/>
          <w:noProof/>
          <w:sz w:val="24"/>
          <w:lang w:val="bg-BG"/>
        </w:rPr>
        <w:t>. Парламентът следва да въведе система за редовно докладване относно решенията, взети от неговите камари по искания за снемане на имунитет, и би могъл да организира обществено обсъждане, така че да се даде възможност за реакция от с</w:t>
      </w:r>
      <w:r>
        <w:rPr>
          <w:rFonts w:ascii="Times New Roman" w:hAnsi="Times New Roman"/>
          <w:i/>
          <w:noProof/>
          <w:sz w:val="24"/>
          <w:lang w:val="bg-BG"/>
        </w:rPr>
        <w:t>трана на Висшият магистратски съвет и гражданското общество.</w:t>
      </w:r>
    </w:p>
    <w:p w:rsidR="00D86939" w:rsidRDefault="00C763E7">
      <w:pPr>
        <w:spacing w:before="120" w:after="120" w:line="240" w:lineRule="auto"/>
        <w:jc w:val="both"/>
        <w:rPr>
          <w:rFonts w:ascii="Times New Roman" w:eastAsia="SimSun" w:hAnsi="Times New Roman"/>
          <w:noProof/>
          <w:sz w:val="24"/>
          <w:szCs w:val="24"/>
          <w:lang w:val="bg-BG"/>
        </w:rPr>
      </w:pPr>
      <w:r>
        <w:rPr>
          <w:rFonts w:ascii="Times New Roman" w:hAnsi="Times New Roman"/>
          <w:noProof/>
          <w:sz w:val="24"/>
          <w:lang w:val="bg-BG"/>
        </w:rPr>
        <w:t>Препоръка 10 се отнася до отчетността на Парламента, когато взема решения по искания на прокуратурата за разрешаване на превантивни мерки, като например претърсване или арест, и по искания за раз</w:t>
      </w:r>
      <w:r>
        <w:rPr>
          <w:rFonts w:ascii="Times New Roman" w:hAnsi="Times New Roman"/>
          <w:noProof/>
          <w:sz w:val="24"/>
          <w:lang w:val="bg-BG"/>
        </w:rPr>
        <w:t>решаване на разследването срещу членове на Парламента, които са бивши или настоящи министри ( сваляне на имунитет). В предишните доклади по МСП бе подчертано, че такива решения са били възприемани от обществеността като опити да се ограничи или избегне раз</w:t>
      </w:r>
      <w:r>
        <w:rPr>
          <w:rFonts w:ascii="Times New Roman" w:hAnsi="Times New Roman"/>
          <w:noProof/>
          <w:sz w:val="24"/>
          <w:lang w:val="bg-BG"/>
        </w:rPr>
        <w:t>следването и наказателното преследване на корупционни престъпления. Следователно един от начините да се демонстрира, че решенията са обективно основани, е да се разполага с критерии за вземането на решения по такива искания на прокуратурата</w:t>
      </w:r>
      <w:r>
        <w:rPr>
          <w:rFonts w:ascii="Times New Roman" w:hAnsi="Times New Roman"/>
          <w:noProof/>
          <w:sz w:val="24"/>
          <w:vertAlign w:val="superscript"/>
          <w:lang w:val="bg-BG"/>
        </w:rPr>
        <w:footnoteReference w:id="22"/>
      </w:r>
      <w:r>
        <w:rPr>
          <w:rFonts w:ascii="Times New Roman" w:hAnsi="Times New Roman"/>
          <w:noProof/>
          <w:sz w:val="24"/>
          <w:lang w:val="bg-BG"/>
        </w:rPr>
        <w:t xml:space="preserve">.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Три скорошни</w:t>
      </w:r>
      <w:r>
        <w:rPr>
          <w:rFonts w:ascii="Times New Roman" w:hAnsi="Times New Roman"/>
          <w:noProof/>
          <w:sz w:val="24"/>
          <w:lang w:val="bg-BG"/>
        </w:rPr>
        <w:t xml:space="preserve"> искания за сваляне на имунитета на членове на Парламента бяха отхвърлени. Като стъпка към подобряване на прозрачността, Камарата на депутатите започна да оповестява аргументите на Комисията по правни въпроси за отхвърляне или одобряване на искането преди </w:t>
      </w:r>
      <w:r>
        <w:rPr>
          <w:rFonts w:ascii="Times New Roman" w:hAnsi="Times New Roman"/>
          <w:noProof/>
          <w:sz w:val="24"/>
          <w:lang w:val="bg-BG"/>
        </w:rPr>
        <w:t>гласуването на пленарно заседание. В два от случаите аргументите на Комисията по правни въпроси за отхвърляне на исканията бяха, че деянията не представляват престъпление, въпреки че опозиционните партии оспориха това твърдение с довода, че само съдии мога</w:t>
      </w:r>
      <w:r>
        <w:rPr>
          <w:rFonts w:ascii="Times New Roman" w:hAnsi="Times New Roman"/>
          <w:noProof/>
          <w:sz w:val="24"/>
          <w:lang w:val="bg-BG"/>
        </w:rPr>
        <w:t>т да преценят дали дадено лице е извършило престъпление. Комисията приветства факта, че се обръща внимание на необходимостта от по-голяма прозрачност по отношение на последващи действия във връзка с искания на прокуратурата за сваляне на имунитет, но счита</w:t>
      </w:r>
      <w:r>
        <w:rPr>
          <w:rFonts w:ascii="Times New Roman" w:hAnsi="Times New Roman"/>
          <w:noProof/>
          <w:sz w:val="24"/>
          <w:lang w:val="bg-BG"/>
        </w:rPr>
        <w:t xml:space="preserve">, че по препоръка 10 е необходима още работа. Тя повтаря препоръката си да се потърси съдействие от Венецианската комисия и Групата държави срещу корупцията (GRECO), които могат да предоставят ценен експертен опит относно практиките в тази област.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доклада от януари Комисията ясно посочи, че отслабването или стесняването на обхвата на корупционните престъпления или сериозното засягане на независимостта и ефективността на антикорупционната прокуратура биха представлявали отстъпление от постигнатото.</w:t>
      </w:r>
      <w:r>
        <w:rPr>
          <w:rFonts w:ascii="Times New Roman" w:hAnsi="Times New Roman"/>
          <w:noProof/>
          <w:sz w:val="24"/>
          <w:lang w:val="bg-BG"/>
        </w:rPr>
        <w:t xml:space="preserve"> </w:t>
      </w:r>
    </w:p>
    <w:p w:rsidR="00D86939" w:rsidRDefault="00C763E7">
      <w:pPr>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Комисията счита, че е необходима допълнителна работа по препоръка 10. Като цяло една положителната оценка на напредъка по третия показател предполага наличието на една независима Национална дирекция за борба с корупцията, която да е в състояние да извърш</w:t>
      </w:r>
      <w:r>
        <w:rPr>
          <w:rFonts w:ascii="Times New Roman" w:hAnsi="Times New Roman"/>
          <w:i/>
          <w:noProof/>
          <w:sz w:val="24"/>
          <w:lang w:val="bg-BG"/>
        </w:rPr>
        <w:t>ва дейностите си с всички инструменти, с които разполага, и да продължи да постига резултати. В предишни доклади, фактът, че Националната дирекция за борба с корупцията продължи да постига резултати в условията на силен натиск бе отбелязан като знак за уст</w:t>
      </w:r>
      <w:r>
        <w:rPr>
          <w:rFonts w:ascii="Times New Roman" w:hAnsi="Times New Roman"/>
          <w:i/>
          <w:noProof/>
          <w:sz w:val="24"/>
          <w:lang w:val="bg-BG"/>
        </w:rPr>
        <w:t>ойчивост. Поради това Комисията се ограничи до една препоръка по третия показател. Ако натискът започне да вреди на борбата с корупцията, може да се наложи Комисията да преразгледа това свое заключение.</w:t>
      </w:r>
    </w:p>
    <w:p w:rsidR="00D86939" w:rsidRDefault="00C763E7">
      <w:pPr>
        <w:keepNext/>
        <w:spacing w:before="240" w:after="120" w:line="240" w:lineRule="auto"/>
        <w:jc w:val="both"/>
        <w:rPr>
          <w:rFonts w:ascii="Times New Roman" w:hAnsi="Times New Roman"/>
          <w:b/>
          <w:noProof/>
          <w:sz w:val="24"/>
          <w:szCs w:val="24"/>
          <w:lang w:val="bg-BG"/>
        </w:rPr>
      </w:pPr>
      <w:r>
        <w:rPr>
          <w:rFonts w:ascii="Times New Roman" w:hAnsi="Times New Roman"/>
          <w:b/>
          <w:noProof/>
          <w:sz w:val="24"/>
          <w:lang w:val="bg-BG"/>
        </w:rPr>
        <w:t>3.4</w:t>
      </w:r>
      <w:r>
        <w:rPr>
          <w:noProof/>
          <w:lang w:val="bg-BG"/>
        </w:rPr>
        <w:tab/>
      </w:r>
      <w:r>
        <w:rPr>
          <w:rFonts w:ascii="Times New Roman" w:hAnsi="Times New Roman"/>
          <w:b/>
          <w:noProof/>
          <w:sz w:val="24"/>
          <w:lang w:val="bg-BG"/>
        </w:rPr>
        <w:t xml:space="preserve">Четвърти показател: Борба с корупцията на всички </w:t>
      </w:r>
      <w:r>
        <w:rPr>
          <w:rFonts w:ascii="Times New Roman" w:hAnsi="Times New Roman"/>
          <w:b/>
          <w:noProof/>
          <w:sz w:val="24"/>
          <w:lang w:val="bg-BG"/>
        </w:rPr>
        <w:t>равнища</w:t>
      </w:r>
    </w:p>
    <w:p w:rsidR="00D86939" w:rsidRDefault="00C763E7">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lang w:val="bg-BG"/>
        </w:rPr>
      </w:pPr>
      <w:r>
        <w:rPr>
          <w:rFonts w:ascii="Times New Roman" w:hAnsi="Times New Roman"/>
          <w:b/>
          <w:i/>
          <w:noProof/>
          <w:sz w:val="24"/>
          <w:lang w:val="bg-BG"/>
        </w:rPr>
        <w:t xml:space="preserve">Препоръка 11: </w:t>
      </w:r>
      <w:r>
        <w:rPr>
          <w:rFonts w:ascii="Times New Roman" w:hAnsi="Times New Roman"/>
          <w:i/>
          <w:noProof/>
          <w:sz w:val="24"/>
          <w:lang w:val="bg-BG"/>
        </w:rPr>
        <w:t>Да продължи изпълнението на Националната стратегия за борба с корупцията, като се спазят сроковете, определени от правителството през август 2016 г. Министърът на правосъдието следва да въведе система за докладване относно ефективното</w:t>
      </w:r>
      <w:r>
        <w:rPr>
          <w:rFonts w:ascii="Times New Roman" w:hAnsi="Times New Roman"/>
          <w:i/>
          <w:noProof/>
          <w:sz w:val="24"/>
          <w:lang w:val="bg-BG"/>
        </w:rPr>
        <w:t xml:space="preserve"> изпълнение на Националната стратегия за борба с корупцията (в това число статистика за инцидентите във връзка със съблюдаването на етичните норми в публичната администрация, информация за дисциплинарните процедури и санкциите и информация за структурните </w:t>
      </w:r>
      <w:r>
        <w:rPr>
          <w:rFonts w:ascii="Times New Roman" w:hAnsi="Times New Roman"/>
          <w:i/>
          <w:noProof/>
          <w:sz w:val="24"/>
          <w:lang w:val="bg-BG"/>
        </w:rPr>
        <w:t>мерки, приложени в уязвими области).</w:t>
      </w:r>
    </w:p>
    <w:p w:rsidR="00D86939" w:rsidRDefault="00C763E7">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b/>
          <w:i/>
          <w:noProof/>
          <w:spacing w:val="-4"/>
          <w:sz w:val="24"/>
          <w:szCs w:val="24"/>
          <w:lang w:val="bg-BG"/>
        </w:rPr>
      </w:pPr>
      <w:r>
        <w:rPr>
          <w:rFonts w:ascii="Times New Roman" w:hAnsi="Times New Roman"/>
          <w:b/>
          <w:i/>
          <w:noProof/>
          <w:spacing w:val="-4"/>
          <w:sz w:val="24"/>
          <w:lang w:val="bg-BG"/>
        </w:rPr>
        <w:t xml:space="preserve">Препоръка 12: </w:t>
      </w:r>
      <w:r>
        <w:rPr>
          <w:rFonts w:ascii="Times New Roman" w:hAnsi="Times New Roman"/>
          <w:i/>
          <w:noProof/>
          <w:spacing w:val="-4"/>
          <w:sz w:val="24"/>
          <w:lang w:val="bg-BG"/>
        </w:rPr>
        <w:t>Да се гарантира, че Националната агенция за управление на иззети активи функционира пълноценно и ефективно, за да може тя да публикува първи годишен доклад с надеждна статистическа информация за отнемането</w:t>
      </w:r>
      <w:r>
        <w:rPr>
          <w:rFonts w:ascii="Times New Roman" w:hAnsi="Times New Roman"/>
          <w:i/>
          <w:noProof/>
          <w:spacing w:val="-4"/>
          <w:sz w:val="24"/>
          <w:lang w:val="bg-BG"/>
        </w:rPr>
        <w:t xml:space="preserve"> на активи, придобити от престъпна дейност. Агенцията следва да въведе система за редовно докладване във връзка с изграждането на административен капацитет, резултатите по отношение на отнемането и управлението на активи, придобити от престъпна дейност.</w:t>
      </w:r>
      <w:r>
        <w:rPr>
          <w:rFonts w:ascii="Times New Roman" w:hAnsi="Times New Roman"/>
          <w:b/>
          <w:i/>
          <w:noProof/>
          <w:spacing w:val="-4"/>
          <w:sz w:val="24"/>
          <w:lang w:val="bg-BG"/>
        </w:rPr>
        <w:t xml:space="preserve"> </w:t>
      </w:r>
    </w:p>
    <w:p w:rsidR="00D86939" w:rsidRDefault="00C763E7">
      <w:pPr>
        <w:keepNext/>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Н</w:t>
      </w:r>
      <w:r>
        <w:rPr>
          <w:rFonts w:ascii="Times New Roman" w:hAnsi="Times New Roman"/>
          <w:i/>
          <w:noProof/>
          <w:sz w:val="24"/>
          <w:lang w:val="bg-BG"/>
        </w:rPr>
        <w:t>ационалната стратегия за борба с корупцията</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Националната стратегия за борба с корупцията за периода 2016 — 2020 г., представена от правителството през август 2016 г., има потенциала да бъде ефективна политика за предотвратяване на корупцията, ако се изпълн</w:t>
      </w:r>
      <w:r>
        <w:rPr>
          <w:rFonts w:ascii="Times New Roman" w:hAnsi="Times New Roman"/>
          <w:noProof/>
          <w:spacing w:val="-2"/>
          <w:sz w:val="24"/>
          <w:lang w:val="bg-BG"/>
        </w:rPr>
        <w:t xml:space="preserve">ява правилно и и е придружена от последващи действия по места. Стратегията е насочена към централните и местните публични институции. На техническо равнище техническият секретариат по стратегията в рамките на Министерството на правосъдието продължи своята </w:t>
      </w:r>
      <w:r>
        <w:rPr>
          <w:rFonts w:ascii="Times New Roman" w:hAnsi="Times New Roman"/>
          <w:noProof/>
          <w:spacing w:val="-2"/>
          <w:sz w:val="24"/>
          <w:lang w:val="bg-BG"/>
        </w:rPr>
        <w:t>работа по изпълнението. Положително развитие е, че голям брой публични институции са решили да участват в мерки по изпълнението на стратегията за борба с корупцията. Голяма част от годината беше посветена на разработването на планове за интегритет в рамкит</w:t>
      </w:r>
      <w:r>
        <w:rPr>
          <w:rFonts w:ascii="Times New Roman" w:hAnsi="Times New Roman"/>
          <w:noProof/>
          <w:spacing w:val="-2"/>
          <w:sz w:val="24"/>
          <w:lang w:val="bg-BG"/>
        </w:rPr>
        <w:t>е на всяка публична институция и създаването на първия цикъл за мониторинг, основан на партньорска оценка. Други институции, като Националната агенция по интегритет и съдебната полиция за борба с корупцията към Министерството на вътрешните работи, също уча</w:t>
      </w:r>
      <w:r>
        <w:rPr>
          <w:rFonts w:ascii="Times New Roman" w:hAnsi="Times New Roman"/>
          <w:noProof/>
          <w:spacing w:val="-2"/>
          <w:sz w:val="24"/>
          <w:lang w:val="bg-BG"/>
        </w:rPr>
        <w:t>стват в разработването на превантивни мерки</w:t>
      </w:r>
      <w:r>
        <w:rPr>
          <w:rStyle w:val="FootnoteReference"/>
          <w:rFonts w:ascii="Times New Roman" w:hAnsi="Times New Roman"/>
          <w:noProof/>
          <w:spacing w:val="-2"/>
          <w:sz w:val="24"/>
          <w:lang w:val="bg-BG"/>
        </w:rPr>
        <w:footnoteReference w:id="23"/>
      </w:r>
      <w:r>
        <w:rPr>
          <w:noProof/>
          <w:spacing w:val="-2"/>
          <w:lang w:val="bg-BG"/>
        </w:rPr>
        <w:t>.</w:t>
      </w:r>
      <w:r>
        <w:rPr>
          <w:rFonts w:ascii="Times New Roman" w:hAnsi="Times New Roman"/>
          <w:noProof/>
          <w:spacing w:val="-2"/>
          <w:sz w:val="24"/>
          <w:lang w:val="bg-BG"/>
        </w:rPr>
        <w:t xml:space="preserve"> Стратегията ще се подпомага и със средства от ЕС. Първият доклад относно изпълнението на мерките ще бъде изготвен в началото на 2018 г. и ще предостави цялостна картина на напредъка.</w:t>
      </w:r>
    </w:p>
    <w:p w:rsidR="00D86939" w:rsidRDefault="00C763E7">
      <w:pPr>
        <w:spacing w:before="120" w:after="120" w:line="240" w:lineRule="auto"/>
        <w:jc w:val="both"/>
        <w:rPr>
          <w:rFonts w:ascii="Times New Roman" w:hAnsi="Times New Roman"/>
          <w:noProof/>
          <w:spacing w:val="-6"/>
          <w:sz w:val="24"/>
          <w:szCs w:val="24"/>
          <w:lang w:val="bg-BG"/>
        </w:rPr>
      </w:pPr>
      <w:r>
        <w:rPr>
          <w:rFonts w:ascii="Times New Roman" w:hAnsi="Times New Roman"/>
          <w:noProof/>
          <w:spacing w:val="-6"/>
          <w:sz w:val="24"/>
          <w:lang w:val="bg-BG"/>
        </w:rPr>
        <w:t>Изпълнението на стратегията</w:t>
      </w:r>
      <w:r>
        <w:rPr>
          <w:rFonts w:ascii="Times New Roman" w:hAnsi="Times New Roman"/>
          <w:noProof/>
          <w:spacing w:val="-6"/>
          <w:sz w:val="24"/>
          <w:lang w:val="bg-BG"/>
        </w:rPr>
        <w:t xml:space="preserve"> за борба с корупцията вече започна на техническо равнище и това, което е необходимо сега за постигане на напредък по стратегията, е видима политическа подкрепа от страна на правителството и местните органи, какъвто беше случаят с прилагането на първоначал</w:t>
      </w:r>
      <w:r>
        <w:rPr>
          <w:rFonts w:ascii="Times New Roman" w:hAnsi="Times New Roman"/>
          <w:noProof/>
          <w:spacing w:val="-6"/>
          <w:sz w:val="24"/>
          <w:lang w:val="bg-BG"/>
        </w:rPr>
        <w:t>ната стратегия, когато бяха положени усилия за разпространяване на най-добрите практики и за насърчаване на публичните органи да отделят ресурси и внимание на антикорупционната работа. Министрите, отговарящи за централната и публичната администрация, както</w:t>
      </w:r>
      <w:r>
        <w:rPr>
          <w:rFonts w:ascii="Times New Roman" w:hAnsi="Times New Roman"/>
          <w:noProof/>
          <w:spacing w:val="-6"/>
          <w:sz w:val="24"/>
          <w:lang w:val="bg-BG"/>
        </w:rPr>
        <w:t xml:space="preserve"> и министрите в ключови сектори, като образованието или здравеопазването, биха могли да играят особено важна роля. През юни министърът на правосъдието прикани двете камари на Парламента да подпишат съвместна декларация в подкрепа на Националната стратегия </w:t>
      </w:r>
      <w:r>
        <w:rPr>
          <w:rFonts w:ascii="Times New Roman" w:hAnsi="Times New Roman"/>
          <w:noProof/>
          <w:spacing w:val="-6"/>
          <w:sz w:val="24"/>
          <w:lang w:val="bg-BG"/>
        </w:rPr>
        <w:t>за борба с корупцията за периода 2016—2020 г. Това все още не е осъществено. Като цяло превенцията на корупцията следва да бъде определена за политически приоритет, по-специално чрез въвеждането на необходимите мерки за оказването на пълна подкрепа за изпъ</w:t>
      </w:r>
      <w:r>
        <w:rPr>
          <w:rFonts w:ascii="Times New Roman" w:hAnsi="Times New Roman"/>
          <w:noProof/>
          <w:spacing w:val="-6"/>
          <w:sz w:val="24"/>
          <w:lang w:val="bg-BG"/>
        </w:rPr>
        <w:t>лнението на Националната стратегия за борба с корупцията на централно и местно равнище, за гарантиране на стабилността на съответната правна рамка и за запазване на положителните резултати на прокуратурата.</w:t>
      </w:r>
    </w:p>
    <w:p w:rsidR="00D86939" w:rsidRDefault="00C763E7">
      <w:pPr>
        <w:spacing w:before="120" w:after="120" w:line="240" w:lineRule="auto"/>
        <w:jc w:val="both"/>
        <w:rPr>
          <w:rFonts w:ascii="Times New Roman" w:eastAsia="Times New Roman" w:hAnsi="Times New Roman"/>
          <w:i/>
          <w:noProof/>
          <w:sz w:val="24"/>
          <w:szCs w:val="24"/>
          <w:lang w:val="bg-BG"/>
        </w:rPr>
      </w:pPr>
      <w:r>
        <w:rPr>
          <w:rFonts w:ascii="Times New Roman" w:hAnsi="Times New Roman"/>
          <w:i/>
          <w:noProof/>
          <w:sz w:val="24"/>
          <w:lang w:val="bg-BG"/>
        </w:rPr>
        <w:t>Национална агенция за управление на иззети активи</w:t>
      </w:r>
    </w:p>
    <w:p w:rsidR="00D86939" w:rsidRDefault="00C763E7">
      <w:pPr>
        <w:spacing w:before="120" w:after="120" w:line="240" w:lineRule="auto"/>
        <w:jc w:val="both"/>
        <w:rPr>
          <w:rFonts w:ascii="Times New Roman" w:hAnsi="Times New Roman"/>
          <w:noProof/>
          <w:spacing w:val="-2"/>
          <w:sz w:val="24"/>
          <w:szCs w:val="24"/>
          <w:lang w:val="bg-BG"/>
        </w:rPr>
      </w:pPr>
      <w:r>
        <w:rPr>
          <w:rFonts w:ascii="Times New Roman" w:hAnsi="Times New Roman"/>
          <w:noProof/>
          <w:spacing w:val="-2"/>
          <w:sz w:val="24"/>
          <w:lang w:val="bg-BG"/>
        </w:rPr>
        <w:t>Националната агенция за управление на иззети активи вече функционира пълноценно. Агенцията публикува своя първи годишен доклад през февруари 2017 г. и с помощта на данъчната администрация успя да определи с точност общия размер на паричните средства, полу</w:t>
      </w:r>
      <w:r>
        <w:rPr>
          <w:rFonts w:ascii="Times New Roman" w:hAnsi="Times New Roman"/>
          <w:noProof/>
          <w:spacing w:val="-2"/>
          <w:sz w:val="24"/>
          <w:lang w:val="bg-BG"/>
        </w:rPr>
        <w:t xml:space="preserve">чени от продажбата на конфискувани активи през 2016 г. (около 5 милиона EUR), част от които ще бъде преразпределена за социални и обществени дейности. Първата покана за представяне на предложения ще бъде публикувана през 2018 г. </w:t>
      </w:r>
    </w:p>
    <w:p w:rsidR="00D86939" w:rsidRDefault="00C763E7">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доклада от януари 2017 г. се подчертава, че като крайна цел Агенцията следва да допринесе за увеличаването на дяла на реално иззетите активи. Работата в тази връзка вече е в ход, като се събират данни от всички съдилища и се стартира проект за проследява</w:t>
      </w:r>
      <w:r>
        <w:rPr>
          <w:rFonts w:ascii="Times New Roman" w:hAnsi="Times New Roman"/>
          <w:noProof/>
          <w:sz w:val="24"/>
          <w:lang w:val="bg-BG"/>
        </w:rPr>
        <w:t>не на всички релевантни съдебни решения, свързани с конфискуването на активи от престъпна дейност, като същевременно се осъществява връзка с базата данни на данъчната администрация по въпросите на изпълнението. Този проект следва да бъде завършен до края н</w:t>
      </w:r>
      <w:r>
        <w:rPr>
          <w:rFonts w:ascii="Times New Roman" w:hAnsi="Times New Roman"/>
          <w:noProof/>
          <w:sz w:val="24"/>
          <w:lang w:val="bg-BG"/>
        </w:rPr>
        <w:t xml:space="preserve">а 2018 г. и да даде по-ясна картина в тази област, за да могат да бъдат взети подходящите мерки за увеличаване на дяла на реално иззетите активи. </w:t>
      </w:r>
    </w:p>
    <w:p w:rsidR="00D86939" w:rsidRDefault="00C763E7">
      <w:pPr>
        <w:spacing w:before="120" w:after="120" w:line="240" w:lineRule="auto"/>
        <w:jc w:val="both"/>
        <w:rPr>
          <w:rFonts w:ascii="Times New Roman" w:hAnsi="Times New Roman"/>
          <w:noProof/>
          <w:spacing w:val="-6"/>
          <w:sz w:val="24"/>
          <w:szCs w:val="24"/>
          <w:lang w:val="bg-BG"/>
        </w:rPr>
      </w:pPr>
      <w:r>
        <w:rPr>
          <w:rFonts w:ascii="Times New Roman" w:hAnsi="Times New Roman"/>
          <w:noProof/>
          <w:spacing w:val="-6"/>
          <w:sz w:val="24"/>
          <w:lang w:val="bg-BG"/>
        </w:rPr>
        <w:t xml:space="preserve">Следващият годишен доклад на Националната агенция за управление на иззети активи през 2018 г. следва да даде </w:t>
      </w:r>
      <w:r>
        <w:rPr>
          <w:rFonts w:ascii="Times New Roman" w:hAnsi="Times New Roman"/>
          <w:noProof/>
          <w:spacing w:val="-6"/>
          <w:sz w:val="24"/>
          <w:lang w:val="bg-BG"/>
        </w:rPr>
        <w:t>ясни данни относно резултатите, постигнати от Агенцията през 2017 г.</w:t>
      </w:r>
    </w:p>
    <w:p w:rsidR="00D86939" w:rsidRDefault="00C763E7">
      <w:pPr>
        <w:spacing w:before="120" w:after="120" w:line="240" w:lineRule="auto"/>
        <w:jc w:val="both"/>
        <w:rPr>
          <w:rFonts w:ascii="Times New Roman" w:hAnsi="Times New Roman"/>
          <w:i/>
          <w:noProof/>
          <w:sz w:val="24"/>
          <w:szCs w:val="24"/>
          <w:lang w:val="bg-BG"/>
        </w:rPr>
      </w:pPr>
      <w:r>
        <w:rPr>
          <w:rFonts w:ascii="Times New Roman" w:hAnsi="Times New Roman"/>
          <w:i/>
          <w:noProof/>
          <w:sz w:val="24"/>
          <w:lang w:val="bg-BG"/>
        </w:rPr>
        <w:t>Комисията смята, че е нужна още работа за постигане на напредък, достатъчен за изпълнението на препоръките по четвърти показател. Комисията счита, че превенцията на корупцията и подпомага</w:t>
      </w:r>
      <w:r>
        <w:rPr>
          <w:rFonts w:ascii="Times New Roman" w:hAnsi="Times New Roman"/>
          <w:i/>
          <w:noProof/>
          <w:sz w:val="24"/>
          <w:lang w:val="bg-BG"/>
        </w:rPr>
        <w:t>нето на изпълнението на Националната стратегия за борба с корупцията следва да се превърнат в по-твърд политически приоритет и че за изпълнението на препоръка 11 са необходими конкретни индикации, че превенцията на корупцията се превръща в утвърдена практи</w:t>
      </w:r>
      <w:r>
        <w:rPr>
          <w:rFonts w:ascii="Times New Roman" w:hAnsi="Times New Roman"/>
          <w:i/>
          <w:noProof/>
          <w:sz w:val="24"/>
          <w:lang w:val="bg-BG"/>
        </w:rPr>
        <w:t>ка. Що се отнася до препоръка 12, ако се потвърдят добрите оперативни резултати, това ще позволи на Комисията да заключи, че тази препоръка е изпълнена.</w:t>
      </w:r>
    </w:p>
    <w:p w:rsidR="00D86939" w:rsidRDefault="00C763E7">
      <w:pPr>
        <w:keepNext/>
        <w:spacing w:before="360" w:after="120" w:line="240" w:lineRule="auto"/>
        <w:jc w:val="both"/>
        <w:rPr>
          <w:rFonts w:ascii="Times New Roman" w:hAnsi="Times New Roman"/>
          <w:b/>
          <w:noProof/>
          <w:sz w:val="24"/>
          <w:szCs w:val="24"/>
          <w:lang w:val="bg-BG"/>
        </w:rPr>
      </w:pPr>
      <w:r>
        <w:rPr>
          <w:rFonts w:ascii="Times New Roman" w:hAnsi="Times New Roman"/>
          <w:b/>
          <w:noProof/>
          <w:sz w:val="24"/>
          <w:lang w:val="bg-BG"/>
        </w:rPr>
        <w:t xml:space="preserve">4. ЗАКЛЮЧЕНИЕ </w:t>
      </w:r>
    </w:p>
    <w:p w:rsidR="00D86939" w:rsidRDefault="00C763E7">
      <w:pPr>
        <w:spacing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През деветмесечния период след доклада от януари 2017 г., в който се определят основните</w:t>
      </w:r>
      <w:r>
        <w:rPr>
          <w:rFonts w:ascii="Times New Roman" w:hAnsi="Times New Roman"/>
          <w:noProof/>
          <w:spacing w:val="-4"/>
          <w:sz w:val="24"/>
          <w:lang w:val="bg-BG"/>
        </w:rPr>
        <w:t xml:space="preserve"> препоръки за изпълнение на всички показатели по МСП, бе постигнат напредък по редица препоръки, по-специално препоръка 8, която бе изпълнена задоволително, и, при условие че бъдат приложени на практика, препоръки 2, 7 и 12. Въпреки че изпълнението на няко</w:t>
      </w:r>
      <w:r>
        <w:rPr>
          <w:rFonts w:ascii="Times New Roman" w:hAnsi="Times New Roman"/>
          <w:noProof/>
          <w:spacing w:val="-4"/>
          <w:sz w:val="24"/>
          <w:lang w:val="bg-BG"/>
        </w:rPr>
        <w:t>и препоръки напредваше добре, темпото на реформите от 2017 г. като цяло отслабна, което забави изпълнението на останалите препоръки и увеличи риска от връщането на дневен ред на въпроси, за които в доклада от януари 2017 г. бе счетено, че са приключени. По</w:t>
      </w:r>
      <w:r>
        <w:rPr>
          <w:rFonts w:ascii="Times New Roman" w:hAnsi="Times New Roman"/>
          <w:noProof/>
          <w:spacing w:val="-4"/>
          <w:sz w:val="24"/>
          <w:lang w:val="bg-BG"/>
        </w:rPr>
        <w:t>ставя под въпрос на независимостта на съдебната система и предизвикателства, пред които е изправена, също са сериозен повод за безпокойство.</w:t>
      </w:r>
    </w:p>
    <w:p w:rsidR="00D86939" w:rsidRDefault="00C763E7">
      <w:pPr>
        <w:spacing w:line="240" w:lineRule="auto"/>
        <w:jc w:val="both"/>
        <w:rPr>
          <w:rFonts w:ascii="Times New Roman" w:hAnsi="Times New Roman"/>
          <w:noProof/>
          <w:spacing w:val="-4"/>
          <w:sz w:val="24"/>
          <w:szCs w:val="24"/>
          <w:lang w:val="bg-BG"/>
        </w:rPr>
      </w:pPr>
      <w:r>
        <w:rPr>
          <w:rFonts w:ascii="Times New Roman" w:hAnsi="Times New Roman"/>
          <w:noProof/>
          <w:spacing w:val="-4"/>
          <w:sz w:val="24"/>
          <w:lang w:val="bg-BG"/>
        </w:rPr>
        <w:t>Въз основа на това, въпреки че постигнатият напредък приближи изпълнението на някои показатели до завършване, Комис</w:t>
      </w:r>
      <w:r>
        <w:rPr>
          <w:rFonts w:ascii="Times New Roman" w:hAnsi="Times New Roman"/>
          <w:noProof/>
          <w:spacing w:val="-4"/>
          <w:sz w:val="24"/>
          <w:lang w:val="bg-BG"/>
        </w:rPr>
        <w:t>ията все още не може да заключи, че на този етап някой от показателите е задоволително изпълнен.</w:t>
      </w:r>
      <w:r>
        <w:rPr>
          <w:noProof/>
          <w:spacing w:val="-4"/>
          <w:lang w:val="bg-BG"/>
        </w:rPr>
        <w:t xml:space="preserve"> </w:t>
      </w:r>
      <w:r>
        <w:rPr>
          <w:rFonts w:ascii="Times New Roman" w:hAnsi="Times New Roman"/>
          <w:noProof/>
          <w:spacing w:val="-4"/>
          <w:sz w:val="24"/>
          <w:lang w:val="bg-BG"/>
        </w:rPr>
        <w:t>Комисията остава на мнение, че с лоялно сътрудничество между държавните институции, политическо лидерство, което утвърждава постигнатите в миналото постижения,</w:t>
      </w:r>
      <w:r>
        <w:rPr>
          <w:rFonts w:ascii="Times New Roman" w:hAnsi="Times New Roman"/>
          <w:noProof/>
          <w:spacing w:val="-4"/>
          <w:sz w:val="24"/>
          <w:lang w:val="bg-BG"/>
        </w:rPr>
        <w:t xml:space="preserve"> и със зачитането на независимостта на съдебната власт, Румъния ще съумее да изпълни оставащите препоръки по МСП в близко бъдеще. </w:t>
      </w:r>
    </w:p>
    <w:p w:rsidR="00D86939" w:rsidRDefault="00C763E7">
      <w:pPr>
        <w:spacing w:line="240" w:lineRule="auto"/>
        <w:jc w:val="both"/>
        <w:rPr>
          <w:rFonts w:ascii="Times New Roman" w:hAnsi="Times New Roman"/>
          <w:noProof/>
          <w:sz w:val="24"/>
          <w:szCs w:val="24"/>
          <w:lang w:val="bg-BG"/>
        </w:rPr>
      </w:pPr>
      <w:r>
        <w:rPr>
          <w:rFonts w:ascii="Times New Roman" w:hAnsi="Times New Roman"/>
          <w:noProof/>
          <w:sz w:val="24"/>
          <w:lang w:val="bg-BG"/>
        </w:rPr>
        <w:t xml:space="preserve">Комисията приканва Румъния да предприеме необходимите действия и да изпълни всички препоръки, а към края на 2018 г. ще оцени </w:t>
      </w:r>
      <w:r>
        <w:rPr>
          <w:rFonts w:ascii="Times New Roman" w:hAnsi="Times New Roman"/>
          <w:noProof/>
          <w:sz w:val="24"/>
          <w:lang w:val="bg-BG"/>
        </w:rPr>
        <w:t>отново постигнатия напредък.</w:t>
      </w:r>
    </w:p>
    <w:sectPr w:rsidR="00D8693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39" w:rsidRDefault="00C763E7">
      <w:pPr>
        <w:spacing w:after="0" w:line="240" w:lineRule="auto"/>
      </w:pPr>
      <w:r>
        <w:separator/>
      </w:r>
    </w:p>
  </w:endnote>
  <w:endnote w:type="continuationSeparator" w:id="0">
    <w:p w:rsidR="00D86939" w:rsidRDefault="00C7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FooterCoverPage"/>
      <w:rPr>
        <w:rFonts w:ascii="Arial" w:hAnsi="Arial" w:cs="Arial"/>
        <w:b/>
        <w:sz w:val="48"/>
      </w:rPr>
    </w:pPr>
    <w:r w:rsidRPr="00C763E7">
      <w:rPr>
        <w:rFonts w:ascii="Arial" w:hAnsi="Arial" w:cs="Arial"/>
        <w:b/>
        <w:sz w:val="48"/>
      </w:rPr>
      <w:t>BG</w:t>
    </w:r>
    <w:r w:rsidRPr="00C763E7">
      <w:rPr>
        <w:rFonts w:ascii="Arial" w:hAnsi="Arial" w:cs="Arial"/>
        <w:b/>
        <w:sz w:val="48"/>
      </w:rPr>
      <w:tab/>
    </w:r>
    <w:r w:rsidRPr="00C763E7">
      <w:rPr>
        <w:rFonts w:ascii="Arial" w:hAnsi="Arial" w:cs="Arial"/>
        <w:b/>
        <w:sz w:val="48"/>
      </w:rPr>
      <w:tab/>
    </w:r>
    <w:r w:rsidRPr="00C763E7">
      <w:tab/>
    </w:r>
    <w:r w:rsidRPr="00C763E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D869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C763E7">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D8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39" w:rsidRDefault="00C763E7">
      <w:pPr>
        <w:spacing w:after="0" w:line="240" w:lineRule="auto"/>
      </w:pPr>
      <w:r>
        <w:separator/>
      </w:r>
    </w:p>
  </w:footnote>
  <w:footnote w:type="continuationSeparator" w:id="0">
    <w:p w:rsidR="00D86939" w:rsidRDefault="00C763E7">
      <w:pPr>
        <w:spacing w:after="0" w:line="240" w:lineRule="auto"/>
      </w:pPr>
      <w:r>
        <w:continuationSeparator/>
      </w:r>
    </w:p>
  </w:footnote>
  <w:footnote w:id="1">
    <w:p w:rsidR="00D86939" w:rsidRDefault="00C763E7">
      <w:pPr>
        <w:pStyle w:val="FootnoteText"/>
        <w:spacing w:after="0" w:line="240" w:lineRule="auto"/>
        <w:ind w:left="284" w:hanging="284"/>
        <w:contextualSpacing/>
        <w:jc w:val="both"/>
        <w:rPr>
          <w:rFonts w:ascii="Times New Roman" w:hAnsi="Times New Roman"/>
          <w:spacing w:val="-6"/>
          <w:lang w:val="bg-BG"/>
        </w:rPr>
      </w:pPr>
      <w:r>
        <w:rPr>
          <w:rStyle w:val="FootnoteReference"/>
          <w:rFonts w:ascii="Times New Roman" w:hAnsi="Times New Roman"/>
          <w:spacing w:val="-6"/>
        </w:rPr>
        <w:footnoteRef/>
      </w:r>
      <w:r w:rsidRPr="00C763E7">
        <w:rPr>
          <w:rFonts w:ascii="Times New Roman" w:hAnsi="Times New Roman"/>
          <w:spacing w:val="-6"/>
          <w:lang w:val="ru-RU"/>
        </w:rPr>
        <w:t xml:space="preserve"> </w:t>
      </w:r>
      <w:r w:rsidRPr="00C763E7">
        <w:rPr>
          <w:spacing w:val="-6"/>
          <w:lang w:val="ru-RU"/>
        </w:rPr>
        <w:tab/>
      </w:r>
      <w:r>
        <w:rPr>
          <w:rFonts w:ascii="Times New Roman" w:hAnsi="Times New Roman"/>
          <w:spacing w:val="-6"/>
          <w:lang w:val="bg-BG"/>
        </w:rPr>
        <w:t xml:space="preserve">Заключения на Съвета на министрите, 17 октомври 2006 г. (13339/06); Решение на Комисията за създаване на механизъм за сътрудничество и проверка на напредъка на Румъния в постигането на </w:t>
      </w:r>
      <w:r>
        <w:rPr>
          <w:rFonts w:ascii="Times New Roman" w:hAnsi="Times New Roman"/>
          <w:spacing w:val="-6"/>
          <w:lang w:val="bg-BG"/>
        </w:rPr>
        <w:t>специфични цели в областите на съдебната реформа и борбата с корупцията (C(2006) 6569 окончателен, 13 декември 2006 г.).</w:t>
      </w:r>
    </w:p>
  </w:footnote>
  <w:footnote w:id="2">
    <w:p w:rsidR="00D86939" w:rsidRDefault="00C763E7">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Заключения на Съвета относно МСП.</w:t>
      </w:r>
    </w:p>
  </w:footnote>
  <w:footnote w:id="3">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COM (2017) 44.</w:t>
      </w:r>
    </w:p>
  </w:footnote>
  <w:footnote w:id="4">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http://europa.eu/rapid/press-release_SPEECH-17-3165_bg.htm</w:t>
      </w:r>
    </w:p>
  </w:footnote>
  <w:footnote w:id="5">
    <w:p w:rsidR="00D86939" w:rsidRDefault="00C763E7">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Извънредно пост</w:t>
      </w:r>
      <w:r>
        <w:rPr>
          <w:rFonts w:ascii="Times New Roman" w:hAnsi="Times New Roman"/>
          <w:lang w:val="bg-BG"/>
        </w:rPr>
        <w:t>ановление 13/2017 за изменение на Наказателния кодекс и Наказателно-процесуалния кодекс.</w:t>
      </w:r>
    </w:p>
  </w:footnote>
  <w:footnote w:id="6">
    <w:p w:rsidR="00D86939" w:rsidRDefault="00C763E7">
      <w:pPr>
        <w:pStyle w:val="FootnoteText"/>
        <w:spacing w:after="0" w:line="240" w:lineRule="auto"/>
        <w:ind w:left="284" w:hanging="284"/>
        <w:jc w:val="both"/>
        <w:rPr>
          <w:lang w:val="bg-BG"/>
        </w:rPr>
      </w:pPr>
      <w:r>
        <w:rPr>
          <w:rStyle w:val="FootnoteReference"/>
          <w:lang w:val="bg-BG"/>
        </w:rPr>
        <w:footnoteRef/>
      </w:r>
      <w:r>
        <w:rPr>
          <w:lang w:val="bg-BG"/>
        </w:rPr>
        <w:t xml:space="preserve"> </w:t>
      </w:r>
      <w:r>
        <w:rPr>
          <w:lang w:val="bg-BG"/>
        </w:rPr>
        <w:tab/>
      </w:r>
      <w:r>
        <w:rPr>
          <w:rFonts w:ascii="Times New Roman" w:hAnsi="Times New Roman"/>
          <w:lang w:val="bg-BG"/>
        </w:rPr>
        <w:t>На 9 ноември Висшият магистратски съвет даде второ отрицателно становище по тези проекти, отнасящи се до законите в областта на правосъдието и разглеждани понастоящ</w:t>
      </w:r>
      <w:r>
        <w:rPr>
          <w:rFonts w:ascii="Times New Roman" w:hAnsi="Times New Roman"/>
          <w:lang w:val="bg-BG"/>
        </w:rPr>
        <w:t>ем в Парламента, въпреки че мотивите за това решение все още не са представени.</w:t>
      </w:r>
    </w:p>
  </w:footnote>
  <w:footnote w:id="7">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Консултативният съвет на европейските съдии (КСЕС) на Съвета на Европа препоръча в предходни становища „</w:t>
      </w:r>
      <w:r>
        <w:rPr>
          <w:rFonts w:ascii="Times New Roman" w:hAnsi="Times New Roman"/>
          <w:i/>
          <w:lang w:val="bg-BG"/>
        </w:rPr>
        <w:t>със съдебната власт да бъдат осъществявани консултации и тя да участв</w:t>
      </w:r>
      <w:r>
        <w:rPr>
          <w:rFonts w:ascii="Times New Roman" w:hAnsi="Times New Roman"/>
          <w:i/>
          <w:lang w:val="bg-BG"/>
        </w:rPr>
        <w:t>а активно при подготовката на всяко законодателството относно нейния статут и функционирането на съдебната система</w:t>
      </w:r>
      <w:r>
        <w:rPr>
          <w:rFonts w:ascii="Times New Roman" w:hAnsi="Times New Roman"/>
          <w:lang w:val="bg-BG"/>
        </w:rPr>
        <w:t>“. „Положението на съдебната власт и нейните отношения с другите държавни власти в модерната демокрация“, Становище № 18 (2015).</w:t>
      </w:r>
    </w:p>
  </w:footnote>
  <w:footnote w:id="8">
    <w:p w:rsidR="00D86939" w:rsidRDefault="00C763E7">
      <w:pPr>
        <w:pStyle w:val="FootnoteText"/>
        <w:spacing w:after="0" w:line="240" w:lineRule="auto"/>
        <w:ind w:left="284" w:hanging="284"/>
        <w:jc w:val="both"/>
        <w:rPr>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Например п</w:t>
      </w:r>
      <w:r>
        <w:rPr>
          <w:rFonts w:ascii="Times New Roman" w:hAnsi="Times New Roman"/>
          <w:lang w:val="bg-BG"/>
        </w:rPr>
        <w:t>ублични изявления от органите, че цялата съдебна система не функционира или че трябва да бъде осъществено „завръщане към нормалното положение“.</w:t>
      </w:r>
    </w:p>
  </w:footnote>
  <w:footnote w:id="9">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Доклад по МСП от януари 2017 г., COM (2017) 44 final. </w:t>
      </w:r>
    </w:p>
  </w:footnote>
  <w:footnote w:id="10">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Заключения на Съвета относно МСП, март 2017 г.: htt</w:t>
      </w:r>
      <w:r>
        <w:rPr>
          <w:rFonts w:ascii="Times New Roman" w:hAnsi="Times New Roman"/>
          <w:lang w:val="bg-BG"/>
        </w:rPr>
        <w:t>ps://ec.europa.eu/info/sites/info/files/st-7048-2017-init_en.pdf.</w:t>
      </w:r>
    </w:p>
  </w:footnote>
  <w:footnote w:id="11">
    <w:p w:rsidR="00D86939" w:rsidRDefault="00C763E7">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Доклад относно европейските стандарти във връзка с независимостта на съдебната система — част II: прокуратурата, CDL-AD(2010)040.</w:t>
      </w:r>
    </w:p>
  </w:footnote>
  <w:footnote w:id="12">
    <w:p w:rsidR="00D86939" w:rsidRDefault="00C763E7">
      <w:pPr>
        <w:pStyle w:val="FootnoteText"/>
        <w:spacing w:after="0" w:line="240" w:lineRule="auto"/>
        <w:ind w:left="284" w:hanging="284"/>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Венецианската комисия изготви списък от европейски ста</w:t>
      </w:r>
      <w:r>
        <w:rPr>
          <w:rFonts w:ascii="Times New Roman" w:hAnsi="Times New Roman"/>
          <w:lang w:val="bg-BG"/>
        </w:rPr>
        <w:t xml:space="preserve">ндарти: </w:t>
      </w:r>
      <w:hyperlink r:id="rId1">
        <w:r>
          <w:rPr>
            <w:rStyle w:val="Hyperlink"/>
            <w:rFonts w:ascii="Times New Roman" w:hAnsi="Times New Roman"/>
            <w:lang w:val="bg-BG"/>
          </w:rPr>
          <w:t>http://www.venice.coe.int/webforms/documents/default.aspx?pdffile=CDL-AD(2010)040-e</w:t>
        </w:r>
      </w:hyperlink>
      <w:r>
        <w:rPr>
          <w:rFonts w:ascii="Times New Roman" w:hAnsi="Times New Roman"/>
          <w:lang w:val="bg-BG"/>
        </w:rPr>
        <w:t>.</w:t>
      </w:r>
    </w:p>
  </w:footnote>
  <w:footnote w:id="13">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eastAsiaTheme="minorHAnsi" w:hAnsi="Times New Roman"/>
          <w:lang w:val="bg-BG"/>
        </w:rPr>
        <w:t xml:space="preserve">Подобен анализ беше извършен в четвъртата оценка на Групата държави срещу корупцията (GRECO) </w:t>
      </w:r>
      <w:hyperlink r:id="rId2">
        <w:r>
          <w:rPr>
            <w:rFonts w:ascii="Times New Roman" w:eastAsiaTheme="minorHAnsi" w:hAnsi="Times New Roman"/>
            <w:color w:val="0000FF"/>
            <w:u w:val="single"/>
            <w:lang w:val="bg-BG"/>
          </w:rPr>
          <w:t>http://www.coe.int/t/dghl/monitoring/gr</w:t>
        </w:r>
        <w:r>
          <w:rPr>
            <w:rFonts w:ascii="Times New Roman" w:eastAsiaTheme="minorHAnsi" w:hAnsi="Times New Roman"/>
            <w:color w:val="0000FF"/>
            <w:u w:val="single"/>
            <w:lang w:val="bg-BG"/>
          </w:rPr>
          <w:t>eco/evaluations/round4/Eval%20IV/GrecoEval4%282015%294_Romania_EN.pdf</w:t>
        </w:r>
      </w:hyperlink>
      <w:r>
        <w:rPr>
          <w:rFonts w:ascii="Times New Roman" w:eastAsiaTheme="minorHAnsi" w:hAnsi="Times New Roman"/>
          <w:lang w:val="bg-BG"/>
        </w:rPr>
        <w:t>.</w:t>
      </w:r>
    </w:p>
  </w:footnote>
  <w:footnote w:id="14">
    <w:p w:rsidR="00D86939" w:rsidRDefault="00C763E7">
      <w:pPr>
        <w:pStyle w:val="FootnoteText"/>
        <w:spacing w:after="0" w:line="240" w:lineRule="auto"/>
        <w:ind w:left="284" w:hanging="284"/>
        <w:contextualSpacing/>
        <w:jc w:val="both"/>
        <w:rPr>
          <w:rFonts w:ascii="Times New Roman" w:hAnsi="Times New Roman"/>
          <w:spacing w:val="-4"/>
          <w:lang w:val="bg-BG"/>
        </w:rPr>
      </w:pPr>
      <w:r>
        <w:rPr>
          <w:rStyle w:val="FootnoteReference"/>
          <w:rFonts w:ascii="Times New Roman" w:hAnsi="Times New Roman"/>
          <w:spacing w:val="-4"/>
          <w:lang w:val="bg-BG"/>
        </w:rPr>
        <w:footnoteRef/>
      </w:r>
      <w:r>
        <w:rPr>
          <w:rFonts w:ascii="Times New Roman" w:hAnsi="Times New Roman"/>
          <w:spacing w:val="-4"/>
          <w:lang w:val="bg-BG"/>
        </w:rPr>
        <w:t xml:space="preserve"> </w:t>
      </w:r>
      <w:r>
        <w:rPr>
          <w:spacing w:val="-4"/>
          <w:lang w:val="bg-BG"/>
        </w:rPr>
        <w:tab/>
      </w:r>
      <w:r>
        <w:rPr>
          <w:rFonts w:ascii="Times New Roman" w:hAnsi="Times New Roman"/>
          <w:spacing w:val="-4"/>
          <w:lang w:val="bg-BG"/>
        </w:rPr>
        <w:t>В докладите за напредъка от правителството и парламента не се споменава напредък по тези предложения.</w:t>
      </w:r>
    </w:p>
  </w:footnote>
  <w:footnote w:id="15">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Декриминализирани бяха три деяния от четири. Вж. също Технически доклад </w:t>
      </w:r>
      <w:r>
        <w:rPr>
          <w:rFonts w:ascii="Times New Roman" w:hAnsi="Times New Roman"/>
          <w:lang w:val="bg-BG"/>
        </w:rPr>
        <w:t>SWD(2017) 701. Това изменение не беше предмет на консултации със съдебните органи.</w:t>
      </w:r>
    </w:p>
  </w:footnote>
  <w:footnote w:id="16">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Решение № 369/2017, публикувано в румънския Държавен вестник, част I, № 582, 20 юли 2017 г.</w:t>
      </w:r>
    </w:p>
  </w:footnote>
  <w:footnote w:id="17">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COM (2016) 41, COM (2017) 16.</w:t>
      </w:r>
    </w:p>
  </w:footnote>
  <w:footnote w:id="18">
    <w:p w:rsidR="00D86939" w:rsidRDefault="00C763E7">
      <w:pPr>
        <w:pStyle w:val="FootnoteText"/>
        <w:spacing w:after="0" w:line="240" w:lineRule="auto"/>
        <w:ind w:left="284" w:hanging="284"/>
        <w:contextualSpacing/>
        <w:jc w:val="both"/>
        <w:rPr>
          <w:rFonts w:ascii="Times New Roman" w:hAnsi="Times New Roman"/>
          <w:spacing w:val="-2"/>
          <w:lang w:val="bg-BG"/>
        </w:rPr>
      </w:pPr>
      <w:r>
        <w:rPr>
          <w:rStyle w:val="FootnoteReference"/>
          <w:rFonts w:ascii="Times New Roman" w:hAnsi="Times New Roman"/>
          <w:spacing w:val="-2"/>
          <w:lang w:val="bg-BG"/>
        </w:rPr>
        <w:footnoteRef/>
      </w:r>
      <w:r>
        <w:rPr>
          <w:rFonts w:ascii="Times New Roman" w:hAnsi="Times New Roman"/>
          <w:spacing w:val="-2"/>
          <w:lang w:val="bg-BG"/>
        </w:rPr>
        <w:t xml:space="preserve"> </w:t>
      </w:r>
      <w:r>
        <w:rPr>
          <w:spacing w:val="-2"/>
          <w:lang w:val="bg-BG"/>
        </w:rPr>
        <w:tab/>
      </w:r>
      <w:r>
        <w:rPr>
          <w:rFonts w:ascii="Times New Roman" w:hAnsi="Times New Roman"/>
          <w:spacing w:val="-2"/>
          <w:lang w:val="bg-BG"/>
        </w:rPr>
        <w:t>Например промяната на режима на несъвмести</w:t>
      </w:r>
      <w:r>
        <w:rPr>
          <w:rFonts w:ascii="Times New Roman" w:hAnsi="Times New Roman"/>
          <w:spacing w:val="-2"/>
          <w:lang w:val="bg-BG"/>
        </w:rPr>
        <w:t>мост за членовете на парламента и декриминализирането на повечето конфликти на интереси. Освен това съществуват и други примери за законодателство, прието без консултации, което също оказва въздействие върху съдебната система и борбата срещу корупцията, ка</w:t>
      </w:r>
      <w:r>
        <w:rPr>
          <w:rFonts w:ascii="Times New Roman" w:hAnsi="Times New Roman"/>
          <w:spacing w:val="-2"/>
          <w:lang w:val="bg-BG"/>
        </w:rPr>
        <w:t>то например Закона относно статута на местните администрации, Закона за финансирането на политическите партии, както и предложение, позволяващо преразглеждане на всички съдебни решения от последните 20 години, което накрая беше отхвърлено от Конституционни</w:t>
      </w:r>
      <w:r>
        <w:rPr>
          <w:rFonts w:ascii="Times New Roman" w:hAnsi="Times New Roman"/>
          <w:spacing w:val="-2"/>
          <w:lang w:val="bg-BG"/>
        </w:rPr>
        <w:t xml:space="preserve">я съд. </w:t>
      </w:r>
    </w:p>
  </w:footnote>
  <w:footnote w:id="19">
    <w:p w:rsidR="00D86939" w:rsidRDefault="00C763E7">
      <w:pPr>
        <w:pStyle w:val="FootnoteText"/>
        <w:rPr>
          <w:spacing w:val="-4"/>
          <w:lang w:val="bg-BG"/>
        </w:rPr>
      </w:pPr>
      <w:r>
        <w:rPr>
          <w:rStyle w:val="FootnoteReference"/>
          <w:spacing w:val="-4"/>
          <w:lang w:val="bg-BG"/>
        </w:rPr>
        <w:footnoteRef/>
      </w:r>
      <w:r>
        <w:rPr>
          <w:spacing w:val="-4"/>
          <w:lang w:val="bg-BG"/>
        </w:rPr>
        <w:t xml:space="preserve">  </w:t>
      </w:r>
      <w:r>
        <w:rPr>
          <w:rFonts w:ascii="Times New Roman" w:hAnsi="Times New Roman"/>
          <w:spacing w:val="-4"/>
          <w:lang w:val="bg-BG"/>
        </w:rPr>
        <w:t>Технически доклад SWD(2017) 701. Предложение, представено на Комитета на министрите на Съвета на Европа.</w:t>
      </w:r>
    </w:p>
  </w:footnote>
  <w:footnote w:id="20">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След няколко отлагания, в началото на септември Сенатът назначи двамата членове на Висшия магистратски съвет, представляващи гражданското</w:t>
      </w:r>
      <w:r>
        <w:rPr>
          <w:rFonts w:ascii="Times New Roman" w:hAnsi="Times New Roman"/>
          <w:lang w:val="bg-BG"/>
        </w:rPr>
        <w:t xml:space="preserve"> общество.</w:t>
      </w:r>
    </w:p>
  </w:footnote>
  <w:footnote w:id="21">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Групата държави срещу корупцията (GRECO) е създадена от Съвета на Европа през 1999 г., за да следи за спазването на стандартите на организацията за борба с корупцията.</w:t>
      </w:r>
    </w:p>
  </w:footnote>
  <w:footnote w:id="22">
    <w:p w:rsidR="00D86939" w:rsidRDefault="00C763E7">
      <w:pPr>
        <w:pStyle w:val="FootnoteText"/>
        <w:spacing w:after="0" w:line="240" w:lineRule="auto"/>
        <w:ind w:left="284" w:hanging="284"/>
        <w:contextualSpacing/>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Въз основа на насоките на Венецианската комисия и Групата държави срещу</w:t>
      </w:r>
      <w:r>
        <w:rPr>
          <w:rFonts w:ascii="Times New Roman" w:hAnsi="Times New Roman"/>
          <w:lang w:val="bg-BG"/>
        </w:rPr>
        <w:t xml:space="preserve"> корупцията (GRECO).</w:t>
      </w:r>
    </w:p>
  </w:footnote>
  <w:footnote w:id="23">
    <w:p w:rsidR="00D86939" w:rsidRDefault="00C763E7">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Както бе посочено в доклад относно напредъка, постигнат от Румъния в рамките на Механизма за сътрудничество и проверка, предоставен от Министерството на правосъдието през септември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E7" w:rsidRPr="00C763E7" w:rsidRDefault="00C763E7" w:rsidP="00C763E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D869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D869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39" w:rsidRDefault="00D86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1F3A5F"/>
    <w:multiLevelType w:val="hybridMultilevel"/>
    <w:tmpl w:val="0E1A5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A252E1"/>
    <w:multiLevelType w:val="hybridMultilevel"/>
    <w:tmpl w:val="F2622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8"/>
  </w:num>
  <w:num w:numId="6">
    <w:abstractNumId w:val="7"/>
  </w:num>
  <w:num w:numId="7">
    <w:abstractNumId w:val="5"/>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65A5E9-0D10-498A-B0D0-80F2FDF1C550"/>
    <w:docVar w:name="LW_COVERPAGE_TYPE" w:val="1"/>
    <w:docVar w:name="LW_CROSSREFERENCE" w:val="{SWD(2017) 701 final}"/>
    <w:docVar w:name="LW_DocType" w:val="NORMAL"/>
    <w:docVar w:name="LW_EMISSION" w:val="15.11.2017"/>
    <w:docVar w:name="LW_EMISSION_ISODATE" w:val="2017-11-15"/>
    <w:docVar w:name="LW_EMISSION_LOCATION" w:val="BRX"/>
    <w:docVar w:name="LW_EMISSION_PREFIX" w:val="\u1041?\u1088?\u1102?\u1082?\u1089?\u1077?\u1083?,"/>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5?\u1072?\u1087?\u1088?\u1077?\u1076?\u1098?\u1082?\u1072? \u1085?\u1072? \u1056?\u1091?\u1084?\u1098?\u1085?\u1080?\u1103? \u1087?\u1086? \u1084?\u1077?\u1093?\u1072?\u1085?\u1080?\u1079?\u1084?\u1072? \u1079?\u1072? \u1089?\u1098?\u1090?\u1088?\u1091?\u1076?\u1085?\u1080?\u1095?\u1077?\u1089?\u1090?\u1074?\u1086? \u1080? \u1087?\u1088?\u1086?\u1074?\u1077?\u1088?\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D86939"/>
    <w:rsid w:val="00C763E7"/>
    <w:rsid w:val="00D869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t/dghl/monitoring/greco/evaluations/round4/Eval%20IV/GrecoEval4(2015)4_Romania_EN.pdf" TargetMode="External"/><Relationship Id="rId1" Type="http://schemas.openxmlformats.org/officeDocument/2006/relationships/hyperlink" Target="http://www.venice.coe.int/webforms/documents/default.aspx?pdffile=CDL-AD(2010)04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4CE6-A9C7-4BB7-ABD2-AEB08584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6002</Words>
  <Characters>35822</Characters>
  <Application>Microsoft Office Word</Application>
  <DocSecurity>0</DocSecurity>
  <Lines>551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41754</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31</cp:revision>
  <cp:lastPrinted>2017-11-13T11:27:00Z</cp:lastPrinted>
  <dcterms:created xsi:type="dcterms:W3CDTF">2017-11-13T17:48:00Z</dcterms:created>
  <dcterms:modified xsi:type="dcterms:W3CDTF">2017-11-20T11:55:00Z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