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4D" w:rsidRDefault="00DB197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D89FEB2-A95E-4F18-B851-4FA2825D8E6C" style="width:450.8pt;height:388.8pt">
            <v:imagedata r:id="rId9" o:title=""/>
          </v:shape>
        </w:pict>
      </w:r>
    </w:p>
    <w:bookmarkEnd w:id="0"/>
    <w:p w:rsidR="00D64E4D" w:rsidRDefault="00D64E4D">
      <w:pPr>
        <w:rPr>
          <w:noProof/>
        </w:rPr>
        <w:sectPr w:rsidR="00D64E4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299"/>
        </w:sectPr>
      </w:pPr>
    </w:p>
    <w:p w:rsidR="00D64E4D" w:rsidRDefault="00DB1970">
      <w:pPr>
        <w:pStyle w:val="Heading1"/>
        <w:spacing w:before="0" w:line="240" w:lineRule="auto"/>
        <w:rPr>
          <w:noProof/>
        </w:rPr>
      </w:pPr>
      <w:r>
        <w:rPr>
          <w:noProof/>
        </w:rPr>
        <w:lastRenderedPageBreak/>
        <w:t>Въведение: превръщането на Европа в световен лидер в декарбонизацията</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В съответствие с призива на Председателя на Европейската комисия в неговата реч за състоянието на Съюза през 2017 г., произнесена през септември 2017 г., Европейският съюз (ЕС) трябва да стане </w:t>
      </w:r>
      <w:r>
        <w:rPr>
          <w:rFonts w:ascii="Times New Roman" w:hAnsi="Times New Roman"/>
          <w:b/>
          <w:noProof/>
          <w:sz w:val="24"/>
        </w:rPr>
        <w:t>световен лидер в декарбонизацията</w:t>
      </w:r>
      <w:r>
        <w:rPr>
          <w:rFonts w:ascii="Times New Roman" w:hAnsi="Times New Roman"/>
          <w:noProof/>
          <w:sz w:val="24"/>
        </w:rPr>
        <w:t>. За да се изпълнят ангажиментите на ЕС от 21-та конференция на страните по Рамковата конвенция на ООН по изменение на климата, състояла се в Париж, е необходимо декарбонизацията на транспортния сектор да бъде ускорена, така че да се осигури устойчива тенденция към намаление на емисиите на парникови газове и атмосферни замърсители, с перспектива за достигане до нулеви емисии към средата на века.</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В своята Стратегия за мобилност с ниски емисии</w:t>
      </w:r>
      <w:r>
        <w:rPr>
          <w:rStyle w:val="FootnoteReference"/>
          <w:rFonts w:ascii="Times New Roman" w:hAnsi="Times New Roman"/>
          <w:noProof/>
          <w:sz w:val="24"/>
        </w:rPr>
        <w:footnoteReference w:id="2"/>
      </w:r>
      <w:r>
        <w:rPr>
          <w:rFonts w:ascii="Times New Roman" w:hAnsi="Times New Roman"/>
          <w:noProof/>
          <w:sz w:val="24"/>
        </w:rPr>
        <w:t xml:space="preserve"> Комисията вече е описала как ЕС може да постигне тази цел. В унисон с тази стратегия, в Съобщението на Комисията „</w:t>
      </w:r>
      <w:r>
        <w:rPr>
          <w:rFonts w:ascii="Times New Roman" w:eastAsiaTheme="minorHAnsi" w:hAnsi="Times New Roman"/>
          <w:i/>
          <w:noProof/>
          <w:sz w:val="24"/>
        </w:rPr>
        <w:t>Европа в движение: програма за социално справедлив преход към екологосъобразна, конкурентоспособна и свързана мобилност за всички</w:t>
      </w:r>
      <w:r>
        <w:rPr>
          <w:rFonts w:ascii="Times New Roman" w:hAnsi="Times New Roman"/>
          <w:noProof/>
          <w:sz w:val="24"/>
        </w:rPr>
        <w:t>“ е отбелязано, че амбицията на ЕС трябва да бъде постигането на бърз напредък към създаването на по-екологосъобразна, по-конкурентоспособна и безпроблемно свързана система за мобилност до 2025 г</w:t>
      </w:r>
      <w:r>
        <w:rPr>
          <w:rStyle w:val="FootnoteReference"/>
          <w:rFonts w:ascii="Times New Roman" w:hAnsi="Times New Roman"/>
          <w:noProof/>
          <w:sz w:val="24"/>
        </w:rPr>
        <w:footnoteReference w:id="3"/>
      </w:r>
      <w:r>
        <w:rPr>
          <w:rFonts w:ascii="Times New Roman" w:hAnsi="Times New Roman"/>
          <w:noProof/>
          <w:sz w:val="24"/>
        </w:rPr>
        <w:t xml:space="preserve">. </w:t>
      </w:r>
    </w:p>
    <w:p w:rsidR="00D64E4D" w:rsidRDefault="00DB1970">
      <w:pPr>
        <w:pStyle w:val="Text1"/>
        <w:spacing w:line="240" w:lineRule="auto"/>
        <w:ind w:left="0"/>
        <w:jc w:val="both"/>
        <w:rPr>
          <w:rFonts w:ascii="Times New Roman" w:hAnsi="Times New Roman"/>
          <w:noProof/>
          <w:sz w:val="24"/>
          <w:szCs w:val="24"/>
        </w:rPr>
      </w:pPr>
      <w:r>
        <w:rPr>
          <w:rFonts w:ascii="Times New Roman" w:eastAsiaTheme="minorHAnsi" w:hAnsi="Times New Roman"/>
          <w:noProof/>
          <w:sz w:val="24"/>
        </w:rPr>
        <w:t>Този план за действие е част от втори пакет от предложения и инициативи, имащи съществено значение за намаляване на въглеродната интензивност на транспортния сектор. Вторият пакет за мобилността, представен в съобщението на Комисията „Към</w:t>
      </w:r>
      <w:r>
        <w:rPr>
          <w:rFonts w:ascii="Times New Roman" w:eastAsiaTheme="minorHAnsi" w:hAnsi="Times New Roman"/>
          <w:i/>
          <w:noProof/>
          <w:sz w:val="24"/>
        </w:rPr>
        <w:t xml:space="preserve"> мобилност с ниски емисии: за Европейския съюз, който опазва планетата, предоставя възможности на своите потребители и защитава промишлеността и работниците си</w:t>
      </w:r>
      <w:r>
        <w:rPr>
          <w:rFonts w:ascii="Times New Roman" w:eastAsiaTheme="minorHAnsi" w:hAnsi="Times New Roman"/>
          <w:noProof/>
          <w:sz w:val="24"/>
        </w:rPr>
        <w:t xml:space="preserve">“ — </w:t>
      </w:r>
      <w:r>
        <w:rPr>
          <w:rFonts w:ascii="Times New Roman" w:eastAsiaTheme="minorHAnsi" w:hAnsi="Times New Roman"/>
          <w:i/>
          <w:noProof/>
          <w:sz w:val="24"/>
          <w:lang w:val="en-GB"/>
        </w:rPr>
        <w:t>COM</w:t>
      </w:r>
      <w:r>
        <w:rPr>
          <w:rFonts w:ascii="Times New Roman" w:eastAsiaTheme="minorHAnsi" w:hAnsi="Times New Roman"/>
          <w:i/>
          <w:noProof/>
          <w:sz w:val="24"/>
        </w:rPr>
        <w:t>(2017) 675</w:t>
      </w:r>
      <w:r>
        <w:rPr>
          <w:rFonts w:ascii="Times New Roman" w:eastAsiaTheme="minorHAnsi" w:hAnsi="Times New Roman"/>
          <w:noProof/>
          <w:sz w:val="24"/>
        </w:rPr>
        <w:t>, включва комбинация от мерки, ориентирани към ползването и предоставянето на транспорт, за да се ускори преходът към мобилност с ниски и нулеви емисии и да се засили конкурентоспособността на европейския сектор на мобилността и транспорта</w:t>
      </w:r>
      <w:r>
        <w:rPr>
          <w:rFonts w:ascii="Times New Roman" w:eastAsiaTheme="minorHAnsi" w:hAnsi="Times New Roman"/>
          <w:noProof/>
          <w:sz w:val="24"/>
          <w:vertAlign w:val="superscript"/>
        </w:rPr>
        <w:footnoteReference w:id="4"/>
      </w:r>
      <w:r>
        <w:rPr>
          <w:rFonts w:ascii="Times New Roman" w:eastAsiaTheme="minorHAnsi" w:hAnsi="Times New Roman"/>
          <w:noProof/>
          <w:sz w:val="24"/>
        </w:rPr>
        <w:t xml:space="preserve">. </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Като се има предвид, че 95 % от пътните превозни средства все още се задвижват с конвенционални горива, включително смеси с възобновяеми биогорива, броят на превозните средства и плавателните съдове, използващи алтернативни източници на енергия</w:t>
      </w:r>
      <w:r>
        <w:rPr>
          <w:rStyle w:val="FootnoteReference"/>
          <w:rFonts w:ascii="Times New Roman" w:hAnsi="Times New Roman"/>
          <w:noProof/>
          <w:sz w:val="24"/>
        </w:rPr>
        <w:footnoteReference w:id="5"/>
      </w:r>
      <w:r>
        <w:rPr>
          <w:rFonts w:ascii="Times New Roman" w:hAnsi="Times New Roman"/>
          <w:noProof/>
          <w:sz w:val="24"/>
        </w:rPr>
        <w:t xml:space="preserve"> в ЕС, е твърде нисък. Някои трайни проблеми продължават да създават </w:t>
      </w:r>
      <w:r>
        <w:rPr>
          <w:rFonts w:ascii="Times New Roman" w:hAnsi="Times New Roman"/>
          <w:b/>
          <w:noProof/>
          <w:sz w:val="24"/>
        </w:rPr>
        <w:t xml:space="preserve">пазарни препятствия </w:t>
      </w:r>
      <w:r>
        <w:rPr>
          <w:rFonts w:ascii="Times New Roman" w:hAnsi="Times New Roman"/>
          <w:noProof/>
          <w:sz w:val="24"/>
        </w:rPr>
        <w:t xml:space="preserve">пред използването им. Тези проблеми включват липсата на инфраструктура от станции за зареждане с електроенергия и алтернативни горива на превозни средства и плавателни съдове, недостатъчното развитие на интелигентните електроенергийни мрежи и затрудненият достъп на потребителите до инфраструктурата. За да може ЕС успешно да осъществи прехода към мобилност с ниски и нулеви емисии, </w:t>
      </w:r>
      <w:r>
        <w:rPr>
          <w:rFonts w:ascii="Times New Roman" w:hAnsi="Times New Roman"/>
          <w:b/>
          <w:noProof/>
          <w:sz w:val="24"/>
        </w:rPr>
        <w:t>е необходим интегриран подход</w:t>
      </w:r>
      <w:r>
        <w:rPr>
          <w:rFonts w:ascii="Times New Roman" w:hAnsi="Times New Roman"/>
          <w:noProof/>
          <w:sz w:val="24"/>
        </w:rPr>
        <w:t xml:space="preserve">. Той изисква обща рамка на политиките за превозните средства, инфраструктурите, </w:t>
      </w:r>
      <w:r>
        <w:rPr>
          <w:rFonts w:ascii="Times New Roman" w:hAnsi="Times New Roman"/>
          <w:noProof/>
          <w:sz w:val="24"/>
        </w:rPr>
        <w:lastRenderedPageBreak/>
        <w:t xml:space="preserve">електроенергийните мрежи, икономическите стимули и цифровите услуги, които се прилагат в целия ЕС на национално, областно и местно ниво.  </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В настоящия план за действие са откроени действия, които допълват и спомагат за по-добро прилагане на националните рамки на политиката (НРП) съгласно Директива 2014/94/ЕС относно инфраструктурата за алтернативни горива, за да може да се създаде </w:t>
      </w:r>
      <w:r>
        <w:rPr>
          <w:rFonts w:ascii="Times New Roman" w:hAnsi="Times New Roman"/>
          <w:b/>
          <w:noProof/>
          <w:sz w:val="24"/>
        </w:rPr>
        <w:t>до 2025 г. оперативно съвместима опорна инфраструктура на ЕС</w:t>
      </w:r>
      <w:r>
        <w:rPr>
          <w:rFonts w:ascii="Times New Roman" w:hAnsi="Times New Roman"/>
          <w:noProof/>
          <w:sz w:val="24"/>
        </w:rPr>
        <w:t xml:space="preserve">, особено по коридорите на основната мрежа в Трансевропейската транспортна мрежа (TEN-T), така че превозните средства и плавателните съдове да могат лесно да бъдат използвани по трансгранични маршрути и на далечни разстояния. За тази цел е абсолютно необходимо постигането на бързо съгласие между всички съответни публични и частни субекти за общ подход за постигането на оперативна съвместимост на услугите. </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За бъдещото изграждане на инфраструктурата ще са необходими </w:t>
      </w:r>
      <w:r>
        <w:rPr>
          <w:rFonts w:ascii="Times New Roman" w:hAnsi="Times New Roman"/>
          <w:b/>
          <w:noProof/>
          <w:sz w:val="24"/>
        </w:rPr>
        <w:t>значителни публични и частни инвестиции</w:t>
      </w:r>
      <w:r>
        <w:rPr>
          <w:rFonts w:ascii="Times New Roman" w:hAnsi="Times New Roman"/>
          <w:noProof/>
          <w:sz w:val="24"/>
        </w:rPr>
        <w:t xml:space="preserve">. Съчетаването на безвъзмездни средства с подлежащо на възстановяване дългово финансиране трябва да се превърне в стандарт за случаите, при които е осъществимо. Необходимо е различните насърчителни инструменти на нивото на ЕС да се използват ефективно в комбинация помежду им. За тази цел Комисията ще засили координацията на инструментите за финансиране от ЕС и ще се стреми към синергии с действия на национално и местно ниво, за да се увеличи ефектът от финансирането от ЕС. Тя ще обърне внимание и на други въпроси, които са от ключово значение за изграждането на инфраструктура за алтернативни горива/енергоносители, например интегрирането на транспортната и енергийната системи. </w:t>
      </w:r>
    </w:p>
    <w:p w:rsidR="00D64E4D" w:rsidRDefault="00DB1970">
      <w:pPr>
        <w:pStyle w:val="Heading1"/>
        <w:shd w:val="clear" w:color="auto" w:fill="FFFFFF" w:themeFill="background1"/>
        <w:spacing w:before="360" w:line="240" w:lineRule="auto"/>
        <w:ind w:left="482" w:hanging="482"/>
        <w:rPr>
          <w:noProof/>
        </w:rPr>
      </w:pPr>
      <w:r>
        <w:rPr>
          <w:noProof/>
        </w:rPr>
        <w:t>Какво е актуалното състояние?</w:t>
      </w:r>
    </w:p>
    <w:p w:rsidR="00D64E4D" w:rsidRDefault="00DB1970">
      <w:pPr>
        <w:pStyle w:val="Heading2"/>
        <w:shd w:val="clear" w:color="auto" w:fill="FFFFFF" w:themeFill="background1"/>
        <w:tabs>
          <w:tab w:val="clear" w:pos="862"/>
          <w:tab w:val="num" w:pos="480"/>
        </w:tabs>
        <w:ind w:left="480" w:hanging="480"/>
        <w:rPr>
          <w:noProof/>
        </w:rPr>
      </w:pPr>
      <w:r>
        <w:rPr>
          <w:noProof/>
        </w:rPr>
        <w:t>Съществуващо положение и оценка на потребностите</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Изграждането на </w:t>
      </w:r>
      <w:r>
        <w:rPr>
          <w:rFonts w:ascii="Times New Roman" w:hAnsi="Times New Roman"/>
          <w:b/>
          <w:noProof/>
          <w:sz w:val="24"/>
        </w:rPr>
        <w:t>инфраструктурата за алтернативни горива/енергоносители напоследък набира скорост</w:t>
      </w:r>
      <w:r>
        <w:rPr>
          <w:rFonts w:ascii="Times New Roman" w:hAnsi="Times New Roman"/>
          <w:noProof/>
          <w:sz w:val="24"/>
        </w:rPr>
        <w:t xml:space="preserve">. В последните години е постигнат значителен напредък, благодарение и на финансирането от ЕС. Според Европейската обсерватория за алтернативни горива, до края на септември 2017 г. са били налични 118 000 публично достъпни зарядни точки за електрически превозни средства, 3458 точки за зареждане с гориво на превозни средства и плавателни съдове, използващи компресиран природен газ (CNG) или втечнен природен газ (LNG), и 82 точки за зареждане на превозни средства, задвижвани с водород. </w:t>
      </w:r>
    </w:p>
    <w:p w:rsidR="00D64E4D" w:rsidRDefault="00DB1970">
      <w:pPr>
        <w:pStyle w:val="Text2"/>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rPr>
        <w:t xml:space="preserve">Понастоящем ЕС трябва да </w:t>
      </w:r>
      <w:r>
        <w:rPr>
          <w:rFonts w:ascii="Times New Roman" w:hAnsi="Times New Roman"/>
          <w:b/>
          <w:noProof/>
          <w:sz w:val="24"/>
        </w:rPr>
        <w:t>ускори изграждането на инфраструктура в два вида райони</w:t>
      </w:r>
      <w:r>
        <w:rPr>
          <w:rFonts w:ascii="Times New Roman" w:hAnsi="Times New Roman"/>
          <w:noProof/>
          <w:sz w:val="24"/>
        </w:rPr>
        <w:t>: първо в основната и широкообхватната мрежа TEN-T. Ето защо съобщението „Европа в движение“ от май 2017 г.</w:t>
      </w:r>
      <w:r>
        <w:rPr>
          <w:rFonts w:ascii="Times New Roman" w:hAnsi="Times New Roman"/>
          <w:b/>
          <w:noProof/>
          <w:sz w:val="24"/>
        </w:rPr>
        <w:t xml:space="preserve"> </w:t>
      </w:r>
      <w:r>
        <w:rPr>
          <w:rFonts w:ascii="Times New Roman" w:hAnsi="Times New Roman"/>
          <w:noProof/>
          <w:sz w:val="24"/>
        </w:rPr>
        <w:t>поставя като цел</w:t>
      </w:r>
      <w:r>
        <w:rPr>
          <w:rFonts w:ascii="Times New Roman" w:hAnsi="Times New Roman"/>
          <w:b/>
          <w:noProof/>
          <w:sz w:val="24"/>
        </w:rPr>
        <w:t xml:space="preserve"> опорната инфраструктура за основната мрежа да е налице не по-късно от 2025 г</w:t>
      </w:r>
      <w:r>
        <w:rPr>
          <w:rFonts w:ascii="Times New Roman" w:hAnsi="Times New Roman"/>
          <w:noProof/>
          <w:sz w:val="24"/>
        </w:rPr>
        <w:t xml:space="preserve">. </w:t>
      </w:r>
    </w:p>
    <w:p w:rsidR="00D64E4D" w:rsidRDefault="00DB1970">
      <w:pPr>
        <w:pStyle w:val="Text2"/>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rPr>
        <w:t xml:space="preserve">На второ място е необходимо да бъде доразвита инфраструктурата в </w:t>
      </w:r>
      <w:r>
        <w:rPr>
          <w:rFonts w:ascii="Times New Roman" w:hAnsi="Times New Roman"/>
          <w:b/>
          <w:noProof/>
          <w:sz w:val="24"/>
        </w:rPr>
        <w:t>градските и крайградските райони</w:t>
      </w:r>
      <w:r>
        <w:rPr>
          <w:rFonts w:ascii="Times New Roman" w:hAnsi="Times New Roman"/>
          <w:noProof/>
          <w:sz w:val="24"/>
        </w:rPr>
        <w:t xml:space="preserve">, където най-много се използват превозни средства. Комисията очаква, че инвестирането в тези две области ще доведе и до верижни ефекти за изграждане на инфраструктура в други райони. </w:t>
      </w:r>
    </w:p>
    <w:p w:rsidR="00D64E4D" w:rsidRDefault="00DB1970">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rPr>
        <w:t xml:space="preserve">Създаването на опорната инфраструктура в коридорите на основната мрежа на TEN-T изглежда като по-малко предизвикателство. Според оценките </w:t>
      </w:r>
      <w:r>
        <w:rPr>
          <w:rFonts w:ascii="Times New Roman" w:hAnsi="Times New Roman"/>
          <w:b/>
          <w:noProof/>
          <w:sz w:val="24"/>
        </w:rPr>
        <w:t>до 2025 г. ще са необходими 1,5 милиарда евро, за да се оборудват коридорите</w:t>
      </w:r>
      <w:r>
        <w:rPr>
          <w:rFonts w:ascii="Times New Roman" w:hAnsi="Times New Roman"/>
          <w:noProof/>
          <w:sz w:val="24"/>
          <w:vertAlign w:val="superscript"/>
        </w:rPr>
        <w:footnoteReference w:id="6"/>
      </w:r>
      <w:r>
        <w:rPr>
          <w:rFonts w:ascii="Times New Roman" w:hAnsi="Times New Roman"/>
          <w:noProof/>
          <w:sz w:val="24"/>
        </w:rPr>
        <w:t>. Липсите са по-специално в областта на зарядните точки за електрически превозни средства, но в някои райони липсват и точки за зареждане на тежкотоварни превозни средства, ползващи втечнен природен газ (LNG).</w:t>
      </w:r>
    </w:p>
    <w:p w:rsidR="00D64E4D" w:rsidRDefault="00DB1970">
      <w:pPr>
        <w:pStyle w:val="Text2"/>
        <w:shd w:val="clear" w:color="auto" w:fill="FFFFFF" w:themeFill="background1"/>
        <w:spacing w:after="120" w:line="240" w:lineRule="auto"/>
        <w:ind w:left="0"/>
        <w:jc w:val="both"/>
        <w:rPr>
          <w:rFonts w:ascii="Times New Roman" w:hAnsi="Times New Roman"/>
          <w:b/>
          <w:noProof/>
          <w:sz w:val="24"/>
        </w:rPr>
      </w:pPr>
      <w:r>
        <w:rPr>
          <w:rFonts w:ascii="Times New Roman" w:hAnsi="Times New Roman"/>
          <w:b/>
          <w:noProof/>
          <w:sz w:val="24"/>
        </w:rPr>
        <w:t xml:space="preserve">Подобряването на по-широката транспортна мрежа изисква по-големи усилия. </w:t>
      </w:r>
    </w:p>
    <w:p w:rsidR="00D64E4D" w:rsidRDefault="00DB1970">
      <w:pPr>
        <w:pStyle w:val="Text2"/>
        <w:shd w:val="clear" w:color="auto" w:fill="FFFFFF" w:themeFill="background1"/>
        <w:spacing w:after="120" w:line="240" w:lineRule="auto"/>
        <w:ind w:left="0"/>
        <w:jc w:val="both"/>
        <w:rPr>
          <w:rFonts w:ascii="Times New Roman" w:hAnsi="Times New Roman"/>
          <w:noProof/>
          <w:sz w:val="24"/>
        </w:rPr>
      </w:pPr>
      <w:r>
        <w:rPr>
          <w:rFonts w:ascii="Times New Roman" w:hAnsi="Times New Roman"/>
          <w:noProof/>
          <w:sz w:val="24"/>
        </w:rPr>
        <w:t xml:space="preserve">Съществуват големи разлики между отделните държави членки по отношение на тяхната степен на амбициозност. </w:t>
      </w:r>
    </w:p>
    <w:p w:rsidR="00D64E4D" w:rsidRDefault="00DB1970">
      <w:pPr>
        <w:pStyle w:val="Text2"/>
        <w:shd w:val="clear" w:color="auto" w:fill="FFFFFF" w:themeFill="background1"/>
        <w:spacing w:after="120" w:line="240" w:lineRule="auto"/>
        <w:ind w:left="0"/>
        <w:jc w:val="both"/>
        <w:rPr>
          <w:rFonts w:ascii="Times New Roman" w:hAnsi="Times New Roman"/>
          <w:noProof/>
          <w:sz w:val="24"/>
        </w:rPr>
      </w:pPr>
      <w:r>
        <w:rPr>
          <w:rFonts w:ascii="Times New Roman" w:hAnsi="Times New Roman"/>
          <w:noProof/>
          <w:sz w:val="24"/>
        </w:rPr>
        <w:t>Само две държави членки например са предвидили повече от 100 зарядни точки за електрически превозни средства на 100 000 жители</w:t>
      </w:r>
      <w:r>
        <w:rPr>
          <w:rStyle w:val="FootnoteReference"/>
          <w:rFonts w:ascii="Times New Roman" w:hAnsi="Times New Roman"/>
          <w:noProof/>
          <w:sz w:val="24"/>
        </w:rPr>
        <w:footnoteReference w:id="7"/>
      </w:r>
      <w:r>
        <w:rPr>
          <w:rFonts w:ascii="Times New Roman" w:hAnsi="Times New Roman"/>
          <w:noProof/>
          <w:sz w:val="24"/>
        </w:rPr>
        <w:t>.</w:t>
      </w:r>
    </w:p>
    <w:p w:rsidR="00D64E4D" w:rsidRDefault="00DB1970">
      <w:pPr>
        <w:pStyle w:val="Text2"/>
        <w:shd w:val="clear" w:color="auto" w:fill="FFFFFF" w:themeFill="background1"/>
        <w:spacing w:after="120" w:line="240" w:lineRule="auto"/>
        <w:ind w:left="0"/>
        <w:jc w:val="both"/>
        <w:rPr>
          <w:rFonts w:ascii="Times New Roman" w:hAnsi="Times New Roman"/>
          <w:noProof/>
          <w:sz w:val="24"/>
        </w:rPr>
      </w:pPr>
      <w:r>
        <w:rPr>
          <w:rFonts w:ascii="Times New Roman" w:hAnsi="Times New Roman"/>
          <w:noProof/>
          <w:sz w:val="24"/>
        </w:rPr>
        <w:t xml:space="preserve">Що се отнася до </w:t>
      </w:r>
      <w:r>
        <w:rPr>
          <w:rFonts w:ascii="Times New Roman" w:hAnsi="Times New Roman"/>
          <w:i/>
          <w:noProof/>
          <w:sz w:val="24"/>
        </w:rPr>
        <w:t>природния газ</w:t>
      </w:r>
      <w:r>
        <w:rPr>
          <w:rFonts w:ascii="Times New Roman" w:hAnsi="Times New Roman"/>
          <w:noProof/>
          <w:sz w:val="24"/>
        </w:rPr>
        <w:t>, планираните от държавите членки действия в техните НРП предвиждат за 2025 г. добавяне на между 2599 и 2634 допълнителни точки за зареждане с компресиран природен газ и на между 256 и 431 допълнителни точки за зареждане с втечнен природен газ, но така планираният допълнителен капацитет ще бъде концентриран само в малко на брой държави членки.</w:t>
      </w:r>
    </w:p>
    <w:p w:rsidR="00D64E4D" w:rsidRDefault="00DB1970">
      <w:pPr>
        <w:pStyle w:val="Text2"/>
        <w:shd w:val="clear" w:color="auto" w:fill="FFFFFF" w:themeFill="background1"/>
        <w:spacing w:after="120" w:line="240" w:lineRule="auto"/>
        <w:ind w:left="0"/>
        <w:jc w:val="both"/>
        <w:rPr>
          <w:rFonts w:ascii="Times New Roman" w:eastAsia="Arial" w:hAnsi="Times New Roman"/>
          <w:noProof/>
          <w:spacing w:val="-1"/>
          <w:sz w:val="24"/>
          <w:szCs w:val="24"/>
        </w:rPr>
      </w:pPr>
      <w:r>
        <w:rPr>
          <w:rFonts w:ascii="Times New Roman" w:hAnsi="Times New Roman"/>
          <w:noProof/>
          <w:sz w:val="24"/>
        </w:rPr>
        <w:t xml:space="preserve">По отношение на </w:t>
      </w:r>
      <w:r>
        <w:rPr>
          <w:rFonts w:ascii="Times New Roman" w:hAnsi="Times New Roman"/>
          <w:i/>
          <w:noProof/>
          <w:sz w:val="24"/>
        </w:rPr>
        <w:t xml:space="preserve">водорода, </w:t>
      </w:r>
      <w:r>
        <w:rPr>
          <w:rFonts w:ascii="Times New Roman" w:hAnsi="Times New Roman"/>
          <w:noProof/>
          <w:sz w:val="24"/>
        </w:rPr>
        <w:t>съгласно Оценката на въздействието, направена във връзка с предложението за норми за емисиите на СО</w:t>
      </w:r>
      <w:r>
        <w:rPr>
          <w:rFonts w:ascii="Times New Roman" w:hAnsi="Times New Roman"/>
          <w:noProof/>
          <w:sz w:val="24"/>
          <w:vertAlign w:val="subscript"/>
        </w:rPr>
        <w:t>2</w:t>
      </w:r>
      <w:r>
        <w:rPr>
          <w:rFonts w:ascii="Times New Roman" w:hAnsi="Times New Roman"/>
          <w:noProof/>
          <w:sz w:val="24"/>
        </w:rPr>
        <w:t xml:space="preserve"> на леки автомобили и ванове за периода след 2020 г., възможният пазарен дял на водородните автомобили в 2025 г. се оценява в интервала 0,3 — 0,4 % от всички превозни средства. Планирането съгласно НРП 820 — 842 станции за зареждане с водород се очаква да служат за зареждането на 0,9 — 1,1 милиона автомобила, предвидени в този сценарий</w:t>
      </w:r>
      <w:r>
        <w:rPr>
          <w:rStyle w:val="FootnoteReference"/>
          <w:rFonts w:ascii="Times New Roman" w:hAnsi="Times New Roman"/>
          <w:noProof/>
          <w:sz w:val="24"/>
        </w:rPr>
        <w:footnoteReference w:id="8"/>
      </w:r>
      <w:r>
        <w:rPr>
          <w:rFonts w:ascii="Times New Roman" w:hAnsi="Times New Roman"/>
          <w:noProof/>
          <w:sz w:val="24"/>
        </w:rPr>
        <w:t xml:space="preserve">.    </w:t>
      </w:r>
    </w:p>
    <w:p w:rsidR="00D64E4D" w:rsidRDefault="00DB1970">
      <w:pPr>
        <w:pStyle w:val="Text2"/>
        <w:shd w:val="clear" w:color="auto" w:fill="FFFFFF" w:themeFill="background1"/>
        <w:spacing w:after="120" w:line="240" w:lineRule="auto"/>
        <w:ind w:left="0"/>
        <w:jc w:val="both"/>
        <w:rPr>
          <w:rFonts w:ascii="Times New Roman" w:hAnsi="Times New Roman"/>
          <w:noProof/>
          <w:sz w:val="24"/>
          <w:szCs w:val="24"/>
        </w:rPr>
      </w:pPr>
      <w:r>
        <w:rPr>
          <w:rFonts w:ascii="Times New Roman" w:hAnsi="Times New Roman"/>
          <w:noProof/>
          <w:sz w:val="24"/>
        </w:rPr>
        <w:t xml:space="preserve">Резултат от анализа на НРП съгласно Директива 2014/94/ЕС са следните </w:t>
      </w:r>
      <w:r>
        <w:rPr>
          <w:rFonts w:ascii="Times New Roman" w:hAnsi="Times New Roman"/>
          <w:b/>
          <w:noProof/>
          <w:sz w:val="24"/>
        </w:rPr>
        <w:t>приблизителни оценки на необходимите инвестиции за инфраструктура в отделните държави членки</w:t>
      </w:r>
      <w:r>
        <w:rPr>
          <w:rFonts w:ascii="Times New Roman" w:hAnsi="Times New Roman"/>
          <w:noProof/>
          <w:sz w:val="24"/>
        </w:rPr>
        <w:t>, включително по коридорите на основната мрежа на TEN-T</w:t>
      </w:r>
      <w:r>
        <w:rPr>
          <w:rStyle w:val="FootnoteReference"/>
          <w:rFonts w:ascii="Times New Roman" w:hAnsi="Times New Roman"/>
          <w:noProof/>
          <w:sz w:val="24"/>
        </w:rPr>
        <w:footnoteReference w:id="9"/>
      </w:r>
      <w:r>
        <w:rPr>
          <w:rFonts w:ascii="Times New Roman" w:hAnsi="Times New Roman"/>
          <w:noProof/>
          <w:sz w:val="24"/>
        </w:rPr>
        <w:t xml:space="preserve">: </w:t>
      </w:r>
    </w:p>
    <w:p w:rsidR="00D64E4D" w:rsidRDefault="00DB1970">
      <w:pPr>
        <w:pStyle w:val="Text1"/>
        <w:numPr>
          <w:ilvl w:val="0"/>
          <w:numId w:val="45"/>
        </w:numPr>
        <w:shd w:val="clear" w:color="auto" w:fill="FFFFFF" w:themeFill="background1"/>
        <w:spacing w:after="0" w:line="240" w:lineRule="auto"/>
        <w:ind w:left="714" w:hanging="357"/>
        <w:jc w:val="both"/>
        <w:rPr>
          <w:rFonts w:ascii="Times New Roman" w:hAnsi="Times New Roman"/>
          <w:noProof/>
          <w:sz w:val="24"/>
          <w:szCs w:val="24"/>
        </w:rPr>
      </w:pPr>
      <w:r>
        <w:rPr>
          <w:rFonts w:ascii="Times New Roman" w:hAnsi="Times New Roman"/>
          <w:i/>
          <w:noProof/>
          <w:sz w:val="24"/>
        </w:rPr>
        <w:t xml:space="preserve">Електроенергия: </w:t>
      </w:r>
      <w:r>
        <w:rPr>
          <w:rFonts w:ascii="Times New Roman" w:hAnsi="Times New Roman"/>
          <w:noProof/>
          <w:sz w:val="24"/>
        </w:rPr>
        <w:t>до 904 милиона евро до 2020 г.</w:t>
      </w:r>
      <w:r>
        <w:rPr>
          <w:rStyle w:val="FootnoteReference"/>
          <w:rFonts w:ascii="Times New Roman" w:hAnsi="Times New Roman"/>
          <w:noProof/>
          <w:sz w:val="24"/>
        </w:rPr>
        <w:footnoteReference w:id="10"/>
      </w:r>
    </w:p>
    <w:p w:rsidR="00D64E4D" w:rsidRDefault="00DB1970">
      <w:pPr>
        <w:pStyle w:val="Text1"/>
        <w:numPr>
          <w:ilvl w:val="0"/>
          <w:numId w:val="45"/>
        </w:numPr>
        <w:shd w:val="clear" w:color="auto" w:fill="FFFFFF" w:themeFill="background1"/>
        <w:spacing w:after="60" w:line="240" w:lineRule="auto"/>
        <w:ind w:left="714" w:hanging="357"/>
        <w:jc w:val="both"/>
        <w:rPr>
          <w:rFonts w:ascii="Times New Roman" w:hAnsi="Times New Roman"/>
          <w:noProof/>
          <w:sz w:val="24"/>
          <w:szCs w:val="24"/>
        </w:rPr>
      </w:pPr>
      <w:r>
        <w:rPr>
          <w:rFonts w:ascii="Times New Roman" w:hAnsi="Times New Roman"/>
          <w:i/>
          <w:noProof/>
          <w:sz w:val="24"/>
        </w:rPr>
        <w:t>Компресиран природен газ:</w:t>
      </w:r>
      <w:r>
        <w:rPr>
          <w:rFonts w:ascii="Times New Roman" w:hAnsi="Times New Roman"/>
          <w:noProof/>
          <w:sz w:val="24"/>
        </w:rPr>
        <w:t xml:space="preserve"> до 357 милиона евро до 2020 г. и до 600 милиона евро до 2025 г. за пътни превозни средства, използващи CNG</w:t>
      </w:r>
      <w:r>
        <w:rPr>
          <w:rStyle w:val="FootnoteReference"/>
          <w:rFonts w:ascii="Times New Roman" w:hAnsi="Times New Roman"/>
          <w:noProof/>
          <w:sz w:val="24"/>
        </w:rPr>
        <w:footnoteReference w:id="11"/>
      </w:r>
      <w:r>
        <w:rPr>
          <w:rFonts w:ascii="Times New Roman" w:hAnsi="Times New Roman"/>
          <w:noProof/>
          <w:sz w:val="24"/>
        </w:rPr>
        <w:t xml:space="preserve">. </w:t>
      </w:r>
    </w:p>
    <w:p w:rsidR="00D64E4D" w:rsidRDefault="00DB1970">
      <w:pPr>
        <w:pStyle w:val="Text1"/>
        <w:numPr>
          <w:ilvl w:val="0"/>
          <w:numId w:val="45"/>
        </w:numPr>
        <w:shd w:val="clear" w:color="auto" w:fill="FFFFFF" w:themeFill="background1"/>
        <w:spacing w:after="60" w:line="240" w:lineRule="auto"/>
        <w:ind w:left="714" w:hanging="357"/>
        <w:jc w:val="both"/>
        <w:rPr>
          <w:rFonts w:ascii="Times New Roman" w:hAnsi="Times New Roman"/>
          <w:noProof/>
          <w:sz w:val="24"/>
          <w:szCs w:val="24"/>
        </w:rPr>
      </w:pPr>
      <w:r>
        <w:rPr>
          <w:rFonts w:ascii="Times New Roman" w:hAnsi="Times New Roman"/>
          <w:i/>
          <w:noProof/>
          <w:sz w:val="24"/>
        </w:rPr>
        <w:t>Втечнен природен газ</w:t>
      </w:r>
      <w:r>
        <w:rPr>
          <w:rFonts w:ascii="Times New Roman" w:hAnsi="Times New Roman"/>
          <w:noProof/>
          <w:sz w:val="24"/>
        </w:rPr>
        <w:t>: до 257 милиона евро до 2025 г. за пътни превозни средства, използващи  LNG. За LNG за водния транспорт – до 945 милиона евро в морските пристанища от коридорите на основната мрежа на TEN-T до 2025 г. и до 1 милиард евро във вътрешните пристанища в коридорите на основната мрежа на TEN-T до 2030 г.</w:t>
      </w:r>
    </w:p>
    <w:p w:rsidR="00D64E4D" w:rsidRDefault="00DB1970">
      <w:pPr>
        <w:pStyle w:val="Text1"/>
        <w:numPr>
          <w:ilvl w:val="0"/>
          <w:numId w:val="45"/>
        </w:numPr>
        <w:shd w:val="clear" w:color="auto" w:fill="FFFFFF" w:themeFill="background1"/>
        <w:spacing w:line="240" w:lineRule="auto"/>
        <w:ind w:left="714" w:hanging="357"/>
        <w:jc w:val="both"/>
        <w:rPr>
          <w:rFonts w:ascii="Times New Roman" w:hAnsi="Times New Roman"/>
          <w:noProof/>
          <w:sz w:val="24"/>
          <w:szCs w:val="24"/>
        </w:rPr>
      </w:pPr>
      <w:r>
        <w:rPr>
          <w:rFonts w:ascii="Times New Roman" w:hAnsi="Times New Roman"/>
          <w:i/>
          <w:noProof/>
          <w:sz w:val="24"/>
        </w:rPr>
        <w:t xml:space="preserve">Водород: </w:t>
      </w:r>
      <w:r>
        <w:rPr>
          <w:rFonts w:ascii="Times New Roman" w:hAnsi="Times New Roman"/>
          <w:noProof/>
          <w:sz w:val="24"/>
        </w:rPr>
        <w:t>до 707 милиона евро до 2025 г.</w:t>
      </w:r>
    </w:p>
    <w:p w:rsidR="00D64E4D" w:rsidRDefault="00DB1970">
      <w:pPr>
        <w:pStyle w:val="Text1"/>
        <w:shd w:val="clear" w:color="auto" w:fill="FFFFFF" w:themeFill="background1"/>
        <w:spacing w:line="240" w:lineRule="auto"/>
        <w:ind w:left="0"/>
        <w:jc w:val="both"/>
        <w:rPr>
          <w:rFonts w:ascii="Times New Roman" w:hAnsi="Times New Roman"/>
          <w:noProof/>
          <w:sz w:val="24"/>
          <w:szCs w:val="24"/>
        </w:rPr>
      </w:pPr>
      <w:r>
        <w:rPr>
          <w:rFonts w:ascii="Times New Roman" w:hAnsi="Times New Roman"/>
          <w:b/>
          <w:noProof/>
          <w:sz w:val="24"/>
        </w:rPr>
        <w:t xml:space="preserve">По отношение на зареждането с електроенергия </w:t>
      </w:r>
      <w:r>
        <w:rPr>
          <w:rFonts w:ascii="Times New Roman" w:hAnsi="Times New Roman"/>
          <w:noProof/>
          <w:sz w:val="24"/>
        </w:rPr>
        <w:t xml:space="preserve">тези национални планове се оказват недостатъчни в сравнение с оценките на Комисията за необходимата инфраструктура. За електрическите превозни средства оценката на въздействието за Директива 2014/94/ЕС дава консервативна референтна стойност от 4 милиона електрически превозни средства в движение до 2020 г. Това представлява голямо увеличение спрямо сегашното състояние, но все пак отговаря на само около 1,5 процента от общия брой на превозните средства в момента. </w:t>
      </w:r>
    </w:p>
    <w:p w:rsidR="00D64E4D" w:rsidRDefault="00DB1970">
      <w:pPr>
        <w:pStyle w:val="Text1"/>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rPr>
        <w:t>Едно по-бързо нарастване на броя на електрическите превозни средства, водещо до дял от 7 процента през 2025 г., както се предполага в оценката на въздействието за предложението за стандарти за емисиите на CO</w:t>
      </w:r>
      <w:r>
        <w:rPr>
          <w:rFonts w:ascii="Times New Roman" w:hAnsi="Times New Roman"/>
          <w:noProof/>
          <w:sz w:val="24"/>
          <w:vertAlign w:val="subscript"/>
        </w:rPr>
        <w:t>2</w:t>
      </w:r>
      <w:r>
        <w:rPr>
          <w:rFonts w:ascii="Times New Roman" w:hAnsi="Times New Roman"/>
          <w:noProof/>
          <w:sz w:val="24"/>
        </w:rPr>
        <w:t xml:space="preserve"> от автомобили и ванове след 2020 г.</w:t>
      </w:r>
      <w:r>
        <w:rPr>
          <w:rStyle w:val="FootnoteReference"/>
          <w:rFonts w:ascii="Times New Roman" w:hAnsi="Times New Roman"/>
          <w:noProof/>
          <w:sz w:val="24"/>
        </w:rPr>
        <w:footnoteReference w:id="12"/>
      </w:r>
      <w:r>
        <w:rPr>
          <w:rFonts w:ascii="Times New Roman" w:hAnsi="Times New Roman"/>
          <w:noProof/>
          <w:sz w:val="24"/>
        </w:rPr>
        <w:t xml:space="preserve">, би довело до още по-високи инвестиционни нужди:  </w:t>
      </w:r>
    </w:p>
    <w:p w:rsidR="00D64E4D" w:rsidRDefault="00DB1970">
      <w:pPr>
        <w:pStyle w:val="Text1"/>
        <w:numPr>
          <w:ilvl w:val="0"/>
          <w:numId w:val="46"/>
        </w:numPr>
        <w:shd w:val="clear" w:color="auto" w:fill="FFFFFF" w:themeFill="background1"/>
        <w:spacing w:after="60" w:line="240" w:lineRule="auto"/>
        <w:ind w:left="777" w:hanging="357"/>
        <w:jc w:val="both"/>
        <w:rPr>
          <w:rFonts w:ascii="Times New Roman" w:hAnsi="Times New Roman"/>
          <w:noProof/>
          <w:sz w:val="24"/>
          <w:szCs w:val="24"/>
        </w:rPr>
      </w:pPr>
      <w:r>
        <w:rPr>
          <w:rFonts w:ascii="Times New Roman" w:hAnsi="Times New Roman"/>
          <w:noProof/>
          <w:sz w:val="24"/>
        </w:rPr>
        <w:t xml:space="preserve">До </w:t>
      </w:r>
      <w:r>
        <w:rPr>
          <w:rFonts w:ascii="Times New Roman" w:hAnsi="Times New Roman"/>
          <w:i/>
          <w:noProof/>
          <w:sz w:val="24"/>
        </w:rPr>
        <w:t>2020 г.</w:t>
      </w:r>
      <w:r>
        <w:rPr>
          <w:rFonts w:ascii="Times New Roman" w:hAnsi="Times New Roman"/>
          <w:noProof/>
          <w:sz w:val="24"/>
        </w:rPr>
        <w:t xml:space="preserve"> ще са необходими 440 000 публично достъпни зарядни точки – значително увеличение спрямо сегашното състояние.</w:t>
      </w:r>
      <w:r>
        <w:rPr>
          <w:rStyle w:val="FootnoteReference"/>
          <w:rFonts w:ascii="Times New Roman" w:hAnsi="Times New Roman"/>
          <w:noProof/>
          <w:sz w:val="24"/>
        </w:rPr>
        <w:footnoteReference w:id="13"/>
      </w:r>
      <w:r>
        <w:rPr>
          <w:rFonts w:ascii="Times New Roman" w:hAnsi="Times New Roman"/>
          <w:noProof/>
          <w:sz w:val="24"/>
        </w:rPr>
        <w:t xml:space="preserve"> Това би могло да наложи инвестиции в публично достъпни зарядни точки в размер до 3,9 милиарда евро. </w:t>
      </w:r>
    </w:p>
    <w:p w:rsidR="00D64E4D" w:rsidRDefault="00DB1970">
      <w:pPr>
        <w:pStyle w:val="Text1"/>
        <w:numPr>
          <w:ilvl w:val="0"/>
          <w:numId w:val="46"/>
        </w:numPr>
        <w:shd w:val="clear" w:color="auto" w:fill="FFFFFF" w:themeFill="background1"/>
        <w:spacing w:after="0" w:line="240" w:lineRule="auto"/>
        <w:ind w:left="777" w:hanging="357"/>
        <w:jc w:val="both"/>
        <w:rPr>
          <w:rFonts w:ascii="Times New Roman" w:hAnsi="Times New Roman"/>
          <w:noProof/>
          <w:sz w:val="24"/>
          <w:szCs w:val="24"/>
        </w:rPr>
      </w:pPr>
      <w:r>
        <w:rPr>
          <w:rFonts w:ascii="Times New Roman" w:hAnsi="Times New Roman"/>
          <w:noProof/>
          <w:sz w:val="24"/>
        </w:rPr>
        <w:t xml:space="preserve">До </w:t>
      </w:r>
      <w:r>
        <w:rPr>
          <w:rFonts w:ascii="Times New Roman" w:hAnsi="Times New Roman"/>
          <w:i/>
          <w:noProof/>
          <w:sz w:val="24"/>
        </w:rPr>
        <w:t>2025 г.</w:t>
      </w:r>
      <w:r>
        <w:rPr>
          <w:rFonts w:ascii="Times New Roman" w:hAnsi="Times New Roman"/>
          <w:noProof/>
          <w:sz w:val="24"/>
        </w:rPr>
        <w:t xml:space="preserve"> биха били необходими около пет пъти повече, т.е. около 2 милиона публично достъпни зарядни точки за електроенергия. Ако се приеме, че делът на инфраструктурата за бързо зареждане ще се увеличи до 5 — 15 % от цялата зарядна инфраструктура, то необходимите инвестиции от 2021 г. нататък биха възлезли на между 2,7 и 3,8 милиарда евро годишно</w:t>
      </w:r>
      <w:r>
        <w:rPr>
          <w:rStyle w:val="FootnoteReference"/>
          <w:rFonts w:ascii="Times New Roman" w:hAnsi="Times New Roman"/>
          <w:noProof/>
          <w:sz w:val="24"/>
        </w:rPr>
        <w:footnoteReference w:id="14"/>
      </w:r>
      <w:r>
        <w:rPr>
          <w:rFonts w:ascii="Times New Roman" w:hAnsi="Times New Roman"/>
          <w:noProof/>
          <w:sz w:val="24"/>
        </w:rPr>
        <w:t xml:space="preserve">. По-голямата част от тези инвестиционни потребности ще са за </w:t>
      </w:r>
      <w:r>
        <w:rPr>
          <w:rFonts w:ascii="Times New Roman" w:hAnsi="Times New Roman"/>
          <w:i/>
          <w:noProof/>
          <w:sz w:val="24"/>
        </w:rPr>
        <w:t>градските райони</w:t>
      </w:r>
      <w:r>
        <w:rPr>
          <w:rStyle w:val="FootnoteReference"/>
          <w:rFonts w:ascii="Times New Roman" w:hAnsi="Times New Roman"/>
          <w:noProof/>
          <w:sz w:val="24"/>
        </w:rPr>
        <w:footnoteReference w:id="15"/>
      </w:r>
      <w:r>
        <w:rPr>
          <w:rFonts w:ascii="Times New Roman" w:hAnsi="Times New Roman"/>
          <w:i/>
          <w:noProof/>
          <w:sz w:val="24"/>
        </w:rPr>
        <w:t>.</w:t>
      </w:r>
      <w:r>
        <w:rPr>
          <w:rFonts w:ascii="Times New Roman" w:hAnsi="Times New Roman"/>
          <w:noProof/>
          <w:sz w:val="24"/>
        </w:rPr>
        <w:t xml:space="preserve"> </w:t>
      </w:r>
    </w:p>
    <w:p w:rsidR="00D64E4D" w:rsidRDefault="00D64E4D">
      <w:pPr>
        <w:pStyle w:val="Text1"/>
        <w:shd w:val="clear" w:color="auto" w:fill="FFFFFF" w:themeFill="background1"/>
        <w:spacing w:after="0" w:line="240" w:lineRule="auto"/>
        <w:ind w:left="0"/>
        <w:jc w:val="both"/>
        <w:rPr>
          <w:rFonts w:ascii="Times New Roman" w:hAnsi="Times New Roman"/>
          <w:noProof/>
          <w:sz w:val="24"/>
          <w:szCs w:val="24"/>
        </w:rPr>
      </w:pPr>
    </w:p>
    <w:p w:rsidR="00D64E4D" w:rsidRDefault="00DB1970">
      <w:pPr>
        <w:pStyle w:val="Text1"/>
        <w:shd w:val="clear" w:color="auto" w:fill="FFFFFF" w:themeFill="background1"/>
        <w:spacing w:after="0" w:line="240" w:lineRule="auto"/>
        <w:ind w:left="0"/>
        <w:jc w:val="both"/>
        <w:rPr>
          <w:rFonts w:ascii="Times New Roman" w:hAnsi="Times New Roman"/>
          <w:noProof/>
          <w:sz w:val="24"/>
          <w:szCs w:val="24"/>
        </w:rPr>
      </w:pPr>
      <w:r>
        <w:rPr>
          <w:rFonts w:ascii="Times New Roman" w:hAnsi="Times New Roman"/>
          <w:b/>
          <w:noProof/>
          <w:sz w:val="24"/>
        </w:rPr>
        <w:t xml:space="preserve">По отношение на природния газ и водорода, </w:t>
      </w:r>
      <w:r>
        <w:rPr>
          <w:rFonts w:ascii="Times New Roman" w:hAnsi="Times New Roman"/>
          <w:noProof/>
          <w:sz w:val="24"/>
        </w:rPr>
        <w:t xml:space="preserve">планираните действия от държавите членки в техните НРП и прогнозните оценки на Комисията са в съответствие помежду си. </w:t>
      </w:r>
    </w:p>
    <w:p w:rsidR="00D64E4D" w:rsidRDefault="00D64E4D">
      <w:pPr>
        <w:pStyle w:val="Text1"/>
        <w:spacing w:after="0" w:line="240" w:lineRule="auto"/>
        <w:ind w:left="0"/>
        <w:jc w:val="both"/>
        <w:rPr>
          <w:rFonts w:ascii="Times New Roman" w:hAnsi="Times New Roman"/>
          <w:noProof/>
          <w:sz w:val="24"/>
          <w:szCs w:val="24"/>
        </w:rPr>
      </w:pPr>
    </w:p>
    <w:p w:rsidR="00D64E4D" w:rsidRDefault="00DB1970">
      <w:pPr>
        <w:pStyle w:val="Text1"/>
        <w:shd w:val="clear" w:color="auto" w:fill="FFFFFF" w:themeFill="background1"/>
        <w:spacing w:line="240" w:lineRule="auto"/>
        <w:ind w:left="0"/>
        <w:jc w:val="both"/>
        <w:rPr>
          <w:rFonts w:ascii="Times New Roman" w:hAnsi="Times New Roman"/>
          <w:b/>
          <w:noProof/>
          <w:sz w:val="24"/>
        </w:rPr>
      </w:pPr>
      <w:r>
        <w:rPr>
          <w:rFonts w:ascii="Times New Roman" w:hAnsi="Times New Roman"/>
          <w:noProof/>
          <w:sz w:val="24"/>
        </w:rPr>
        <w:t xml:space="preserve">Сумарните </w:t>
      </w:r>
      <w:r>
        <w:rPr>
          <w:rFonts w:ascii="Times New Roman" w:hAnsi="Times New Roman"/>
          <w:b/>
          <w:noProof/>
          <w:sz w:val="24"/>
        </w:rPr>
        <w:t>общи прогнозни инвестиции</w:t>
      </w:r>
      <w:r>
        <w:rPr>
          <w:rFonts w:ascii="Times New Roman" w:hAnsi="Times New Roman"/>
          <w:noProof/>
          <w:sz w:val="24"/>
        </w:rPr>
        <w:t xml:space="preserve">, необходими за публично достъпна инфраструктура за зареждане с алтернативни горива/енергоносители в ЕС, възлизат на около </w:t>
      </w:r>
      <w:r>
        <w:rPr>
          <w:rFonts w:ascii="Times New Roman" w:hAnsi="Times New Roman"/>
          <w:b/>
          <w:noProof/>
          <w:sz w:val="24"/>
        </w:rPr>
        <w:t>5,2 милиарда евро до 2020 г.</w:t>
      </w:r>
      <w:r>
        <w:rPr>
          <w:rFonts w:ascii="Times New Roman" w:hAnsi="Times New Roman"/>
          <w:noProof/>
          <w:sz w:val="24"/>
        </w:rPr>
        <w:t xml:space="preserve"> и допълнително още на </w:t>
      </w:r>
      <w:r>
        <w:rPr>
          <w:rFonts w:ascii="Times New Roman" w:hAnsi="Times New Roman"/>
          <w:b/>
          <w:noProof/>
          <w:sz w:val="24"/>
        </w:rPr>
        <w:t>между 16 и 22 милиарда евро в периода до 2025 г.</w:t>
      </w:r>
    </w:p>
    <w:p w:rsidR="00D64E4D" w:rsidRDefault="00DB1970">
      <w:pPr>
        <w:pStyle w:val="Text1"/>
        <w:shd w:val="clear" w:color="auto" w:fill="FFFFFF" w:themeFill="background1"/>
        <w:spacing w:line="240" w:lineRule="auto"/>
        <w:ind w:left="0"/>
        <w:jc w:val="both"/>
        <w:rPr>
          <w:rFonts w:ascii="Times New Roman" w:hAnsi="Times New Roman"/>
          <w:noProof/>
          <w:sz w:val="24"/>
        </w:rPr>
      </w:pPr>
      <w:r>
        <w:rPr>
          <w:rFonts w:ascii="Times New Roman" w:hAnsi="Times New Roman"/>
          <w:noProof/>
          <w:sz w:val="24"/>
        </w:rPr>
        <w:t>За да могат да бъдат реализирани тези значителни инвестиции е необходимо да се използва публична финансова подкрепа, която да задвижи значителни частни инвестиции, включително чрез иновативни методи за финансиране.</w:t>
      </w:r>
    </w:p>
    <w:p w:rsidR="00D64E4D" w:rsidRDefault="00DB1970">
      <w:pPr>
        <w:pStyle w:val="Text1"/>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rPr>
        <w:t xml:space="preserve">Трябва да се отбележи, че всяка оценка за необходимите инвестиции се влияе от </w:t>
      </w:r>
      <w:r>
        <w:rPr>
          <w:rFonts w:ascii="Times New Roman" w:hAnsi="Times New Roman"/>
          <w:b/>
          <w:noProof/>
          <w:sz w:val="24"/>
        </w:rPr>
        <w:t>значителната неопределеност</w:t>
      </w:r>
      <w:r>
        <w:rPr>
          <w:rFonts w:ascii="Times New Roman" w:hAnsi="Times New Roman"/>
          <w:noProof/>
          <w:sz w:val="24"/>
        </w:rPr>
        <w:t xml:space="preserve"> по отношение на гъстотата на бъдещата инфраструктура за бавно и бързо зареждане, търсенето на превозни средства и развитието на технологиите (напр. по отношение на капацитета на акумулаторите). </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Поради това</w:t>
      </w:r>
      <w:r>
        <w:rPr>
          <w:rFonts w:ascii="Times New Roman" w:hAnsi="Times New Roman"/>
          <w:b/>
          <w:noProof/>
          <w:sz w:val="24"/>
        </w:rPr>
        <w:t xml:space="preserve"> </w:t>
      </w:r>
      <w:r>
        <w:rPr>
          <w:rFonts w:ascii="Times New Roman" w:hAnsi="Times New Roman"/>
          <w:noProof/>
          <w:sz w:val="24"/>
        </w:rPr>
        <w:t>Комисията</w:t>
      </w:r>
      <w:r>
        <w:rPr>
          <w:rFonts w:ascii="Times New Roman" w:hAnsi="Times New Roman"/>
          <w:b/>
          <w:noProof/>
          <w:sz w:val="24"/>
        </w:rPr>
        <w:t xml:space="preserve"> </w:t>
      </w:r>
      <w:r>
        <w:rPr>
          <w:rFonts w:ascii="Times New Roman" w:hAnsi="Times New Roman"/>
          <w:noProof/>
          <w:sz w:val="24"/>
        </w:rPr>
        <w:t>приветства факта, че наскоро големите производители на автомобили в Европа се ангажираха до 2020 г. да пуснат на пазара по-голям брой задвижвани с акумулаторни батерии електрически автомобили</w:t>
      </w:r>
      <w:r>
        <w:rPr>
          <w:rStyle w:val="FootnoteReference"/>
          <w:rFonts w:ascii="Times New Roman" w:hAnsi="Times New Roman"/>
          <w:noProof/>
          <w:sz w:val="24"/>
        </w:rPr>
        <w:footnoteReference w:id="16"/>
      </w:r>
      <w:r>
        <w:rPr>
          <w:rFonts w:ascii="Times New Roman" w:hAnsi="Times New Roman"/>
          <w:noProof/>
          <w:sz w:val="24"/>
        </w:rPr>
        <w:t xml:space="preserve">. Това създава по-голяма сигурност за инвестициите в инфраструктура. Комисията призовава автомобилния сектор да поддържа и увеличава инвестициите и в други подходящи технологии с ниски и нулеви емисии. </w:t>
      </w:r>
    </w:p>
    <w:p w:rsidR="00D64E4D" w:rsidRDefault="00DB1970">
      <w:pPr>
        <w:pStyle w:val="Text1"/>
        <w:spacing w:line="240" w:lineRule="auto"/>
        <w:ind w:left="0"/>
        <w:jc w:val="both"/>
        <w:rPr>
          <w:rFonts w:ascii="Times New Roman" w:eastAsia="Arial" w:hAnsi="Times New Roman"/>
          <w:noProof/>
          <w:spacing w:val="-1"/>
          <w:sz w:val="24"/>
          <w:szCs w:val="24"/>
        </w:rPr>
      </w:pPr>
      <w:r>
        <w:rPr>
          <w:rFonts w:ascii="Times New Roman" w:hAnsi="Times New Roman"/>
          <w:noProof/>
          <w:spacing w:val="-1"/>
          <w:sz w:val="24"/>
        </w:rPr>
        <w:t xml:space="preserve">Предвид значителната несигурност, от решаващо значение е намаляването на рисковете за частните инвеститори чрез насочени инструменти за смекчаването на тези рискове, например специални заеми или гаранции, поети от публичния сектор. Освен това е необходима ясна дългосрочна политическа ориентация. Ключова роля в това отношение трябва да играят НРП, разработвани съгласно Директива 2014/94/ЕС.  </w:t>
      </w:r>
    </w:p>
    <w:p w:rsidR="00D64E4D" w:rsidRDefault="00DB1970">
      <w:pPr>
        <w:pStyle w:val="Heading2"/>
        <w:rPr>
          <w:noProof/>
        </w:rPr>
      </w:pPr>
      <w:r>
        <w:rPr>
          <w:noProof/>
        </w:rPr>
        <w:t>Национални рамки на политиката относно инфраструктурата за алтернативни горива/енергоносители</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В Директива 2014/94/ЕС има изискване към държавите членки да създадат национални рамки на политиката (НРП), предвиждащи минимално допустимо осигуряване на инфраструктура съответно до 2020 г., 2025 г. и 2030 г. в зависимост от горивото (енергоносителя), и да предоставят НРП на Комисията до 18 ноември 2016 г.</w:t>
      </w:r>
      <w:r>
        <w:rPr>
          <w:rStyle w:val="FootnoteReference"/>
          <w:rFonts w:ascii="Times New Roman" w:hAnsi="Times New Roman"/>
          <w:noProof/>
          <w:sz w:val="24"/>
        </w:rPr>
        <w:footnoteReference w:id="17"/>
      </w:r>
      <w:r>
        <w:rPr>
          <w:rFonts w:ascii="Times New Roman" w:hAnsi="Times New Roman"/>
          <w:noProof/>
          <w:sz w:val="24"/>
        </w:rPr>
        <w:t xml:space="preserve"> Съгласно член 3, параграф 1 от Директивата, в НРП следва да се определят </w:t>
      </w:r>
      <w:r>
        <w:rPr>
          <w:rFonts w:ascii="Times New Roman" w:hAnsi="Times New Roman"/>
          <w:b/>
          <w:noProof/>
          <w:sz w:val="24"/>
        </w:rPr>
        <w:t>ясни дългосрочни цели и задачи, както и да се посочат подходящи мерки за подкрепа,</w:t>
      </w:r>
      <w:r>
        <w:rPr>
          <w:rFonts w:ascii="Times New Roman" w:hAnsi="Times New Roman"/>
          <w:noProof/>
          <w:sz w:val="24"/>
        </w:rPr>
        <w:t xml:space="preserve"> за да имат пазарите дългосрочна сигурност по отношение на провежданите политики.</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Съгласно изискванията на член 10, параграф 2 от Директивата, Комисията оцени НРП и тяхната съгласуваност на равнището на ЕС. Тя направи оценка дали НРП позволява на съответната държава членка да постигне целите и задачите, които си е поставила в съответствие с член 3, параграф 1. В следващите раздели на настоящото съобщение се докладва за тази оценка.</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b/>
          <w:noProof/>
          <w:sz w:val="24"/>
        </w:rPr>
        <w:t>НРП се различават значително една от друга</w:t>
      </w:r>
      <w:r>
        <w:rPr>
          <w:rFonts w:ascii="Times New Roman" w:hAnsi="Times New Roman"/>
          <w:noProof/>
          <w:sz w:val="24"/>
        </w:rPr>
        <w:t xml:space="preserve"> </w:t>
      </w:r>
      <w:r>
        <w:rPr>
          <w:rFonts w:ascii="Times New Roman" w:hAnsi="Times New Roman"/>
          <w:b/>
          <w:noProof/>
          <w:sz w:val="24"/>
        </w:rPr>
        <w:t>в своята</w:t>
      </w:r>
      <w:r>
        <w:rPr>
          <w:rFonts w:ascii="Times New Roman" w:hAnsi="Times New Roman"/>
          <w:noProof/>
          <w:sz w:val="24"/>
        </w:rPr>
        <w:t xml:space="preserve"> </w:t>
      </w:r>
      <w:r>
        <w:rPr>
          <w:rFonts w:ascii="Times New Roman" w:hAnsi="Times New Roman"/>
          <w:b/>
          <w:noProof/>
          <w:sz w:val="24"/>
        </w:rPr>
        <w:t>пълнота, съгласуваност и амбиции</w:t>
      </w:r>
      <w:r>
        <w:rPr>
          <w:rFonts w:ascii="Times New Roman" w:hAnsi="Times New Roman"/>
          <w:noProof/>
          <w:sz w:val="24"/>
        </w:rPr>
        <w:t>.</w:t>
      </w:r>
      <w:r>
        <w:rPr>
          <w:rStyle w:val="FootnoteReference"/>
          <w:rFonts w:ascii="Times New Roman" w:hAnsi="Times New Roman"/>
          <w:noProof/>
          <w:sz w:val="24"/>
        </w:rPr>
        <w:footnoteReference w:id="18"/>
      </w:r>
      <w:r>
        <w:rPr>
          <w:rFonts w:ascii="Times New Roman" w:hAnsi="Times New Roman"/>
          <w:noProof/>
          <w:sz w:val="24"/>
        </w:rPr>
        <w:t xml:space="preserve"> По данни от 6 ноември 2017 г. само 8 от 25 НРП</w:t>
      </w:r>
      <w:r>
        <w:rPr>
          <w:rStyle w:val="FootnoteReference"/>
          <w:rFonts w:ascii="Times New Roman" w:hAnsi="Times New Roman"/>
          <w:noProof/>
          <w:sz w:val="24"/>
        </w:rPr>
        <w:footnoteReference w:id="19"/>
      </w:r>
      <w:r>
        <w:rPr>
          <w:rFonts w:ascii="Times New Roman" w:hAnsi="Times New Roman"/>
          <w:noProof/>
          <w:sz w:val="24"/>
        </w:rPr>
        <w:t xml:space="preserve"> напълно отговарят на изискванията за НРП</w:t>
      </w:r>
      <w:r>
        <w:rPr>
          <w:rStyle w:val="FootnoteReference"/>
          <w:rFonts w:ascii="Times New Roman" w:hAnsi="Times New Roman"/>
          <w:noProof/>
          <w:sz w:val="24"/>
        </w:rPr>
        <w:footnoteReference w:id="20"/>
      </w:r>
      <w:r>
        <w:rPr>
          <w:rFonts w:ascii="Times New Roman" w:hAnsi="Times New Roman"/>
          <w:noProof/>
          <w:sz w:val="24"/>
        </w:rPr>
        <w:t>. Към днешна дата 2 държави членки все още не са представили своите НРП</w:t>
      </w:r>
      <w:r>
        <w:rPr>
          <w:rStyle w:val="FootnoteReference"/>
          <w:rFonts w:ascii="Times New Roman" w:hAnsi="Times New Roman"/>
          <w:noProof/>
          <w:sz w:val="24"/>
        </w:rPr>
        <w:footnoteReference w:id="21"/>
      </w:r>
      <w:r>
        <w:rPr>
          <w:rFonts w:ascii="Times New Roman" w:hAnsi="Times New Roman"/>
          <w:noProof/>
          <w:sz w:val="24"/>
        </w:rPr>
        <w:t>. От гледна точка на ЕС НРП не са съгласувани по отношение на приоритетите, които определят, както и в степента на амбициозност по отношение на различните алтернативни горива/енергоносители. В своята амбиция да променят сегашното състояние държавите членки се различават значително една от друга, както по отношение на прогнозираното навлизане на превозни средства и плавателни съдове, задвижвани с алтернативна енергия, така и по отношение на съответната инфраструктура. Най-важното е, че само няколко НРП поставят ясни и достатъчни цели и задачи и предвиждат мерки за подкрепа.</w:t>
      </w:r>
      <w:r>
        <w:rPr>
          <w:rStyle w:val="FootnoteReference"/>
          <w:rFonts w:ascii="Times New Roman" w:hAnsi="Times New Roman"/>
          <w:noProof/>
          <w:sz w:val="24"/>
        </w:rPr>
        <w:footnoteReference w:id="22"/>
      </w:r>
      <w:r>
        <w:rPr>
          <w:rFonts w:ascii="Times New Roman" w:hAnsi="Times New Roman"/>
          <w:noProof/>
          <w:sz w:val="24"/>
        </w:rPr>
        <w:t xml:space="preserve"> В една НРП изобщо не са заложени цели.</w:t>
      </w:r>
    </w:p>
    <w:p w:rsidR="00D64E4D" w:rsidRDefault="00DB1970">
      <w:pPr>
        <w:keepNext/>
        <w:spacing w:line="240" w:lineRule="auto"/>
        <w:jc w:val="both"/>
        <w:rPr>
          <w:rFonts w:ascii="Times New Roman" w:hAnsi="Times New Roman"/>
          <w:i/>
          <w:noProof/>
          <w:sz w:val="24"/>
          <w:szCs w:val="24"/>
        </w:rPr>
      </w:pPr>
      <w:r>
        <w:rPr>
          <w:rFonts w:ascii="Times New Roman" w:hAnsi="Times New Roman"/>
          <w:i/>
          <w:noProof/>
          <w:sz w:val="24"/>
        </w:rPr>
        <w:t>Електроенергия</w:t>
      </w:r>
    </w:p>
    <w:p w:rsidR="00D64E4D" w:rsidRDefault="00DB1970">
      <w:pPr>
        <w:spacing w:line="240" w:lineRule="auto"/>
        <w:jc w:val="both"/>
        <w:rPr>
          <w:rFonts w:ascii="Times New Roman" w:hAnsi="Times New Roman"/>
          <w:noProof/>
          <w:sz w:val="24"/>
          <w:szCs w:val="24"/>
        </w:rPr>
      </w:pPr>
      <w:r>
        <w:rPr>
          <w:rFonts w:ascii="Times New Roman" w:hAnsi="Times New Roman"/>
          <w:noProof/>
          <w:sz w:val="24"/>
        </w:rPr>
        <w:t>Всички</w:t>
      </w:r>
      <w:r>
        <w:rPr>
          <w:rFonts w:ascii="Times New Roman" w:hAnsi="Times New Roman"/>
          <w:b/>
          <w:noProof/>
          <w:sz w:val="24"/>
        </w:rPr>
        <w:t xml:space="preserve"> </w:t>
      </w:r>
      <w:r>
        <w:rPr>
          <w:rFonts w:ascii="Times New Roman" w:hAnsi="Times New Roman"/>
          <w:noProof/>
          <w:sz w:val="24"/>
        </w:rPr>
        <w:t xml:space="preserve">НРП поставят цели по отношение на инфраструктурата за зареждане на електрически превозни средства. </w:t>
      </w:r>
      <w:r>
        <w:rPr>
          <w:rFonts w:ascii="Times New Roman" w:hAnsi="Times New Roman"/>
          <w:b/>
          <w:noProof/>
          <w:sz w:val="24"/>
        </w:rPr>
        <w:t>Държавите членки обаче значително се различават една от друга в степента на амбициозност и детайлност</w:t>
      </w:r>
      <w:r>
        <w:rPr>
          <w:rFonts w:ascii="Times New Roman" w:hAnsi="Times New Roman"/>
          <w:noProof/>
          <w:sz w:val="24"/>
        </w:rPr>
        <w:t>. Като планират за далеч по-малко от 200 000 публично достъпни зарядни точки до 2020 г., НРП са под направената от Комисията оценка на нуждите, представена в раздел 2.1. Без особени амбиции, в 6 НРП са определени цели, които вече са почти постигнати. Други поставят високи цели, които обаче ще бъдат трудни за постигане с планираните мерки по разглежданата политика.</w:t>
      </w:r>
    </w:p>
    <w:p w:rsidR="00D64E4D" w:rsidRDefault="00DB1970">
      <w:pPr>
        <w:spacing w:line="240" w:lineRule="auto"/>
        <w:jc w:val="both"/>
        <w:rPr>
          <w:rFonts w:ascii="Times New Roman" w:hAnsi="Times New Roman"/>
          <w:noProof/>
          <w:sz w:val="24"/>
          <w:szCs w:val="24"/>
        </w:rPr>
      </w:pPr>
      <w:r>
        <w:rPr>
          <w:rFonts w:ascii="Times New Roman" w:hAnsi="Times New Roman"/>
          <w:noProof/>
          <w:sz w:val="24"/>
        </w:rPr>
        <w:t xml:space="preserve">Всички НРП предвиждат </w:t>
      </w:r>
      <w:r>
        <w:rPr>
          <w:rFonts w:ascii="Times New Roman" w:hAnsi="Times New Roman"/>
          <w:b/>
          <w:noProof/>
          <w:sz w:val="24"/>
        </w:rPr>
        <w:t xml:space="preserve">широк набор от насърчителни мерки, но продължават да са налице елементи на неопределеност. </w:t>
      </w:r>
      <w:r>
        <w:rPr>
          <w:rFonts w:ascii="Times New Roman" w:hAnsi="Times New Roman"/>
          <w:noProof/>
          <w:sz w:val="24"/>
        </w:rPr>
        <w:t>Мерките или</w:t>
      </w:r>
      <w:r>
        <w:rPr>
          <w:rFonts w:ascii="Times New Roman" w:hAnsi="Times New Roman"/>
          <w:b/>
          <w:noProof/>
          <w:sz w:val="24"/>
        </w:rPr>
        <w:t xml:space="preserve"> </w:t>
      </w:r>
      <w:r>
        <w:rPr>
          <w:rFonts w:ascii="Times New Roman" w:hAnsi="Times New Roman"/>
          <w:noProof/>
          <w:sz w:val="24"/>
        </w:rPr>
        <w:t>все още не са приети, или изглеждат твърде ограничени, за да имат осезаемо въздействие върху пазара. Всички НРП с изключение на 2 определят цели за публично достъпни зарядни точки, но от друга страна 10 държави членки не предвиждат никакви мерки за увеличаване на броя на публично достъпните зарядни точки. Покритието на основната TEN-T мрежа се увеличава, но части от нея могат да останат без минимална инфраструктура за зареждане, ако не бъдат предприети допълнителни действия.</w:t>
      </w:r>
      <w:r>
        <w:rPr>
          <w:rStyle w:val="FootnoteReference"/>
          <w:rFonts w:ascii="Times New Roman" w:hAnsi="Times New Roman"/>
          <w:noProof/>
          <w:sz w:val="24"/>
        </w:rPr>
        <w:footnoteReference w:id="23"/>
      </w:r>
      <w:r>
        <w:rPr>
          <w:rFonts w:ascii="Times New Roman" w:hAnsi="Times New Roman"/>
          <w:noProof/>
          <w:sz w:val="24"/>
        </w:rPr>
        <w:t xml:space="preserve"> От жизнена важност е да се осигурят зарядни точки с голяма мощност на всяка зарядна станция в рамките на основната TEN-T мрежа. НРП почти не засягат въпроса за бреговото електрозахранване на плавателни средства, както и захранването с електроенергия на паркирани самолети.</w:t>
      </w:r>
    </w:p>
    <w:tbl>
      <w:tblPr>
        <w:tblStyle w:val="TableGrid"/>
        <w:tblW w:w="0" w:type="auto"/>
        <w:shd w:val="clear" w:color="auto" w:fill="C4BC96" w:themeFill="background2" w:themeFillShade="BF"/>
        <w:tblLook w:val="04A0" w:firstRow="1" w:lastRow="0" w:firstColumn="1" w:lastColumn="0" w:noHBand="0" w:noVBand="1"/>
      </w:tblPr>
      <w:tblGrid>
        <w:gridCol w:w="8835"/>
      </w:tblGrid>
      <w:tr w:rsidR="00D64E4D">
        <w:tc>
          <w:tcPr>
            <w:tcW w:w="8835" w:type="dxa"/>
            <w:shd w:val="clear" w:color="auto" w:fill="C4BC96" w:themeFill="background2" w:themeFillShade="BF"/>
          </w:tcPr>
          <w:p w:rsidR="00D64E4D" w:rsidRDefault="00DB1970">
            <w:pPr>
              <w:spacing w:line="240" w:lineRule="auto"/>
              <w:jc w:val="both"/>
              <w:rPr>
                <w:rFonts w:ascii="Times New Roman" w:hAnsi="Times New Roman"/>
                <w:noProof/>
                <w:sz w:val="24"/>
                <w:szCs w:val="24"/>
              </w:rPr>
            </w:pPr>
            <w:r>
              <w:rPr>
                <w:rFonts w:ascii="Times New Roman" w:hAnsi="Times New Roman"/>
                <w:noProof/>
              </w:rPr>
              <w:t>Полската НРП е добър пример за анализ на нуждите на селищата, гъсто населените райони и пълната TEN-T мрежа по отношение на нуждите от инфраструктура за алтернативни горива/енергоносители — включително пазарните нужди.</w:t>
            </w:r>
            <w:r>
              <w:rPr>
                <w:rFonts w:ascii="Times New Roman" w:hAnsi="Times New Roman"/>
                <w:noProof/>
                <w:sz w:val="24"/>
              </w:rPr>
              <w:t xml:space="preserve"> </w:t>
            </w:r>
            <w:r>
              <w:rPr>
                <w:rFonts w:ascii="Times New Roman" w:hAnsi="Times New Roman"/>
                <w:noProof/>
              </w:rPr>
              <w:t xml:space="preserve">В Германия основният доставчик на услуги в зоните за обслужване край автомагистралите ще инсталира зарядни точки с голяма мощност във всички свои станции до края на тази година. В Обединеното кралство компанията Highways England се е ангажирала да осигури наличието на зарядни точки с голяма мощност поне на всеки 32 км в 95 % от стратегическата пътна мрежа на Англия. </w:t>
            </w:r>
          </w:p>
        </w:tc>
      </w:tr>
    </w:tbl>
    <w:p w:rsidR="00D64E4D" w:rsidRDefault="00DB1970">
      <w:pPr>
        <w:keepNext/>
        <w:spacing w:line="240" w:lineRule="auto"/>
        <w:jc w:val="both"/>
        <w:rPr>
          <w:rFonts w:ascii="Times New Roman" w:hAnsi="Times New Roman"/>
          <w:i/>
          <w:noProof/>
          <w:sz w:val="24"/>
          <w:szCs w:val="24"/>
        </w:rPr>
      </w:pPr>
      <w:r>
        <w:rPr>
          <w:rFonts w:ascii="Times New Roman" w:hAnsi="Times New Roman"/>
          <w:i/>
          <w:noProof/>
          <w:sz w:val="24"/>
          <w:szCs w:val="24"/>
        </w:rPr>
        <w:br/>
      </w:r>
      <w:r>
        <w:rPr>
          <w:rFonts w:ascii="Times New Roman" w:hAnsi="Times New Roman"/>
          <w:i/>
          <w:noProof/>
          <w:sz w:val="24"/>
        </w:rPr>
        <w:t>Природен газ</w:t>
      </w:r>
    </w:p>
    <w:p w:rsidR="00D64E4D" w:rsidRDefault="00DB1970">
      <w:pPr>
        <w:spacing w:line="240" w:lineRule="auto"/>
        <w:jc w:val="both"/>
        <w:rPr>
          <w:rFonts w:ascii="Times New Roman" w:hAnsi="Times New Roman"/>
          <w:noProof/>
          <w:sz w:val="24"/>
          <w:szCs w:val="24"/>
        </w:rPr>
      </w:pPr>
      <w:r>
        <w:rPr>
          <w:rFonts w:ascii="Times New Roman" w:hAnsi="Times New Roman"/>
          <w:b/>
          <w:noProof/>
          <w:sz w:val="24"/>
        </w:rPr>
        <w:t>Повечето държави членки не определят цели</w:t>
      </w:r>
      <w:r>
        <w:rPr>
          <w:rFonts w:ascii="Times New Roman" w:hAnsi="Times New Roman"/>
          <w:noProof/>
          <w:sz w:val="24"/>
        </w:rPr>
        <w:t xml:space="preserve"> </w:t>
      </w:r>
      <w:r>
        <w:rPr>
          <w:rFonts w:ascii="Times New Roman" w:hAnsi="Times New Roman"/>
          <w:b/>
          <w:noProof/>
          <w:sz w:val="24"/>
        </w:rPr>
        <w:t>за превозните средства, използващи компресиран природен газ (CNG)</w:t>
      </w:r>
      <w:r>
        <w:rPr>
          <w:rFonts w:ascii="Times New Roman" w:hAnsi="Times New Roman"/>
          <w:noProof/>
          <w:sz w:val="24"/>
        </w:rPr>
        <w:t>. В няколко НРП обаче</w:t>
      </w:r>
      <w:r>
        <w:rPr>
          <w:rStyle w:val="FootnoteReference"/>
          <w:rFonts w:ascii="Times New Roman" w:hAnsi="Times New Roman"/>
          <w:noProof/>
          <w:sz w:val="24"/>
        </w:rPr>
        <w:footnoteReference w:id="24"/>
      </w:r>
      <w:r>
        <w:rPr>
          <w:rFonts w:ascii="Times New Roman" w:hAnsi="Times New Roman"/>
          <w:noProof/>
          <w:sz w:val="24"/>
        </w:rPr>
        <w:t xml:space="preserve"> се дава приоритет на внедряването им. В повечето НРП липсват прогнозни оценки за бъдещото разпространение на такива превозни средства. Би могло в бъдеще да възникне проблем с разполагаемостта на съответна инфраструктура в някои държави членки, които в момента имат голям брой точки за зареждане с CNG в сравнение със задвижваните с CNG превозни средства по пътищата, но посочват, че не планират да насърчават по-нататъшно разрастване на този вид инфраструктура.</w:t>
      </w:r>
      <w:r>
        <w:rPr>
          <w:rStyle w:val="FootnoteReference"/>
          <w:rFonts w:ascii="Times New Roman" w:hAnsi="Times New Roman"/>
          <w:noProof/>
          <w:sz w:val="24"/>
        </w:rPr>
        <w:footnoteReference w:id="25"/>
      </w:r>
    </w:p>
    <w:p w:rsidR="00D64E4D" w:rsidRDefault="00DB1970">
      <w:pPr>
        <w:spacing w:line="240" w:lineRule="auto"/>
        <w:jc w:val="both"/>
        <w:rPr>
          <w:rFonts w:ascii="Times New Roman" w:hAnsi="Times New Roman"/>
          <w:noProof/>
          <w:sz w:val="24"/>
          <w:szCs w:val="24"/>
        </w:rPr>
      </w:pPr>
      <w:r>
        <w:rPr>
          <w:rFonts w:ascii="Times New Roman" w:hAnsi="Times New Roman"/>
          <w:noProof/>
          <w:sz w:val="24"/>
        </w:rPr>
        <w:t>В 19 НРП</w:t>
      </w:r>
      <w:r>
        <w:rPr>
          <w:noProof/>
        </w:rPr>
        <w:t xml:space="preserve"> </w:t>
      </w:r>
      <w:r>
        <w:rPr>
          <w:rFonts w:ascii="Times New Roman" w:hAnsi="Times New Roman"/>
          <w:b/>
          <w:noProof/>
          <w:sz w:val="24"/>
        </w:rPr>
        <w:t xml:space="preserve">са определени цели по отношение на ВПГ за тежкотоварни пътни превозни средства </w:t>
      </w:r>
      <w:r>
        <w:rPr>
          <w:rFonts w:ascii="Times New Roman" w:hAnsi="Times New Roman"/>
          <w:noProof/>
          <w:sz w:val="24"/>
        </w:rPr>
        <w:t>но целеполагането и планирането на действия не винаги са подходящи и няма да доведат до необходимото покритие на основната пътна TEN-T мрежа. Само 5 НРП дават приблизителни оценки за бъдещото разпространение на тежкотоварни превозни средства, които се движат с втечнен природен газ (LNG).</w:t>
      </w:r>
    </w:p>
    <w:p w:rsidR="00D64E4D" w:rsidRDefault="00DB1970">
      <w:pPr>
        <w:spacing w:line="240" w:lineRule="auto"/>
        <w:jc w:val="both"/>
        <w:rPr>
          <w:rFonts w:ascii="Times New Roman" w:hAnsi="Times New Roman"/>
          <w:noProof/>
          <w:sz w:val="24"/>
          <w:szCs w:val="24"/>
        </w:rPr>
      </w:pPr>
      <w:r>
        <w:rPr>
          <w:rFonts w:ascii="Times New Roman" w:hAnsi="Times New Roman"/>
          <w:noProof/>
          <w:sz w:val="24"/>
        </w:rPr>
        <w:t>В няколко НРП</w:t>
      </w:r>
      <w:r>
        <w:rPr>
          <w:rStyle w:val="FootnoteReference"/>
          <w:rFonts w:ascii="Times New Roman" w:hAnsi="Times New Roman"/>
          <w:noProof/>
          <w:sz w:val="24"/>
        </w:rPr>
        <w:footnoteReference w:id="26"/>
      </w:r>
      <w:r>
        <w:rPr>
          <w:rFonts w:ascii="Times New Roman" w:hAnsi="Times New Roman"/>
          <w:noProof/>
          <w:sz w:val="24"/>
        </w:rPr>
        <w:t xml:space="preserve"> са определени амбициозни </w:t>
      </w:r>
      <w:r>
        <w:rPr>
          <w:rFonts w:ascii="Times New Roman" w:hAnsi="Times New Roman"/>
          <w:b/>
          <w:noProof/>
          <w:sz w:val="24"/>
        </w:rPr>
        <w:t>цели за бъдещо изграждане на инфраструктурата за зареждане с LNG в морски и вътрешни пристанища.</w:t>
      </w:r>
      <w:r>
        <w:rPr>
          <w:rFonts w:ascii="Times New Roman" w:hAnsi="Times New Roman"/>
          <w:noProof/>
          <w:sz w:val="24"/>
        </w:rPr>
        <w:t xml:space="preserve"> Но в някои от тях не е разглеждан въпросът за нуждите от точки за зареждане с LNG в морските пристанища до 2025 г. и във вътрешните пристанища до 2030 г. Множество пристанища в основната TEN-T мрежа рискуват да останат без решение за зареждане с LNG. За никой от вътрешните водни пътища от коридорите на TEN-T не се планира инфраструктура за зареждане с LNG, достатъчна да позволи придвижване в целия ЕС на кораби, използващи LNG, които плават по вътрешни водни пътища.</w:t>
      </w:r>
    </w:p>
    <w:p w:rsidR="00D64E4D" w:rsidRDefault="00DB1970">
      <w:pPr>
        <w:shd w:val="clear" w:color="auto" w:fill="C4BC96" w:themeFill="background2" w:themeFillShade="BF"/>
        <w:spacing w:line="240" w:lineRule="auto"/>
        <w:jc w:val="both"/>
        <w:rPr>
          <w:rFonts w:ascii="Times New Roman" w:hAnsi="Times New Roman"/>
          <w:noProof/>
        </w:rPr>
      </w:pPr>
      <w:r>
        <w:rPr>
          <w:rFonts w:ascii="Times New Roman" w:hAnsi="Times New Roman"/>
          <w:noProof/>
        </w:rPr>
        <w:t>Италианската НРП отдава ключово значение на развитието на инфраструктура за LNG за морски цели. Планът за развитието ѝ, включително предвиждането на количествата, които ще се съхраняват във всичките 14 морски пристанища от основната мрежа на TEN-T и извън нея, е пример за добро планиране на политиката. Няколко НРП отбелязват значителната роля, която трябва да играят Механизмът за свързване на Европа (CEF) и другите фондове на ЕС за подпомагане на</w:t>
      </w:r>
      <w:r>
        <w:rPr>
          <w:noProof/>
        </w:rPr>
        <w:t xml:space="preserve"> </w:t>
      </w:r>
      <w:r>
        <w:rPr>
          <w:rFonts w:ascii="Times New Roman" w:hAnsi="Times New Roman"/>
          <w:noProof/>
        </w:rPr>
        <w:t>изграждането на инфраструктура за зареждане с LNG на тежкотоварни превозни средства и кораби.</w:t>
      </w:r>
    </w:p>
    <w:p w:rsidR="00D64E4D" w:rsidRDefault="00DB1970">
      <w:pPr>
        <w:keepNext/>
        <w:spacing w:line="240" w:lineRule="auto"/>
        <w:jc w:val="both"/>
        <w:rPr>
          <w:rFonts w:ascii="Times New Roman" w:hAnsi="Times New Roman"/>
          <w:i/>
          <w:noProof/>
          <w:sz w:val="24"/>
          <w:szCs w:val="24"/>
        </w:rPr>
      </w:pPr>
      <w:r>
        <w:rPr>
          <w:rFonts w:ascii="Times New Roman" w:hAnsi="Times New Roman"/>
          <w:i/>
          <w:noProof/>
          <w:sz w:val="24"/>
        </w:rPr>
        <w:t>Водород</w:t>
      </w:r>
    </w:p>
    <w:p w:rsidR="00D64E4D" w:rsidRDefault="00DB1970">
      <w:pPr>
        <w:spacing w:line="240" w:lineRule="auto"/>
        <w:jc w:val="both"/>
        <w:rPr>
          <w:rFonts w:ascii="Times New Roman" w:hAnsi="Times New Roman"/>
          <w:noProof/>
          <w:sz w:val="24"/>
          <w:szCs w:val="24"/>
        </w:rPr>
      </w:pPr>
      <w:r>
        <w:rPr>
          <w:rFonts w:ascii="Times New Roman" w:hAnsi="Times New Roman"/>
          <w:noProof/>
          <w:sz w:val="24"/>
        </w:rPr>
        <w:t xml:space="preserve">Изграждането на </w:t>
      </w:r>
      <w:r>
        <w:rPr>
          <w:rFonts w:ascii="Times New Roman" w:hAnsi="Times New Roman"/>
          <w:b/>
          <w:noProof/>
          <w:sz w:val="24"/>
        </w:rPr>
        <w:t>инфраструктура за зареждане с водород на електрически превозни средства с горивни клетки</w:t>
      </w:r>
      <w:r>
        <w:rPr>
          <w:rFonts w:ascii="Times New Roman" w:hAnsi="Times New Roman"/>
          <w:noProof/>
          <w:sz w:val="24"/>
        </w:rPr>
        <w:t xml:space="preserve"> не е задължително според Директива 2014/94/ЕС. 14 държави членки са разгледали в своите НРП въпроса за инфраструктурата за зареждане с водород. В някои случаи НРП съдържат амбициозни цели за изграждането на такава инфраструктура.</w:t>
      </w:r>
      <w:r>
        <w:rPr>
          <w:rStyle w:val="FootnoteReference"/>
          <w:rFonts w:ascii="Times New Roman" w:hAnsi="Times New Roman"/>
          <w:noProof/>
          <w:sz w:val="24"/>
        </w:rPr>
        <w:footnoteReference w:id="27"/>
      </w:r>
      <w:r>
        <w:rPr>
          <w:rFonts w:ascii="Times New Roman" w:hAnsi="Times New Roman"/>
          <w:noProof/>
          <w:sz w:val="24"/>
        </w:rPr>
        <w:t xml:space="preserve"> Такъв вид планиране показва колко важно е да се осигурят надеждни прогнози за навлизането на пазара на електрическите превозни средства с горивни клетки.  </w:t>
      </w:r>
    </w:p>
    <w:p w:rsidR="00D64E4D" w:rsidRDefault="00DB1970">
      <w:pPr>
        <w:keepNext/>
        <w:spacing w:line="240" w:lineRule="auto"/>
        <w:jc w:val="both"/>
        <w:rPr>
          <w:rFonts w:ascii="Times New Roman" w:hAnsi="Times New Roman"/>
          <w:i/>
          <w:noProof/>
          <w:sz w:val="24"/>
          <w:szCs w:val="24"/>
        </w:rPr>
      </w:pPr>
      <w:r>
        <w:rPr>
          <w:rFonts w:ascii="Times New Roman" w:hAnsi="Times New Roman"/>
          <w:i/>
          <w:noProof/>
          <w:sz w:val="24"/>
        </w:rPr>
        <w:t>Насърчителни мерки</w:t>
      </w:r>
    </w:p>
    <w:p w:rsidR="00D64E4D" w:rsidRDefault="00DB1970">
      <w:pPr>
        <w:spacing w:line="240" w:lineRule="auto"/>
        <w:jc w:val="both"/>
        <w:rPr>
          <w:rFonts w:ascii="Times New Roman" w:hAnsi="Times New Roman"/>
          <w:noProof/>
          <w:sz w:val="24"/>
          <w:szCs w:val="24"/>
        </w:rPr>
      </w:pPr>
      <w:r>
        <w:rPr>
          <w:rFonts w:ascii="Times New Roman" w:hAnsi="Times New Roman"/>
          <w:noProof/>
          <w:sz w:val="24"/>
        </w:rPr>
        <w:t xml:space="preserve">От държавите членки се изисква да въведат </w:t>
      </w:r>
      <w:r>
        <w:rPr>
          <w:rFonts w:ascii="Times New Roman" w:hAnsi="Times New Roman"/>
          <w:b/>
          <w:noProof/>
          <w:sz w:val="24"/>
        </w:rPr>
        <w:t xml:space="preserve">насърчителни мерки, </w:t>
      </w:r>
      <w:r>
        <w:rPr>
          <w:rFonts w:ascii="Times New Roman" w:hAnsi="Times New Roman"/>
          <w:noProof/>
          <w:sz w:val="24"/>
        </w:rPr>
        <w:t xml:space="preserve">така че да се гарантира постигането на целите и задачите, съдържащи се в НРП. НРП съдържат набор от много разнообразни мерки, които варират </w:t>
      </w:r>
      <w:r>
        <w:rPr>
          <w:rFonts w:ascii="Times New Roman" w:hAnsi="Times New Roman"/>
          <w:i/>
          <w:noProof/>
          <w:sz w:val="24"/>
        </w:rPr>
        <w:t>inter alia</w:t>
      </w:r>
      <w:r>
        <w:rPr>
          <w:rFonts w:ascii="Times New Roman" w:hAnsi="Times New Roman"/>
          <w:noProof/>
          <w:sz w:val="24"/>
        </w:rPr>
        <w:t xml:space="preserve"> в своята степен на зрялост и поставените приоритети (едно или няколко алтернативни горива/енергоносители). Освен това НРП са насочени към различни видове транспорт, например влакове, автобуси, таксита, велосипеди и споделено пътуване. Повечето НРП се фокусират върху обществения транспорт, изтъквайки ролята, която могат да изиграят обществените поръчки за подкрепа на разпространението на пазара.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5"/>
      </w:tblGrid>
      <w:tr w:rsidR="00D64E4D">
        <w:tc>
          <w:tcPr>
            <w:tcW w:w="8835" w:type="dxa"/>
            <w:shd w:val="clear" w:color="auto" w:fill="C4BC96" w:themeFill="background2" w:themeFillShade="BF"/>
          </w:tcPr>
          <w:p w:rsidR="00D64E4D" w:rsidRDefault="00DB1970">
            <w:pPr>
              <w:spacing w:after="0" w:line="240" w:lineRule="auto"/>
              <w:jc w:val="both"/>
              <w:rPr>
                <w:rFonts w:ascii="Times New Roman" w:hAnsi="Times New Roman"/>
                <w:noProof/>
              </w:rPr>
            </w:pPr>
            <w:r>
              <w:rPr>
                <w:rFonts w:ascii="Times New Roman" w:hAnsi="Times New Roman"/>
                <w:noProof/>
              </w:rPr>
              <w:t>Френската НРП съдържа подробен списък от мерки за насърчаване на електромобилността. Очаква се, че комбинираният ефект от мерки като системата за данъчни облекчения и утежнения (bonus-malus system) във връзка с емисиите на CO</w:t>
            </w:r>
            <w:r>
              <w:rPr>
                <w:rFonts w:ascii="Times New Roman" w:hAnsi="Times New Roman"/>
                <w:noProof/>
                <w:vertAlign w:val="subscript"/>
              </w:rPr>
              <w:t>2 </w:t>
            </w:r>
            <w:r>
              <w:rPr>
                <w:rFonts w:ascii="Times New Roman" w:hAnsi="Times New Roman"/>
                <w:noProof/>
              </w:rPr>
              <w:t>при превозните средства и насърчаването на инфраструктурата за зареждане ще стимулира пазара за електрически пътни превозни средства. Френският Закон за енергиен преход към зелена икономика определя ясни цели и минимални квоти за обществените поръчки на превозни средства с ниски и нулеви емисии. Нидерландската НРП дава добър пример от практиката за диалог между заинтересованите страни, като пряко ангажира съответните заинтересовани лица в прилагането на подхода „Зелени сделки“.</w:t>
            </w:r>
          </w:p>
        </w:tc>
      </w:tr>
    </w:tbl>
    <w:p w:rsidR="00D64E4D" w:rsidRDefault="00DB1970">
      <w:pPr>
        <w:pStyle w:val="Heading2"/>
        <w:spacing w:before="240"/>
        <w:rPr>
          <w:noProof/>
        </w:rPr>
      </w:pPr>
      <w:r>
        <w:rPr>
          <w:noProof/>
        </w:rPr>
        <w:t>На прав път ли сме?</w:t>
      </w:r>
    </w:p>
    <w:p w:rsidR="00D64E4D" w:rsidRDefault="00DB1970">
      <w:pPr>
        <w:pStyle w:val="Text1"/>
        <w:shd w:val="clear" w:color="auto" w:fill="FFFFFF" w:themeFill="background1"/>
        <w:spacing w:line="240" w:lineRule="auto"/>
        <w:ind w:left="0"/>
        <w:jc w:val="both"/>
        <w:rPr>
          <w:rFonts w:ascii="Times New Roman" w:hAnsi="Times New Roman"/>
          <w:noProof/>
          <w:sz w:val="24"/>
          <w:szCs w:val="24"/>
        </w:rPr>
      </w:pPr>
      <w:r>
        <w:rPr>
          <w:rFonts w:ascii="Times New Roman" w:hAnsi="Times New Roman"/>
          <w:noProof/>
          <w:sz w:val="24"/>
        </w:rPr>
        <w:t>Анализът на НРП показва, че  в ЕС ще останат инфраструктурни празнини. Това се отнася по-конкретно до всички видове електрически леки и тежкотоварни превозни средства. В сравнение с представените в раздел 2.1 оценки в НРП, ангажиментът да се инсталират публично достъпни зарядни точки в градските и по-малките селища в ЕС трябва да бъде сериозно увеличен. Празнини остават и в коридорите на основната мрежа на TEN-T по отношение на зарядните точки.</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Друга празнина в планирането касае точките за зареждане с ВПГ за тежкотоварни превозни средства. Предвидените в НРП цели за обхващане на пристанищата с точки за зареждане с LNG също не са достатъчни, за да позволят движението на кораби, плаващи по вътрешни водни пътища, и на морски кораби из цялата основна TEN-T мрежа, както се изисква в Директива 2014/94/ЕС. Подобни рискове съществуват и при водорода: за него разпоредбите на Директива 2014/94/ЕС не са задължителни, държавите членки го третират разнопосочно, а инфраструктурата е крайно неравномерна. За да е възможно превозните средства лесно да пътуват в целия ЕС („непрекъснатост на обслужването“), е нужно по-широко разпростиране на инфраструктурата.</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shd w:val="clear" w:color="auto" w:fill="FFFFFF" w:themeFill="background1"/>
        </w:rPr>
        <w:t>Като цяло анализът на ситуацията показва, че всички НРП, взети заедно, не образуват убедителна картина, даваща необходимата дългосрочна пазарна сигурност. Освен това съществува риск много от целите и задачите на НРП да не бъдат постигнати,</w:t>
      </w:r>
      <w:r>
        <w:rPr>
          <w:rFonts w:ascii="Times New Roman" w:hAnsi="Times New Roman"/>
          <w:b/>
          <w:noProof/>
          <w:sz w:val="24"/>
          <w:shd w:val="clear" w:color="auto" w:fill="FFFFFF" w:themeFill="background1"/>
        </w:rPr>
        <w:t xml:space="preserve"> </w:t>
      </w:r>
      <w:r>
        <w:rPr>
          <w:rFonts w:ascii="Times New Roman" w:hAnsi="Times New Roman"/>
          <w:noProof/>
          <w:sz w:val="24"/>
          <w:shd w:val="clear" w:color="auto" w:fill="FFFFFF" w:themeFill="background1"/>
        </w:rPr>
        <w:t>макар и да не са особено амбициозни. Работният</w:t>
      </w:r>
      <w:r>
        <w:rPr>
          <w:rFonts w:ascii="Times New Roman" w:hAnsi="Times New Roman"/>
          <w:noProof/>
          <w:sz w:val="24"/>
        </w:rPr>
        <w:t xml:space="preserve"> документ на службите на Европейската комисия (SWD), който придружава настоящото съобщение, илюстрира ограничения ефект на НРП върху ключовите цели на политиките на ЕС, ако не бъдат предприети допълнителни действия.</w:t>
      </w:r>
    </w:p>
    <w:tbl>
      <w:tblPr>
        <w:tblStyle w:val="TableGrid"/>
        <w:tblW w:w="8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4BC96" w:themeFill="background2" w:themeFillShade="BF"/>
        <w:tblLook w:val="04A0" w:firstRow="1" w:lastRow="0" w:firstColumn="1" w:lastColumn="0" w:noHBand="0" w:noVBand="1"/>
      </w:tblPr>
      <w:tblGrid>
        <w:gridCol w:w="8835"/>
      </w:tblGrid>
      <w:tr w:rsidR="00D64E4D">
        <w:tc>
          <w:tcPr>
            <w:tcW w:w="8835" w:type="dxa"/>
            <w:shd w:val="clear" w:color="auto" w:fill="C4BC96" w:themeFill="background2" w:themeFillShade="BF"/>
          </w:tcPr>
          <w:p w:rsidR="00D64E4D" w:rsidRDefault="00DB1970">
            <w:pPr>
              <w:pStyle w:val="Text1"/>
              <w:pageBreakBefore/>
              <w:spacing w:after="0" w:line="240" w:lineRule="auto"/>
              <w:ind w:left="0"/>
              <w:jc w:val="both"/>
              <w:rPr>
                <w:rFonts w:ascii="Times New Roman" w:hAnsi="Times New Roman"/>
                <w:noProof/>
              </w:rPr>
            </w:pPr>
            <w:r>
              <w:rPr>
                <w:rFonts w:ascii="Times New Roman" w:hAnsi="Times New Roman"/>
                <w:noProof/>
              </w:rPr>
              <w:t>Макар че за някои държави членки с амбициозни НРП се очакват по-високи намаления на емисиите, на нивото на ЕС се очаква минимално въздействие върху заместването на изкопаемите нефтени горива: В сравнение със сценарий без НРП, 0,4 % от тези горива биха могли да бъдат заместени с алтернативни горива/енергоизточници до 2020 г.</w:t>
            </w:r>
            <w:r>
              <w:rPr>
                <w:rStyle w:val="FootnoteReference"/>
                <w:rFonts w:ascii="Times New Roman" w:hAnsi="Times New Roman"/>
                <w:noProof/>
              </w:rPr>
              <w:footnoteReference w:id="28"/>
            </w:r>
            <w:r>
              <w:rPr>
                <w:rFonts w:ascii="Times New Roman" w:hAnsi="Times New Roman"/>
                <w:noProof/>
              </w:rPr>
              <w:t xml:space="preserve"> и съответно 1,4 % до 2030 г. Емисиите на CO</w:t>
            </w:r>
            <w:r>
              <w:rPr>
                <w:rFonts w:ascii="Times New Roman" w:hAnsi="Times New Roman"/>
                <w:noProof/>
                <w:vertAlign w:val="subscript"/>
              </w:rPr>
              <w:t>2 </w:t>
            </w:r>
            <w:r>
              <w:rPr>
                <w:rFonts w:ascii="Times New Roman" w:hAnsi="Times New Roman"/>
                <w:noProof/>
              </w:rPr>
              <w:t>от транспорта биха могли да се намалят с 0,4 % (или около 3,2 млн. тона) до 2020 г. и 1,4 % до 2030 г. (или около 11,5 млн. тона) в сравнение със сценарий без НРП. Намалението на емисиите на NO</w:t>
            </w:r>
            <w:r>
              <w:rPr>
                <w:rFonts w:ascii="Times New Roman" w:hAnsi="Times New Roman"/>
                <w:noProof/>
                <w:vertAlign w:val="subscript"/>
              </w:rPr>
              <w:t>x</w:t>
            </w:r>
            <w:r>
              <w:rPr>
                <w:rFonts w:ascii="Times New Roman" w:hAnsi="Times New Roman"/>
                <w:noProof/>
              </w:rPr>
              <w:t xml:space="preserve"> от транспорта в резултат на НРП се оценява на около 0,37 % до 2020 г. и 1,5 % до 2030 г. в сравнение със сценарий без НРП. При ПЧ</w:t>
            </w:r>
            <w:r>
              <w:rPr>
                <w:rFonts w:ascii="Times New Roman" w:hAnsi="Times New Roman"/>
                <w:noProof/>
                <w:vertAlign w:val="subscript"/>
              </w:rPr>
              <w:t>2.5</w:t>
            </w:r>
            <w:r>
              <w:rPr>
                <w:rFonts w:ascii="Times New Roman" w:hAnsi="Times New Roman"/>
                <w:noProof/>
              </w:rPr>
              <w:t xml:space="preserve"> НРП биха довели до 0,44 % по-ниски емисии на ПЧ</w:t>
            </w:r>
            <w:r>
              <w:rPr>
                <w:rFonts w:ascii="Times New Roman" w:hAnsi="Times New Roman"/>
                <w:noProof/>
                <w:vertAlign w:val="subscript"/>
              </w:rPr>
              <w:t xml:space="preserve">2.5 </w:t>
            </w:r>
            <w:r>
              <w:rPr>
                <w:rFonts w:ascii="Times New Roman" w:hAnsi="Times New Roman"/>
                <w:noProof/>
              </w:rPr>
              <w:t>до 2020 г. и 1,9 % до 2030 г.</w:t>
            </w:r>
            <w:r>
              <w:rPr>
                <w:rStyle w:val="FootnoteReference"/>
                <w:rFonts w:ascii="Times New Roman" w:hAnsi="Times New Roman"/>
                <w:noProof/>
              </w:rPr>
              <w:footnoteReference w:id="29"/>
            </w:r>
            <w:r>
              <w:rPr>
                <w:rFonts w:ascii="Times New Roman" w:hAnsi="Times New Roman"/>
                <w:noProof/>
              </w:rPr>
              <w:t xml:space="preserve"> Тези подобрения могат да доведат до намаление в размер на до 5,8 % на концентрациите на NO</w:t>
            </w:r>
            <w:r>
              <w:rPr>
                <w:rFonts w:ascii="Times New Roman" w:hAnsi="Times New Roman"/>
                <w:noProof/>
                <w:vertAlign w:val="subscript"/>
              </w:rPr>
              <w:t>2 </w:t>
            </w:r>
            <w:r>
              <w:rPr>
                <w:rFonts w:ascii="Times New Roman" w:hAnsi="Times New Roman"/>
                <w:noProof/>
              </w:rPr>
              <w:t>и намаление с 2,1 % на концентрациите на ПЧ</w:t>
            </w:r>
            <w:r>
              <w:rPr>
                <w:rFonts w:ascii="Times New Roman" w:hAnsi="Times New Roman"/>
                <w:noProof/>
                <w:vertAlign w:val="subscript"/>
              </w:rPr>
              <w:t>2.5</w:t>
            </w:r>
            <w:r>
              <w:rPr>
                <w:rFonts w:ascii="Times New Roman" w:hAnsi="Times New Roman"/>
                <w:noProof/>
              </w:rPr>
              <w:t xml:space="preserve"> в някои райони до 2030 г.</w:t>
            </w:r>
            <w:r>
              <w:rPr>
                <w:rFonts w:ascii="Times New Roman" w:hAnsi="Times New Roman"/>
                <w:noProof/>
                <w:sz w:val="24"/>
              </w:rPr>
              <w:t xml:space="preserve"> </w:t>
            </w:r>
            <w:r>
              <w:rPr>
                <w:rFonts w:ascii="Times New Roman" w:hAnsi="Times New Roman"/>
                <w:noProof/>
              </w:rPr>
              <w:t>Според сегашните планове съгласно НРП се очаква създаването на работни места за изграждане, експлоатация и поддръжка на инфраструктурата леко да се увеличи.</w:t>
            </w:r>
          </w:p>
        </w:tc>
      </w:tr>
    </w:tbl>
    <w:p w:rsidR="00D64E4D" w:rsidRDefault="00DB1970">
      <w:pPr>
        <w:pStyle w:val="Text1"/>
        <w:spacing w:line="240" w:lineRule="auto"/>
        <w:ind w:left="0"/>
        <w:jc w:val="both"/>
        <w:rPr>
          <w:rFonts w:ascii="Times New Roman" w:hAnsi="Times New Roman"/>
          <w:b/>
          <w:noProof/>
          <w:sz w:val="24"/>
          <w:szCs w:val="24"/>
        </w:rPr>
      </w:pPr>
      <w:r>
        <w:rPr>
          <w:rFonts w:ascii="Times New Roman" w:hAnsi="Times New Roman"/>
          <w:noProof/>
          <w:sz w:val="24"/>
          <w:szCs w:val="24"/>
        </w:rPr>
        <w:br/>
      </w:r>
      <w:r>
        <w:rPr>
          <w:rFonts w:ascii="Times New Roman" w:hAnsi="Times New Roman"/>
          <w:b/>
          <w:noProof/>
          <w:sz w:val="24"/>
        </w:rPr>
        <w:t xml:space="preserve">За ускоряване на прехода към мобилност с ниски и нулеви емисии е необходимо всички държави членки незабавно да предприемат решителни действия за по-бързо изграждане на инфраструктурата за алтернативни горива/енергоносители. </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Това</w:t>
      </w:r>
      <w:r>
        <w:rPr>
          <w:rFonts w:ascii="Times New Roman" w:hAnsi="Times New Roman"/>
          <w:b/>
          <w:noProof/>
          <w:sz w:val="24"/>
        </w:rPr>
        <w:t xml:space="preserve"> </w:t>
      </w:r>
      <w:r>
        <w:rPr>
          <w:rFonts w:ascii="Times New Roman" w:hAnsi="Times New Roman"/>
          <w:noProof/>
          <w:sz w:val="24"/>
        </w:rPr>
        <w:t>изисква по-голямо желание от страна на публичния и частния сектор за инвестиции в лесно достъпна инфраструктура за различни типове превозни средства и плавателни съдове</w:t>
      </w:r>
      <w:r>
        <w:rPr>
          <w:rFonts w:ascii="Times New Roman" w:hAnsi="Times New Roman"/>
          <w:b/>
          <w:noProof/>
          <w:sz w:val="24"/>
        </w:rPr>
        <w:t>.</w:t>
      </w:r>
      <w:r>
        <w:rPr>
          <w:rFonts w:ascii="Times New Roman" w:hAnsi="Times New Roman"/>
          <w:noProof/>
          <w:sz w:val="24"/>
        </w:rPr>
        <w:t xml:space="preserve"> Комисията изразява готовност да подкрепи тези усилия и именно затова предлага настоящия план за действие. </w:t>
      </w:r>
    </w:p>
    <w:p w:rsidR="00D64E4D" w:rsidRDefault="00DB1970">
      <w:pPr>
        <w:pStyle w:val="Heading1"/>
        <w:rPr>
          <w:noProof/>
        </w:rPr>
      </w:pPr>
      <w:r>
        <w:rPr>
          <w:noProof/>
        </w:rPr>
        <w:t>Постигане на най-широка употреба на алтернативните горива/енергоносители: план за действие</w:t>
      </w:r>
    </w:p>
    <w:p w:rsidR="00D64E4D" w:rsidRDefault="00DB1970">
      <w:pPr>
        <w:pStyle w:val="Text1"/>
        <w:spacing w:line="240" w:lineRule="auto"/>
        <w:ind w:left="0"/>
        <w:jc w:val="both"/>
        <w:rPr>
          <w:noProof/>
        </w:rPr>
      </w:pPr>
      <w:r>
        <w:rPr>
          <w:rFonts w:ascii="Times New Roman" w:hAnsi="Times New Roman"/>
          <w:noProof/>
          <w:sz w:val="24"/>
        </w:rPr>
        <w:t xml:space="preserve">Предлаганите в настоящия план действия могат да доведат до значителни ползи за потребителите, промишлеността и публичните органи, ако са добре координирани на всички съответни равнища. </w:t>
      </w:r>
      <w:r>
        <w:rPr>
          <w:rFonts w:ascii="Times New Roman" w:hAnsi="Times New Roman"/>
          <w:b/>
          <w:noProof/>
          <w:sz w:val="24"/>
        </w:rPr>
        <w:t>Публичните органи и частният сектор трябва да разберат, че споделят отговорността</w:t>
      </w:r>
      <w:r>
        <w:rPr>
          <w:rFonts w:ascii="Times New Roman" w:hAnsi="Times New Roman"/>
          <w:noProof/>
          <w:sz w:val="24"/>
        </w:rPr>
        <w:t xml:space="preserve">. Публичните инвестиции в инфраструктура трябва да бъдат придружени от </w:t>
      </w:r>
      <w:r>
        <w:rPr>
          <w:rFonts w:ascii="Times New Roman" w:hAnsi="Times New Roman"/>
          <w:b/>
          <w:noProof/>
          <w:sz w:val="24"/>
        </w:rPr>
        <w:t>надеждно предлагане на превозни средства и плавателни съдове,</w:t>
      </w:r>
      <w:r>
        <w:rPr>
          <w:rFonts w:ascii="Times New Roman" w:hAnsi="Times New Roman"/>
          <w:noProof/>
          <w:sz w:val="24"/>
        </w:rPr>
        <w:t xml:space="preserve"> за да се намали несигурността по отношение на търсенето и предлагането в бъдеще.</w:t>
      </w:r>
    </w:p>
    <w:p w:rsidR="00D64E4D" w:rsidRDefault="00DB1970">
      <w:pPr>
        <w:pStyle w:val="Heading2"/>
        <w:rPr>
          <w:noProof/>
        </w:rPr>
      </w:pPr>
      <w:r>
        <w:rPr>
          <w:noProof/>
        </w:rPr>
        <w:t xml:space="preserve"> Ускоряване на изготвянето и прилагането на НРП</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Държавите членки, които все още не са представили на Комисията своите НРП, следва да направят това възможно най-скоро. Държавите членки, които вече са представили своите НРП, се приканват да вземат предвид заключенията от оценката и констатациите, описани в придружаващия Работен документ на службите на Европейската комисия.</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Няколкото НРП, които поставят амбициозни цели и задачи, съчетани с всеобхватен набор от мерки на политиката за подкрепа, дават адекватен отговор; останалите трябва да ги последват, тъй като тези примери показват най-големи социално-икономически и екологични ползи.</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Всички държави членки се насърчават да си сътрудничат и да използват подкрепата на Комисията </w:t>
      </w:r>
      <w:r>
        <w:rPr>
          <w:rFonts w:ascii="Times New Roman" w:hAnsi="Times New Roman"/>
          <w:b/>
          <w:noProof/>
          <w:sz w:val="24"/>
        </w:rPr>
        <w:t>за ефективно прилагане на НРП</w:t>
      </w:r>
      <w:r>
        <w:rPr>
          <w:rFonts w:ascii="Times New Roman" w:hAnsi="Times New Roman"/>
          <w:noProof/>
          <w:sz w:val="24"/>
        </w:rPr>
        <w:t>:</w:t>
      </w:r>
    </w:p>
    <w:p w:rsidR="00D64E4D" w:rsidRDefault="00DB1970">
      <w:pPr>
        <w:pStyle w:val="Text1"/>
        <w:numPr>
          <w:ilvl w:val="0"/>
          <w:numId w:val="35"/>
        </w:numPr>
        <w:spacing w:line="240" w:lineRule="auto"/>
        <w:jc w:val="both"/>
        <w:rPr>
          <w:rFonts w:ascii="Times New Roman" w:hAnsi="Times New Roman"/>
          <w:noProof/>
          <w:sz w:val="24"/>
          <w:szCs w:val="24"/>
        </w:rPr>
      </w:pPr>
      <w:r>
        <w:rPr>
          <w:rFonts w:ascii="Times New Roman" w:hAnsi="Times New Roman"/>
          <w:noProof/>
          <w:sz w:val="24"/>
        </w:rPr>
        <w:t xml:space="preserve">Комисията създаде </w:t>
      </w:r>
      <w:r>
        <w:rPr>
          <w:rFonts w:ascii="Times New Roman" w:hAnsi="Times New Roman"/>
          <w:b/>
          <w:noProof/>
          <w:sz w:val="24"/>
        </w:rPr>
        <w:t>Форума за устойчив транспорт (STF)</w:t>
      </w:r>
      <w:r>
        <w:rPr>
          <w:rStyle w:val="FootnoteReference"/>
          <w:rFonts w:ascii="Times New Roman" w:hAnsi="Times New Roman"/>
          <w:b/>
          <w:noProof/>
          <w:sz w:val="24"/>
        </w:rPr>
        <w:footnoteReference w:id="30"/>
      </w:r>
      <w:r>
        <w:rPr>
          <w:rFonts w:ascii="Times New Roman" w:hAnsi="Times New Roman"/>
          <w:noProof/>
          <w:sz w:val="24"/>
        </w:rPr>
        <w:t xml:space="preserve">, за да обедини представители на държавите членки, транспортния сектор и гражданското общество. Работата на STF по прилагането на Директива 2014/94/ЕС има за цел да гарантира ефективното изпълнение на НРП. Комисията приканва държавите членки да участват активно в този процес. Резултатите от работата ще бъдат разгледани на </w:t>
      </w:r>
      <w:r>
        <w:rPr>
          <w:rFonts w:ascii="Times New Roman" w:hAnsi="Times New Roman"/>
          <w:b/>
          <w:noProof/>
          <w:sz w:val="24"/>
        </w:rPr>
        <w:t>годишна европейска конференция за чист транспорт и инфраструктура за алтернативни горива</w:t>
      </w:r>
      <w:r>
        <w:rPr>
          <w:rFonts w:ascii="Times New Roman" w:hAnsi="Times New Roman"/>
          <w:noProof/>
          <w:sz w:val="24"/>
        </w:rPr>
        <w:t>, която за пръв път ще се проведе в края на есента на 2018 г.</w:t>
      </w:r>
    </w:p>
    <w:p w:rsidR="00D64E4D" w:rsidRDefault="00DB1970">
      <w:pPr>
        <w:pStyle w:val="Text1"/>
        <w:numPr>
          <w:ilvl w:val="0"/>
          <w:numId w:val="35"/>
        </w:numPr>
        <w:spacing w:line="240" w:lineRule="auto"/>
        <w:jc w:val="both"/>
        <w:rPr>
          <w:rFonts w:ascii="Times New Roman" w:hAnsi="Times New Roman"/>
          <w:noProof/>
          <w:sz w:val="24"/>
          <w:szCs w:val="24"/>
        </w:rPr>
      </w:pPr>
      <w:r>
        <w:rPr>
          <w:rFonts w:ascii="Times New Roman" w:hAnsi="Times New Roman"/>
          <w:b/>
          <w:noProof/>
          <w:sz w:val="24"/>
        </w:rPr>
        <w:t>Европейският форум за устойчиво корабоплаване (ESSF),</w:t>
      </w:r>
      <w:r>
        <w:rPr>
          <w:rStyle w:val="FootnoteReference"/>
          <w:rFonts w:ascii="Times New Roman" w:hAnsi="Times New Roman"/>
          <w:noProof/>
          <w:color w:val="1F497D"/>
          <w:sz w:val="24"/>
        </w:rPr>
        <w:footnoteReference w:id="31"/>
      </w:r>
      <w:r>
        <w:rPr>
          <w:rFonts w:ascii="Times New Roman" w:hAnsi="Times New Roman"/>
          <w:noProof/>
          <w:sz w:val="24"/>
        </w:rPr>
        <w:t xml:space="preserve"> който представлява създадена от Комисията през 2013 г. експертна група, играе роля, сходна на тази на STF, но за сектора на морския транспорт. Той е платформа за структуриран диалог, за обмен на технически познания, както и за сътрудничество и координация между отговорните органи и заинтересованите страни в областта на мореплаването за по-добро справяне с предизвикателствата, свързани с устойчивостта, пред които е изправен секторът, включително използването на втечнен природен газ.</w:t>
      </w:r>
    </w:p>
    <w:p w:rsidR="00D64E4D" w:rsidRDefault="00DB1970">
      <w:pPr>
        <w:pStyle w:val="Text1"/>
        <w:numPr>
          <w:ilvl w:val="0"/>
          <w:numId w:val="35"/>
        </w:numPr>
        <w:spacing w:line="240" w:lineRule="auto"/>
        <w:jc w:val="both"/>
        <w:rPr>
          <w:rFonts w:ascii="Times New Roman" w:hAnsi="Times New Roman"/>
          <w:noProof/>
          <w:sz w:val="24"/>
          <w:szCs w:val="24"/>
        </w:rPr>
      </w:pPr>
      <w:r>
        <w:rPr>
          <w:rFonts w:ascii="Times New Roman" w:hAnsi="Times New Roman"/>
          <w:noProof/>
          <w:sz w:val="24"/>
        </w:rPr>
        <w:t xml:space="preserve">Под егидата на Европейската агенция по морска безопасност Комисията ще изготви </w:t>
      </w:r>
      <w:r>
        <w:rPr>
          <w:rFonts w:ascii="Times New Roman" w:hAnsi="Times New Roman"/>
          <w:b/>
          <w:noProof/>
          <w:sz w:val="24"/>
        </w:rPr>
        <w:t>необвързващ документ с насоки относно зареждането на кораби с втечнен природен газ в целия ЕС</w:t>
      </w:r>
      <w:r>
        <w:rPr>
          <w:rFonts w:ascii="Times New Roman" w:hAnsi="Times New Roman"/>
          <w:noProof/>
          <w:sz w:val="24"/>
        </w:rPr>
        <w:t>. Този документ следва да спомогне за хармонизиране на подхода на органите в държавите членки, за да се гарантира безопасността на операциите за зареждане на кораби с втечнен природен газ.</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b/>
          <w:noProof/>
          <w:sz w:val="24"/>
        </w:rPr>
        <w:t xml:space="preserve">Държавите членки се приканват също да разгледат и следните въпроси: </w:t>
      </w:r>
    </w:p>
    <w:p w:rsidR="00D64E4D" w:rsidRDefault="00DB1970">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rPr>
        <w:t xml:space="preserve">Ако насърчителните мерки в НРП са класифицирани като такива в процес на разглеждане или в процес на приемане, Комисията приканва държавите членки да създадат яснота, като бързо приемат или отхвърлят тези мерки. </w:t>
      </w:r>
    </w:p>
    <w:p w:rsidR="00D64E4D" w:rsidRDefault="00DB1970">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rPr>
        <w:t xml:space="preserve">Държавите членки следва активно да ангажират всички заинтересовани страни в адаптирането и прилагането на НРП, за да се осигури синхронизирано предлагане на превозни средства и изграждане на инфраструктура, интегриране на транспортната и енергийната система и възприемане от потребителите. </w:t>
      </w:r>
    </w:p>
    <w:p w:rsidR="00D64E4D" w:rsidRDefault="00DB1970">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rPr>
        <w:t>Сътрудничеството между държавите членки следва да стане по-интензивно, за да се гарантира трансгранична непрекъсната инфраструктура за всички видове превозни средства и плавателни съдове, които работят с алтернативно гориво.</w:t>
      </w:r>
    </w:p>
    <w:p w:rsidR="00D64E4D" w:rsidRDefault="00DB1970">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rPr>
        <w:t>По отношение на дългосрочните договори за предоставяне на услуги за транспортни средства по автомагистралите, на държавите членки се напомня да вземат предвид необходимостта в новите договори да бъде включена клауза относно алтернативната инфраструктура. Заедно с доставчиците на услуги те следва да потърсят начин, когато е възможно, при условията на съществуващите договори да се инсталира и експлоатира такава инфраструктура.</w:t>
      </w:r>
    </w:p>
    <w:p w:rsidR="00D64E4D" w:rsidRDefault="00DB1970">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rPr>
        <w:t>За да бъде възможно свободното придвижване на плавателни съдове и кораби, използващи втечнен природен газ, държавите членки се приканват да определят цели и задачи или да доуточнят вече определените такива, както и да приемат финансови и нефинансови мерки за осигуряване на точки за зареждане с втечнен природен газ в морските и вътрешните пристанища.</w:t>
      </w:r>
    </w:p>
    <w:p w:rsidR="00D64E4D" w:rsidRDefault="00DB1970">
      <w:pPr>
        <w:pStyle w:val="Text1"/>
        <w:numPr>
          <w:ilvl w:val="0"/>
          <w:numId w:val="24"/>
        </w:numPr>
        <w:spacing w:line="240" w:lineRule="auto"/>
        <w:jc w:val="both"/>
        <w:rPr>
          <w:rFonts w:ascii="Times New Roman" w:hAnsi="Times New Roman"/>
          <w:noProof/>
          <w:sz w:val="24"/>
          <w:szCs w:val="24"/>
        </w:rPr>
      </w:pPr>
      <w:r>
        <w:rPr>
          <w:rFonts w:ascii="Times New Roman" w:hAnsi="Times New Roman"/>
          <w:noProof/>
          <w:sz w:val="24"/>
        </w:rPr>
        <w:t>Държавите членки се насърчават да увеличат усилията си, за да осигурят бреговото електроснабдяване и захранването с електроенергия на паркирани самолети, като премахнат пазарните бариери пред тези източници на алтернативна енергия и подпомогнат изграждането на съответна инфраструктура.</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Комисията приканва </w:t>
      </w:r>
      <w:r>
        <w:rPr>
          <w:rFonts w:ascii="Times New Roman" w:hAnsi="Times New Roman"/>
          <w:b/>
          <w:noProof/>
          <w:sz w:val="24"/>
        </w:rPr>
        <w:t>производителите на превозни средства и плавателни съдове</w:t>
      </w:r>
      <w:r>
        <w:rPr>
          <w:rFonts w:ascii="Times New Roman" w:hAnsi="Times New Roman"/>
          <w:noProof/>
          <w:sz w:val="24"/>
        </w:rPr>
        <w:t xml:space="preserve"> да споделят информация за бъдещите разработки на превозни средства и плавателни съдове, както и относно пазарните прогнози.</w:t>
      </w:r>
    </w:p>
    <w:tbl>
      <w:tblPr>
        <w:tblStyle w:val="TableGrid"/>
        <w:tblW w:w="0" w:type="auto"/>
        <w:tblLook w:val="04A0" w:firstRow="1" w:lastRow="0" w:firstColumn="1" w:lastColumn="0" w:noHBand="0" w:noVBand="1"/>
      </w:tblPr>
      <w:tblGrid>
        <w:gridCol w:w="8835"/>
      </w:tblGrid>
      <w:tr w:rsidR="00D64E4D">
        <w:tc>
          <w:tcPr>
            <w:tcW w:w="8835" w:type="dxa"/>
          </w:tcPr>
          <w:p w:rsidR="00D64E4D" w:rsidRDefault="00DB1970">
            <w:pPr>
              <w:pStyle w:val="Text1"/>
              <w:spacing w:after="120" w:line="240" w:lineRule="auto"/>
              <w:ind w:left="0"/>
              <w:jc w:val="both"/>
              <w:rPr>
                <w:rFonts w:ascii="Times New Roman" w:hAnsi="Times New Roman"/>
                <w:b/>
                <w:noProof/>
                <w:sz w:val="24"/>
                <w:szCs w:val="24"/>
              </w:rPr>
            </w:pPr>
            <w:r>
              <w:rPr>
                <w:rFonts w:ascii="Times New Roman" w:hAnsi="Times New Roman"/>
                <w:b/>
                <w:noProof/>
                <w:sz w:val="24"/>
              </w:rPr>
              <w:t>Ключови действия</w:t>
            </w:r>
          </w:p>
          <w:p w:rsidR="00D64E4D" w:rsidRDefault="00DB1970">
            <w:pPr>
              <w:pStyle w:val="Text1"/>
              <w:numPr>
                <w:ilvl w:val="0"/>
                <w:numId w:val="36"/>
              </w:numPr>
              <w:spacing w:after="120" w:line="240" w:lineRule="auto"/>
              <w:jc w:val="both"/>
              <w:rPr>
                <w:rFonts w:ascii="Times New Roman" w:hAnsi="Times New Roman"/>
                <w:noProof/>
                <w:sz w:val="24"/>
                <w:szCs w:val="24"/>
              </w:rPr>
            </w:pPr>
            <w:r>
              <w:rPr>
                <w:rFonts w:ascii="Times New Roman" w:hAnsi="Times New Roman"/>
                <w:noProof/>
                <w:sz w:val="24"/>
              </w:rPr>
              <w:t>Държавите членки, които все още не са представили своя НРП, се приканват настойчиво да направят това възможно най-скоро.</w:t>
            </w:r>
          </w:p>
          <w:p w:rsidR="00D64E4D" w:rsidRDefault="00DB1970">
            <w:pPr>
              <w:pStyle w:val="Text1"/>
              <w:numPr>
                <w:ilvl w:val="0"/>
                <w:numId w:val="36"/>
              </w:numPr>
              <w:spacing w:after="120" w:line="240" w:lineRule="auto"/>
              <w:ind w:left="714" w:hanging="357"/>
              <w:jc w:val="both"/>
              <w:rPr>
                <w:rFonts w:ascii="Times New Roman" w:hAnsi="Times New Roman"/>
                <w:noProof/>
                <w:sz w:val="24"/>
                <w:szCs w:val="24"/>
              </w:rPr>
            </w:pPr>
            <w:r>
              <w:rPr>
                <w:rFonts w:ascii="Times New Roman" w:hAnsi="Times New Roman"/>
                <w:noProof/>
                <w:sz w:val="24"/>
              </w:rPr>
              <w:t>Където е необходимо, държавите членки следва да подобрят своите НРП. Комисията ще подкрепи обмена на информация и взаимното обучение относно прилагането на НРП, като ще започне с групова дискусия на експертната група STF през март 2018 г. и годишни конференции, посветени на политиките, първата от които ще се проведе в края на есента на 2018 г.</w:t>
            </w:r>
          </w:p>
          <w:p w:rsidR="00D64E4D" w:rsidRDefault="00DB1970">
            <w:pPr>
              <w:pStyle w:val="Text1"/>
              <w:numPr>
                <w:ilvl w:val="0"/>
                <w:numId w:val="36"/>
              </w:numPr>
              <w:spacing w:after="120" w:line="240" w:lineRule="auto"/>
              <w:ind w:left="714" w:hanging="357"/>
              <w:jc w:val="both"/>
              <w:rPr>
                <w:rFonts w:ascii="Times New Roman" w:hAnsi="Times New Roman"/>
                <w:noProof/>
                <w:sz w:val="24"/>
                <w:szCs w:val="24"/>
              </w:rPr>
            </w:pPr>
            <w:r>
              <w:rPr>
                <w:rFonts w:ascii="Times New Roman" w:hAnsi="Times New Roman"/>
                <w:noProof/>
                <w:sz w:val="24"/>
              </w:rPr>
              <w:t xml:space="preserve">Комисията ще разгледа възможностите приоритетите на НРП да бъдат отразени по най-добър начин при разпределянето на проектното финансиране от ЕС и при процеса на отчитане в рамките на семестъра. </w:t>
            </w:r>
          </w:p>
          <w:p w:rsidR="00D64E4D" w:rsidRDefault="00DB1970">
            <w:pPr>
              <w:pStyle w:val="Text1"/>
              <w:numPr>
                <w:ilvl w:val="0"/>
                <w:numId w:val="36"/>
              </w:numPr>
              <w:spacing w:after="120" w:line="240" w:lineRule="auto"/>
              <w:ind w:left="714" w:hanging="357"/>
              <w:jc w:val="both"/>
              <w:rPr>
                <w:rFonts w:ascii="Times New Roman" w:hAnsi="Times New Roman"/>
                <w:noProof/>
                <w:sz w:val="24"/>
                <w:szCs w:val="24"/>
              </w:rPr>
            </w:pPr>
            <w:r>
              <w:rPr>
                <w:rFonts w:ascii="Times New Roman" w:hAnsi="Times New Roman"/>
                <w:noProof/>
                <w:sz w:val="24"/>
              </w:rPr>
              <w:t xml:space="preserve">Държавите членки се приканват да ангажират съответните публични и частни заинтересовани страни в активен диалог относно адаптирането на НРП, където е уместно. </w:t>
            </w:r>
          </w:p>
        </w:tc>
      </w:tr>
    </w:tbl>
    <w:p w:rsidR="00D64E4D" w:rsidRDefault="00D64E4D">
      <w:pPr>
        <w:pStyle w:val="Text1"/>
        <w:spacing w:after="0" w:line="240" w:lineRule="auto"/>
        <w:ind w:left="0"/>
        <w:jc w:val="both"/>
        <w:rPr>
          <w:rFonts w:ascii="Times New Roman" w:hAnsi="Times New Roman"/>
          <w:noProof/>
          <w:sz w:val="24"/>
          <w:szCs w:val="24"/>
        </w:rPr>
      </w:pPr>
    </w:p>
    <w:p w:rsidR="00D64E4D" w:rsidRDefault="00DB1970">
      <w:pPr>
        <w:pStyle w:val="Heading2"/>
        <w:rPr>
          <w:noProof/>
        </w:rPr>
      </w:pPr>
      <w:r>
        <w:rPr>
          <w:noProof/>
        </w:rPr>
        <w:t>Инвестиционна подкрепа</w:t>
      </w:r>
    </w:p>
    <w:p w:rsidR="00D64E4D" w:rsidRDefault="00DB1970">
      <w:pPr>
        <w:keepNext/>
        <w:spacing w:line="240" w:lineRule="auto"/>
        <w:jc w:val="both"/>
        <w:rPr>
          <w:rFonts w:ascii="Times New Roman" w:hAnsi="Times New Roman"/>
          <w:i/>
          <w:noProof/>
          <w:sz w:val="24"/>
          <w:szCs w:val="24"/>
        </w:rPr>
      </w:pPr>
      <w:r>
        <w:rPr>
          <w:rFonts w:ascii="Times New Roman" w:hAnsi="Times New Roman"/>
          <w:i/>
          <w:noProof/>
          <w:sz w:val="24"/>
        </w:rPr>
        <w:t>Пълноценно използване на подхода на коридорите от мрежата TEN-T</w:t>
      </w:r>
    </w:p>
    <w:p w:rsidR="00D64E4D" w:rsidRDefault="00DB1970">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sz w:val="24"/>
        </w:rPr>
        <w:t xml:space="preserve">Основната и широкообхватната мрежи TEN-T са от решаващо значение за изпълнението на целите, заложени в транспортната политика на ЕС. </w:t>
      </w:r>
      <w:r>
        <w:rPr>
          <w:rFonts w:ascii="Times New Roman" w:hAnsi="Times New Roman"/>
          <w:b/>
          <w:noProof/>
          <w:sz w:val="24"/>
        </w:rPr>
        <w:t>Подходът на TEN-T следва</w:t>
      </w:r>
      <w:r>
        <w:rPr>
          <w:rFonts w:ascii="Times New Roman" w:hAnsi="Times New Roman"/>
          <w:noProof/>
          <w:sz w:val="24"/>
        </w:rPr>
        <w:t xml:space="preserve"> </w:t>
      </w:r>
      <w:r>
        <w:rPr>
          <w:rFonts w:ascii="Times New Roman" w:hAnsi="Times New Roman"/>
          <w:b/>
          <w:noProof/>
          <w:sz w:val="24"/>
        </w:rPr>
        <w:t>да се използва ефективно,</w:t>
      </w:r>
      <w:r>
        <w:rPr>
          <w:rFonts w:ascii="Times New Roman" w:hAnsi="Times New Roman"/>
          <w:noProof/>
          <w:sz w:val="24"/>
        </w:rPr>
        <w:t xml:space="preserve"> за да се изгради в целия ЕС гръбнакът на инфраструктурата от зарядни точки за електроенергия и точки за зареждане с алтернативни горива не по-късно от 2025 г. Концепцията за коридорите прави възможно да се идентифицират празнините в трансграничната мобилност на далечни разстояния и да се ангажират всички заинтересовани лица в планирането и изпълнението на проектите. </w:t>
      </w:r>
    </w:p>
    <w:p w:rsidR="00D64E4D" w:rsidRDefault="00DB1970">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sz w:val="24"/>
        </w:rPr>
        <w:t>В този контекст настоящият план за действие подчертава колко е важно държавите членки да осигурят за</w:t>
      </w:r>
      <w:r>
        <w:rPr>
          <w:rFonts w:ascii="Times New Roman" w:hAnsi="Times New Roman"/>
          <w:b/>
          <w:noProof/>
          <w:sz w:val="24"/>
        </w:rPr>
        <w:t xml:space="preserve"> коридорите от основната мрежа на TEN-T пълна опорна инфраструктура за алтернативни горива до 2025 г</w:t>
      </w:r>
      <w:r>
        <w:rPr>
          <w:rFonts w:ascii="Times New Roman" w:hAnsi="Times New Roman"/>
          <w:noProof/>
          <w:sz w:val="24"/>
        </w:rPr>
        <w:t>. Свързаните с това нужди и изисквания следва да се вземат предвид при планиране на локациите и при съответните разрешителни процедури. Очаква се, че оборудването поне на градските възли от основната и широкообхватната мрежи TEN-T с достатъчно на брой публично достъпни зарядни точки за електроенергия и точки за зареждане с алтернативни горива ще повиши доверието на инвеститорите и потребителите. Инфраструктурата от зарядни точки за електроенергия и точки за зареждане  алтернативни горива се нуждае и от цифрова инфраструктура за развитието на отворени и оперативно съвместими услуги в полза на потребителя.</w:t>
      </w:r>
    </w:p>
    <w:p w:rsidR="00D64E4D" w:rsidRDefault="00DB1970">
      <w:pPr>
        <w:spacing w:line="240" w:lineRule="auto"/>
        <w:jc w:val="both"/>
        <w:rPr>
          <w:rFonts w:ascii="Times New Roman" w:hAnsi="Times New Roman"/>
          <w:noProof/>
          <w:sz w:val="24"/>
          <w:szCs w:val="24"/>
        </w:rPr>
      </w:pPr>
      <w:r>
        <w:rPr>
          <w:rFonts w:ascii="Times New Roman" w:hAnsi="Times New Roman"/>
          <w:noProof/>
          <w:sz w:val="24"/>
        </w:rPr>
        <w:t xml:space="preserve">Ето защо Комисията подпомага работата на ключовите публични и частни заинтересовани страни за разработването на </w:t>
      </w:r>
      <w:r>
        <w:rPr>
          <w:rFonts w:ascii="Times New Roman" w:hAnsi="Times New Roman"/>
          <w:b/>
          <w:noProof/>
          <w:sz w:val="24"/>
        </w:rPr>
        <w:t>водещи</w:t>
      </w:r>
      <w:r>
        <w:rPr>
          <w:rFonts w:ascii="Times New Roman" w:hAnsi="Times New Roman"/>
          <w:noProof/>
          <w:sz w:val="24"/>
        </w:rPr>
        <w:t xml:space="preserve"> </w:t>
      </w:r>
      <w:r>
        <w:rPr>
          <w:rFonts w:ascii="Times New Roman" w:hAnsi="Times New Roman"/>
          <w:b/>
          <w:noProof/>
          <w:sz w:val="24"/>
        </w:rPr>
        <w:t xml:space="preserve">инициативи в мрежите TEN-T, включително инфраструктура за алтернативни горива. </w:t>
      </w:r>
      <w:r>
        <w:rPr>
          <w:rFonts w:ascii="Times New Roman" w:hAnsi="Times New Roman"/>
          <w:noProof/>
          <w:sz w:val="24"/>
        </w:rPr>
        <w:t>Тези инициативи ще се опитат да групират проектите и да мобилизират по-широк кръг от участници. Комисията възнамерява да обяви тези водещи инициативи в контекста на третите работни планове за коридорите на TEN-T до пролетта на 2018 г. Сътрудничеството между публичните власти и другите участници във форумите на коридорите от TEN-T ще бъде от полза за реализациите. Изграждането на капацитет в мрежата TEN-T ще бъде подкрепено чрез подходящи механизми от МСЕ.</w:t>
      </w:r>
    </w:p>
    <w:p w:rsidR="00D64E4D" w:rsidRDefault="00DB1970">
      <w:pPr>
        <w:keepNext/>
        <w:spacing w:line="240" w:lineRule="auto"/>
        <w:jc w:val="both"/>
        <w:rPr>
          <w:rFonts w:ascii="Times New Roman" w:hAnsi="Times New Roman"/>
          <w:noProof/>
          <w:sz w:val="24"/>
          <w:szCs w:val="24"/>
        </w:rPr>
      </w:pPr>
      <w:r>
        <w:rPr>
          <w:rFonts w:ascii="Times New Roman" w:hAnsi="Times New Roman"/>
          <w:noProof/>
          <w:sz w:val="24"/>
        </w:rPr>
        <w:t>Необходимо е да се обърне внимание на следните ключови въпроси:</w:t>
      </w:r>
    </w:p>
    <w:p w:rsidR="00D64E4D" w:rsidRDefault="00DB1970">
      <w:pPr>
        <w:pStyle w:val="ListParagraph"/>
        <w:numPr>
          <w:ilvl w:val="0"/>
          <w:numId w:val="25"/>
        </w:numPr>
        <w:spacing w:line="240" w:lineRule="auto"/>
        <w:ind w:left="714" w:hanging="357"/>
        <w:contextualSpacing w:val="0"/>
        <w:jc w:val="both"/>
        <w:rPr>
          <w:rFonts w:ascii="Times New Roman" w:hAnsi="Times New Roman"/>
          <w:noProof/>
          <w:sz w:val="24"/>
          <w:szCs w:val="24"/>
        </w:rPr>
      </w:pPr>
      <w:r>
        <w:rPr>
          <w:rFonts w:ascii="Times New Roman" w:hAnsi="Times New Roman"/>
          <w:b/>
          <w:noProof/>
          <w:sz w:val="24"/>
        </w:rPr>
        <w:t>Увеличаване на синергиите</w:t>
      </w:r>
      <w:r>
        <w:rPr>
          <w:rFonts w:ascii="Times New Roman" w:hAnsi="Times New Roman"/>
          <w:noProof/>
          <w:sz w:val="24"/>
        </w:rPr>
        <w:t xml:space="preserve"> между транспорта, енергетиката, информационните и комуникационните технологии във връзка с мобилността на далечни разстояния и градската мобилност. Важно е да бъдат включени декарбонизацията на транспорта и енергоснабдяването, интелигентните електроенергийни мрежи и иновативните решения за съхранение на енергията.</w:t>
      </w:r>
    </w:p>
    <w:p w:rsidR="00D64E4D" w:rsidRDefault="00DB1970">
      <w:pPr>
        <w:pStyle w:val="ListParagraph"/>
        <w:numPr>
          <w:ilvl w:val="0"/>
          <w:numId w:val="25"/>
        </w:numPr>
        <w:shd w:val="clear" w:color="auto" w:fill="FFFFFF" w:themeFill="background1"/>
        <w:spacing w:line="240" w:lineRule="auto"/>
        <w:ind w:left="714" w:hanging="357"/>
        <w:contextualSpacing w:val="0"/>
        <w:jc w:val="both"/>
        <w:rPr>
          <w:rFonts w:ascii="Times New Roman" w:hAnsi="Times New Roman"/>
          <w:noProof/>
          <w:sz w:val="24"/>
          <w:szCs w:val="24"/>
        </w:rPr>
      </w:pPr>
      <w:r>
        <w:rPr>
          <w:rFonts w:ascii="Times New Roman" w:hAnsi="Times New Roman"/>
          <w:b/>
          <w:noProof/>
          <w:sz w:val="24"/>
        </w:rPr>
        <w:t xml:space="preserve">Следва да се насърчават решения, отнасящи се до автомобилния парк </w:t>
      </w:r>
      <w:r>
        <w:rPr>
          <w:rFonts w:ascii="Times New Roman" w:hAnsi="Times New Roman"/>
          <w:noProof/>
          <w:sz w:val="24"/>
        </w:rPr>
        <w:t xml:space="preserve">заедно с инфраструктура за алтернативни горива/енергоносители  в TEN-T и нейните градски възли. </w:t>
      </w:r>
    </w:p>
    <w:p w:rsidR="00D64E4D" w:rsidRDefault="00DB1970">
      <w:pPr>
        <w:pStyle w:val="ListParagraph"/>
        <w:numPr>
          <w:ilvl w:val="0"/>
          <w:numId w:val="25"/>
        </w:numPr>
        <w:shd w:val="clear" w:color="auto" w:fill="FFFFFF" w:themeFill="background1"/>
        <w:spacing w:line="240" w:lineRule="auto"/>
        <w:ind w:left="714" w:hanging="357"/>
        <w:contextualSpacing w:val="0"/>
        <w:jc w:val="both"/>
        <w:rPr>
          <w:rFonts w:ascii="Times New Roman" w:hAnsi="Times New Roman"/>
          <w:noProof/>
          <w:sz w:val="24"/>
          <w:szCs w:val="24"/>
        </w:rPr>
      </w:pPr>
      <w:r>
        <w:rPr>
          <w:rFonts w:ascii="Times New Roman" w:hAnsi="Times New Roman"/>
          <w:noProof/>
          <w:sz w:val="24"/>
        </w:rPr>
        <w:t xml:space="preserve">В градските възли може да се насърчи </w:t>
      </w:r>
      <w:r>
        <w:rPr>
          <w:rFonts w:ascii="Times New Roman" w:hAnsi="Times New Roman"/>
          <w:b/>
          <w:noProof/>
          <w:sz w:val="24"/>
        </w:rPr>
        <w:t>електрифицирането на железопътните линии</w:t>
      </w:r>
      <w:r>
        <w:rPr>
          <w:rFonts w:ascii="Times New Roman" w:hAnsi="Times New Roman"/>
          <w:noProof/>
          <w:sz w:val="24"/>
        </w:rPr>
        <w:t>; в случаите, когато това е неизпълнимо, може да се направи оценка на възможността за преминаване от дизелово гориво на втечнен природен газ или водород.</w:t>
      </w:r>
    </w:p>
    <w:p w:rsidR="00D64E4D" w:rsidRDefault="00DB1970">
      <w:pPr>
        <w:pStyle w:val="ListParagraph"/>
        <w:numPr>
          <w:ilvl w:val="0"/>
          <w:numId w:val="25"/>
        </w:numPr>
        <w:spacing w:line="240" w:lineRule="auto"/>
        <w:ind w:left="714" w:hanging="357"/>
        <w:contextualSpacing w:val="0"/>
        <w:jc w:val="both"/>
        <w:rPr>
          <w:rFonts w:ascii="Times New Roman" w:hAnsi="Times New Roman"/>
          <w:noProof/>
          <w:sz w:val="24"/>
          <w:szCs w:val="24"/>
        </w:rPr>
      </w:pPr>
      <w:r>
        <w:rPr>
          <w:rFonts w:ascii="Times New Roman" w:hAnsi="Times New Roman"/>
          <w:noProof/>
          <w:sz w:val="24"/>
        </w:rPr>
        <w:t xml:space="preserve">Участниците в пазара от частния сектор следва да отидат още по-далече в своите действия. Това включва </w:t>
      </w:r>
      <w:r>
        <w:rPr>
          <w:rFonts w:ascii="Times New Roman" w:hAnsi="Times New Roman"/>
          <w:b/>
          <w:noProof/>
          <w:sz w:val="24"/>
        </w:rPr>
        <w:t>използването за търговски цели на камиони, задвижвани с втечнен природен газ</w:t>
      </w:r>
      <w:r>
        <w:rPr>
          <w:rFonts w:ascii="Times New Roman" w:hAnsi="Times New Roman"/>
          <w:noProof/>
          <w:sz w:val="24"/>
        </w:rPr>
        <w:t xml:space="preserve"> чрез решения за автопарка с точки за зареждане с гориво, за които TEN-T може да послужи като изпитателно поле в различни мащаби.</w:t>
      </w:r>
    </w:p>
    <w:p w:rsidR="00D64E4D" w:rsidRDefault="00DB1970">
      <w:pPr>
        <w:pStyle w:val="ListParagraph"/>
        <w:numPr>
          <w:ilvl w:val="0"/>
          <w:numId w:val="25"/>
        </w:numPr>
        <w:spacing w:line="240" w:lineRule="auto"/>
        <w:ind w:left="714" w:right="-28" w:hanging="357"/>
        <w:jc w:val="both"/>
        <w:rPr>
          <w:rFonts w:ascii="Times New Roman" w:eastAsia="Calibri" w:hAnsi="Times New Roman" w:cs="Times New Roman"/>
          <w:noProof/>
          <w:sz w:val="24"/>
          <w:szCs w:val="24"/>
        </w:rPr>
      </w:pPr>
      <w:r>
        <w:rPr>
          <w:rFonts w:ascii="Times New Roman" w:hAnsi="Times New Roman"/>
          <w:noProof/>
          <w:sz w:val="24"/>
        </w:rPr>
        <w:t xml:space="preserve">Като се има предвид </w:t>
      </w:r>
      <w:r>
        <w:rPr>
          <w:rFonts w:ascii="Times New Roman" w:hAnsi="Times New Roman"/>
          <w:b/>
          <w:noProof/>
          <w:sz w:val="24"/>
        </w:rPr>
        <w:t>слабото пазарно проникване в ЕС на плавателни съдове, задвижвани с втечнен природен газ (LNG)</w:t>
      </w:r>
      <w:r>
        <w:rPr>
          <w:rFonts w:ascii="Times New Roman" w:hAnsi="Times New Roman"/>
          <w:noProof/>
          <w:sz w:val="24"/>
        </w:rPr>
        <w:t>, операторите на доставки на LNG биха имали полза, ако поръчват също и плавателни съдове, използващи LNG, с възможно разширение на тази дейност и за точки за зареждане с LNG. Властите биха могли да разгледат възможността за определяне на зони за контрол на емисиите на SO</w:t>
      </w:r>
      <w:r>
        <w:rPr>
          <w:rFonts w:ascii="Times New Roman" w:hAnsi="Times New Roman"/>
          <w:noProof/>
          <w:sz w:val="24"/>
          <w:vertAlign w:val="subscript"/>
        </w:rPr>
        <w:t>x</w:t>
      </w:r>
      <w:r>
        <w:rPr>
          <w:rFonts w:ascii="Times New Roman" w:hAnsi="Times New Roman"/>
          <w:noProof/>
          <w:sz w:val="24"/>
        </w:rPr>
        <w:t xml:space="preserve"> съгласно процедурата на Международната морска организация (ММО) съгласно Анекс VI към MARPOL, както е посочено в Директива 2012/33/ЕС. </w:t>
      </w:r>
      <w:r>
        <w:rPr>
          <w:rStyle w:val="FootnoteReference"/>
          <w:rFonts w:ascii="Times New Roman" w:hAnsi="Times New Roman"/>
          <w:noProof/>
          <w:sz w:val="24"/>
        </w:rPr>
        <w:footnoteReference w:id="32"/>
      </w:r>
    </w:p>
    <w:p w:rsidR="00D64E4D" w:rsidRDefault="00D64E4D">
      <w:pPr>
        <w:pStyle w:val="ListParagraph"/>
        <w:spacing w:line="240" w:lineRule="auto"/>
        <w:ind w:left="714" w:right="-28"/>
        <w:jc w:val="both"/>
        <w:rPr>
          <w:rFonts w:ascii="Times New Roman" w:eastAsia="Calibri" w:hAnsi="Times New Roman" w:cs="Times New Roman"/>
          <w:noProof/>
          <w:sz w:val="24"/>
          <w:szCs w:val="24"/>
        </w:rPr>
      </w:pPr>
    </w:p>
    <w:p w:rsidR="00D64E4D" w:rsidRDefault="00DB1970">
      <w:pPr>
        <w:pStyle w:val="ListParagraph"/>
        <w:numPr>
          <w:ilvl w:val="0"/>
          <w:numId w:val="25"/>
        </w:numPr>
        <w:shd w:val="clear" w:color="auto" w:fill="FFFFFF" w:themeFill="background1"/>
        <w:spacing w:line="240" w:lineRule="auto"/>
        <w:ind w:left="714" w:right="-28" w:hanging="357"/>
        <w:jc w:val="both"/>
        <w:rPr>
          <w:rFonts w:ascii="Times New Roman" w:eastAsia="Calibri" w:hAnsi="Times New Roman" w:cs="Times New Roman"/>
          <w:noProof/>
          <w:sz w:val="24"/>
          <w:szCs w:val="24"/>
        </w:rPr>
      </w:pPr>
      <w:r>
        <w:rPr>
          <w:rFonts w:ascii="Times New Roman" w:hAnsi="Times New Roman"/>
          <w:noProof/>
          <w:sz w:val="24"/>
        </w:rPr>
        <w:t xml:space="preserve">От 2019 г. новите двигатели за </w:t>
      </w:r>
      <w:r>
        <w:rPr>
          <w:rFonts w:ascii="Times New Roman" w:hAnsi="Times New Roman"/>
          <w:b/>
          <w:noProof/>
          <w:sz w:val="24"/>
        </w:rPr>
        <w:t>кораби, плаващи по вътрешни водни пътища,</w:t>
      </w:r>
      <w:r>
        <w:rPr>
          <w:rFonts w:ascii="Times New Roman" w:hAnsi="Times New Roman"/>
          <w:noProof/>
          <w:sz w:val="24"/>
        </w:rPr>
        <w:t xml:space="preserve"> ще трябва да са съобразени с новите пределни стойности за замърсители.</w:t>
      </w:r>
      <w:r>
        <w:rPr>
          <w:rStyle w:val="FootnoteReference"/>
          <w:noProof/>
        </w:rPr>
        <w:footnoteReference w:id="33"/>
      </w:r>
      <w:r>
        <w:rPr>
          <w:rFonts w:ascii="Times New Roman" w:hAnsi="Times New Roman"/>
          <w:noProof/>
          <w:sz w:val="24"/>
        </w:rPr>
        <w:t xml:space="preserve"> От ключово значение е да се използват двигатели, работещи с LNG. За целта ще спомогне бързото създаване на необходимата инфраструктура за LNG по коридорите на основната мрежа на TEN-T. Необходимо е да бъдат изследвани синергиите с другите видове транспорт, например инфраструктура за LNG в морските пристанища или за зареждане на тежкотоварни превозни средства.</w:t>
      </w:r>
    </w:p>
    <w:p w:rsidR="00D64E4D" w:rsidRDefault="00DB1970">
      <w:pPr>
        <w:shd w:val="clear" w:color="auto" w:fill="FFFFFF" w:themeFill="background1"/>
        <w:spacing w:line="240" w:lineRule="auto"/>
        <w:jc w:val="both"/>
        <w:rPr>
          <w:rFonts w:ascii="Times New Roman" w:hAnsi="Times New Roman"/>
          <w:noProof/>
          <w:sz w:val="24"/>
          <w:szCs w:val="24"/>
        </w:rPr>
      </w:pPr>
      <w:r>
        <w:rPr>
          <w:rFonts w:ascii="Times New Roman" w:hAnsi="Times New Roman"/>
          <w:noProof/>
          <w:sz w:val="24"/>
        </w:rPr>
        <w:t xml:space="preserve">Държавите членки и областите се насърчават също така </w:t>
      </w:r>
      <w:r>
        <w:rPr>
          <w:rFonts w:ascii="Times New Roman" w:hAnsi="Times New Roman"/>
          <w:b/>
          <w:noProof/>
          <w:sz w:val="24"/>
        </w:rPr>
        <w:t>да засилят използването на помощите в рамките на кохезионната политика</w:t>
      </w:r>
      <w:r>
        <w:rPr>
          <w:rFonts w:ascii="Times New Roman" w:hAnsi="Times New Roman"/>
          <w:noProof/>
          <w:sz w:val="24"/>
        </w:rPr>
        <w:t xml:space="preserve"> и по-специално на програмите на Европейското териториално сътрудничество („Interreg“), за да се гарантира добра координация и съгласуване при изграждането на инфраструктура за алтернативни горива/енергоносители – не само в рамките на TEN-T, но също и на областно и местно ниво.</w:t>
      </w:r>
    </w:p>
    <w:p w:rsidR="00D64E4D" w:rsidRDefault="00DB1970">
      <w:pPr>
        <w:pStyle w:val="Heading2"/>
        <w:numPr>
          <w:ilvl w:val="0"/>
          <w:numId w:val="0"/>
        </w:numPr>
        <w:spacing w:line="240" w:lineRule="auto"/>
        <w:jc w:val="both"/>
        <w:rPr>
          <w:b w:val="0"/>
          <w:i/>
          <w:noProof/>
        </w:rPr>
      </w:pPr>
      <w:r>
        <w:rPr>
          <w:b w:val="0"/>
          <w:i/>
          <w:noProof/>
        </w:rPr>
        <w:t>Увеличаване на мащаба и ефекта на финансирането</w:t>
      </w:r>
    </w:p>
    <w:p w:rsidR="00D64E4D" w:rsidRDefault="00DB1970">
      <w:pPr>
        <w:pStyle w:val="Heading2"/>
        <w:numPr>
          <w:ilvl w:val="0"/>
          <w:numId w:val="0"/>
        </w:numPr>
        <w:spacing w:line="240" w:lineRule="auto"/>
        <w:jc w:val="both"/>
        <w:rPr>
          <w:b w:val="0"/>
          <w:noProof/>
        </w:rPr>
      </w:pPr>
      <w:r>
        <w:rPr>
          <w:b w:val="0"/>
          <w:noProof/>
        </w:rPr>
        <w:t xml:space="preserve">Увеличаването на </w:t>
      </w:r>
      <w:r>
        <w:rPr>
          <w:noProof/>
        </w:rPr>
        <w:t>мащаба и ефекта на финансирането</w:t>
      </w:r>
      <w:r>
        <w:rPr>
          <w:b w:val="0"/>
          <w:noProof/>
        </w:rPr>
        <w:t xml:space="preserve"> е ключов приоритет. Подкрепата от ЕС би следвало да привлече допълнително публично и частно финансиране, доколкото това е възможно. При подготовката на многогодишната финансова рамка за периода след 2020 г. ще се вземат също предвид оценката на финансовите потребности и възможностите, свързани с иновативно финансиране. </w:t>
      </w:r>
    </w:p>
    <w:p w:rsidR="00D64E4D" w:rsidRDefault="00DB1970">
      <w:pPr>
        <w:pStyle w:val="Text2"/>
        <w:spacing w:line="240" w:lineRule="auto"/>
        <w:ind w:left="0"/>
        <w:jc w:val="both"/>
        <w:rPr>
          <w:rFonts w:ascii="Times New Roman" w:hAnsi="Times New Roman"/>
          <w:noProof/>
          <w:sz w:val="24"/>
          <w:szCs w:val="24"/>
        </w:rPr>
      </w:pPr>
      <w:r>
        <w:rPr>
          <w:rFonts w:ascii="Times New Roman" w:hAnsi="Times New Roman"/>
          <w:noProof/>
          <w:sz w:val="24"/>
        </w:rPr>
        <w:t xml:space="preserve">Подкрепата за алтернативните горива/енергоносители все повече се отнася до внедряването на решения, а не само до иновации. </w:t>
      </w:r>
      <w:r>
        <w:rPr>
          <w:rFonts w:ascii="Times New Roman" w:hAnsi="Times New Roman"/>
          <w:b/>
          <w:noProof/>
          <w:sz w:val="24"/>
        </w:rPr>
        <w:t xml:space="preserve">Публичните средства трябва да се използват ефективно. </w:t>
      </w:r>
      <w:r>
        <w:rPr>
          <w:rFonts w:ascii="Times New Roman" w:hAnsi="Times New Roman"/>
          <w:noProof/>
          <w:sz w:val="24"/>
        </w:rPr>
        <w:t>В някои случаи все пак са нужни безвъзмездни средства, за да се ускори изграждането на инфраструктура за алтернативни горива/енергоносители, особено при трансграничните и междуградските проекти и за по-малко утвърдени технологии. В повечето случаи частното финансиране следва да се комбинира с публични безвъзмездни средства, при което проектите се финансират главно с други средства, например от публични банки или от частния сектор, а безвъзмездните средства покриват по-малка част.</w:t>
      </w:r>
    </w:p>
    <w:p w:rsidR="00D64E4D" w:rsidRDefault="00DB1970">
      <w:pPr>
        <w:pStyle w:val="Text2"/>
        <w:spacing w:line="240" w:lineRule="auto"/>
        <w:ind w:left="0"/>
        <w:jc w:val="both"/>
        <w:rPr>
          <w:rFonts w:ascii="Times New Roman" w:hAnsi="Times New Roman"/>
          <w:noProof/>
          <w:sz w:val="24"/>
          <w:szCs w:val="24"/>
        </w:rPr>
      </w:pPr>
      <w:r>
        <w:rPr>
          <w:rFonts w:ascii="Times New Roman" w:hAnsi="Times New Roman"/>
          <w:b/>
          <w:noProof/>
          <w:sz w:val="24"/>
        </w:rPr>
        <w:t>Инвестициите се нуждаят от сигурност по отношение на политиките</w:t>
      </w:r>
      <w:r>
        <w:rPr>
          <w:rFonts w:ascii="Times New Roman" w:hAnsi="Times New Roman"/>
          <w:noProof/>
          <w:sz w:val="24"/>
        </w:rPr>
        <w:t>. Предложението за стандарти за емисиите на CO</w:t>
      </w:r>
      <w:r>
        <w:rPr>
          <w:rFonts w:ascii="Times New Roman" w:hAnsi="Times New Roman"/>
          <w:noProof/>
          <w:sz w:val="24"/>
          <w:vertAlign w:val="subscript"/>
        </w:rPr>
        <w:t>2 </w:t>
      </w:r>
      <w:r>
        <w:rPr>
          <w:rFonts w:ascii="Times New Roman" w:hAnsi="Times New Roman"/>
          <w:noProof/>
          <w:sz w:val="24"/>
        </w:rPr>
        <w:t>от автомобили и ванове след 2020 г.,</w:t>
      </w:r>
      <w:r>
        <w:rPr>
          <w:rStyle w:val="FootnoteReference"/>
          <w:rFonts w:ascii="Times New Roman" w:hAnsi="Times New Roman"/>
          <w:noProof/>
          <w:sz w:val="24"/>
        </w:rPr>
        <w:footnoteReference w:id="34"/>
      </w:r>
      <w:r>
        <w:rPr>
          <w:rFonts w:ascii="Times New Roman" w:hAnsi="Times New Roman"/>
          <w:noProof/>
          <w:sz w:val="24"/>
        </w:rPr>
        <w:t xml:space="preserve"> публикувано заедно с настоящия план за действие, третира тази основна пазарна бариера заедно с други предложения, касаещи политиката, като например преразглеждане на Директивата за чисти пътни превозни средства.</w:t>
      </w:r>
      <w:r>
        <w:rPr>
          <w:rStyle w:val="FootnoteReference"/>
          <w:rFonts w:ascii="Times New Roman" w:hAnsi="Times New Roman"/>
          <w:noProof/>
          <w:sz w:val="24"/>
        </w:rPr>
        <w:footnoteReference w:id="35"/>
      </w:r>
      <w:r>
        <w:rPr>
          <w:rFonts w:ascii="Times New Roman" w:hAnsi="Times New Roman"/>
          <w:noProof/>
          <w:sz w:val="24"/>
        </w:rPr>
        <w:t xml:space="preserve"> </w:t>
      </w:r>
    </w:p>
    <w:p w:rsidR="00D64E4D" w:rsidRDefault="00DB1970">
      <w:pPr>
        <w:pStyle w:val="Text2"/>
        <w:spacing w:line="240" w:lineRule="auto"/>
        <w:ind w:left="0"/>
        <w:jc w:val="both"/>
        <w:rPr>
          <w:rFonts w:ascii="Times New Roman" w:hAnsi="Times New Roman"/>
          <w:b/>
          <w:noProof/>
          <w:sz w:val="24"/>
          <w:szCs w:val="24"/>
        </w:rPr>
      </w:pPr>
      <w:r>
        <w:rPr>
          <w:rFonts w:ascii="Times New Roman" w:hAnsi="Times New Roman"/>
          <w:noProof/>
          <w:sz w:val="24"/>
        </w:rPr>
        <w:t xml:space="preserve">По правило </w:t>
      </w:r>
      <w:r>
        <w:rPr>
          <w:rFonts w:ascii="Times New Roman" w:hAnsi="Times New Roman"/>
          <w:b/>
          <w:noProof/>
          <w:sz w:val="24"/>
        </w:rPr>
        <w:t>проектите, подкрепени със средствата от ЕС, следва да отговарят на изискванията на Директива 2014/94/ЕС и да отразяват приоритетите, предвидени в НРП</w:t>
      </w:r>
      <w:r>
        <w:rPr>
          <w:rFonts w:ascii="Times New Roman" w:hAnsi="Times New Roman"/>
          <w:noProof/>
          <w:sz w:val="24"/>
        </w:rPr>
        <w:t>. Комисията ще използва констатациите от оценката на НРП за мотивиране на решенията за финансиране по Механизма за свързване на Европа, (CEF), Кохезионния фонд (CF)</w:t>
      </w:r>
      <w:r>
        <w:rPr>
          <w:rFonts w:ascii="Times New Roman" w:hAnsi="Times New Roman"/>
          <w:b/>
          <w:noProof/>
          <w:sz w:val="24"/>
        </w:rPr>
        <w:t xml:space="preserve"> </w:t>
      </w:r>
      <w:r>
        <w:rPr>
          <w:rFonts w:ascii="Times New Roman" w:hAnsi="Times New Roman"/>
          <w:noProof/>
          <w:sz w:val="24"/>
        </w:rPr>
        <w:t>и</w:t>
      </w:r>
      <w:r>
        <w:rPr>
          <w:rFonts w:ascii="Times New Roman" w:hAnsi="Times New Roman"/>
          <w:b/>
          <w:noProof/>
          <w:sz w:val="24"/>
        </w:rPr>
        <w:t xml:space="preserve"> </w:t>
      </w:r>
      <w:r>
        <w:rPr>
          <w:rFonts w:ascii="Times New Roman" w:hAnsi="Times New Roman"/>
          <w:noProof/>
          <w:sz w:val="24"/>
        </w:rPr>
        <w:t>Европейския</w:t>
      </w:r>
      <w:r>
        <w:rPr>
          <w:rFonts w:ascii="Times New Roman" w:hAnsi="Times New Roman"/>
          <w:b/>
          <w:noProof/>
          <w:sz w:val="24"/>
        </w:rPr>
        <w:t xml:space="preserve"> </w:t>
      </w:r>
      <w:r>
        <w:rPr>
          <w:rFonts w:ascii="Times New Roman" w:hAnsi="Times New Roman"/>
          <w:noProof/>
          <w:sz w:val="24"/>
        </w:rPr>
        <w:t>фонд за регионално развитие (ERDF).</w:t>
      </w:r>
    </w:p>
    <w:p w:rsidR="00D64E4D" w:rsidRDefault="00DB1970">
      <w:pPr>
        <w:pStyle w:val="Text2"/>
        <w:spacing w:line="240" w:lineRule="auto"/>
        <w:ind w:left="0"/>
        <w:jc w:val="both"/>
        <w:rPr>
          <w:rFonts w:ascii="Times New Roman" w:hAnsi="Times New Roman"/>
          <w:noProof/>
          <w:sz w:val="24"/>
        </w:rPr>
      </w:pPr>
      <w:r>
        <w:rPr>
          <w:rFonts w:ascii="Times New Roman" w:hAnsi="Times New Roman"/>
          <w:noProof/>
          <w:sz w:val="24"/>
        </w:rPr>
        <w:t xml:space="preserve">Комисията ще проведе </w:t>
      </w:r>
      <w:r>
        <w:rPr>
          <w:rFonts w:ascii="Times New Roman" w:hAnsi="Times New Roman"/>
          <w:b/>
          <w:noProof/>
          <w:sz w:val="24"/>
        </w:rPr>
        <w:t>поредица от посещения (</w:t>
      </w:r>
      <w:r>
        <w:rPr>
          <w:rFonts w:ascii="Times New Roman" w:hAnsi="Times New Roman"/>
          <w:b/>
          <w:noProof/>
          <w:sz w:val="24"/>
          <w:lang w:val="en-GB"/>
        </w:rPr>
        <w:t>roadshow</w:t>
      </w:r>
      <w:r>
        <w:rPr>
          <w:rFonts w:ascii="Times New Roman" w:hAnsi="Times New Roman"/>
          <w:b/>
          <w:noProof/>
          <w:sz w:val="24"/>
        </w:rPr>
        <w:t>) в държавите членки,</w:t>
      </w:r>
      <w:r>
        <w:rPr>
          <w:rFonts w:ascii="Times New Roman" w:hAnsi="Times New Roman"/>
          <w:noProof/>
          <w:sz w:val="24"/>
        </w:rPr>
        <w:t xml:space="preserve"> за да направи цялостен преглед на степента на амбициозност в НРП и на инвестиционните потребности за мобилност с ниски и нулеви емисии, както и да оцени възможностите, предлагани от различните фондове и финансови инструменти на ЕС, включително в контекста на водещите инициативи на TEN-T за инфраструктура за алтернативни горива/енергоносители. Те ще ангажират всички служби на Комисията, които управляват съответните фондове, както и Европейската инвестиционна банка (ЕИБ) и националните насърчителни банки, където това е подходящо.</w:t>
      </w:r>
    </w:p>
    <w:p w:rsidR="00D64E4D" w:rsidRDefault="00DB1970">
      <w:pPr>
        <w:pStyle w:val="Text2"/>
        <w:spacing w:line="240" w:lineRule="auto"/>
        <w:ind w:left="0"/>
        <w:jc w:val="both"/>
        <w:rPr>
          <w:rFonts w:ascii="Times New Roman" w:hAnsi="Times New Roman"/>
          <w:noProof/>
          <w:sz w:val="24"/>
          <w:szCs w:val="24"/>
        </w:rPr>
      </w:pPr>
      <w:r>
        <w:rPr>
          <w:rFonts w:ascii="Times New Roman" w:hAnsi="Times New Roman"/>
          <w:noProof/>
          <w:sz w:val="24"/>
        </w:rPr>
        <w:t xml:space="preserve">Комисията ще предложи план за действие за финансирането на устойчиво развитие, който да осигурява стимули за инвеститорите, подобряване на нормативната уредба и създаване на благоприятни за реализации условия, така че да бъдат привлечени повече частни инвестиции за зелени проекти и проекти за устойчиво развитие. От този план би следвало да се възползва и изграждането на инфраструктура за алтернативни горива/енергоносители.   </w:t>
      </w:r>
    </w:p>
    <w:p w:rsidR="00D64E4D" w:rsidRDefault="00DB1970">
      <w:pPr>
        <w:keepNext/>
        <w:rPr>
          <w:rFonts w:ascii="Times New Roman" w:hAnsi="Times New Roman"/>
          <w:i/>
          <w:noProof/>
          <w:sz w:val="24"/>
          <w:szCs w:val="24"/>
        </w:rPr>
      </w:pPr>
      <w:r>
        <w:rPr>
          <w:rFonts w:ascii="Times New Roman" w:hAnsi="Times New Roman"/>
          <w:i/>
          <w:noProof/>
          <w:sz w:val="24"/>
        </w:rPr>
        <w:t>По-добро използване на финансовата подкрепа от ЕС</w:t>
      </w:r>
    </w:p>
    <w:p w:rsidR="00D64E4D" w:rsidRDefault="00DB1970">
      <w:pPr>
        <w:spacing w:line="240" w:lineRule="auto"/>
        <w:jc w:val="both"/>
        <w:rPr>
          <w:rFonts w:ascii="Times New Roman" w:hAnsi="Times New Roman"/>
          <w:noProof/>
          <w:sz w:val="24"/>
          <w:szCs w:val="24"/>
        </w:rPr>
      </w:pPr>
      <w:r>
        <w:rPr>
          <w:rFonts w:ascii="Times New Roman" w:hAnsi="Times New Roman"/>
          <w:b/>
          <w:noProof/>
          <w:sz w:val="24"/>
        </w:rPr>
        <w:t>Съществува възможност за ползване на значително подпомагане за инфраструктура за алтернативни горива/енергоносители от различни финансови инструменти, подкрепяни от бюджета на ЕС</w:t>
      </w:r>
      <w:r>
        <w:rPr>
          <w:rFonts w:ascii="Times New Roman" w:hAnsi="Times New Roman"/>
          <w:noProof/>
          <w:sz w:val="24"/>
        </w:rPr>
        <w:t xml:space="preserve">. </w:t>
      </w:r>
    </w:p>
    <w:p w:rsidR="00D64E4D" w:rsidRDefault="00DB1970">
      <w:pPr>
        <w:spacing w:line="240" w:lineRule="auto"/>
        <w:jc w:val="both"/>
        <w:rPr>
          <w:rFonts w:ascii="Times New Roman" w:hAnsi="Times New Roman"/>
          <w:i/>
          <w:noProof/>
          <w:sz w:val="24"/>
          <w:szCs w:val="24"/>
        </w:rPr>
      </w:pPr>
      <w:r>
        <w:rPr>
          <w:rFonts w:ascii="Times New Roman" w:hAnsi="Times New Roman"/>
          <w:b/>
          <w:noProof/>
          <w:sz w:val="24"/>
        </w:rPr>
        <w:t>Инвестиционния план за Европа</w:t>
      </w:r>
      <w:r>
        <w:rPr>
          <w:rFonts w:ascii="Times New Roman" w:hAnsi="Times New Roman"/>
          <w:noProof/>
          <w:sz w:val="24"/>
        </w:rPr>
        <w:t xml:space="preserve"> все повече става двигател за инвестиции в транспортния сектор и иновациите, включително в превозни средства с ниски и нулеви емисии и съответната инфраструктура.</w:t>
      </w:r>
      <w:r>
        <w:rPr>
          <w:rStyle w:val="FootnoteReference"/>
          <w:rFonts w:ascii="Times New Roman" w:hAnsi="Times New Roman"/>
          <w:noProof/>
          <w:sz w:val="24"/>
        </w:rPr>
        <w:footnoteReference w:id="36"/>
      </w:r>
      <w:r>
        <w:rPr>
          <w:rFonts w:ascii="Times New Roman" w:hAnsi="Times New Roman"/>
          <w:noProof/>
          <w:sz w:val="24"/>
        </w:rPr>
        <w:t xml:space="preserve"> </w:t>
      </w:r>
      <w:r>
        <w:rPr>
          <w:rFonts w:ascii="Times New Roman" w:hAnsi="Times New Roman"/>
          <w:b/>
          <w:noProof/>
          <w:sz w:val="24"/>
        </w:rPr>
        <w:t>„Хоризонт 2020“</w:t>
      </w:r>
      <w:r>
        <w:rPr>
          <w:rFonts w:ascii="Times New Roman" w:hAnsi="Times New Roman"/>
          <w:noProof/>
          <w:sz w:val="24"/>
        </w:rPr>
        <w:t xml:space="preserve"> продължава да осигурява инвестиции в научноизследователска и развойна дейност за чист транспорт, което включва и инфраструктура за алтернативни горива и биогорива от ново поколение. Инициативи като Европейската инициатива за екологосъобразни превозни средства или съвместното предприятие „Горивни клетки и водород“ са част от тази подкрепа.</w:t>
      </w:r>
    </w:p>
    <w:tbl>
      <w:tblPr>
        <w:tblStyle w:val="TableGrid"/>
        <w:tblW w:w="0" w:type="auto"/>
        <w:tblInd w:w="108" w:type="dxa"/>
        <w:tblLook w:val="04A0" w:firstRow="1" w:lastRow="0" w:firstColumn="1" w:lastColumn="0" w:noHBand="0" w:noVBand="1"/>
      </w:tblPr>
      <w:tblGrid>
        <w:gridCol w:w="8727"/>
      </w:tblGrid>
      <w:tr w:rsidR="00D64E4D">
        <w:tc>
          <w:tcPr>
            <w:tcW w:w="8727" w:type="dxa"/>
            <w:shd w:val="clear" w:color="auto" w:fill="C4BC96" w:themeFill="background2" w:themeFillShade="BF"/>
          </w:tcPr>
          <w:p w:rsidR="00D64E4D" w:rsidRDefault="00DB1970">
            <w:pPr>
              <w:pStyle w:val="Text2"/>
              <w:spacing w:line="240" w:lineRule="auto"/>
              <w:ind w:left="0"/>
              <w:jc w:val="both"/>
              <w:rPr>
                <w:rFonts w:ascii="Times New Roman" w:hAnsi="Times New Roman"/>
                <w:noProof/>
                <w:sz w:val="24"/>
                <w:szCs w:val="24"/>
              </w:rPr>
            </w:pPr>
            <w:r>
              <w:rPr>
                <w:rFonts w:ascii="Times New Roman" w:hAnsi="Times New Roman"/>
                <w:noProof/>
              </w:rPr>
              <w:t xml:space="preserve">Инвестициите, мобилизирани чрез безвъзмездна подкрепа от </w:t>
            </w:r>
            <w:r>
              <w:rPr>
                <w:rFonts w:ascii="Times New Roman" w:hAnsi="Times New Roman"/>
                <w:b/>
                <w:noProof/>
              </w:rPr>
              <w:t>CEF</w:t>
            </w:r>
            <w:r>
              <w:rPr>
                <w:rFonts w:ascii="Times New Roman" w:hAnsi="Times New Roman"/>
                <w:noProof/>
              </w:rPr>
              <w:t xml:space="preserve"> за алтернативни горива/енергоносители за пътния транспорт, до момента възлизат на повече от 600 милиона евро, с които се подпомагат близо 60 проекта.</w:t>
            </w:r>
            <w:r>
              <w:rPr>
                <w:rStyle w:val="FootnoteReference"/>
                <w:rFonts w:ascii="Times New Roman" w:hAnsi="Times New Roman"/>
                <w:noProof/>
              </w:rPr>
              <w:footnoteReference w:id="37"/>
            </w:r>
            <w:r>
              <w:rPr>
                <w:rFonts w:ascii="Times New Roman" w:hAnsi="Times New Roman"/>
                <w:noProof/>
              </w:rPr>
              <w:t xml:space="preserve"> CEF е предоставил също подпомагане чрез безвъзмездни средства в размер на почти 150 милиона евро за бреговото електроснабдяване, терминали за LNG и иновативни технологии за екологосъобразни плавателни съдове.</w:t>
            </w:r>
          </w:p>
          <w:p w:rsidR="00D64E4D" w:rsidRDefault="00DB1970">
            <w:pPr>
              <w:pStyle w:val="Text2"/>
              <w:spacing w:line="240" w:lineRule="auto"/>
              <w:ind w:left="0"/>
              <w:jc w:val="both"/>
              <w:rPr>
                <w:rFonts w:ascii="Times New Roman" w:hAnsi="Times New Roman"/>
                <w:noProof/>
              </w:rPr>
            </w:pPr>
            <w:r>
              <w:rPr>
                <w:rFonts w:ascii="Times New Roman" w:hAnsi="Times New Roman"/>
                <w:noProof/>
              </w:rPr>
              <w:t xml:space="preserve">За периода 2014-2020 г. се предвижда подкрепа чрез </w:t>
            </w:r>
            <w:r>
              <w:rPr>
                <w:rFonts w:ascii="Times New Roman" w:hAnsi="Times New Roman"/>
                <w:b/>
                <w:noProof/>
              </w:rPr>
              <w:t>кохезионната политика</w:t>
            </w:r>
            <w:r>
              <w:rPr>
                <w:rFonts w:ascii="Times New Roman" w:hAnsi="Times New Roman"/>
                <w:noProof/>
              </w:rPr>
              <w:t xml:space="preserve"> за инвестиции в устойчива мобилност и транспорт в 209 оперативни програми и програми за териториално сътрудничество, като една част е заделена специално за инфраструктурата за алтернативни горива/енергоносители. Около 70 милиарда евро са предвидени в CF и ERDF за подкрепа на транспортния сектор, включително 35 милиарда евро за мрежата TEN-T и 12 милиарда евро за нисковъглеродна, мултимодална, устойчива градска мобилност. Няколко държави членки и области вече се възползват много успешно от помощта за кохезионната политика, за да прилагат своите НРП и да разгърнат инфраструктурата за алтернативни горива/енергоносители.</w:t>
            </w:r>
          </w:p>
          <w:p w:rsidR="00D64E4D" w:rsidRDefault="00DB1970">
            <w:pPr>
              <w:pStyle w:val="Text2"/>
              <w:spacing w:line="240" w:lineRule="auto"/>
              <w:ind w:left="0"/>
              <w:jc w:val="both"/>
              <w:rPr>
                <w:rFonts w:ascii="Times New Roman" w:hAnsi="Times New Roman"/>
                <w:noProof/>
              </w:rPr>
            </w:pPr>
            <w:r>
              <w:rPr>
                <w:rFonts w:ascii="Times New Roman" w:hAnsi="Times New Roman"/>
                <w:noProof/>
              </w:rPr>
              <w:t xml:space="preserve">Например, чрез европейско съфинансиране посредством CF ще бъде подпомогната поръчката на 177 електрически автобуси с акумулатори във Варшава, Жельона Гура и Швиноуйшче в Полша, както и изграждането на 150 зарядни станции в Латвия в периода до 2020 г. </w:t>
            </w:r>
          </w:p>
        </w:tc>
      </w:tr>
    </w:tbl>
    <w:p w:rsidR="00D64E4D" w:rsidRDefault="00DB1970">
      <w:pPr>
        <w:pStyle w:val="Text2"/>
        <w:spacing w:line="240" w:lineRule="auto"/>
        <w:ind w:left="0"/>
        <w:jc w:val="both"/>
        <w:rPr>
          <w:rFonts w:ascii="Times New Roman" w:hAnsi="Times New Roman"/>
          <w:noProof/>
          <w:sz w:val="24"/>
          <w:szCs w:val="24"/>
        </w:rPr>
      </w:pPr>
      <w:r>
        <w:rPr>
          <w:rFonts w:ascii="Times New Roman" w:hAnsi="Times New Roman"/>
          <w:noProof/>
          <w:sz w:val="24"/>
        </w:rPr>
        <w:t>.</w:t>
      </w:r>
    </w:p>
    <w:p w:rsidR="00D64E4D" w:rsidRDefault="00DB1970">
      <w:pPr>
        <w:pStyle w:val="Text2"/>
        <w:spacing w:line="240" w:lineRule="auto"/>
        <w:ind w:left="0"/>
        <w:jc w:val="both"/>
        <w:rPr>
          <w:rFonts w:ascii="Times New Roman" w:hAnsi="Times New Roman"/>
          <w:noProof/>
          <w:sz w:val="24"/>
        </w:rPr>
      </w:pPr>
      <w:r>
        <w:rPr>
          <w:rFonts w:ascii="Times New Roman" w:hAnsi="Times New Roman"/>
          <w:b/>
          <w:noProof/>
          <w:sz w:val="24"/>
        </w:rPr>
        <w:t>Съчетаването на безвъзмездни средства и заеми</w:t>
      </w:r>
      <w:r>
        <w:rPr>
          <w:noProof/>
        </w:rPr>
        <w:t xml:space="preserve"> </w:t>
      </w:r>
      <w:r>
        <w:rPr>
          <w:rFonts w:ascii="Times New Roman" w:hAnsi="Times New Roman"/>
          <w:noProof/>
          <w:sz w:val="24"/>
        </w:rPr>
        <w:t xml:space="preserve">е отлична възможност да се привлекат публични и частни инвестиции. Първата покана на CEF за такова съчетано финансиране, оповестена през 2017 г., осигури 150 милиона евро за изграждането на инфраструктура за алтернативни горива в коридорите на основната мрежа на TEN-T. Като се има предвид положителният отклик на поканата, Комисията е решила да </w:t>
      </w:r>
      <w:r>
        <w:rPr>
          <w:rFonts w:ascii="Times New Roman" w:hAnsi="Times New Roman"/>
          <w:b/>
          <w:noProof/>
          <w:sz w:val="24"/>
        </w:rPr>
        <w:t>добави към бюджета още 350 милиона евро</w:t>
      </w:r>
      <w:r>
        <w:rPr>
          <w:rFonts w:ascii="Times New Roman" w:hAnsi="Times New Roman"/>
          <w:noProof/>
          <w:sz w:val="24"/>
        </w:rPr>
        <w:t xml:space="preserve"> за предложения, подадени до пролетта на 2018 г., с очакване да се постигне ливъридж на допълнителни инвестиции в размер на 1,75 милиарда евро.</w:t>
      </w:r>
    </w:p>
    <w:p w:rsidR="00D64E4D" w:rsidRDefault="00DB1970">
      <w:pPr>
        <w:pStyle w:val="Text2"/>
        <w:spacing w:line="240" w:lineRule="auto"/>
        <w:ind w:left="0"/>
        <w:jc w:val="both"/>
        <w:rPr>
          <w:rFonts w:ascii="Times New Roman" w:hAnsi="Times New Roman"/>
          <w:noProof/>
          <w:sz w:val="24"/>
        </w:rPr>
      </w:pPr>
      <w:r>
        <w:rPr>
          <w:rFonts w:ascii="Times New Roman" w:hAnsi="Times New Roman"/>
          <w:noProof/>
          <w:sz w:val="24"/>
        </w:rPr>
        <w:t xml:space="preserve">Тези инвестиции могат да бъдат комбинирани с допълнително подпомагане чрез дълговия инструмент към CEF, където се предоставят </w:t>
      </w:r>
      <w:r>
        <w:rPr>
          <w:rFonts w:ascii="Times New Roman" w:hAnsi="Times New Roman"/>
          <w:b/>
          <w:noProof/>
          <w:sz w:val="24"/>
        </w:rPr>
        <w:t>до 450 милиона евро</w:t>
      </w:r>
      <w:r>
        <w:rPr>
          <w:rFonts w:ascii="Times New Roman" w:hAnsi="Times New Roman"/>
          <w:noProof/>
          <w:sz w:val="24"/>
        </w:rPr>
        <w:t xml:space="preserve"> посредством пренасочване на неоползотворени приходи по Програмата във връзка с </w:t>
      </w:r>
      <w:r>
        <w:rPr>
          <w:rFonts w:ascii="Times New Roman" w:hAnsi="Times New Roman"/>
          <w:b/>
          <w:noProof/>
          <w:sz w:val="24"/>
        </w:rPr>
        <w:t>Резерва за нови участници (</w:t>
      </w:r>
      <w:r>
        <w:rPr>
          <w:rFonts w:ascii="Times New Roman" w:hAnsi="Times New Roman"/>
          <w:b/>
          <w:noProof/>
          <w:sz w:val="24"/>
          <w:lang w:val="en-GB"/>
        </w:rPr>
        <w:t>NER</w:t>
      </w:r>
      <w:r>
        <w:rPr>
          <w:rFonts w:ascii="Times New Roman" w:hAnsi="Times New Roman"/>
          <w:b/>
          <w:noProof/>
          <w:sz w:val="24"/>
        </w:rPr>
        <w:t xml:space="preserve"> 300)</w:t>
      </w:r>
      <w:r>
        <w:rPr>
          <w:rFonts w:ascii="Times New Roman" w:hAnsi="Times New Roman"/>
          <w:noProof/>
          <w:sz w:val="24"/>
        </w:rPr>
        <w:t xml:space="preserve"> към Системата за търговия с емисии на ЕС, така че да бъдат подпомогнати иновативни проекти за енергия от възобновяеми източнии в транспортния и енергийния сектори.</w:t>
      </w:r>
    </w:p>
    <w:p w:rsidR="00D64E4D" w:rsidRDefault="00DB1970">
      <w:pPr>
        <w:pStyle w:val="Text2"/>
        <w:spacing w:line="240" w:lineRule="auto"/>
        <w:ind w:left="0"/>
        <w:jc w:val="both"/>
        <w:rPr>
          <w:rFonts w:ascii="Times New Roman" w:hAnsi="Times New Roman"/>
          <w:b/>
          <w:noProof/>
          <w:sz w:val="24"/>
          <w:szCs w:val="24"/>
        </w:rPr>
      </w:pPr>
      <w:r>
        <w:rPr>
          <w:rFonts w:ascii="Times New Roman" w:hAnsi="Times New Roman"/>
          <w:b/>
          <w:noProof/>
          <w:sz w:val="24"/>
          <w:szCs w:val="24"/>
        </w:rPr>
        <w:t xml:space="preserve">По този начин с посочения план за действие се дава възможност за използване на допълнителна финансова подкрепа от ЕС в размер на до 800 милиона евро по линия на </w:t>
      </w:r>
      <w:r>
        <w:rPr>
          <w:rFonts w:ascii="Times New Roman" w:hAnsi="Times New Roman"/>
          <w:b/>
          <w:noProof/>
          <w:sz w:val="24"/>
        </w:rPr>
        <w:t xml:space="preserve">CEF и </w:t>
      </w:r>
      <w:r>
        <w:rPr>
          <w:rFonts w:ascii="Times New Roman" w:hAnsi="Times New Roman"/>
          <w:b/>
          <w:noProof/>
          <w:sz w:val="24"/>
          <w:lang w:val="en-GB"/>
        </w:rPr>
        <w:t>NER</w:t>
      </w:r>
      <w:r>
        <w:rPr>
          <w:rFonts w:ascii="Times New Roman" w:hAnsi="Times New Roman"/>
          <w:b/>
          <w:noProof/>
          <w:sz w:val="24"/>
        </w:rPr>
        <w:t xml:space="preserve"> 300 за инвестиции в инфраструктура за алтернативни горива/енергоносители.</w:t>
      </w:r>
    </w:p>
    <w:tbl>
      <w:tblPr>
        <w:tblStyle w:val="TableGrid"/>
        <w:tblW w:w="0" w:type="auto"/>
        <w:shd w:val="clear" w:color="auto" w:fill="C4BC96" w:themeFill="background2" w:themeFillShade="BF"/>
        <w:tblLook w:val="04A0" w:firstRow="1" w:lastRow="0" w:firstColumn="1" w:lastColumn="0" w:noHBand="0" w:noVBand="1"/>
      </w:tblPr>
      <w:tblGrid>
        <w:gridCol w:w="8835"/>
      </w:tblGrid>
      <w:tr w:rsidR="00D64E4D">
        <w:tc>
          <w:tcPr>
            <w:tcW w:w="8835" w:type="dxa"/>
            <w:shd w:val="clear" w:color="auto" w:fill="C4BC96" w:themeFill="background2" w:themeFillShade="BF"/>
          </w:tcPr>
          <w:p w:rsidR="00D64E4D" w:rsidRDefault="00DB1970">
            <w:pPr>
              <w:keepNext/>
              <w:numPr>
                <w:ilvl w:val="2"/>
                <w:numId w:val="0"/>
              </w:numPr>
              <w:tabs>
                <w:tab w:val="num" w:pos="0"/>
              </w:tabs>
              <w:spacing w:line="240" w:lineRule="auto"/>
              <w:jc w:val="both"/>
              <w:outlineLvl w:val="2"/>
              <w:rPr>
                <w:rFonts w:ascii="Times New Roman" w:hAnsi="Times New Roman"/>
                <w:noProof/>
              </w:rPr>
            </w:pPr>
            <w:r>
              <w:rPr>
                <w:rFonts w:ascii="Times New Roman" w:hAnsi="Times New Roman"/>
                <w:noProof/>
              </w:rPr>
              <w:t>Първите проекти, подкрепени от Европейския фонд за стратегически инвестиции (EFSI) и CEF, са за инвестиции в по-екологосъобразни автобуси за обществен транспорт в Рига, Лас Палмас, Палма де Майорка и департамента Па-де-Кале в Северна Франция. Като част от проекта Bulles в Па-де-Кале въпросната транспортна фирма ще преоборудва своите автобуси и ще премине от конвенционални горива към хибридно захранване. По една от линиите ще пътуват само задвижвани с водород електрически автобуси.</w:t>
            </w:r>
          </w:p>
          <w:p w:rsidR="00D64E4D" w:rsidRDefault="00DB1970">
            <w:pPr>
              <w:keepNext/>
              <w:numPr>
                <w:ilvl w:val="2"/>
                <w:numId w:val="0"/>
              </w:numPr>
              <w:tabs>
                <w:tab w:val="num" w:pos="0"/>
              </w:tabs>
              <w:spacing w:line="240" w:lineRule="auto"/>
              <w:jc w:val="both"/>
              <w:outlineLvl w:val="2"/>
              <w:rPr>
                <w:rFonts w:ascii="Times New Roman" w:hAnsi="Times New Roman"/>
                <w:noProof/>
                <w:sz w:val="24"/>
                <w:szCs w:val="24"/>
              </w:rPr>
            </w:pPr>
            <w:r>
              <w:rPr>
                <w:rFonts w:ascii="Times New Roman" w:hAnsi="Times New Roman"/>
                <w:noProof/>
              </w:rPr>
              <w:t>Разработването на иновативни механизми за финансиране като Програмата за гаранция за екологосъобразен морски транспорт (GSGP), която подкрепя европейския морски сектор, ускорява инвестициите в устойчиво развити технологии. Тя има за цел да предоставя гаранции за инвестиции в областта на екологосъобразното корабоплаване в размер до 3 милиарда евро. Тя може да се използва например в подкрепа на инвестиции, позволяващи използването на LNG. ЕИБ прилага програмата съгласно специални договорки с Комисията. До момента са подписани две рамкови споразумения с търговски банки във Франция и Нидерландия</w:t>
            </w:r>
            <w:r>
              <w:rPr>
                <w:noProof/>
              </w:rPr>
              <w:t>.</w:t>
            </w:r>
          </w:p>
        </w:tc>
      </w:tr>
    </w:tbl>
    <w:p w:rsidR="00D64E4D" w:rsidRDefault="00DB1970">
      <w:pPr>
        <w:keepNext/>
        <w:numPr>
          <w:ilvl w:val="2"/>
          <w:numId w:val="0"/>
        </w:numPr>
        <w:tabs>
          <w:tab w:val="num" w:pos="0"/>
        </w:tabs>
        <w:spacing w:line="240" w:lineRule="auto"/>
        <w:jc w:val="both"/>
        <w:outlineLvl w:val="2"/>
        <w:rPr>
          <w:rFonts w:ascii="Times New Roman" w:hAnsi="Times New Roman"/>
          <w:noProof/>
          <w:sz w:val="24"/>
          <w:szCs w:val="24"/>
        </w:rPr>
      </w:pPr>
      <w:r>
        <w:rPr>
          <w:rFonts w:ascii="Times New Roman" w:hAnsi="Times New Roman"/>
          <w:noProof/>
          <w:sz w:val="24"/>
          <w:szCs w:val="24"/>
        </w:rPr>
        <w:br/>
      </w:r>
      <w:r>
        <w:rPr>
          <w:rFonts w:ascii="Times New Roman" w:hAnsi="Times New Roman"/>
          <w:i/>
          <w:noProof/>
          <w:sz w:val="24"/>
        </w:rPr>
        <w:t>Изграждане на капацитет</w:t>
      </w:r>
    </w:p>
    <w:p w:rsidR="00D64E4D" w:rsidRDefault="00DB1970">
      <w:pPr>
        <w:pStyle w:val="Text2"/>
        <w:spacing w:line="240" w:lineRule="auto"/>
        <w:ind w:left="0"/>
        <w:jc w:val="both"/>
        <w:rPr>
          <w:rFonts w:ascii="Times New Roman" w:hAnsi="Times New Roman"/>
          <w:noProof/>
          <w:sz w:val="24"/>
          <w:szCs w:val="24"/>
        </w:rPr>
      </w:pPr>
      <w:r>
        <w:rPr>
          <w:rFonts w:ascii="Times New Roman" w:hAnsi="Times New Roman"/>
          <w:noProof/>
          <w:sz w:val="24"/>
        </w:rPr>
        <w:t xml:space="preserve">Освен това Комисията ще </w:t>
      </w:r>
      <w:r>
        <w:rPr>
          <w:rFonts w:ascii="Times New Roman" w:hAnsi="Times New Roman"/>
          <w:b/>
          <w:noProof/>
          <w:sz w:val="24"/>
        </w:rPr>
        <w:t>подкрепя изграждането на капацитет</w:t>
      </w:r>
      <w:r>
        <w:rPr>
          <w:rFonts w:ascii="Times New Roman" w:hAnsi="Times New Roman"/>
          <w:noProof/>
          <w:sz w:val="24"/>
        </w:rPr>
        <w:t xml:space="preserve"> в публичните органи, фирмите и финансиращите институции. Тя разшири своите схеми за </w:t>
      </w:r>
      <w:r>
        <w:rPr>
          <w:rFonts w:ascii="Times New Roman" w:hAnsi="Times New Roman"/>
          <w:b/>
          <w:noProof/>
          <w:sz w:val="24"/>
        </w:rPr>
        <w:t>техническа помощ</w:t>
      </w:r>
      <w:r>
        <w:rPr>
          <w:rFonts w:ascii="Times New Roman" w:hAnsi="Times New Roman"/>
          <w:noProof/>
          <w:sz w:val="24"/>
        </w:rPr>
        <w:t>, например JASPERS и ELENA</w:t>
      </w:r>
      <w:r>
        <w:rPr>
          <w:rStyle w:val="FootnoteReference"/>
          <w:rFonts w:ascii="Times New Roman" w:hAnsi="Times New Roman"/>
          <w:noProof/>
          <w:sz w:val="24"/>
        </w:rPr>
        <w:footnoteReference w:id="38"/>
      </w:r>
      <w:r>
        <w:rPr>
          <w:rFonts w:ascii="Times New Roman" w:hAnsi="Times New Roman"/>
          <w:noProof/>
          <w:sz w:val="24"/>
        </w:rPr>
        <w:t>, и до момента опитът показва, че тази форма на изграждане на капацитет е подходяща.</w:t>
      </w:r>
    </w:p>
    <w:p w:rsidR="00D64E4D" w:rsidRDefault="00DB1970">
      <w:pPr>
        <w:pStyle w:val="Text2"/>
        <w:spacing w:line="240" w:lineRule="auto"/>
        <w:ind w:left="0"/>
        <w:jc w:val="both"/>
        <w:rPr>
          <w:rFonts w:ascii="Times New Roman" w:hAnsi="Times New Roman"/>
          <w:noProof/>
          <w:sz w:val="24"/>
          <w:szCs w:val="24"/>
        </w:rPr>
      </w:pPr>
      <w:r>
        <w:rPr>
          <w:rFonts w:ascii="Times New Roman" w:hAnsi="Times New Roman"/>
          <w:noProof/>
          <w:sz w:val="24"/>
        </w:rPr>
        <w:t xml:space="preserve">Необходими са по-добро сътрудничество и по-добро координиране на проектите, за да </w:t>
      </w:r>
      <w:r>
        <w:rPr>
          <w:rFonts w:ascii="Times New Roman" w:hAnsi="Times New Roman"/>
          <w:b/>
          <w:noProof/>
          <w:sz w:val="24"/>
        </w:rPr>
        <w:t xml:space="preserve">се създаде подходяща поточна линия за проекти </w:t>
      </w:r>
      <w:r>
        <w:rPr>
          <w:rFonts w:ascii="Times New Roman" w:hAnsi="Times New Roman"/>
          <w:noProof/>
          <w:sz w:val="24"/>
        </w:rPr>
        <w:t xml:space="preserve">в мрежата TEN-T и извън нея, като се акцентира по-специално върху градските райони. Комисията приканва публичните власти, частния сектор и насърчителните и частните банки да използват съществуващите възможности, особено в контекста на водещите инициативи за TEN-T. Поради тази причина Комисията ще подкрепи </w:t>
      </w:r>
      <w:r>
        <w:rPr>
          <w:rFonts w:ascii="Times New Roman" w:hAnsi="Times New Roman"/>
          <w:b/>
          <w:noProof/>
          <w:sz w:val="24"/>
        </w:rPr>
        <w:t xml:space="preserve">платформи за обмен на знания </w:t>
      </w:r>
      <w:r>
        <w:rPr>
          <w:rFonts w:ascii="Times New Roman" w:hAnsi="Times New Roman"/>
          <w:noProof/>
          <w:sz w:val="24"/>
        </w:rPr>
        <w:t>относно инфраструктурите за алтернативни горива/енергоносители, включвайки се в работата Форума за устойчив транспорт (STF).</w:t>
      </w:r>
    </w:p>
    <w:tbl>
      <w:tblPr>
        <w:tblStyle w:val="TableGrid"/>
        <w:tblW w:w="0" w:type="auto"/>
        <w:tblLook w:val="04A0" w:firstRow="1" w:lastRow="0" w:firstColumn="1" w:lastColumn="0" w:noHBand="0" w:noVBand="1"/>
      </w:tblPr>
      <w:tblGrid>
        <w:gridCol w:w="8835"/>
      </w:tblGrid>
      <w:tr w:rsidR="00D64E4D">
        <w:tc>
          <w:tcPr>
            <w:tcW w:w="8835" w:type="dxa"/>
          </w:tcPr>
          <w:p w:rsidR="00D64E4D" w:rsidRDefault="00DB1970">
            <w:pPr>
              <w:pStyle w:val="Text2"/>
              <w:keepNext/>
              <w:spacing w:after="120" w:line="240" w:lineRule="auto"/>
              <w:ind w:left="0"/>
              <w:jc w:val="both"/>
              <w:rPr>
                <w:rFonts w:ascii="Times New Roman" w:hAnsi="Times New Roman"/>
                <w:b/>
                <w:noProof/>
                <w:sz w:val="24"/>
                <w:szCs w:val="24"/>
              </w:rPr>
            </w:pPr>
            <w:r>
              <w:rPr>
                <w:rFonts w:ascii="Times New Roman" w:hAnsi="Times New Roman"/>
                <w:b/>
                <w:noProof/>
                <w:sz w:val="24"/>
              </w:rPr>
              <w:t>Ключови действия</w:t>
            </w:r>
          </w:p>
          <w:p w:rsidR="00D64E4D" w:rsidRDefault="00DB1970">
            <w:pPr>
              <w:pStyle w:val="Text1"/>
              <w:numPr>
                <w:ilvl w:val="0"/>
                <w:numId w:val="37"/>
              </w:numPr>
              <w:spacing w:after="120" w:line="240" w:lineRule="auto"/>
              <w:jc w:val="both"/>
              <w:rPr>
                <w:rFonts w:ascii="Times New Roman" w:hAnsi="Times New Roman"/>
                <w:noProof/>
                <w:sz w:val="24"/>
                <w:szCs w:val="24"/>
              </w:rPr>
            </w:pPr>
            <w:r>
              <w:rPr>
                <w:rFonts w:ascii="Times New Roman" w:hAnsi="Times New Roman"/>
                <w:noProof/>
                <w:sz w:val="24"/>
              </w:rPr>
              <w:t>Публичните и частните заинтересовани страни се приканват да финализират водещите инициативи за инфраструктурата за алтернативни горива/енергоносители в мрежата TEN-T до началото на 2018 г.</w:t>
            </w:r>
          </w:p>
          <w:p w:rsidR="00D64E4D" w:rsidRDefault="00DB1970">
            <w:pPr>
              <w:pStyle w:val="Text1"/>
              <w:numPr>
                <w:ilvl w:val="0"/>
                <w:numId w:val="37"/>
              </w:numPr>
              <w:spacing w:after="120" w:line="240" w:lineRule="auto"/>
              <w:jc w:val="both"/>
              <w:rPr>
                <w:rFonts w:ascii="Times New Roman" w:hAnsi="Times New Roman"/>
                <w:noProof/>
                <w:sz w:val="24"/>
                <w:szCs w:val="24"/>
              </w:rPr>
            </w:pPr>
            <w:r>
              <w:rPr>
                <w:rFonts w:ascii="Times New Roman" w:hAnsi="Times New Roman"/>
                <w:noProof/>
                <w:sz w:val="24"/>
              </w:rPr>
              <w:t>От ноември 2017 г. Комисията ще организира поредица от посещения (</w:t>
            </w:r>
            <w:r>
              <w:rPr>
                <w:rFonts w:ascii="Times New Roman" w:hAnsi="Times New Roman"/>
                <w:noProof/>
                <w:sz w:val="24"/>
                <w:lang w:val="en-GB"/>
              </w:rPr>
              <w:t>roadshows</w:t>
            </w:r>
            <w:r>
              <w:rPr>
                <w:rFonts w:ascii="Times New Roman" w:hAnsi="Times New Roman"/>
                <w:noProof/>
                <w:sz w:val="24"/>
              </w:rPr>
              <w:t xml:space="preserve">) в държави членки, за да направи цялостен преглед на степента на амбициозност на НРП и на инвестиционните потребности за мобилност с ниски и нулеви емисии, както и на достъпа до възможности, предоставяни от различни финансови инструменти на ЕС. </w:t>
            </w:r>
          </w:p>
          <w:p w:rsidR="00D64E4D" w:rsidRDefault="00DB1970">
            <w:pPr>
              <w:pStyle w:val="Text1"/>
              <w:numPr>
                <w:ilvl w:val="0"/>
                <w:numId w:val="37"/>
              </w:numPr>
              <w:spacing w:after="120" w:line="240" w:lineRule="auto"/>
              <w:jc w:val="both"/>
              <w:rPr>
                <w:rFonts w:ascii="Times New Roman" w:hAnsi="Times New Roman"/>
                <w:noProof/>
                <w:sz w:val="24"/>
                <w:szCs w:val="24"/>
              </w:rPr>
            </w:pPr>
            <w:r>
              <w:rPr>
                <w:rFonts w:ascii="Times New Roman" w:hAnsi="Times New Roman"/>
                <w:noProof/>
                <w:sz w:val="24"/>
              </w:rPr>
              <w:t xml:space="preserve">Индустрията и публичните власти се приканват да ускорят навлизането превозни средства, задвижвани с алтернативни горива/енергоносители, и съответната инфраструктура в мрежата TEN-T, включително всички градски възли, като целта е до 2025 г. да се постигне покритие, а до 2020 г. — видими резултати. Това ще бъде включено в следващите работни планове за трансевропейската транспортна мрежа </w:t>
            </w:r>
            <w:r>
              <w:rPr>
                <w:rFonts w:ascii="Times New Roman" w:hAnsi="Times New Roman"/>
                <w:noProof/>
                <w:sz w:val="24"/>
                <w:lang w:val="en-GB"/>
              </w:rPr>
              <w:t>TEN</w:t>
            </w:r>
            <w:r>
              <w:rPr>
                <w:rFonts w:ascii="Times New Roman" w:hAnsi="Times New Roman"/>
                <w:noProof/>
                <w:sz w:val="24"/>
              </w:rPr>
              <w:t>-</w:t>
            </w:r>
            <w:r>
              <w:rPr>
                <w:rFonts w:ascii="Times New Roman" w:hAnsi="Times New Roman"/>
                <w:noProof/>
                <w:sz w:val="24"/>
                <w:lang w:val="en-GB"/>
              </w:rPr>
              <w:t>T</w:t>
            </w:r>
            <w:r>
              <w:rPr>
                <w:rFonts w:ascii="Times New Roman" w:hAnsi="Times New Roman"/>
                <w:noProof/>
                <w:sz w:val="24"/>
              </w:rPr>
              <w:t>.</w:t>
            </w:r>
          </w:p>
          <w:p w:rsidR="00D64E4D" w:rsidRDefault="00DB1970">
            <w:pPr>
              <w:pStyle w:val="Text2"/>
              <w:numPr>
                <w:ilvl w:val="0"/>
                <w:numId w:val="37"/>
              </w:numPr>
              <w:spacing w:after="120" w:line="240" w:lineRule="auto"/>
              <w:jc w:val="both"/>
              <w:rPr>
                <w:rFonts w:ascii="Times New Roman" w:hAnsi="Times New Roman"/>
                <w:b/>
                <w:noProof/>
                <w:sz w:val="24"/>
                <w:szCs w:val="24"/>
              </w:rPr>
            </w:pPr>
            <w:r>
              <w:rPr>
                <w:rFonts w:ascii="Times New Roman" w:hAnsi="Times New Roman"/>
                <w:noProof/>
                <w:sz w:val="24"/>
              </w:rPr>
              <w:t>Производителите, инфраструктурните оператори и публичните власти се насърчават да използват възможностите за съвместни проекти и иновативно финансиране.</w:t>
            </w:r>
          </w:p>
          <w:p w:rsidR="00D64E4D" w:rsidRDefault="00DB1970">
            <w:pPr>
              <w:pStyle w:val="Text2"/>
              <w:numPr>
                <w:ilvl w:val="0"/>
                <w:numId w:val="37"/>
              </w:numPr>
              <w:spacing w:after="120" w:line="240" w:lineRule="auto"/>
              <w:jc w:val="both"/>
              <w:rPr>
                <w:rFonts w:ascii="Times New Roman" w:hAnsi="Times New Roman"/>
                <w:b/>
                <w:noProof/>
                <w:sz w:val="24"/>
                <w:szCs w:val="24"/>
              </w:rPr>
            </w:pPr>
            <w:r>
              <w:rPr>
                <w:rFonts w:ascii="Times New Roman" w:hAnsi="Times New Roman"/>
                <w:noProof/>
                <w:sz w:val="24"/>
              </w:rPr>
              <w:t xml:space="preserve">Комисията ще увеличи своята финансова подкрепа с до </w:t>
            </w:r>
            <w:r>
              <w:rPr>
                <w:rFonts w:ascii="Times New Roman" w:hAnsi="Times New Roman"/>
                <w:b/>
                <w:noProof/>
                <w:sz w:val="24"/>
              </w:rPr>
              <w:t>800 милиона евро</w:t>
            </w:r>
            <w:r>
              <w:rPr>
                <w:rFonts w:ascii="Times New Roman" w:hAnsi="Times New Roman"/>
                <w:noProof/>
                <w:sz w:val="24"/>
              </w:rPr>
              <w:t xml:space="preserve"> посредством: (</w:t>
            </w:r>
            <w:r>
              <w:rPr>
                <w:rFonts w:ascii="Times New Roman" w:hAnsi="Times New Roman"/>
                <w:noProof/>
                <w:sz w:val="24"/>
                <w:lang w:val="en-GB"/>
              </w:rPr>
              <w:t>i</w:t>
            </w:r>
            <w:r>
              <w:rPr>
                <w:rFonts w:ascii="Times New Roman" w:hAnsi="Times New Roman"/>
                <w:noProof/>
                <w:sz w:val="24"/>
              </w:rPr>
              <w:t>) увеличаване с 350 милиона евро на средствата по втората покана на CEF за съчетано финансиране за предложения, подадени до пролетта на 2018 г.; (</w:t>
            </w:r>
            <w:r>
              <w:rPr>
                <w:rFonts w:ascii="Times New Roman" w:hAnsi="Times New Roman"/>
                <w:noProof/>
                <w:sz w:val="24"/>
                <w:lang w:val="en-GB"/>
              </w:rPr>
              <w:t>ii</w:t>
            </w:r>
            <w:r>
              <w:rPr>
                <w:rFonts w:ascii="Times New Roman" w:hAnsi="Times New Roman"/>
                <w:noProof/>
                <w:sz w:val="24"/>
              </w:rPr>
              <w:t xml:space="preserve">) осигуряване на възможност за бързо усвояване на неизразходваните приходи от Програмата NER300 чрез InnovFin </w:t>
            </w:r>
            <w:r>
              <w:rPr>
                <w:rFonts w:ascii="Times New Roman" w:hAnsi="Times New Roman"/>
                <w:noProof/>
                <w:sz w:val="24"/>
                <w:lang w:val="en-GB"/>
              </w:rPr>
              <w:t>EDP</w:t>
            </w:r>
            <w:r>
              <w:rPr>
                <w:rFonts w:ascii="Times New Roman" w:hAnsi="Times New Roman"/>
                <w:noProof/>
                <w:sz w:val="24"/>
              </w:rPr>
              <w:t xml:space="preserve"> и дълговите механизми на </w:t>
            </w:r>
            <w:r>
              <w:rPr>
                <w:rFonts w:ascii="Times New Roman" w:hAnsi="Times New Roman"/>
                <w:noProof/>
                <w:sz w:val="24"/>
                <w:szCs w:val="24"/>
              </w:rPr>
              <w:t>CEF</w:t>
            </w:r>
            <w:r>
              <w:rPr>
                <w:rFonts w:ascii="Times New Roman" w:hAnsi="Times New Roman"/>
                <w:b/>
                <w:noProof/>
                <w:sz w:val="24"/>
              </w:rPr>
              <w:t>.</w:t>
            </w:r>
          </w:p>
        </w:tc>
      </w:tr>
    </w:tbl>
    <w:p w:rsidR="00D64E4D" w:rsidRDefault="00DB1970">
      <w:pPr>
        <w:pStyle w:val="Heading2"/>
        <w:spacing w:before="240"/>
        <w:rPr>
          <w:noProof/>
        </w:rPr>
      </w:pPr>
      <w:r>
        <w:rPr>
          <w:noProof/>
        </w:rPr>
        <w:t>Спомагащи действия в градските райони</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Много европейски градове и области са </w:t>
      </w:r>
      <w:r>
        <w:rPr>
          <w:rFonts w:ascii="Times New Roman" w:hAnsi="Times New Roman"/>
          <w:b/>
          <w:noProof/>
          <w:sz w:val="24"/>
        </w:rPr>
        <w:t>в челните редици на прехода към мобилност с ниски и нулеви емисии</w:t>
      </w:r>
      <w:r>
        <w:rPr>
          <w:rFonts w:ascii="Times New Roman" w:hAnsi="Times New Roman"/>
          <w:noProof/>
          <w:sz w:val="24"/>
        </w:rPr>
        <w:t xml:space="preserve">. Значителна част от обществените поръчки се предприемат от общинските и местните власти. Но градовете са изправени и пред </w:t>
      </w:r>
      <w:r>
        <w:rPr>
          <w:rFonts w:ascii="Times New Roman" w:hAnsi="Times New Roman"/>
          <w:b/>
          <w:noProof/>
          <w:sz w:val="24"/>
        </w:rPr>
        <w:t>уникални предизвикателства</w:t>
      </w:r>
      <w:r>
        <w:rPr>
          <w:rFonts w:ascii="Times New Roman" w:hAnsi="Times New Roman"/>
          <w:noProof/>
          <w:sz w:val="24"/>
        </w:rPr>
        <w:t>. Пространствените ограничения означават, че инфраструктурата за алтернативни горива/енергоносители трябва да е съобразена с инфраструктурните нужди на другите видове транспорт. Не за всички потребители е възможно да зареждат електрически превозни средства у дома. Ето защо е необходимо да бъдат намерени решения за жилищните и нежилищните сгради или да се съчетаят съоръженията за зареждане с друга инфраструктура (напр. със стълбове за улично осветление). Освен това трябва да бъдат оценени ефектите на инфраструктурата за бавно и бързо зареждане върху електроенергийната мрежа.</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Необходим е всеобхватен анализ на нуждите и планиране на политически, финансови и информационни лостове на градско ниво. Много градове прилагат </w:t>
      </w:r>
      <w:r>
        <w:rPr>
          <w:rFonts w:ascii="Times New Roman" w:hAnsi="Times New Roman"/>
          <w:b/>
          <w:noProof/>
          <w:sz w:val="24"/>
        </w:rPr>
        <w:t>Планове за устойчива градска мобилност (SUMP</w:t>
      </w:r>
      <w:r>
        <w:rPr>
          <w:rFonts w:ascii="Times New Roman" w:hAnsi="Times New Roman"/>
          <w:noProof/>
          <w:sz w:val="24"/>
        </w:rPr>
        <w:t>). Концепцията се е доказала като начин да се обединят различните публични и частни заинтересовани лица при планирането на градската мобилност. Комисията се ангажира да работи с градовете за адаптиране на техните SUMP. Тя също така ще направи опит да преосмисли цялостната концепция за SUMP, за да отрази алтернативните горива/енергоносители и инфраструктурните потребности и да дискутира със заинтересованите лица опита им на следващия форум за SUMP през 2018 г.</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В настоящия план за действие допълнително са идентифицирани следните действия:</w:t>
      </w:r>
    </w:p>
    <w:p w:rsidR="00D64E4D" w:rsidRDefault="00DB1970">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rPr>
        <w:t xml:space="preserve">Когато това е осъществимо, местните и областните публични власти следва все повече да използват </w:t>
      </w:r>
      <w:r>
        <w:rPr>
          <w:rFonts w:ascii="Times New Roman" w:hAnsi="Times New Roman"/>
          <w:b/>
          <w:noProof/>
          <w:sz w:val="24"/>
        </w:rPr>
        <w:t>възможностите на CF и ERDF да съфинансират проекти за устойчива градска мобилност</w:t>
      </w:r>
      <w:r>
        <w:rPr>
          <w:rFonts w:ascii="Times New Roman" w:hAnsi="Times New Roman"/>
          <w:noProof/>
          <w:sz w:val="24"/>
        </w:rPr>
        <w:t xml:space="preserve">. Проектите за алтернативни горива/енергоносители и инфраструктура предлагат значителни ползи по отношение на бързото пазарно усвояване и незабавния ефект върху качеството на въздуха на локално ниво. </w:t>
      </w:r>
    </w:p>
    <w:p w:rsidR="00D64E4D" w:rsidRDefault="00DB1970">
      <w:pPr>
        <w:pStyle w:val="Text1"/>
        <w:numPr>
          <w:ilvl w:val="0"/>
          <w:numId w:val="38"/>
        </w:numPr>
        <w:spacing w:line="240" w:lineRule="auto"/>
        <w:jc w:val="both"/>
        <w:rPr>
          <w:rFonts w:ascii="Times New Roman" w:hAnsi="Times New Roman"/>
          <w:noProof/>
          <w:sz w:val="24"/>
          <w:szCs w:val="24"/>
        </w:rPr>
      </w:pPr>
      <w:r>
        <w:rPr>
          <w:rFonts w:ascii="Times New Roman" w:hAnsi="Times New Roman"/>
          <w:b/>
          <w:noProof/>
          <w:sz w:val="24"/>
        </w:rPr>
        <w:t xml:space="preserve">Информацията относно схемите за регулиране на достъпа на превозни средства в градовете </w:t>
      </w:r>
      <w:r>
        <w:rPr>
          <w:rFonts w:ascii="Times New Roman" w:hAnsi="Times New Roman"/>
          <w:noProof/>
          <w:sz w:val="24"/>
        </w:rPr>
        <w:t>следва да стане</w:t>
      </w:r>
      <w:r>
        <w:rPr>
          <w:rFonts w:ascii="Times New Roman" w:hAnsi="Times New Roman"/>
          <w:b/>
          <w:noProof/>
          <w:sz w:val="24"/>
        </w:rPr>
        <w:t xml:space="preserve"> по-прозрачна</w:t>
      </w:r>
      <w:r>
        <w:rPr>
          <w:rFonts w:ascii="Times New Roman" w:hAnsi="Times New Roman"/>
          <w:noProof/>
          <w:sz w:val="24"/>
        </w:rPr>
        <w:t>. Това включва дигитални решения за гражданите и бизнеса, например мобилни приложения. Комисията ще продължи да следи отблизо ситуацията.</w:t>
      </w:r>
    </w:p>
    <w:p w:rsidR="00D64E4D" w:rsidRDefault="00DB1970">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rPr>
        <w:t xml:space="preserve">Инфраструктурата за зареждане с електроенергия в градовете следва да е налична за </w:t>
      </w:r>
      <w:r>
        <w:rPr>
          <w:rFonts w:ascii="Times New Roman" w:hAnsi="Times New Roman"/>
          <w:b/>
          <w:noProof/>
          <w:sz w:val="24"/>
        </w:rPr>
        <w:t>всички видове превозни средства</w:t>
      </w:r>
      <w:r>
        <w:rPr>
          <w:rFonts w:ascii="Times New Roman" w:hAnsi="Times New Roman"/>
          <w:noProof/>
          <w:sz w:val="24"/>
        </w:rPr>
        <w:t xml:space="preserve">, включително решения за автопарк от споделени превозни средства, електрически велосипеди и двуколесни МПС. </w:t>
      </w:r>
    </w:p>
    <w:p w:rsidR="00D64E4D" w:rsidRDefault="00DB1970">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rPr>
        <w:t xml:space="preserve">Според </w:t>
      </w:r>
      <w:r>
        <w:rPr>
          <w:rFonts w:ascii="Times New Roman" w:hAnsi="Times New Roman"/>
          <w:b/>
          <w:noProof/>
          <w:sz w:val="24"/>
        </w:rPr>
        <w:t>Споразумението на кметовете за климата и енергетиката</w:t>
      </w:r>
      <w:r>
        <w:rPr>
          <w:rFonts w:ascii="Times New Roman" w:hAnsi="Times New Roman"/>
          <w:noProof/>
          <w:sz w:val="24"/>
        </w:rPr>
        <w:t xml:space="preserve"> местните и регионалните органи следва да се стремят да включат в своите планове за устойчива енергия и климата мерки за намаляване на емисиите на парникови газове от транспорта и да постигнат общо намаление на емисиите на CO</w:t>
      </w:r>
      <w:r>
        <w:rPr>
          <w:rFonts w:ascii="Times New Roman" w:hAnsi="Times New Roman"/>
          <w:noProof/>
          <w:sz w:val="24"/>
          <w:vertAlign w:val="subscript"/>
        </w:rPr>
        <w:t>2</w:t>
      </w:r>
      <w:r>
        <w:rPr>
          <w:rFonts w:ascii="Times New Roman" w:hAnsi="Times New Roman"/>
          <w:noProof/>
          <w:sz w:val="24"/>
        </w:rPr>
        <w:t xml:space="preserve"> с 19 % до 2020 г.</w:t>
      </w:r>
    </w:p>
    <w:p w:rsidR="00D64E4D" w:rsidRDefault="00DB1970">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rPr>
        <w:t>В момента Европейският парламент и Съветът разглеждат предложението на Комисията за изменения на Директивата относно енергийните характеристики на сградите. Текстът предвижда високи изисквания за</w:t>
      </w:r>
      <w:r>
        <w:rPr>
          <w:rFonts w:ascii="Times New Roman" w:hAnsi="Times New Roman"/>
          <w:b/>
          <w:noProof/>
          <w:sz w:val="24"/>
        </w:rPr>
        <w:t xml:space="preserve"> предварително окабеляване и наличие на зарядни точки в жилищните и нежилищните сгради </w:t>
      </w:r>
      <w:r>
        <w:rPr>
          <w:rFonts w:ascii="Times New Roman" w:hAnsi="Times New Roman"/>
          <w:noProof/>
          <w:sz w:val="24"/>
        </w:rPr>
        <w:t xml:space="preserve">и би следвало да насърчи по-широкото разпространение спрямо настоящата ситуация.  </w:t>
      </w:r>
    </w:p>
    <w:p w:rsidR="00D64E4D" w:rsidRDefault="00DB1970">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rPr>
        <w:t xml:space="preserve">Комисията ще продължи да способства за споделянето на информация на ключови форуми, каквито са </w:t>
      </w:r>
      <w:r>
        <w:rPr>
          <w:rFonts w:ascii="Times New Roman" w:hAnsi="Times New Roman"/>
          <w:b/>
          <w:noProof/>
          <w:sz w:val="24"/>
        </w:rPr>
        <w:t>Форумът на Civitas</w:t>
      </w:r>
      <w:r>
        <w:rPr>
          <w:rFonts w:ascii="Times New Roman" w:hAnsi="Times New Roman"/>
          <w:noProof/>
          <w:sz w:val="24"/>
        </w:rPr>
        <w:t xml:space="preserve"> и </w:t>
      </w:r>
      <w:r>
        <w:rPr>
          <w:rFonts w:ascii="Times New Roman" w:hAnsi="Times New Roman"/>
          <w:b/>
          <w:noProof/>
          <w:sz w:val="24"/>
        </w:rPr>
        <w:t>Европейското партньорство за иновации за интелигентни градове и общности,</w:t>
      </w:r>
      <w:r>
        <w:rPr>
          <w:rStyle w:val="FootnoteReference"/>
          <w:rFonts w:ascii="Times New Roman" w:hAnsi="Times New Roman"/>
          <w:noProof/>
          <w:sz w:val="24"/>
        </w:rPr>
        <w:footnoteReference w:id="39"/>
      </w:r>
      <w:r>
        <w:rPr>
          <w:rFonts w:ascii="Times New Roman" w:hAnsi="Times New Roman"/>
          <w:noProof/>
          <w:sz w:val="24"/>
        </w:rPr>
        <w:t xml:space="preserve"> за да насърчава интегрираните подходи към чист транспорт и енергия. </w:t>
      </w:r>
    </w:p>
    <w:p w:rsidR="00D64E4D" w:rsidRDefault="00DB1970">
      <w:pPr>
        <w:pStyle w:val="Text1"/>
        <w:numPr>
          <w:ilvl w:val="0"/>
          <w:numId w:val="38"/>
        </w:numPr>
        <w:spacing w:line="240" w:lineRule="auto"/>
        <w:jc w:val="both"/>
        <w:rPr>
          <w:rFonts w:ascii="Times New Roman" w:hAnsi="Times New Roman"/>
          <w:noProof/>
          <w:sz w:val="24"/>
          <w:szCs w:val="24"/>
        </w:rPr>
      </w:pPr>
      <w:r>
        <w:rPr>
          <w:rFonts w:ascii="Times New Roman" w:hAnsi="Times New Roman"/>
          <w:noProof/>
          <w:sz w:val="24"/>
        </w:rPr>
        <w:t xml:space="preserve">Комисията разглежда възможностите за </w:t>
      </w:r>
      <w:r>
        <w:rPr>
          <w:rFonts w:ascii="Times New Roman" w:hAnsi="Times New Roman"/>
          <w:b/>
          <w:noProof/>
          <w:sz w:val="24"/>
        </w:rPr>
        <w:t>насърчаване на решения по отношение на автопарка</w:t>
      </w:r>
      <w:r>
        <w:rPr>
          <w:rFonts w:ascii="Times New Roman" w:hAnsi="Times New Roman"/>
          <w:noProof/>
          <w:sz w:val="24"/>
        </w:rPr>
        <w:t xml:space="preserve"> за алтернативни горива/енергоносители</w:t>
      </w:r>
      <w:r>
        <w:rPr>
          <w:rFonts w:ascii="Times New Roman" w:hAnsi="Times New Roman"/>
          <w:b/>
          <w:noProof/>
          <w:sz w:val="24"/>
        </w:rPr>
        <w:t xml:space="preserve"> </w:t>
      </w:r>
      <w:r>
        <w:rPr>
          <w:rFonts w:ascii="Times New Roman" w:hAnsi="Times New Roman"/>
          <w:noProof/>
          <w:sz w:val="24"/>
        </w:rPr>
        <w:t>в градските райони, включително финансирането на градски проекти с фокус върху алтернативните горива/енергоносители по частта за иновации от поканата за съвместно финансиране на CEF.</w:t>
      </w:r>
    </w:p>
    <w:tbl>
      <w:tblPr>
        <w:tblStyle w:val="TableGrid"/>
        <w:tblW w:w="0" w:type="auto"/>
        <w:tblLook w:val="04A0" w:firstRow="1" w:lastRow="0" w:firstColumn="1" w:lastColumn="0" w:noHBand="0" w:noVBand="1"/>
      </w:tblPr>
      <w:tblGrid>
        <w:gridCol w:w="8835"/>
      </w:tblGrid>
      <w:tr w:rsidR="00D64E4D">
        <w:tc>
          <w:tcPr>
            <w:tcW w:w="8835" w:type="dxa"/>
          </w:tcPr>
          <w:p w:rsidR="00D64E4D" w:rsidRDefault="00DB1970">
            <w:pPr>
              <w:pStyle w:val="Text1"/>
              <w:keepNext/>
              <w:pageBreakBefore/>
              <w:spacing w:line="240" w:lineRule="auto"/>
              <w:ind w:left="0"/>
              <w:jc w:val="both"/>
              <w:rPr>
                <w:rFonts w:ascii="Times New Roman" w:hAnsi="Times New Roman"/>
                <w:b/>
                <w:noProof/>
                <w:sz w:val="24"/>
                <w:szCs w:val="24"/>
              </w:rPr>
            </w:pPr>
            <w:r>
              <w:rPr>
                <w:rFonts w:ascii="Times New Roman" w:hAnsi="Times New Roman"/>
                <w:b/>
                <w:noProof/>
                <w:sz w:val="24"/>
              </w:rPr>
              <w:t>Ключови действия</w:t>
            </w:r>
          </w:p>
          <w:p w:rsidR="00D64E4D" w:rsidRDefault="00DB1970">
            <w:pPr>
              <w:pStyle w:val="Text1"/>
              <w:numPr>
                <w:ilvl w:val="0"/>
                <w:numId w:val="39"/>
              </w:numPr>
              <w:spacing w:line="240" w:lineRule="auto"/>
              <w:jc w:val="both"/>
              <w:rPr>
                <w:rFonts w:ascii="Times New Roman" w:hAnsi="Times New Roman"/>
                <w:noProof/>
                <w:sz w:val="24"/>
                <w:szCs w:val="24"/>
              </w:rPr>
            </w:pPr>
            <w:r>
              <w:rPr>
                <w:rFonts w:ascii="Times New Roman" w:hAnsi="Times New Roman"/>
                <w:noProof/>
                <w:sz w:val="24"/>
              </w:rPr>
              <w:t>Комисията ще използва следващия годишен форум за SUMP, за да работи с публичните власти за адаптиране на SUMP до пролетта на 2018 г.</w:t>
            </w:r>
          </w:p>
          <w:p w:rsidR="00D64E4D" w:rsidRDefault="00DB1970">
            <w:pPr>
              <w:pStyle w:val="Text1"/>
              <w:numPr>
                <w:ilvl w:val="0"/>
                <w:numId w:val="39"/>
              </w:numPr>
              <w:spacing w:line="240" w:lineRule="auto"/>
              <w:jc w:val="both"/>
              <w:rPr>
                <w:rFonts w:ascii="Times New Roman" w:hAnsi="Times New Roman"/>
                <w:noProof/>
                <w:sz w:val="24"/>
                <w:szCs w:val="24"/>
              </w:rPr>
            </w:pPr>
            <w:r>
              <w:rPr>
                <w:rFonts w:ascii="Times New Roman" w:hAnsi="Times New Roman"/>
                <w:noProof/>
                <w:sz w:val="24"/>
              </w:rPr>
              <w:t xml:space="preserve">Наред с това тя ще направи преглед и ще адаптира, когато е осъществимо, финансирането на инфраструктура за алтернативни горива/енергоносители в градските възли, включително за решения, касаещи автомобилния парк, до края на 2017 г. </w:t>
            </w:r>
          </w:p>
        </w:tc>
      </w:tr>
    </w:tbl>
    <w:p w:rsidR="00D64E4D" w:rsidRDefault="00D64E4D">
      <w:pPr>
        <w:pStyle w:val="Text1"/>
        <w:spacing w:line="240" w:lineRule="auto"/>
        <w:ind w:left="0"/>
        <w:jc w:val="both"/>
        <w:rPr>
          <w:rFonts w:ascii="Times New Roman" w:hAnsi="Times New Roman"/>
          <w:noProof/>
          <w:sz w:val="24"/>
          <w:szCs w:val="24"/>
        </w:rPr>
      </w:pPr>
    </w:p>
    <w:p w:rsidR="00D64E4D" w:rsidRDefault="00DB1970">
      <w:pPr>
        <w:pStyle w:val="Heading2"/>
        <w:rPr>
          <w:noProof/>
        </w:rPr>
      </w:pPr>
      <w:r>
        <w:rPr>
          <w:noProof/>
        </w:rPr>
        <w:t>Увеличаване на възприемането от потребителите</w:t>
      </w:r>
    </w:p>
    <w:p w:rsidR="00D64E4D" w:rsidRDefault="00DB1970">
      <w:pPr>
        <w:pStyle w:val="Briefingtext"/>
        <w:spacing w:after="120"/>
        <w:rPr>
          <w:rFonts w:ascii="Times New Roman" w:hAnsi="Times New Roman"/>
          <w:noProof/>
          <w:sz w:val="24"/>
        </w:rPr>
      </w:pPr>
      <w:r>
        <w:rPr>
          <w:rFonts w:ascii="Times New Roman" w:hAnsi="Times New Roman"/>
          <w:noProof/>
          <w:sz w:val="24"/>
        </w:rPr>
        <w:t xml:space="preserve">Разгръщането на мобилността с ниски емисии до голяма степен зависи от възприемането от страна на потребителите, което се улеснява от удобен достъп до съответната инфраструктура и приемливи цени. Ето защо ключово изискване е потребителите да могат </w:t>
      </w:r>
      <w:r>
        <w:rPr>
          <w:rFonts w:ascii="Times New Roman" w:hAnsi="Times New Roman"/>
          <w:b/>
          <w:noProof/>
          <w:sz w:val="24"/>
        </w:rPr>
        <w:t>безпрепятствено да използват мобилността</w:t>
      </w:r>
      <w:r>
        <w:rPr>
          <w:rFonts w:ascii="Times New Roman" w:hAnsi="Times New Roman"/>
          <w:noProof/>
          <w:sz w:val="24"/>
        </w:rPr>
        <w:t xml:space="preserve"> така, както са привикнали да използват превозните средства с конвенционално гориво.</w:t>
      </w:r>
    </w:p>
    <w:p w:rsidR="00D64E4D" w:rsidRDefault="00DB1970">
      <w:pPr>
        <w:pStyle w:val="Briefingtext"/>
        <w:spacing w:after="120"/>
        <w:rPr>
          <w:rFonts w:ascii="Times New Roman" w:hAnsi="Times New Roman"/>
          <w:noProof/>
          <w:sz w:val="24"/>
        </w:rPr>
      </w:pPr>
      <w:r>
        <w:rPr>
          <w:rFonts w:ascii="Times New Roman" w:hAnsi="Times New Roman"/>
          <w:noProof/>
          <w:sz w:val="24"/>
        </w:rPr>
        <w:t xml:space="preserve">Поради това е необходимо </w:t>
      </w:r>
      <w:r>
        <w:rPr>
          <w:rFonts w:ascii="Times New Roman" w:hAnsi="Times New Roman"/>
          <w:b/>
          <w:noProof/>
          <w:sz w:val="24"/>
        </w:rPr>
        <w:t>засилено сътрудничество между публичните и частните участници</w:t>
      </w:r>
      <w:r>
        <w:rPr>
          <w:rFonts w:ascii="Times New Roman" w:hAnsi="Times New Roman"/>
          <w:noProof/>
          <w:sz w:val="24"/>
        </w:rPr>
        <w:t>. Това засяга достъпа до навременна и надеждна информация относно местоположението и достъпа до зарядни точки за електроенергия или точки за зареждане с гориво. Безпроблемно действащите и оперативно съвместими платежни услуги също могат да окажат голямо влияние. Такива услуги обаче далеч не са факт в целия ЕС, а понякога дори и в рамките на една държава членка. Особено необходимо е постигането на напредък в услугите за електромобилност, поради което се инсталират все по-голям брой зарядни точки.</w:t>
      </w:r>
    </w:p>
    <w:p w:rsidR="00D64E4D" w:rsidRDefault="00DB1970">
      <w:pPr>
        <w:pStyle w:val="Text3"/>
        <w:tabs>
          <w:tab w:val="clear" w:pos="2302"/>
          <w:tab w:val="left" w:pos="0"/>
        </w:tabs>
        <w:spacing w:line="240" w:lineRule="auto"/>
        <w:ind w:left="0"/>
        <w:jc w:val="both"/>
        <w:rPr>
          <w:rFonts w:ascii="Times New Roman" w:hAnsi="Times New Roman"/>
          <w:noProof/>
          <w:sz w:val="24"/>
          <w:szCs w:val="24"/>
        </w:rPr>
      </w:pPr>
      <w:r>
        <w:rPr>
          <w:rFonts w:ascii="Times New Roman" w:hAnsi="Times New Roman"/>
          <w:noProof/>
          <w:sz w:val="24"/>
        </w:rPr>
        <w:t xml:space="preserve">В крайна сметка </w:t>
      </w:r>
      <w:r>
        <w:rPr>
          <w:rFonts w:ascii="Times New Roman" w:hAnsi="Times New Roman"/>
          <w:b/>
          <w:noProof/>
          <w:sz w:val="24"/>
        </w:rPr>
        <w:t>всички части от необходимата инфраструктура трябва да бъдат дигитално свързани</w:t>
      </w:r>
      <w:r>
        <w:rPr>
          <w:rFonts w:ascii="Times New Roman" w:hAnsi="Times New Roman"/>
          <w:noProof/>
          <w:sz w:val="24"/>
        </w:rPr>
        <w:t xml:space="preserve"> (тоест с управление от разстояние и в реално време за зарядните станции). Това не само ще позволи да се наблюдава зарядната точка. То ще направи възможни множество опции за зареждане чрез използване на смартфон, както и (в бъдеще) услуги с добавена стойност (напр. резервация), което може да убеди инвеститорите и операторите на инфраструктурата в бизнес логиката на начинанието.</w:t>
      </w:r>
    </w:p>
    <w:p w:rsidR="00D64E4D" w:rsidRDefault="00DB1970">
      <w:pPr>
        <w:pStyle w:val="Briefingtext"/>
        <w:spacing w:after="120"/>
        <w:rPr>
          <w:rFonts w:ascii="Times New Roman" w:hAnsi="Times New Roman"/>
          <w:noProof/>
          <w:sz w:val="24"/>
        </w:rPr>
      </w:pPr>
      <w:r>
        <w:rPr>
          <w:rFonts w:ascii="Times New Roman" w:hAnsi="Times New Roman"/>
          <w:noProof/>
          <w:sz w:val="24"/>
        </w:rPr>
        <w:t xml:space="preserve">Вече са договорени множество изисквания за </w:t>
      </w:r>
      <w:r>
        <w:rPr>
          <w:rFonts w:ascii="Times New Roman" w:hAnsi="Times New Roman"/>
          <w:b/>
          <w:noProof/>
          <w:sz w:val="24"/>
        </w:rPr>
        <w:t xml:space="preserve">достъп, споделяне и повторна употреба на данни </w:t>
      </w:r>
      <w:r>
        <w:rPr>
          <w:rFonts w:ascii="Times New Roman" w:hAnsi="Times New Roman"/>
          <w:noProof/>
          <w:sz w:val="24"/>
        </w:rPr>
        <w:t>като част от прилагането на Директивата относно интелигентните транспортни системи (ITS)</w:t>
      </w:r>
      <w:r>
        <w:rPr>
          <w:rStyle w:val="FootnoteReference"/>
          <w:rFonts w:ascii="Times New Roman" w:hAnsi="Times New Roman"/>
          <w:noProof/>
          <w:sz w:val="24"/>
        </w:rPr>
        <w:footnoteReference w:id="40"/>
      </w:r>
      <w:r>
        <w:rPr>
          <w:rFonts w:ascii="Times New Roman" w:hAnsi="Times New Roman"/>
          <w:noProof/>
          <w:sz w:val="24"/>
        </w:rPr>
        <w:t xml:space="preserve"> и последвалите я делегирани регламенти, като се предвижда съществуващата информация относно местоположението и наличието на зарядни станции да се предоставя чрез националните звена за достъп. Държавите членки, пътните власти и доставчиците на услуги трябва да гарантират бързото прилагане на съответните делегирани регламенти</w:t>
      </w:r>
      <w:r>
        <w:rPr>
          <w:rStyle w:val="FootnoteReference"/>
          <w:rFonts w:ascii="Times New Roman" w:hAnsi="Times New Roman"/>
          <w:noProof/>
          <w:sz w:val="24"/>
        </w:rPr>
        <w:footnoteReference w:id="41"/>
      </w:r>
      <w:r>
        <w:rPr>
          <w:rFonts w:ascii="Times New Roman" w:hAnsi="Times New Roman"/>
          <w:noProof/>
          <w:sz w:val="24"/>
        </w:rPr>
        <w:t xml:space="preserve"> към Директивата относно ITS. В много случаи обаче </w:t>
      </w:r>
      <w:r>
        <w:rPr>
          <w:rFonts w:ascii="Times New Roman" w:hAnsi="Times New Roman"/>
          <w:b/>
          <w:noProof/>
          <w:sz w:val="24"/>
        </w:rPr>
        <w:t>данните все още не са налични</w:t>
      </w:r>
      <w:r>
        <w:rPr>
          <w:rFonts w:ascii="Times New Roman" w:hAnsi="Times New Roman"/>
          <w:noProof/>
          <w:sz w:val="24"/>
        </w:rPr>
        <w:t xml:space="preserve"> и ще трябва да бъдат събрани и обработени в държавите членки. Преодоляването на тези недостатъци следва да бъде приоритет за властите на държавите членки.</w:t>
      </w:r>
    </w:p>
    <w:p w:rsidR="00D64E4D" w:rsidRDefault="00DB1970">
      <w:pPr>
        <w:pStyle w:val="Briefingtext"/>
        <w:spacing w:after="120"/>
        <w:rPr>
          <w:rFonts w:ascii="Times New Roman" w:hAnsi="Times New Roman"/>
          <w:noProof/>
          <w:sz w:val="24"/>
        </w:rPr>
      </w:pPr>
      <w:r>
        <w:rPr>
          <w:rFonts w:ascii="Times New Roman" w:hAnsi="Times New Roman"/>
          <w:noProof/>
          <w:sz w:val="24"/>
        </w:rPr>
        <w:t xml:space="preserve">Но за създаването на един отворен и конкурентен пазар — който да дава най-доброто на потребителите —са необходими </w:t>
      </w:r>
      <w:r>
        <w:rPr>
          <w:rFonts w:ascii="Times New Roman" w:hAnsi="Times New Roman"/>
          <w:b/>
          <w:noProof/>
          <w:sz w:val="24"/>
        </w:rPr>
        <w:t>по-широк набор от поддържани от съответните отрасли стандарти, формати за данни и протоколи за комуникация</w:t>
      </w:r>
      <w:r>
        <w:rPr>
          <w:rFonts w:ascii="Times New Roman" w:hAnsi="Times New Roman"/>
          <w:noProof/>
          <w:sz w:val="24"/>
        </w:rPr>
        <w:t>. Частните и публичните участници в пазара постигнаха напредък в това отношение на Форума за устойчив транспорт, като бе приет меморандум за разбирателство, който съдържа важни препоръки за оперативно съвместимите платежни услуги.</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Те включват следното:</w:t>
      </w:r>
    </w:p>
    <w:p w:rsidR="00D64E4D" w:rsidRDefault="00DB1970">
      <w:pPr>
        <w:pStyle w:val="Text1"/>
        <w:numPr>
          <w:ilvl w:val="0"/>
          <w:numId w:val="42"/>
        </w:numPr>
        <w:spacing w:line="240" w:lineRule="auto"/>
        <w:jc w:val="both"/>
        <w:rPr>
          <w:rFonts w:ascii="Times New Roman" w:hAnsi="Times New Roman"/>
          <w:noProof/>
          <w:sz w:val="24"/>
          <w:szCs w:val="24"/>
        </w:rPr>
      </w:pPr>
      <w:r>
        <w:rPr>
          <w:rFonts w:ascii="Times New Roman" w:hAnsi="Times New Roman"/>
          <w:noProof/>
          <w:sz w:val="24"/>
        </w:rPr>
        <w:t xml:space="preserve">За да се гарантира, че услугите за електромобилност са оперативно съвместими в целия ЕС, е нужна уникална </w:t>
      </w:r>
      <w:r>
        <w:rPr>
          <w:rFonts w:ascii="Times New Roman" w:hAnsi="Times New Roman"/>
          <w:b/>
          <w:noProof/>
          <w:sz w:val="24"/>
        </w:rPr>
        <w:t>идентификация на участниците в електромобилността</w:t>
      </w:r>
      <w:r>
        <w:rPr>
          <w:rFonts w:ascii="Times New Roman" w:hAnsi="Times New Roman"/>
          <w:noProof/>
          <w:sz w:val="24"/>
        </w:rPr>
        <w:t>.</w:t>
      </w:r>
      <w:r>
        <w:rPr>
          <w:rStyle w:val="FootnoteReference"/>
          <w:rFonts w:ascii="Times New Roman" w:hAnsi="Times New Roman"/>
          <w:noProof/>
          <w:sz w:val="24"/>
        </w:rPr>
        <w:footnoteReference w:id="42"/>
      </w:r>
      <w:r>
        <w:rPr>
          <w:rFonts w:ascii="Times New Roman" w:hAnsi="Times New Roman"/>
          <w:noProof/>
          <w:sz w:val="24"/>
        </w:rPr>
        <w:t xml:space="preserve"> Ето защо на ниво ЕС следва да бъде въведен регистрационен процес, основан на международни стандарти. Той ще изисква от държавите членки да определят орган, компетентен да регистрира уникални идентификационни кодове за електромобилност. Комисията ще обсъди какъв механизъм (напр. CEF) е подходящ за подпомагане на въвеждането на такава процедура. Тя ще окаже съдействие за събирането на липсващата информация, свързана с прилагането на делегираните регламенти, споменати по-горе. Освен това тя може да разгледа нуждата от подкрепа за развитието на различни решения за роуминг.</w:t>
      </w:r>
    </w:p>
    <w:p w:rsidR="00D64E4D" w:rsidRDefault="00DB1970">
      <w:pPr>
        <w:pStyle w:val="Text1"/>
        <w:numPr>
          <w:ilvl w:val="0"/>
          <w:numId w:val="42"/>
        </w:numPr>
        <w:spacing w:line="240" w:lineRule="auto"/>
        <w:jc w:val="both"/>
        <w:rPr>
          <w:rFonts w:ascii="Times New Roman" w:hAnsi="Times New Roman"/>
          <w:noProof/>
          <w:sz w:val="24"/>
          <w:szCs w:val="24"/>
        </w:rPr>
      </w:pPr>
      <w:r>
        <w:rPr>
          <w:rFonts w:ascii="Times New Roman" w:hAnsi="Times New Roman"/>
          <w:noProof/>
          <w:sz w:val="24"/>
        </w:rPr>
        <w:t xml:space="preserve">Потребителите се нуждаят от </w:t>
      </w:r>
      <w:r>
        <w:rPr>
          <w:rFonts w:ascii="Times New Roman" w:hAnsi="Times New Roman"/>
          <w:b/>
          <w:noProof/>
          <w:sz w:val="24"/>
        </w:rPr>
        <w:t>непрекъснати, оперативно съвместими платежни услуги за електромобилност, базирани на отворени стандарти,</w:t>
      </w:r>
      <w:r>
        <w:rPr>
          <w:rFonts w:ascii="Times New Roman" w:hAnsi="Times New Roman"/>
          <w:noProof/>
          <w:sz w:val="24"/>
        </w:rPr>
        <w:t xml:space="preserve"> които не са обременени с права върху интелектуалната собственост и авторски права. Комисията ще следи внимателно промените в тази област. Тя ще започне обществена консултация по тази тема преди края на 2017 г. Ако надделее фрагментарността на платежните услуги, Комисията ще разгледа възможността за приемане на законодателен подход, гарантиращ оперативната съвместимост на услугите.</w:t>
      </w:r>
    </w:p>
    <w:p w:rsidR="00D64E4D" w:rsidRDefault="00DB1970">
      <w:pPr>
        <w:pStyle w:val="Text1"/>
        <w:numPr>
          <w:ilvl w:val="0"/>
          <w:numId w:val="42"/>
        </w:numPr>
        <w:spacing w:line="240" w:lineRule="auto"/>
        <w:jc w:val="both"/>
        <w:rPr>
          <w:rFonts w:ascii="Times New Roman" w:hAnsi="Times New Roman"/>
          <w:noProof/>
          <w:sz w:val="24"/>
          <w:szCs w:val="24"/>
        </w:rPr>
      </w:pPr>
      <w:r>
        <w:rPr>
          <w:rFonts w:ascii="Times New Roman" w:hAnsi="Times New Roman"/>
          <w:b/>
          <w:noProof/>
          <w:sz w:val="24"/>
        </w:rPr>
        <w:t>Предвидимостта на разходите</w:t>
      </w:r>
      <w:r>
        <w:rPr>
          <w:rFonts w:ascii="Times New Roman" w:hAnsi="Times New Roman"/>
          <w:noProof/>
          <w:sz w:val="24"/>
        </w:rPr>
        <w:t xml:space="preserve"> е ключов фактор. Тя означава наличието на прозрачна, лесно разбираема и навременна информация относно цените. Цените за роуминг следва да бъдат приемливи и ограничени. Комисията очаква, че наред с ползването на централизиран хъб, даващ възможност за роуминг, конкурентните механизми (напр. блокверига) ще позволят на пазара да достигне до възможно най-добрия резултат. Комисията ще следи отблизо развитието на пазара, по-конкретно достъпа до информация за цените и разходите за роуминг, като ще направи преглед на текущото състояние на годишната конференция за чист транспорт и инфраструктура за алтернативни горива/енергоносители, която ще се проведе в края на есента на 2018 г.</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Комисията ще продължи да събира експертни становища и да спомага за обмена на информация чрез експертната група STF. </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Комисията също така работи съвместно с държавите членки над </w:t>
      </w:r>
      <w:r>
        <w:rPr>
          <w:rFonts w:ascii="Times New Roman" w:hAnsi="Times New Roman"/>
          <w:b/>
          <w:noProof/>
          <w:sz w:val="24"/>
        </w:rPr>
        <w:t>методика,</w:t>
      </w:r>
      <w:r>
        <w:rPr>
          <w:rFonts w:ascii="Times New Roman" w:hAnsi="Times New Roman"/>
          <w:noProof/>
          <w:sz w:val="24"/>
        </w:rPr>
        <w:t xml:space="preserve"> </w:t>
      </w:r>
      <w:r>
        <w:rPr>
          <w:rFonts w:ascii="Times New Roman" w:hAnsi="Times New Roman"/>
          <w:b/>
          <w:noProof/>
          <w:sz w:val="24"/>
        </w:rPr>
        <w:t>която да даде възможност на потребителите да сравняват цените</w:t>
      </w:r>
      <w:r>
        <w:rPr>
          <w:rFonts w:ascii="Times New Roman" w:hAnsi="Times New Roman"/>
          <w:noProof/>
          <w:sz w:val="24"/>
        </w:rPr>
        <w:t xml:space="preserve"> на конвенционални и алтернативни горива/енергоносители чрез обща единица мярка, така че да могат да преценят общия разход за притежаване на различни видове превозни средства. Наред с това тя ще подкрепи държавите членки за предоставяне на тази информация чрез дигитални средства.  </w:t>
      </w:r>
    </w:p>
    <w:p w:rsidR="00D64E4D" w:rsidRDefault="00DB1970">
      <w:pPr>
        <w:pStyle w:val="Text1"/>
        <w:spacing w:after="120" w:line="240" w:lineRule="auto"/>
        <w:ind w:left="0"/>
        <w:jc w:val="both"/>
        <w:rPr>
          <w:rFonts w:ascii="Times New Roman" w:hAnsi="Times New Roman"/>
          <w:noProof/>
          <w:sz w:val="24"/>
        </w:rPr>
      </w:pPr>
      <w:r>
        <w:rPr>
          <w:rFonts w:ascii="Times New Roman" w:hAnsi="Times New Roman"/>
          <w:noProof/>
          <w:sz w:val="24"/>
        </w:rPr>
        <w:t>Проведената неотдавна оценка на отнасящата се за етикетирането на автомобили Директива 1999/94/ЕО</w:t>
      </w:r>
      <w:r>
        <w:rPr>
          <w:rStyle w:val="FootnoteReference"/>
          <w:rFonts w:ascii="Times New Roman" w:hAnsi="Times New Roman"/>
          <w:noProof/>
          <w:sz w:val="24"/>
        </w:rPr>
        <w:footnoteReference w:id="43"/>
      </w:r>
      <w:r>
        <w:rPr>
          <w:rFonts w:ascii="Times New Roman" w:hAnsi="Times New Roman"/>
          <w:noProof/>
          <w:sz w:val="24"/>
        </w:rPr>
        <w:t>, която има за цел да подобри информацията за потребителите относно икономиите на гориво и емисиите на СО</w:t>
      </w:r>
      <w:r>
        <w:rPr>
          <w:rFonts w:ascii="Times New Roman" w:hAnsi="Times New Roman"/>
          <w:noProof/>
          <w:sz w:val="24"/>
          <w:vertAlign w:val="subscript"/>
        </w:rPr>
        <w:t>2</w:t>
      </w:r>
      <w:r>
        <w:rPr>
          <w:rFonts w:ascii="Times New Roman" w:hAnsi="Times New Roman"/>
          <w:noProof/>
          <w:sz w:val="24"/>
        </w:rPr>
        <w:t xml:space="preserve">, показа че липсват специфични изисквания по отношение на автомобилите, задвижвани с алтернативни горива/енергоносители; това е въпрос, който заслужава да му бъде отделено допълнително внимание. </w:t>
      </w:r>
    </w:p>
    <w:p w:rsidR="00D64E4D" w:rsidRDefault="00DB1970">
      <w:pPr>
        <w:pStyle w:val="Text1"/>
        <w:spacing w:after="120" w:line="240" w:lineRule="auto"/>
        <w:ind w:left="0"/>
        <w:jc w:val="both"/>
        <w:rPr>
          <w:rFonts w:ascii="Times New Roman" w:hAnsi="Times New Roman"/>
          <w:noProof/>
          <w:sz w:val="24"/>
          <w:szCs w:val="24"/>
        </w:rPr>
      </w:pPr>
      <w:r>
        <w:rPr>
          <w:rFonts w:ascii="Times New Roman" w:hAnsi="Times New Roman"/>
          <w:noProof/>
          <w:sz w:val="24"/>
        </w:rPr>
        <w:t>Комисията също така ще подкрепи държавите членки в събирането на данни, свързани с местоположението и наличието на станции за зареждане с алтернативни горива и енергоносители.</w:t>
      </w:r>
      <w:r>
        <w:rPr>
          <w:rStyle w:val="FootnoteReference"/>
          <w:rFonts w:ascii="Times New Roman" w:hAnsi="Times New Roman"/>
          <w:noProof/>
          <w:sz w:val="24"/>
        </w:rPr>
        <w:footnoteReference w:id="44"/>
      </w:r>
      <w:r>
        <w:rPr>
          <w:rFonts w:ascii="Times New Roman" w:hAnsi="Times New Roman"/>
          <w:noProof/>
          <w:sz w:val="24"/>
        </w:rPr>
        <w:t xml:space="preserve"> След това тези данни ще трябва да бъдат на разположение в националните звена за достъп, посочени в Директива 2010/40/ЕС.</w:t>
      </w:r>
    </w:p>
    <w:tbl>
      <w:tblPr>
        <w:tblStyle w:val="TableGrid"/>
        <w:tblW w:w="9042" w:type="dxa"/>
        <w:jc w:val="center"/>
        <w:tblLook w:val="04A0" w:firstRow="1" w:lastRow="0" w:firstColumn="1" w:lastColumn="0" w:noHBand="0" w:noVBand="1"/>
      </w:tblPr>
      <w:tblGrid>
        <w:gridCol w:w="9042"/>
      </w:tblGrid>
      <w:tr w:rsidR="00D64E4D">
        <w:trPr>
          <w:jc w:val="center"/>
        </w:trPr>
        <w:tc>
          <w:tcPr>
            <w:tcW w:w="9042" w:type="dxa"/>
            <w:shd w:val="clear" w:color="auto" w:fill="auto"/>
            <w:vAlign w:val="center"/>
          </w:tcPr>
          <w:p w:rsidR="00D64E4D" w:rsidRDefault="00DB1970">
            <w:pPr>
              <w:pStyle w:val="Text1"/>
              <w:keepNext/>
              <w:spacing w:after="120" w:line="240" w:lineRule="auto"/>
              <w:ind w:left="0"/>
              <w:rPr>
                <w:rFonts w:ascii="Times New Roman" w:hAnsi="Times New Roman"/>
                <w:b/>
                <w:noProof/>
                <w:sz w:val="24"/>
                <w:szCs w:val="24"/>
              </w:rPr>
            </w:pPr>
            <w:r>
              <w:rPr>
                <w:rFonts w:ascii="Times New Roman" w:hAnsi="Times New Roman"/>
                <w:b/>
                <w:noProof/>
                <w:sz w:val="24"/>
              </w:rPr>
              <w:t>Ключови действия</w:t>
            </w:r>
          </w:p>
          <w:p w:rsidR="00D64E4D" w:rsidRDefault="00DB1970">
            <w:pPr>
              <w:pStyle w:val="Text1"/>
              <w:numPr>
                <w:ilvl w:val="0"/>
                <w:numId w:val="43"/>
              </w:numPr>
              <w:spacing w:after="120" w:line="240" w:lineRule="auto"/>
              <w:jc w:val="both"/>
              <w:rPr>
                <w:rFonts w:ascii="Times New Roman" w:hAnsi="Times New Roman"/>
                <w:noProof/>
                <w:sz w:val="24"/>
                <w:szCs w:val="24"/>
              </w:rPr>
            </w:pPr>
            <w:r>
              <w:rPr>
                <w:rFonts w:ascii="Times New Roman" w:hAnsi="Times New Roman"/>
                <w:noProof/>
                <w:sz w:val="24"/>
              </w:rPr>
              <w:t>Държавите членки следва да определят органи, които да извършват регистрация на уникални идентификационни кодове за електромобилност. Комисията ще разгледа и свързан механизъм за подкрепа.</w:t>
            </w:r>
          </w:p>
          <w:p w:rsidR="00D64E4D" w:rsidRDefault="00DB1970">
            <w:pPr>
              <w:pStyle w:val="Text1"/>
              <w:numPr>
                <w:ilvl w:val="0"/>
                <w:numId w:val="43"/>
              </w:numPr>
              <w:spacing w:after="120" w:line="240" w:lineRule="auto"/>
              <w:jc w:val="both"/>
              <w:rPr>
                <w:rFonts w:ascii="Times New Roman" w:hAnsi="Times New Roman"/>
                <w:noProof/>
                <w:sz w:val="24"/>
                <w:szCs w:val="24"/>
              </w:rPr>
            </w:pPr>
            <w:r>
              <w:rPr>
                <w:rFonts w:ascii="Times New Roman" w:hAnsi="Times New Roman"/>
                <w:noProof/>
                <w:sz w:val="24"/>
              </w:rPr>
              <w:t>Още през 2017 г. Комисията ще започне обществена консултация относно непрекъснатите оперативно съвместими услуги с фокус върху електромобилността и ще следи отблизо развитието на пазара по отношение на цените за зареждане на електрически превозни средства.</w:t>
            </w:r>
          </w:p>
          <w:p w:rsidR="00D64E4D" w:rsidRDefault="00DB1970">
            <w:pPr>
              <w:pStyle w:val="Text1"/>
              <w:numPr>
                <w:ilvl w:val="0"/>
                <w:numId w:val="43"/>
              </w:numPr>
              <w:spacing w:after="120" w:line="240" w:lineRule="auto"/>
              <w:jc w:val="both"/>
              <w:rPr>
                <w:rFonts w:ascii="Times New Roman" w:hAnsi="Times New Roman"/>
                <w:noProof/>
                <w:sz w:val="24"/>
                <w:szCs w:val="24"/>
              </w:rPr>
            </w:pPr>
            <w:r>
              <w:rPr>
                <w:rFonts w:ascii="Times New Roman" w:hAnsi="Times New Roman"/>
                <w:noProof/>
                <w:sz w:val="24"/>
              </w:rPr>
              <w:t xml:space="preserve">През 2018 г. Комисията ще приеме акт за изпълнение относно сравнение на цените на горивата, чието прилагане ще бъде подпомогнато от насърчителни мерки. </w:t>
            </w:r>
          </w:p>
        </w:tc>
      </w:tr>
    </w:tbl>
    <w:p w:rsidR="00D64E4D" w:rsidRDefault="00D64E4D">
      <w:pPr>
        <w:pStyle w:val="Briefingtext"/>
        <w:spacing w:after="200"/>
        <w:rPr>
          <w:rFonts w:ascii="Times New Roman" w:eastAsia="Calibri" w:hAnsi="Times New Roman" w:cs="Times New Roman"/>
          <w:noProof/>
          <w:sz w:val="24"/>
        </w:rPr>
      </w:pPr>
    </w:p>
    <w:p w:rsidR="00D64E4D" w:rsidRDefault="00DB1970">
      <w:pPr>
        <w:pStyle w:val="Heading2"/>
        <w:rPr>
          <w:noProof/>
        </w:rPr>
      </w:pPr>
      <w:r>
        <w:rPr>
          <w:noProof/>
        </w:rPr>
        <w:t>Интегриране на електрическите превозни средства в електроенергийната система</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Широкото навлизане на електрически превозни средства ще увеличи потреблението на електроенергия </w:t>
      </w:r>
      <w:r>
        <w:rPr>
          <w:rFonts w:ascii="Times New Roman" w:hAnsi="Times New Roman"/>
          <w:b/>
          <w:noProof/>
          <w:sz w:val="24"/>
        </w:rPr>
        <w:t xml:space="preserve">от електроенергийната мрежа, </w:t>
      </w:r>
      <w:r>
        <w:rPr>
          <w:rFonts w:ascii="Times New Roman" w:hAnsi="Times New Roman"/>
          <w:noProof/>
          <w:sz w:val="24"/>
        </w:rPr>
        <w:t xml:space="preserve">която в някои райони вече е претоварена в определени части от деня. За да се избегнат ненужните разходи и забавяния при навлизането на електрически превозни средства заради скъпите и изискващи много време инвестиции за осъвременяване на електроенергийната инфраструктура, (бавното) зареждане на превозните средства следва да се осъществява най-вече тогава, когато мрежите не са претоварени и се произвежда достатъчно електроенергия. </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Нарастващата цифровизация на инфраструктурата вече позволява </w:t>
      </w:r>
      <w:r>
        <w:rPr>
          <w:rFonts w:ascii="Times New Roman" w:hAnsi="Times New Roman"/>
          <w:b/>
          <w:noProof/>
          <w:sz w:val="24"/>
        </w:rPr>
        <w:t>интелигентно управление на мрежата</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а оттам и управлението на зарядните точки. Това прави възможно </w:t>
      </w:r>
      <w:r>
        <w:rPr>
          <w:rFonts w:ascii="Times New Roman" w:hAnsi="Times New Roman"/>
          <w:b/>
          <w:noProof/>
          <w:sz w:val="24"/>
        </w:rPr>
        <w:t>„</w:t>
      </w:r>
      <w:r>
        <w:rPr>
          <w:rFonts w:ascii="Times New Roman" w:hAnsi="Times New Roman"/>
          <w:noProof/>
          <w:sz w:val="24"/>
        </w:rPr>
        <w:t xml:space="preserve">интелигентното зареждане“: зареждане в най-подходящото време за електроенергийната мрежа и при най-ниска цена за потребителите. В бъдеще батериите в електрическите превозни средства ще бъдат използвани и за операции на електроенергийната система („превозни средства към мрежа“), помагайки за баланса на електроенергийната мрежа по икономически ефективен начин. Операторите на мрежи могат да използват приходите от тези услуги за рефинансиране на инвестиционните разходи за инфраструктура, особено за зареждане на работното място. </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В своето предложение за Директива относно </w:t>
      </w:r>
      <w:r>
        <w:rPr>
          <w:rFonts w:ascii="Times New Roman" w:hAnsi="Times New Roman"/>
          <w:b/>
          <w:noProof/>
          <w:sz w:val="24"/>
        </w:rPr>
        <w:t>общите правила за вътрешния пазар на електроенергия</w:t>
      </w:r>
      <w:r>
        <w:rPr>
          <w:rFonts w:ascii="Times New Roman" w:hAnsi="Times New Roman"/>
          <w:noProof/>
          <w:sz w:val="24"/>
        </w:rPr>
        <w:t xml:space="preserve"> (преработен текст),</w:t>
      </w:r>
      <w:r>
        <w:rPr>
          <w:rStyle w:val="FootnoteReference"/>
          <w:rFonts w:ascii="Times New Roman" w:hAnsi="Times New Roman"/>
          <w:noProof/>
          <w:sz w:val="24"/>
        </w:rPr>
        <w:footnoteReference w:id="45"/>
      </w:r>
      <w:r>
        <w:rPr>
          <w:rFonts w:ascii="Times New Roman" w:hAnsi="Times New Roman"/>
          <w:noProof/>
          <w:sz w:val="24"/>
        </w:rPr>
        <w:t xml:space="preserve"> което се основава на разпоредбите на </w:t>
      </w:r>
      <w:r>
        <w:rPr>
          <w:rFonts w:ascii="Times New Roman" w:hAnsi="Times New Roman"/>
          <w:b/>
          <w:noProof/>
          <w:sz w:val="24"/>
        </w:rPr>
        <w:t>Директивата за енергийната ефективност</w:t>
      </w:r>
      <w:r>
        <w:rPr>
          <w:rStyle w:val="FootnoteReference"/>
          <w:rFonts w:ascii="Times New Roman" w:hAnsi="Times New Roman"/>
          <w:noProof/>
          <w:sz w:val="24"/>
        </w:rPr>
        <w:footnoteReference w:id="46"/>
      </w:r>
      <w:r>
        <w:rPr>
          <w:rFonts w:ascii="Times New Roman" w:hAnsi="Times New Roman"/>
          <w:noProof/>
          <w:sz w:val="24"/>
        </w:rPr>
        <w:t xml:space="preserve">, Комисията предлага съгласувана рамка за оптимизация на потреблението, която позволява интелигентно зареждане, стимулира потребителите да зареждат извън върховите часове и дава на операторите на системи за електроразпределение възможност активно да управляват мрежата. Ето защо постигането на бързо съгласие по предлаганите преработени директиви и правилното им транспониране ще бъдат предпоставка за интелигентното зареждане и в крайна сметка за мащабното навлизане на електрически превозни средства. </w:t>
      </w:r>
    </w:p>
    <w:p w:rsidR="00D64E4D" w:rsidRDefault="00DB1970">
      <w:pPr>
        <w:pStyle w:val="Text1"/>
        <w:spacing w:line="240" w:lineRule="auto"/>
        <w:ind w:left="0"/>
        <w:jc w:val="both"/>
        <w:rPr>
          <w:rFonts w:ascii="Times New Roman" w:hAnsi="Times New Roman"/>
          <w:noProof/>
          <w:sz w:val="24"/>
          <w:szCs w:val="24"/>
        </w:rPr>
      </w:pPr>
      <w:r>
        <w:rPr>
          <w:rFonts w:ascii="Times New Roman" w:hAnsi="Times New Roman"/>
          <w:noProof/>
          <w:sz w:val="24"/>
        </w:rPr>
        <w:t xml:space="preserve">Използването на </w:t>
      </w:r>
      <w:r>
        <w:rPr>
          <w:rFonts w:ascii="Times New Roman" w:hAnsi="Times New Roman"/>
          <w:b/>
          <w:noProof/>
          <w:sz w:val="24"/>
        </w:rPr>
        <w:t>технологии и устройства за съхранение на енергия</w:t>
      </w:r>
      <w:r>
        <w:rPr>
          <w:rFonts w:ascii="Times New Roman" w:hAnsi="Times New Roman"/>
          <w:noProof/>
          <w:sz w:val="24"/>
        </w:rPr>
        <w:t xml:space="preserve"> (напр. повторна употреба на автомобилни акумулатори в сградния фонд или водород, генериран на база възобновяеми енергийни източници) следва да се насърчават по-усилено като ключово условие за постигането на мобилност с нулеви емисии. </w:t>
      </w:r>
    </w:p>
    <w:p w:rsidR="00D64E4D" w:rsidRDefault="00DB1970">
      <w:pPr>
        <w:pStyle w:val="Text2"/>
        <w:spacing w:line="240" w:lineRule="auto"/>
        <w:ind w:left="0"/>
        <w:jc w:val="both"/>
        <w:rPr>
          <w:rFonts w:ascii="Times New Roman" w:hAnsi="Times New Roman"/>
          <w:noProof/>
          <w:sz w:val="24"/>
          <w:szCs w:val="24"/>
        </w:rPr>
      </w:pPr>
      <w:r>
        <w:rPr>
          <w:rFonts w:ascii="Times New Roman" w:hAnsi="Times New Roman"/>
          <w:noProof/>
          <w:sz w:val="24"/>
        </w:rPr>
        <w:t xml:space="preserve">Необходима е прозрачност на цените, за да се гарантира избягване на ненужните разходи и увеличения на цените (на електроенергията) заради осъвременяването на електрически превозни средства, включително за домакинствата с ниски доходи. </w:t>
      </w:r>
    </w:p>
    <w:tbl>
      <w:tblPr>
        <w:tblStyle w:val="TableGrid"/>
        <w:tblW w:w="9042" w:type="dxa"/>
        <w:jc w:val="center"/>
        <w:tblLook w:val="04A0" w:firstRow="1" w:lastRow="0" w:firstColumn="1" w:lastColumn="0" w:noHBand="0" w:noVBand="1"/>
      </w:tblPr>
      <w:tblGrid>
        <w:gridCol w:w="9042"/>
      </w:tblGrid>
      <w:tr w:rsidR="00D64E4D">
        <w:trPr>
          <w:jc w:val="center"/>
        </w:trPr>
        <w:tc>
          <w:tcPr>
            <w:tcW w:w="9042" w:type="dxa"/>
            <w:shd w:val="clear" w:color="auto" w:fill="auto"/>
            <w:vAlign w:val="center"/>
          </w:tcPr>
          <w:p w:rsidR="00D64E4D" w:rsidRDefault="00DB1970">
            <w:pPr>
              <w:pStyle w:val="Text1"/>
              <w:keepNext/>
              <w:pageBreakBefore/>
              <w:spacing w:line="240" w:lineRule="auto"/>
              <w:ind w:left="0"/>
              <w:rPr>
                <w:rFonts w:ascii="Times New Roman" w:hAnsi="Times New Roman"/>
                <w:b/>
                <w:noProof/>
                <w:sz w:val="24"/>
                <w:szCs w:val="24"/>
              </w:rPr>
            </w:pPr>
            <w:r>
              <w:rPr>
                <w:rFonts w:ascii="Times New Roman" w:hAnsi="Times New Roman"/>
                <w:b/>
                <w:noProof/>
                <w:sz w:val="24"/>
              </w:rPr>
              <w:t>Ключови действия</w:t>
            </w:r>
          </w:p>
          <w:p w:rsidR="00D64E4D" w:rsidRDefault="00DB1970">
            <w:pPr>
              <w:pStyle w:val="Text1"/>
              <w:numPr>
                <w:ilvl w:val="0"/>
                <w:numId w:val="33"/>
              </w:numPr>
              <w:spacing w:line="240" w:lineRule="auto"/>
              <w:jc w:val="both"/>
              <w:rPr>
                <w:rFonts w:ascii="Times New Roman" w:hAnsi="Times New Roman"/>
                <w:noProof/>
                <w:sz w:val="24"/>
                <w:szCs w:val="24"/>
              </w:rPr>
            </w:pPr>
            <w:r>
              <w:rPr>
                <w:rFonts w:ascii="Times New Roman" w:hAnsi="Times New Roman"/>
                <w:noProof/>
                <w:sz w:val="24"/>
              </w:rPr>
              <w:t xml:space="preserve">Държавите членки следва да създадат всички възможности за оптимизация на потреблението като бързо транспонират съответните разпоредби на Директивата за енергийната ефективност и свързаната структура на пазара на електроенергия, приемайки подкрепяща законодателна рамка за оптимизация на потреблението и интелигентно зареждане.  </w:t>
            </w:r>
          </w:p>
          <w:p w:rsidR="00D64E4D" w:rsidRDefault="00DB1970">
            <w:pPr>
              <w:pStyle w:val="ListParagraph"/>
              <w:numPr>
                <w:ilvl w:val="0"/>
                <w:numId w:val="33"/>
              </w:numPr>
              <w:jc w:val="both"/>
              <w:rPr>
                <w:rFonts w:ascii="Times New Roman" w:eastAsia="Calibri" w:hAnsi="Times New Roman" w:cs="Times New Roman"/>
                <w:noProof/>
                <w:sz w:val="24"/>
                <w:szCs w:val="24"/>
              </w:rPr>
            </w:pPr>
            <w:r>
              <w:rPr>
                <w:rFonts w:ascii="Times New Roman" w:hAnsi="Times New Roman"/>
                <w:noProof/>
                <w:sz w:val="24"/>
              </w:rPr>
              <w:t xml:space="preserve">Държавите членки следва да насърчават изграждането на зарядни точки и предварителното окабеляване на паркоместата в жилищни и нежилищни сгради.   </w:t>
            </w:r>
          </w:p>
          <w:p w:rsidR="00D64E4D" w:rsidRDefault="00DB1970">
            <w:pPr>
              <w:pStyle w:val="Text1"/>
              <w:numPr>
                <w:ilvl w:val="0"/>
                <w:numId w:val="33"/>
              </w:numPr>
              <w:spacing w:line="240" w:lineRule="auto"/>
              <w:jc w:val="both"/>
              <w:rPr>
                <w:rFonts w:ascii="Times New Roman" w:hAnsi="Times New Roman"/>
                <w:noProof/>
                <w:sz w:val="24"/>
                <w:szCs w:val="24"/>
              </w:rPr>
            </w:pPr>
            <w:r>
              <w:rPr>
                <w:rFonts w:ascii="Times New Roman" w:hAnsi="Times New Roman"/>
                <w:noProof/>
                <w:sz w:val="24"/>
              </w:rPr>
              <w:t xml:space="preserve">Държавите членки следва да гарантират внедряването на технологии, даващи възможност за интелигентно зареждане, например интелигентни измервателни уреди, а също и за прилагане на вече приетите или предстоящите за приемане стандарти за интелигентно зареждане на електрически превозни средства (напр. ISO 15118 и IEC 63110).   </w:t>
            </w:r>
          </w:p>
          <w:p w:rsidR="00D64E4D" w:rsidRDefault="00DB1970">
            <w:pPr>
              <w:pStyle w:val="Text1"/>
              <w:numPr>
                <w:ilvl w:val="0"/>
                <w:numId w:val="33"/>
              </w:numPr>
              <w:spacing w:line="240" w:lineRule="auto"/>
              <w:ind w:left="357" w:hanging="357"/>
              <w:rPr>
                <w:rFonts w:ascii="Times New Roman" w:hAnsi="Times New Roman"/>
                <w:noProof/>
                <w:sz w:val="24"/>
                <w:szCs w:val="24"/>
              </w:rPr>
            </w:pPr>
            <w:r>
              <w:rPr>
                <w:rFonts w:ascii="Times New Roman" w:hAnsi="Times New Roman"/>
                <w:noProof/>
                <w:sz w:val="24"/>
              </w:rPr>
              <w:t>Потребностите, свързани с електромобилността, ще бъдат взети предвид в контекста на планирането на „Хоризонт 2020“, както и в контекста на процеса за Стратегическия план за енергийните технологии (план SET) и други форуми на заинтересованите лица.</w:t>
            </w:r>
          </w:p>
          <w:p w:rsidR="00D64E4D" w:rsidRDefault="00DB1970">
            <w:pPr>
              <w:pStyle w:val="Text1"/>
              <w:numPr>
                <w:ilvl w:val="0"/>
                <w:numId w:val="33"/>
              </w:numPr>
              <w:spacing w:line="240" w:lineRule="auto"/>
              <w:ind w:left="357" w:hanging="357"/>
              <w:jc w:val="both"/>
              <w:rPr>
                <w:rFonts w:ascii="Times New Roman" w:hAnsi="Times New Roman"/>
                <w:noProof/>
                <w:sz w:val="24"/>
                <w:szCs w:val="24"/>
              </w:rPr>
            </w:pPr>
            <w:r>
              <w:rPr>
                <w:rFonts w:ascii="Times New Roman" w:hAnsi="Times New Roman"/>
                <w:noProof/>
                <w:sz w:val="24"/>
              </w:rPr>
              <w:t xml:space="preserve">Форумът за устойчив транспорт ще доразвие необходимите препоръки за улесняване на ефективното осъществяване на интеграцията между зарядните станции и електроенергийната мрежа и за осигуряване на оперативна съвместимост в целия ЕС. </w:t>
            </w:r>
          </w:p>
        </w:tc>
      </w:tr>
    </w:tbl>
    <w:p w:rsidR="00D64E4D" w:rsidRDefault="00DB1970">
      <w:pPr>
        <w:pStyle w:val="Heading2"/>
        <w:spacing w:before="240"/>
        <w:rPr>
          <w:noProof/>
        </w:rPr>
      </w:pPr>
      <w:r>
        <w:rPr>
          <w:noProof/>
        </w:rPr>
        <w:t>Нововъзникващи въпроси</w:t>
      </w:r>
    </w:p>
    <w:p w:rsidR="00D64E4D" w:rsidRDefault="00DB1970">
      <w:pPr>
        <w:pStyle w:val="Text2"/>
        <w:spacing w:line="240" w:lineRule="auto"/>
        <w:ind w:left="0"/>
        <w:jc w:val="both"/>
        <w:rPr>
          <w:rFonts w:ascii="Times New Roman" w:hAnsi="Times New Roman"/>
          <w:noProof/>
          <w:sz w:val="24"/>
          <w:szCs w:val="24"/>
        </w:rPr>
      </w:pPr>
      <w:r>
        <w:rPr>
          <w:rFonts w:ascii="Times New Roman" w:hAnsi="Times New Roman"/>
          <w:noProof/>
          <w:sz w:val="24"/>
        </w:rPr>
        <w:t xml:space="preserve">Следва да се увеличи използването на </w:t>
      </w:r>
      <w:r>
        <w:rPr>
          <w:rFonts w:ascii="Times New Roman" w:hAnsi="Times New Roman"/>
          <w:b/>
          <w:noProof/>
          <w:sz w:val="24"/>
        </w:rPr>
        <w:t xml:space="preserve">устойчиво добит биометан в смес с природен газ или като негов заместител </w:t>
      </w:r>
      <w:r>
        <w:rPr>
          <w:rFonts w:ascii="Times New Roman" w:hAnsi="Times New Roman"/>
          <w:noProof/>
          <w:sz w:val="24"/>
        </w:rPr>
        <w:t>в превозни средства на природен газ, за да се подобри устойчивото енергозахранване на превозните средства, работещи с природен газ. Производителите и операторите биха могли да се договорят за пожелателни цели за подобно смесване, с което да създадат сигурност на пазара.</w:t>
      </w:r>
    </w:p>
    <w:p w:rsidR="00D64E4D" w:rsidRDefault="00DB1970">
      <w:pPr>
        <w:pStyle w:val="Text2"/>
        <w:spacing w:line="240" w:lineRule="auto"/>
        <w:ind w:left="0"/>
        <w:jc w:val="both"/>
        <w:rPr>
          <w:rFonts w:ascii="Times New Roman" w:hAnsi="Times New Roman"/>
          <w:noProof/>
          <w:sz w:val="24"/>
          <w:szCs w:val="24"/>
        </w:rPr>
      </w:pPr>
      <w:r>
        <w:rPr>
          <w:rFonts w:ascii="Times New Roman" w:hAnsi="Times New Roman"/>
          <w:noProof/>
          <w:sz w:val="24"/>
        </w:rPr>
        <w:t xml:space="preserve">Освен насърчаването на захранване с електроенергия на паркирани самолети по летищата като част от НРП съгласно Директива 2014/94/ЕС, е нужно да се доразвие използването на </w:t>
      </w:r>
      <w:r>
        <w:rPr>
          <w:rFonts w:ascii="Times New Roman" w:hAnsi="Times New Roman"/>
          <w:b/>
          <w:noProof/>
          <w:sz w:val="24"/>
        </w:rPr>
        <w:t xml:space="preserve">алтернативни горива/енергоносители в авиацията. </w:t>
      </w:r>
      <w:r>
        <w:rPr>
          <w:rFonts w:ascii="Times New Roman" w:hAnsi="Times New Roman"/>
          <w:noProof/>
          <w:sz w:val="24"/>
        </w:rPr>
        <w:t>Ключовият акцент следва да бъде върху заместващите биогорива, при които използването и производството все още са ограничени, а в дългосрочен план — върху технологиите за задвижване без въглеродни емисии. Многостранните действия в тази област също са от фундаментално значение. Работата за по-нататъшно хармонизиране на правилата и стандартите за устойчивост на горивата на Международната организация за гражданско въздухоплаване (ICAO) и на ЕС ще помогне да се създадат по-добри пазарни условия.</w:t>
      </w:r>
    </w:p>
    <w:p w:rsidR="00D64E4D" w:rsidRDefault="00DB1970">
      <w:pPr>
        <w:pStyle w:val="Text2"/>
        <w:spacing w:line="240" w:lineRule="auto"/>
        <w:ind w:left="0"/>
        <w:jc w:val="both"/>
        <w:rPr>
          <w:rFonts w:ascii="Times New Roman" w:hAnsi="Times New Roman"/>
          <w:noProof/>
          <w:sz w:val="24"/>
          <w:szCs w:val="24"/>
        </w:rPr>
      </w:pPr>
      <w:r>
        <w:rPr>
          <w:rFonts w:ascii="Times New Roman" w:hAnsi="Times New Roman"/>
          <w:noProof/>
          <w:sz w:val="24"/>
        </w:rPr>
        <w:t xml:space="preserve">Комисията ще насърчава по-нататъшни усилия за засилване на употребата на алтернативни горива, например водород или други възобновяеми горива, в съчетание с горивни клетки с цел разширяване на обхвата на чистите </w:t>
      </w:r>
      <w:r>
        <w:rPr>
          <w:rFonts w:ascii="Times New Roman" w:hAnsi="Times New Roman"/>
          <w:b/>
          <w:noProof/>
          <w:sz w:val="24"/>
        </w:rPr>
        <w:t>технологии за релсово придвижване</w:t>
      </w:r>
      <w:r>
        <w:rPr>
          <w:rFonts w:ascii="Times New Roman" w:hAnsi="Times New Roman"/>
          <w:noProof/>
          <w:sz w:val="24"/>
        </w:rPr>
        <w:t>. Синергии има и между водорода и LNG във водния транспорт, паралелно с биогоривата от ново поколение като заместващи решения в този сектор.</w:t>
      </w:r>
    </w:p>
    <w:p w:rsidR="00D64E4D" w:rsidRDefault="00DB1970">
      <w:pPr>
        <w:pStyle w:val="Heading1"/>
        <w:rPr>
          <w:noProof/>
        </w:rPr>
      </w:pPr>
      <w:r>
        <w:rPr>
          <w:noProof/>
        </w:rPr>
        <w:t>Заключения</w:t>
      </w:r>
    </w:p>
    <w:p w:rsidR="00D64E4D" w:rsidRDefault="00DB1970">
      <w:pPr>
        <w:pStyle w:val="Text2"/>
        <w:spacing w:line="240" w:lineRule="auto"/>
        <w:ind w:left="0"/>
        <w:jc w:val="both"/>
        <w:rPr>
          <w:rFonts w:ascii="Times New Roman" w:eastAsiaTheme="minorHAnsi" w:hAnsi="Times New Roman"/>
          <w:noProof/>
          <w:sz w:val="24"/>
          <w:szCs w:val="24"/>
        </w:rPr>
      </w:pPr>
      <w:r>
        <w:rPr>
          <w:rFonts w:ascii="Times New Roman" w:eastAsiaTheme="minorHAnsi" w:hAnsi="Times New Roman"/>
          <w:noProof/>
          <w:sz w:val="24"/>
        </w:rPr>
        <w:t xml:space="preserve">Парижкото споразумение относно изменението на климата вече е в сила, затова </w:t>
      </w:r>
      <w:r>
        <w:rPr>
          <w:rFonts w:ascii="Times New Roman" w:eastAsiaTheme="minorHAnsi" w:hAnsi="Times New Roman"/>
          <w:b/>
          <w:noProof/>
          <w:sz w:val="24"/>
        </w:rPr>
        <w:t>преходът към модерна и нисковъглеродна икономика трябва да бъде ускорен</w:t>
      </w:r>
      <w:r>
        <w:rPr>
          <w:rFonts w:ascii="Times New Roman" w:eastAsiaTheme="minorHAnsi" w:hAnsi="Times New Roman"/>
          <w:noProof/>
          <w:sz w:val="24"/>
        </w:rPr>
        <w:t xml:space="preserve">. На срещата на Европейския съвет през юни 2017 г. Парижкото споразумение беше признато за „ключов елемент за модернизацията на европейската промишленост и икономика“. </w:t>
      </w:r>
    </w:p>
    <w:p w:rsidR="00D64E4D" w:rsidRDefault="00DB1970">
      <w:pPr>
        <w:pStyle w:val="Text2"/>
        <w:spacing w:line="240" w:lineRule="auto"/>
        <w:ind w:left="0"/>
        <w:jc w:val="both"/>
        <w:rPr>
          <w:rFonts w:ascii="Times New Roman" w:eastAsiaTheme="minorHAnsi" w:hAnsi="Times New Roman"/>
          <w:noProof/>
          <w:sz w:val="24"/>
          <w:szCs w:val="24"/>
        </w:rPr>
      </w:pPr>
      <w:r>
        <w:rPr>
          <w:rFonts w:ascii="Times New Roman" w:eastAsiaTheme="minorHAnsi" w:hAnsi="Times New Roman"/>
          <w:noProof/>
          <w:sz w:val="24"/>
        </w:rPr>
        <w:t xml:space="preserve">То стимулира все </w:t>
      </w:r>
      <w:r>
        <w:rPr>
          <w:rFonts w:ascii="Times New Roman" w:eastAsiaTheme="minorHAnsi" w:hAnsi="Times New Roman"/>
          <w:b/>
          <w:noProof/>
          <w:sz w:val="24"/>
        </w:rPr>
        <w:t>по-интензивна глобална надпревара</w:t>
      </w:r>
      <w:r>
        <w:rPr>
          <w:rFonts w:ascii="Times New Roman" w:eastAsiaTheme="minorHAnsi" w:hAnsi="Times New Roman"/>
          <w:noProof/>
          <w:sz w:val="24"/>
        </w:rPr>
        <w:t xml:space="preserve"> за пазарни дялове, технологии и умове, които ще родят нисковъглеродните иновации на бъдещето. Сега не е време за самодоволство.</w:t>
      </w:r>
    </w:p>
    <w:p w:rsidR="00D64E4D" w:rsidRDefault="00DB1970">
      <w:pPr>
        <w:pStyle w:val="Text2"/>
        <w:spacing w:line="240" w:lineRule="auto"/>
        <w:ind w:left="0"/>
        <w:jc w:val="both"/>
        <w:rPr>
          <w:rFonts w:ascii="Times New Roman" w:hAnsi="Times New Roman"/>
          <w:noProof/>
          <w:sz w:val="24"/>
          <w:szCs w:val="24"/>
        </w:rPr>
      </w:pPr>
      <w:r>
        <w:rPr>
          <w:rFonts w:ascii="Times New Roman" w:hAnsi="Times New Roman"/>
          <w:noProof/>
          <w:sz w:val="24"/>
        </w:rPr>
        <w:t xml:space="preserve">Настоящият план за действие очертава множество действия в подкрепа на ускореното изграждане на инфраструктура за алтернативни горива/енергоносители в ЕС. Те са част от </w:t>
      </w:r>
      <w:r>
        <w:rPr>
          <w:rFonts w:ascii="Times New Roman" w:hAnsi="Times New Roman"/>
          <w:b/>
          <w:noProof/>
          <w:sz w:val="24"/>
        </w:rPr>
        <w:t xml:space="preserve">пакет на политиката за мобилност, отнасящ се за въпросите, касаещи превозните средства, инфраструктурите, електрическата мрежа и услугите, взети заедно. </w:t>
      </w:r>
      <w:r>
        <w:rPr>
          <w:rFonts w:ascii="Times New Roman" w:hAnsi="Times New Roman"/>
          <w:noProof/>
          <w:sz w:val="24"/>
        </w:rPr>
        <w:t>До 2025 г. ЕС следва да е изградил гръбнака на инфраструктурата от станции за зареждане с електроенергия и алтернативни горива, осигурявайки пълно покритие на коридорите на основната мрежа на TEN-T.</w:t>
      </w:r>
    </w:p>
    <w:p w:rsidR="00D64E4D" w:rsidRDefault="00DB1970">
      <w:pPr>
        <w:pStyle w:val="Text2"/>
        <w:spacing w:line="240" w:lineRule="auto"/>
        <w:ind w:left="0"/>
        <w:jc w:val="both"/>
        <w:rPr>
          <w:rFonts w:ascii="Times New Roman" w:hAnsi="Times New Roman"/>
          <w:noProof/>
          <w:sz w:val="24"/>
          <w:szCs w:val="24"/>
        </w:rPr>
      </w:pPr>
      <w:r>
        <w:rPr>
          <w:rFonts w:ascii="Times New Roman" w:hAnsi="Times New Roman"/>
          <w:noProof/>
          <w:sz w:val="24"/>
        </w:rPr>
        <w:t xml:space="preserve">Европа не може повече да си позволява прилагането на парче на инфраструктурни решения за алтернативните горива/енергоносители, с което рискува да допусне изоставането на някои региони и потребители. Оценката на НРП съгласно Директивата за инфраструктурата за алтернативни горива показва, че от положителния опит на някои държави членки може да се научи много. За да се ускорят действията в тази област, сега е необходимо </w:t>
      </w:r>
      <w:r>
        <w:rPr>
          <w:rFonts w:ascii="Times New Roman" w:hAnsi="Times New Roman"/>
          <w:b/>
          <w:noProof/>
          <w:sz w:val="24"/>
        </w:rPr>
        <w:t>сериозно трансгранично и междусекторно сътрудничество на всички публични и частни заинтересовани лица</w:t>
      </w:r>
      <w:r>
        <w:rPr>
          <w:rFonts w:ascii="Times New Roman" w:hAnsi="Times New Roman"/>
          <w:noProof/>
          <w:sz w:val="24"/>
        </w:rPr>
        <w:t xml:space="preserve">. Трябва да се предотврати застопоряването на технологиите и пазарите. За да растат пазарите, инфраструктурите за алтернативни горива/енергоносители и техните услуги трябва да бъдат отворени, прозрачни и оперативно съвместими. Потребителите също трябва да могат да използват цялата транспортна мрежа лесно и безпроблемно.  </w:t>
      </w:r>
    </w:p>
    <w:p w:rsidR="00D64E4D" w:rsidRDefault="00DB1970">
      <w:pPr>
        <w:pStyle w:val="Text2"/>
        <w:spacing w:line="240" w:lineRule="auto"/>
        <w:ind w:left="0"/>
        <w:jc w:val="both"/>
        <w:rPr>
          <w:rFonts w:ascii="Times New Roman" w:hAnsi="Times New Roman"/>
          <w:noProof/>
          <w:sz w:val="24"/>
          <w:szCs w:val="24"/>
        </w:rPr>
      </w:pPr>
      <w:r>
        <w:rPr>
          <w:rFonts w:ascii="Times New Roman" w:hAnsi="Times New Roman"/>
          <w:b/>
          <w:noProof/>
          <w:sz w:val="24"/>
        </w:rPr>
        <w:t>Комисията изразява готовност да подкрепи</w:t>
      </w:r>
      <w:r>
        <w:rPr>
          <w:rFonts w:ascii="Times New Roman" w:hAnsi="Times New Roman"/>
          <w:noProof/>
          <w:sz w:val="24"/>
        </w:rPr>
        <w:t xml:space="preserve"> този процес както чрез незаконодателни, така и чрез законодателни действия, както се отбелязва в настоящия план за действие. Тя ще направи транспортния сектор на Европа по-силен и конкурентоспособен и ще гарантира, че при провеждането на борбата с изменението на климата няма в същото време да бъде допуснато  изоставане на някои потребители или региони.</w:t>
      </w:r>
    </w:p>
    <w:p w:rsidR="00D64E4D" w:rsidRDefault="00D64E4D">
      <w:pPr>
        <w:pStyle w:val="Text2"/>
        <w:spacing w:line="240" w:lineRule="auto"/>
        <w:ind w:left="0"/>
        <w:jc w:val="both"/>
        <w:rPr>
          <w:rFonts w:ascii="Times New Roman" w:hAnsi="Times New Roman"/>
          <w:noProof/>
          <w:sz w:val="24"/>
          <w:szCs w:val="24"/>
        </w:rPr>
      </w:pPr>
    </w:p>
    <w:sectPr w:rsidR="00D64E4D">
      <w:headerReference w:type="even" r:id="rId16"/>
      <w:headerReference w:type="default" r:id="rId17"/>
      <w:footerReference w:type="even" r:id="rId18"/>
      <w:footerReference w:type="default" r:id="rId19"/>
      <w:headerReference w:type="first" r:id="rId20"/>
      <w:footerReference w:type="first" r:id="rId21"/>
      <w:pgSz w:w="11906" w:h="16838"/>
      <w:pgMar w:top="1020" w:right="1700"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E4D" w:rsidRDefault="00DB1970">
      <w:pPr>
        <w:spacing w:after="0" w:line="240" w:lineRule="auto"/>
      </w:pPr>
      <w:r>
        <w:separator/>
      </w:r>
    </w:p>
  </w:endnote>
  <w:endnote w:type="continuationSeparator" w:id="0">
    <w:p w:rsidR="00D64E4D" w:rsidRDefault="00DB1970">
      <w:pPr>
        <w:spacing w:after="0" w:line="240" w:lineRule="auto"/>
      </w:pPr>
      <w:r>
        <w:continuationSeparator/>
      </w:r>
    </w:p>
  </w:endnote>
  <w:endnote w:type="continuationNotice" w:id="1">
    <w:p w:rsidR="00D64E4D" w:rsidRDefault="00D64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4D" w:rsidRDefault="00D64E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4D" w:rsidRDefault="00DB1970">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4D" w:rsidRDefault="00D64E4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4D" w:rsidRDefault="00D64E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4D" w:rsidRDefault="00DB1970">
    <w:pPr>
      <w:pStyle w:val="Footer"/>
      <w:jc w:val="center"/>
    </w:pPr>
    <w:r>
      <w:fldChar w:fldCharType="begin"/>
    </w:r>
    <w:r>
      <w:instrText>PAGE</w:instrText>
    </w:r>
    <w:r>
      <w:fldChar w:fldCharType="separate"/>
    </w:r>
    <w:r w:rsidR="009C12D1">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18111"/>
      <w:docPartObj>
        <w:docPartGallery w:val="Page Numbers (Bottom of Page)"/>
        <w:docPartUnique/>
      </w:docPartObj>
    </w:sdtPr>
    <w:sdtEndPr>
      <w:rPr>
        <w:noProof/>
      </w:rPr>
    </w:sdtEndPr>
    <w:sdtContent>
      <w:p w:rsidR="009C12D1" w:rsidRDefault="009C12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64E4D" w:rsidRDefault="00D64E4D">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E4D" w:rsidRDefault="00DB1970">
      <w:pPr>
        <w:spacing w:after="0" w:line="240" w:lineRule="auto"/>
      </w:pPr>
      <w:r>
        <w:separator/>
      </w:r>
    </w:p>
  </w:footnote>
  <w:footnote w:type="continuationSeparator" w:id="0">
    <w:p w:rsidR="00D64E4D" w:rsidRDefault="00DB1970">
      <w:pPr>
        <w:spacing w:after="0" w:line="240" w:lineRule="auto"/>
      </w:pPr>
      <w:r>
        <w:continuationSeparator/>
      </w:r>
    </w:p>
  </w:footnote>
  <w:footnote w:type="continuationNotice" w:id="1">
    <w:p w:rsidR="00D64E4D" w:rsidRDefault="00D64E4D">
      <w:pPr>
        <w:spacing w:after="0" w:line="240" w:lineRule="auto"/>
      </w:pPr>
    </w:p>
  </w:footnote>
  <w:footnote w:id="2">
    <w:p w:rsidR="00D64E4D" w:rsidRDefault="00DB1970">
      <w:pPr>
        <w:pStyle w:val="FootnoteText"/>
        <w:spacing w:after="0" w:line="240" w:lineRule="auto"/>
        <w:ind w:left="284" w:hanging="284"/>
        <w:jc w:val="both"/>
        <w:rPr>
          <w:rFonts w:ascii="Times New Roman" w:hAnsi="Times New Roman"/>
          <w:lang w:val="pt-PT"/>
        </w:rPr>
      </w:pPr>
      <w:r>
        <w:rPr>
          <w:rStyle w:val="FootnoteReference"/>
        </w:rPr>
        <w:footnoteRef/>
      </w:r>
      <w:r>
        <w:t xml:space="preserve"> </w:t>
      </w:r>
      <w:r>
        <w:tab/>
      </w:r>
      <w:r>
        <w:rPr>
          <w:rFonts w:ascii="Times New Roman" w:hAnsi="Times New Roman"/>
        </w:rPr>
        <w:t>COM(2016) 501</w:t>
      </w:r>
      <w:r>
        <w:rPr>
          <w:rFonts w:ascii="Times New Roman" w:hAnsi="Times New Roman"/>
          <w:lang w:val="pt-PT"/>
        </w:rPr>
        <w:t xml:space="preserve"> final</w:t>
      </w:r>
    </w:p>
  </w:footnote>
  <w:footnote w:id="3">
    <w:p w:rsidR="00D64E4D" w:rsidRDefault="00DB1970">
      <w:pPr>
        <w:pStyle w:val="FootnoteText"/>
        <w:tabs>
          <w:tab w:val="left" w:pos="284"/>
        </w:tabs>
        <w:spacing w:after="0" w:line="240" w:lineRule="auto"/>
        <w:ind w:left="284" w:hanging="284"/>
        <w:jc w:val="both"/>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(2017)283 final</w:t>
      </w:r>
    </w:p>
  </w:footnote>
  <w:footnote w:id="4">
    <w:p w:rsidR="00D64E4D" w:rsidRDefault="00DB1970">
      <w:pPr>
        <w:pStyle w:val="FootnoteText"/>
        <w:spacing w:after="0" w:line="240" w:lineRule="auto"/>
        <w:ind w:left="284" w:hanging="284"/>
        <w:jc w:val="both"/>
        <w:rPr>
          <w:rFonts w:ascii="Times New Roman" w:hAnsi="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COM(2017) </w:t>
      </w:r>
      <w:r>
        <w:rPr>
          <w:rFonts w:ascii="Times New Roman" w:hAnsi="Times New Roman"/>
          <w:lang w:val="pt-PT"/>
        </w:rPr>
        <w:t>675 final</w:t>
      </w:r>
    </w:p>
  </w:footnote>
  <w:footnote w:id="5">
    <w:p w:rsidR="00D64E4D" w:rsidRDefault="00DB1970">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Особено по отношение на електроенергията, природния газ (компресирания природен газ — CNG и втечнения природен газ — LNG), водорода и втечнения нефтен газ — LPG, които изискват специфични инфраструктурни решения. </w:t>
      </w:r>
    </w:p>
  </w:footnote>
  <w:footnote w:id="6">
    <w:p w:rsidR="00D64E4D" w:rsidRDefault="00DB1970">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Wainwright, S. и Peters, J. (2016) Clean Power for Transport Infrastructure Deployment (Чиста енергия за изграждане на транспортната инфраструктура). Окончателен доклад за Европейската комисия. Брюксел.</w:t>
      </w:r>
    </w:p>
  </w:footnote>
  <w:footnote w:id="7">
    <w:p w:rsidR="00D64E4D" w:rsidRDefault="00DB1970">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 Според Европейската обсерватория за алтернативни горива това са Нидерландия и Дания. </w:t>
      </w:r>
    </w:p>
  </w:footnote>
  <w:footnote w:id="8">
    <w:p w:rsidR="00D64E4D" w:rsidRDefault="00DB1970">
      <w:pPr>
        <w:pStyle w:val="FootnoteText"/>
        <w:spacing w:after="0"/>
        <w:ind w:left="280" w:hanging="28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Като се има предвид, че всяка станция ще обслужва около 1200 превозни средства. За сравнение, общият брой от 256 милиона превозни средства, които се движат по пътищата на ЕС, се обслужват от 117 500 бензиностанции за зареждане с конвенционални горива. </w:t>
      </w:r>
    </w:p>
  </w:footnote>
  <w:footnote w:id="9">
    <w:p w:rsidR="00D64E4D" w:rsidRDefault="00DB1970">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SWD(2017) 365</w:t>
      </w:r>
    </w:p>
  </w:footnote>
  <w:footnote w:id="10">
    <w:p w:rsidR="00D64E4D" w:rsidRDefault="00DB1970">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НРП се изискват само цели за 2020 г.</w:t>
      </w:r>
    </w:p>
  </w:footnote>
  <w:footnote w:id="11">
    <w:p w:rsidR="00D64E4D" w:rsidRDefault="00DB1970">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Съгласно общия разход за 937-те (до 2020 г. спрямо сегашния момент) и 1575-те (до 2025 г. спрямо сегашния момент) нови точки за зареждане с компресиран природен газ, които се планира да бъдат построени според националните рамки на политиката. </w:t>
      </w:r>
    </w:p>
  </w:footnote>
  <w:footnote w:id="12">
    <w:p w:rsidR="00D64E4D" w:rsidRDefault="00DB1970">
      <w:pPr>
        <w:pStyle w:val="FootnoteText"/>
        <w:spacing w:after="0" w:line="240" w:lineRule="auto"/>
        <w:ind w:left="284" w:hanging="284"/>
      </w:pPr>
      <w:r>
        <w:rPr>
          <w:rStyle w:val="FootnoteReference"/>
        </w:rPr>
        <w:footnoteRef/>
      </w:r>
      <w:r>
        <w:t xml:space="preserve"> </w:t>
      </w:r>
      <w:r>
        <w:tab/>
        <w:t xml:space="preserve">  </w:t>
      </w:r>
      <w:r>
        <w:rPr>
          <w:rFonts w:ascii="Times New Roman" w:hAnsi="Times New Roman"/>
        </w:rPr>
        <w:t>SWD (2017) 650</w:t>
      </w:r>
    </w:p>
  </w:footnote>
  <w:footnote w:id="13">
    <w:p w:rsidR="00D64E4D" w:rsidRDefault="00DB1970">
      <w:pPr>
        <w:pStyle w:val="FootnoteText"/>
        <w:spacing w:after="0" w:line="240" w:lineRule="auto"/>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На база на предположението, че за всяко превозно средство са необходими 1,1 зарядни точки. Освен това от 10 зарядни точки само 1 ще бъде публично достъпна. При такъв сценарий в допълнение към публично достъпните зарядни точки ще са необходими приблизително 4 милиона частни зарядни точки. </w:t>
      </w:r>
    </w:p>
  </w:footnote>
  <w:footnote w:id="14">
    <w:p w:rsidR="00D64E4D" w:rsidRDefault="00DB1970">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В оценките за разходите е прието, че инвестиционните разходи за обичайните зарядни станции ще са по 5000 евро, а за бързозареждащите — съответно по 30 000 евро.  </w:t>
      </w:r>
    </w:p>
  </w:footnote>
  <w:footnote w:id="15">
    <w:p w:rsidR="00D64E4D" w:rsidRDefault="00DB1970">
      <w:pPr>
        <w:pStyle w:val="FootnoteText"/>
        <w:spacing w:after="0" w:line="240" w:lineRule="auto"/>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Ако се приеме, че 70 % от инфраструктурните нужди са концентрирани в градските райони (наред с факта, че повече от 70 процента от населението в ЕС живее в градски райони), необходимите инвестиции са 2,7 милиарда евро за 2020 г. За периода от 2020 г. до 2025 г.  необходимите инвестиции в градските райони биха били между 1,9 милиарда и 2,7 милиарда евро годишно.</w:t>
      </w:r>
      <w:r>
        <w:rPr>
          <w:rFonts w:ascii="Times New Roman" w:hAnsi="Times New Roman"/>
          <w:b/>
          <w:sz w:val="24"/>
        </w:rPr>
        <w:t xml:space="preserve"> </w:t>
      </w:r>
    </w:p>
  </w:footnote>
  <w:footnote w:id="16">
    <w:p w:rsidR="00D64E4D" w:rsidRDefault="00DB1970">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lang w:val="en-GB"/>
        </w:rPr>
        <w:t>SWD</w:t>
      </w:r>
      <w:r>
        <w:rPr>
          <w:rFonts w:ascii="Times New Roman" w:hAnsi="Times New Roman"/>
        </w:rPr>
        <w:t>(2017) 366</w:t>
      </w:r>
    </w:p>
  </w:footnote>
  <w:footnote w:id="17">
    <w:p w:rsidR="00D64E4D" w:rsidRDefault="00DB1970">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 Съгласно член 3, параграф 7 от Директива 2014/94/ЕС и при спазване на условията, предвидени в членове 5, 6 и 7 от Директива 2014/94/ЕС.</w:t>
      </w:r>
    </w:p>
  </w:footnote>
  <w:footnote w:id="18">
    <w:p w:rsidR="00D64E4D" w:rsidRDefault="00DB1970">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Повече информация за НРП се съдържа в SWD (2017) 365.</w:t>
      </w:r>
    </w:p>
  </w:footnote>
  <w:footnote w:id="19">
    <w:p w:rsidR="00D64E4D" w:rsidRDefault="00DB1970">
      <w:pPr>
        <w:pStyle w:val="FootnoteText"/>
        <w:spacing w:after="0" w:line="240" w:lineRule="auto"/>
        <w:ind w:left="284" w:hanging="284"/>
        <w:jc w:val="both"/>
        <w:rPr>
          <w:szCs w:val="20"/>
        </w:rPr>
      </w:pPr>
      <w:r>
        <w:rPr>
          <w:rStyle w:val="FootnoteReference"/>
        </w:rPr>
        <w:footnoteRef/>
      </w:r>
      <w:r>
        <w:t xml:space="preserve"> </w:t>
      </w:r>
      <w:r>
        <w:tab/>
      </w:r>
      <w:r>
        <w:rPr>
          <w:rFonts w:ascii="Times New Roman" w:hAnsi="Times New Roman"/>
        </w:rPr>
        <w:t>В съответните случаи Комисията е започнала процедури за нарушение за неспазване на член 3 от Директива 2014/94/ЕС. Тя ще продължи с тези процедури за случаите на непредставяне на НРП.</w:t>
      </w:r>
    </w:p>
  </w:footnote>
  <w:footnote w:id="20">
    <w:p w:rsidR="00D64E4D" w:rsidRDefault="00DB1970">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Австрия, Белгия, Финландия, Франция, Германия, Италия, Нидерландия, Обединеното кралство. </w:t>
      </w:r>
    </w:p>
  </w:footnote>
  <w:footnote w:id="21">
    <w:p w:rsidR="00D64E4D" w:rsidRDefault="00DB1970">
      <w:pPr>
        <w:pStyle w:val="FootnoteText"/>
        <w:spacing w:after="0" w:line="240" w:lineRule="auto"/>
        <w:ind w:left="284" w:hanging="284"/>
      </w:pPr>
      <w:r>
        <w:rPr>
          <w:rStyle w:val="FootnoteReference"/>
        </w:rPr>
        <w:footnoteRef/>
      </w:r>
      <w:r>
        <w:t xml:space="preserve"> </w:t>
      </w:r>
      <w:r>
        <w:tab/>
      </w:r>
      <w:r>
        <w:rPr>
          <w:rFonts w:ascii="Times New Roman" w:hAnsi="Times New Roman"/>
        </w:rPr>
        <w:t>Тези държави членки са Малта и Румъния.</w:t>
      </w:r>
    </w:p>
  </w:footnote>
  <w:footnote w:id="22">
    <w:p w:rsidR="00D64E4D" w:rsidRDefault="00DB1970">
      <w:pPr>
        <w:pStyle w:val="Text1"/>
        <w:spacing w:after="0" w:line="240" w:lineRule="auto"/>
        <w:ind w:left="284" w:hanging="284"/>
        <w:jc w:val="both"/>
        <w:rPr>
          <w:rFonts w:ascii="Times New Roman" w:hAnsi="Times New Roman"/>
          <w:sz w:val="24"/>
          <w:szCs w:val="24"/>
        </w:rPr>
      </w:pPr>
      <w:r>
        <w:rPr>
          <w:rStyle w:val="FootnoteReference"/>
        </w:rPr>
        <w:footnoteRef/>
      </w:r>
      <w:r>
        <w:t xml:space="preserve"> </w:t>
      </w:r>
      <w:r>
        <w:tab/>
      </w:r>
      <w:r>
        <w:rPr>
          <w:rFonts w:ascii="Times New Roman" w:hAnsi="Times New Roman"/>
          <w:sz w:val="20"/>
        </w:rPr>
        <w:t>Освен това няколко държави членки поддържат ниски данъци за конвенционалните горива, по-специално за дизеловото гориво (газьола), в сравнение с данъците за много алтернативни горива/енергоносители, като се имат предвид по-високите външни разходи, които намаляват стимулите за преминаване към алтернативни горива/енергоносители.</w:t>
      </w:r>
    </w:p>
  </w:footnote>
  <w:footnote w:id="23">
    <w:p w:rsidR="00D64E4D" w:rsidRDefault="00DB1970">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повече подробности вж. SWD (2017) 365.</w:t>
      </w:r>
    </w:p>
  </w:footnote>
  <w:footnote w:id="24">
    <w:p w:rsidR="00D64E4D" w:rsidRDefault="00DB1970">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Белгия, Чешката република, Унгария, Италия.</w:t>
      </w:r>
    </w:p>
  </w:footnote>
  <w:footnote w:id="25">
    <w:p w:rsidR="00D64E4D" w:rsidRDefault="00DB1970">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Австрия, Германия, Люксембург, Нидерландия.</w:t>
      </w:r>
    </w:p>
  </w:footnote>
  <w:footnote w:id="26">
    <w:p w:rsidR="00D64E4D" w:rsidRDefault="00DB1970">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Финландия, Унгария, Италия.</w:t>
      </w:r>
    </w:p>
  </w:footnote>
  <w:footnote w:id="27">
    <w:p w:rsidR="00D64E4D" w:rsidRDefault="00DB1970">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Австрия, Белгия, България, Чешката република, Германия, Естония, Испания, Финландия, Франция, Унгария, Италия, Нидерландия, Швеция, Обединеното кралство. В датската НРП е разгледан въпросът за зареждането с водород, но не са поставени цели по отношение на съответната инфраструктура. Германия, Италия и Обединеното кралство са си поставили амбициозни цели.</w:t>
      </w:r>
    </w:p>
  </w:footnote>
  <w:footnote w:id="28">
    <w:p w:rsidR="00D64E4D" w:rsidRDefault="00DB1970">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Сценарият без НРП се основава на базовия сценарий от оценката на въздействието, която придружава предложението за Директива за изменение на Директива 1999/62/ЕО относно заплащането на такси от тежкотоварни автомобили за ползване на определени инфраструктури (SWD (2017) 180), тоест на Референтния сценарий на ЕС от 2016 г. Той обаче изключва стимулите на държавите членки за алтернативните горива/енергоносители. Разработен е от ICCS-E3M Lab чрез модела PRIMES-TREMOVE (използван и за Референтния сценарий на ЕС за 2016 г.).</w:t>
      </w:r>
    </w:p>
  </w:footnote>
  <w:footnote w:id="29">
    <w:p w:rsidR="00D64E4D" w:rsidRDefault="00DB1970">
      <w:pPr>
        <w:pStyle w:val="FootnoteText"/>
        <w:spacing w:after="0" w:line="240" w:lineRule="auto"/>
        <w:ind w:left="284" w:hanging="284"/>
        <w:jc w:val="both"/>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При най-амбициозните държави членки (Австрия и Ирландия), намалението на емисиите на NO</w:t>
      </w:r>
      <w:r>
        <w:rPr>
          <w:rFonts w:ascii="Times New Roman" w:hAnsi="Times New Roman"/>
          <w:vertAlign w:val="subscript"/>
        </w:rPr>
        <w:t>2 </w:t>
      </w:r>
      <w:r>
        <w:rPr>
          <w:rFonts w:ascii="Times New Roman" w:hAnsi="Times New Roman"/>
        </w:rPr>
        <w:t>може да достигне 7-10 %, а намалението на емисиите на ПЧ</w:t>
      </w:r>
      <w:r>
        <w:rPr>
          <w:rFonts w:ascii="Times New Roman" w:hAnsi="Times New Roman"/>
          <w:vertAlign w:val="subscript"/>
        </w:rPr>
        <w:t>2 .5</w:t>
      </w:r>
      <w:r>
        <w:rPr>
          <w:rFonts w:ascii="Times New Roman" w:hAnsi="Times New Roman"/>
        </w:rPr>
        <w:t xml:space="preserve"> — съответно 8-12 % до 2030 г. в сравнение със сценарий без НРП.</w:t>
      </w:r>
    </w:p>
  </w:footnote>
  <w:footnote w:id="30">
    <w:p w:rsidR="00D64E4D" w:rsidRDefault="00DB1970">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rPr>
          <w:t>https://ec.europa.eu/transport/themes/urban/cpt/stf_bg</w:t>
        </w:r>
      </w:hyperlink>
      <w:r>
        <w:rPr>
          <w:rFonts w:ascii="Times New Roman" w:hAnsi="Times New Roman"/>
        </w:rPr>
        <w:t>.</w:t>
      </w:r>
    </w:p>
  </w:footnote>
  <w:footnote w:id="31">
    <w:p w:rsidR="00D64E4D" w:rsidRDefault="00DB1970">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hyperlink r:id="rId2" w:history="1">
        <w:r>
          <w:rPr>
            <w:rStyle w:val="Hyperlink"/>
            <w:rFonts w:ascii="Times New Roman" w:hAnsi="Times New Roman"/>
          </w:rPr>
          <w:t>http://ec.europa.eu/transparency/regexpert/index.cfm?do=groupDetail.groupDetail&amp;groupID=2869&amp;Lang=BG</w:t>
        </w:r>
      </w:hyperlink>
      <w:r>
        <w:rPr>
          <w:rFonts w:ascii="Times New Roman" w:hAnsi="Times New Roman"/>
        </w:rPr>
        <w:t>.</w:t>
      </w:r>
    </w:p>
  </w:footnote>
  <w:footnote w:id="32">
    <w:p w:rsidR="00D64E4D" w:rsidRDefault="00DB1970">
      <w:pPr>
        <w:pStyle w:val="FootnoteText"/>
        <w:spacing w:after="0" w:line="240" w:lineRule="auto"/>
        <w:ind w:left="284" w:hanging="284"/>
        <w:jc w:val="both"/>
        <w:rPr>
          <w:szCs w:val="20"/>
        </w:rPr>
      </w:pPr>
      <w:r>
        <w:rPr>
          <w:rStyle w:val="FootnoteReference"/>
          <w:rFonts w:ascii="Times New Roman" w:hAnsi="Times New Roman"/>
        </w:rPr>
        <w:footnoteRef/>
      </w:r>
      <w:r>
        <w:t xml:space="preserve"> </w:t>
      </w:r>
      <w:r>
        <w:tab/>
      </w:r>
      <w:r>
        <w:rPr>
          <w:rFonts w:ascii="Times New Roman" w:hAnsi="Times New Roman"/>
        </w:rPr>
        <w:t>Новите разпоредби по отношение на пределните стойности за емисиите на серни оксиди, които трябва да влязат в сила от 1 януари 2020 г., също ще окажат влияние върху по-широкото използване на алтернативни горива, по-специално LNG. Комисията препоръчва преди 2025 г. в основната мрежа на TEN-T да бъде осигурена инфраструктура за зареждане на плавателни съдове с LNG.</w:t>
      </w:r>
    </w:p>
  </w:footnote>
  <w:footnote w:id="33">
    <w:p w:rsidR="00D64E4D" w:rsidRDefault="00DB1970">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(ЕС) 2016/1628.</w:t>
      </w:r>
    </w:p>
  </w:footnote>
  <w:footnote w:id="34">
    <w:p w:rsidR="00D64E4D" w:rsidRDefault="00DB1970">
      <w:pPr>
        <w:pStyle w:val="FootnoteText"/>
        <w:spacing w:after="0" w:line="240" w:lineRule="auto"/>
        <w:ind w:left="284" w:hanging="284"/>
        <w:rPr>
          <w:rFonts w:ascii="Times New Roman" w:hAnsi="Times New Roman"/>
          <w:szCs w:val="20"/>
        </w:rPr>
      </w:pPr>
      <w:r>
        <w:rPr>
          <w:rStyle w:val="FootnoteReference"/>
        </w:rPr>
        <w:footnoteRef/>
      </w:r>
      <w:r>
        <w:t xml:space="preserve"> </w:t>
      </w:r>
      <w:r>
        <w:rPr>
          <w:rFonts w:ascii="Times New Roman" w:hAnsi="Times New Roman"/>
          <w:lang w:val="pt-PT"/>
        </w:rPr>
        <w:t>COM(2017) 676 final</w:t>
      </w:r>
      <w:r>
        <w:rPr>
          <w:rFonts w:ascii="Times New Roman" w:hAnsi="Times New Roman"/>
        </w:rPr>
        <w:t>.</w:t>
      </w:r>
    </w:p>
  </w:footnote>
  <w:footnote w:id="35">
    <w:p w:rsidR="00D64E4D" w:rsidRDefault="00DB1970">
      <w:pPr>
        <w:pStyle w:val="FootnoteText"/>
        <w:spacing w:after="0" w:line="240" w:lineRule="auto"/>
        <w:ind w:left="284" w:hanging="284"/>
        <w:rPr>
          <w:szCs w:val="20"/>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pt-PT"/>
        </w:rPr>
        <w:t>COM(2017) 653 final</w:t>
      </w:r>
      <w:r>
        <w:rPr>
          <w:rFonts w:ascii="Times New Roman" w:hAnsi="Times New Roman"/>
        </w:rPr>
        <w:t>.</w:t>
      </w:r>
    </w:p>
  </w:footnote>
  <w:footnote w:id="36">
    <w:p w:rsidR="00D64E4D" w:rsidRDefault="00DB1970">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https://ec.europa.eu/commission/priorities/jobs-growth-and-investment/investment-plan-europe-juncker-plan_bg</w:t>
        </w:r>
      </w:hyperlink>
      <w:r>
        <w:rPr>
          <w:rStyle w:val="Hyperlink"/>
          <w:rFonts w:ascii="Times New Roman" w:hAnsi="Times New Roman"/>
        </w:rPr>
        <w:t xml:space="preserve">. </w:t>
      </w:r>
      <w:r>
        <w:rPr>
          <w:rStyle w:val="Hyperlink"/>
          <w:rFonts w:ascii="Times New Roman" w:hAnsi="Times New Roman"/>
          <w:szCs w:val="20"/>
        </w:rPr>
        <w:br/>
      </w:r>
      <w:r>
        <w:rPr>
          <w:rStyle w:val="Hyperlink"/>
          <w:rFonts w:ascii="Times New Roman" w:hAnsi="Times New Roman"/>
          <w:color w:val="auto"/>
          <w:u w:val="none"/>
        </w:rPr>
        <w:t xml:space="preserve">За примери вж. </w:t>
      </w:r>
      <w:r>
        <w:rPr>
          <w:rFonts w:ascii="Times New Roman" w:hAnsi="Times New Roman"/>
        </w:rPr>
        <w:t>SWD(2017) 177 final.</w:t>
      </w:r>
    </w:p>
  </w:footnote>
  <w:footnote w:id="37">
    <w:p w:rsidR="00D64E4D" w:rsidRDefault="00DB197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Вж. картите на </w:t>
      </w:r>
      <w:r>
        <w:rPr>
          <w:rFonts w:ascii="Times New Roman" w:hAnsi="Times New Roman"/>
          <w:lang w:val="en-GB"/>
        </w:rPr>
        <w:t>TENtec</w:t>
      </w:r>
      <w:r>
        <w:rPr>
          <w:rFonts w:ascii="Times New Roman" w:hAnsi="Times New Roman"/>
        </w:rPr>
        <w:t xml:space="preserve"> чрез линка </w:t>
      </w:r>
      <w:hyperlink r:id="rId4" w:history="1">
        <w:r>
          <w:rPr>
            <w:rStyle w:val="Hyperlink"/>
            <w:rFonts w:ascii="Times New Roman" w:hAnsi="Times New Roman"/>
          </w:rPr>
          <w:t>http://ec.europa.eu/transport/infrastructure/tentec/tentec-portal/map/maps.html</w:t>
        </w:r>
      </w:hyperlink>
    </w:p>
    <w:p w:rsidR="00D64E4D" w:rsidRDefault="00DB1970">
      <w:pPr>
        <w:pStyle w:val="FootnoteText"/>
        <w:rPr>
          <w:rFonts w:ascii="Times New Roman" w:hAnsi="Times New Roman"/>
        </w:rPr>
      </w:pPr>
      <w:r>
        <w:rPr>
          <w:rFonts w:ascii="Times New Roman" w:hAnsi="Times New Roman"/>
        </w:rPr>
        <w:t xml:space="preserve"> </w:t>
      </w:r>
    </w:p>
  </w:footnote>
  <w:footnote w:id="38">
    <w:p w:rsidR="00D64E4D" w:rsidRDefault="00DB1970">
      <w:pPr>
        <w:pStyle w:val="FootnoteText"/>
        <w:spacing w:after="0" w:line="240" w:lineRule="auto"/>
        <w:ind w:left="284" w:hanging="284"/>
        <w:jc w:val="both"/>
        <w:rPr>
          <w:rFonts w:ascii="Times New Roman" w:hAnsi="Times New Roman"/>
          <w:szCs w:val="20"/>
          <w:lang w:val="nn-NO"/>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JASPERS: </w:t>
      </w:r>
      <w:hyperlink r:id="rId5">
        <w:r>
          <w:rPr>
            <w:rStyle w:val="Hyperlink"/>
            <w:rFonts w:ascii="Times New Roman" w:hAnsi="Times New Roman"/>
          </w:rPr>
          <w:t>http://www.eib.org/products/advising/jaspers/index.htm?f=search&amp;media=search</w:t>
        </w:r>
      </w:hyperlink>
      <w:r>
        <w:rPr>
          <w:rFonts w:ascii="Times New Roman" w:hAnsi="Times New Roman"/>
        </w:rPr>
        <w:t>. ELENA: http://www.eib.org/products/advising/elena/index.htm?f=search&amp;media=search.</w:t>
      </w:r>
    </w:p>
  </w:footnote>
  <w:footnote w:id="39">
    <w:p w:rsidR="00D64E4D" w:rsidRDefault="00DB1970">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Вж.</w:t>
      </w:r>
      <w:hyperlink r:id="rId6">
        <w:r>
          <w:rPr>
            <w:rStyle w:val="Hyperlink"/>
            <w:rFonts w:ascii="Times New Roman" w:hAnsi="Times New Roman"/>
          </w:rPr>
          <w:t>http://civitas.eu/</w:t>
        </w:r>
      </w:hyperlink>
      <w:r>
        <w:rPr>
          <w:rFonts w:ascii="Times New Roman" w:hAnsi="Times New Roman"/>
        </w:rPr>
        <w:t xml:space="preserve"> и </w:t>
      </w:r>
      <w:hyperlink r:id="rId7">
        <w:r>
          <w:rPr>
            <w:rStyle w:val="Hyperlink"/>
            <w:rFonts w:ascii="Times New Roman" w:hAnsi="Times New Roman"/>
          </w:rPr>
          <w:t>http://beta.eu-smartcities.eu/</w:t>
        </w:r>
      </w:hyperlink>
      <w:r>
        <w:rPr>
          <w:rFonts w:ascii="Times New Roman" w:hAnsi="Times New Roman"/>
        </w:rPr>
        <w:t>.</w:t>
      </w:r>
    </w:p>
  </w:footnote>
  <w:footnote w:id="40">
    <w:p w:rsidR="00D64E4D" w:rsidRDefault="00DB1970">
      <w:pPr>
        <w:pStyle w:val="FootnoteText"/>
        <w:spacing w:after="0" w:line="240" w:lineRule="auto"/>
        <w:ind w:left="284" w:hanging="284"/>
        <w:rPr>
          <w:rFonts w:ascii="Times New Roman" w:hAnsi="Times New Roman"/>
          <w:szCs w:val="20"/>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Директива 2010/40/ЕС.</w:t>
      </w:r>
    </w:p>
  </w:footnote>
  <w:footnote w:id="41">
    <w:p w:rsidR="00D64E4D" w:rsidRDefault="00DB1970">
      <w:pPr>
        <w:pStyle w:val="FootnoteText"/>
        <w:spacing w:after="0" w:line="240" w:lineRule="auto"/>
        <w:ind w:left="284" w:hanging="284"/>
        <w:jc w:val="both"/>
        <w:rPr>
          <w:rFonts w:ascii="Times New Roman" w:hAnsi="Times New Roman"/>
          <w:i/>
          <w:iCs/>
          <w:szCs w:val="20"/>
        </w:rPr>
      </w:pPr>
      <w:r>
        <w:rPr>
          <w:rStyle w:val="FootnoteReference"/>
          <w:rFonts w:ascii="Times New Roman" w:hAnsi="Times New Roman"/>
        </w:rPr>
        <w:footnoteRef/>
      </w:r>
      <w:r>
        <w:t xml:space="preserve"> </w:t>
      </w:r>
      <w:r>
        <w:tab/>
      </w:r>
      <w:r>
        <w:rPr>
          <w:rFonts w:ascii="Times New Roman" w:hAnsi="Times New Roman"/>
        </w:rPr>
        <w:t>Делегиран регламент (ЕС) 2015/962 на Комисията от 18 декември 2014 година за допълване на Директива 2010/40/ЕС на Европейския парламент и на Съвета по отношение на предоставянето в целия ЕС на информационни услуги в реално време за движението по пътищата (Текст от значение за ЕИП), ОВ L 157, 23.6.2015 г</w:t>
      </w:r>
      <w:r>
        <w:rPr>
          <w:rFonts w:ascii="Times New Roman" w:hAnsi="Times New Roman"/>
          <w:i/>
        </w:rPr>
        <w:t>.</w:t>
      </w:r>
    </w:p>
    <w:p w:rsidR="00D64E4D" w:rsidRDefault="00DB1970">
      <w:pPr>
        <w:pStyle w:val="FootnoteText"/>
        <w:spacing w:after="0" w:line="240" w:lineRule="auto"/>
        <w:ind w:left="284" w:hanging="284"/>
        <w:jc w:val="both"/>
        <w:rPr>
          <w:szCs w:val="20"/>
        </w:rPr>
      </w:pPr>
      <w:r>
        <w:t xml:space="preserve"> </w:t>
      </w:r>
      <w:r>
        <w:tab/>
      </w:r>
      <w:r>
        <w:rPr>
          <w:rFonts w:ascii="Times New Roman" w:hAnsi="Times New Roman"/>
        </w:rPr>
        <w:t>Делегиран регламент (ЕС) .../... на Комисията от 31 май 2017 година за допълване на Директива 2010/40/ЕС на Европейския парламент и на Съвета по отношение на предоставянето в целия ЕС на информационни услуги за мултимодални пътувания</w:t>
      </w:r>
      <w:r>
        <w:t>.</w:t>
      </w:r>
    </w:p>
  </w:footnote>
  <w:footnote w:id="42">
    <w:p w:rsidR="00D64E4D" w:rsidRDefault="00DB1970">
      <w:pPr>
        <w:pStyle w:val="FootnoteText"/>
        <w:spacing w:after="0" w:line="240" w:lineRule="auto"/>
        <w:ind w:left="284" w:hanging="284"/>
        <w:rPr>
          <w:szCs w:val="20"/>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 зарядни точки, пулове от зарядни точки и профили на крайните потребители на електромобилността.</w:t>
      </w:r>
    </w:p>
  </w:footnote>
  <w:footnote w:id="43">
    <w:p w:rsidR="00D64E4D" w:rsidRDefault="00DB1970">
      <w:pPr>
        <w:pStyle w:val="FootnoteText"/>
        <w:spacing w:after="0"/>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1999/94/ЕО на Европейския парламент и на Съвета от 13 декември 1999 г. относно наличието на потребителска информация за разхода на гориво и емисиите на СО</w:t>
      </w:r>
      <w:r>
        <w:rPr>
          <w:rFonts w:ascii="Times New Roman" w:hAnsi="Times New Roman"/>
          <w:vertAlign w:val="subscript"/>
        </w:rPr>
        <w:t>2</w:t>
      </w:r>
      <w:r>
        <w:rPr>
          <w:rFonts w:ascii="Times New Roman" w:hAnsi="Times New Roman"/>
        </w:rPr>
        <w:t xml:space="preserve"> по отношение на търговията с нови леки автомобили. </w:t>
      </w:r>
    </w:p>
  </w:footnote>
  <w:footnote w:id="44">
    <w:p w:rsidR="00D64E4D" w:rsidRDefault="00DB1970">
      <w:pPr>
        <w:pStyle w:val="FootnoteText"/>
        <w:spacing w:after="0" w:line="240" w:lineRule="auto"/>
        <w:ind w:left="284" w:hanging="284"/>
        <w:jc w:val="both"/>
        <w:rPr>
          <w:rFonts w:ascii="Times New Roman" w:hAnsi="Times New Roman"/>
        </w:rPr>
      </w:pPr>
      <w:r>
        <w:rPr>
          <w:rStyle w:val="FootnoteReference"/>
        </w:rPr>
        <w:footnoteRef/>
      </w:r>
      <w:r>
        <w:t xml:space="preserve"> </w:t>
      </w:r>
      <w:r>
        <w:rPr>
          <w:rFonts w:ascii="Times New Roman" w:hAnsi="Times New Roman"/>
        </w:rPr>
        <w:t xml:space="preserve">Надграждайки също над работата, извършена от Европейската обсерватория за алтернативни горива. </w:t>
      </w:r>
    </w:p>
  </w:footnote>
  <w:footnote w:id="45">
    <w:p w:rsidR="00D64E4D" w:rsidRDefault="00DB1970">
      <w:pPr>
        <w:pStyle w:val="FootnoteText"/>
        <w:spacing w:after="0" w:line="240" w:lineRule="auto"/>
        <w:ind w:left="284" w:hanging="284"/>
        <w:rPr>
          <w:rFonts w:ascii="Times New Roman" w:hAnsi="Times New Roman"/>
          <w:szCs w:val="20"/>
        </w:rPr>
      </w:pPr>
      <w:r>
        <w:rPr>
          <w:rStyle w:val="FootnoteReference"/>
          <w:rFonts w:ascii="Times New Roman" w:hAnsi="Times New Roman"/>
        </w:rPr>
        <w:footnoteRef/>
      </w:r>
      <w:r>
        <w:rPr>
          <w:rFonts w:ascii="Times New Roman" w:hAnsi="Times New Roman"/>
        </w:rPr>
        <w:t xml:space="preserve"> COM(2016) 864 final от 30.11.2016 г.</w:t>
      </w:r>
    </w:p>
  </w:footnote>
  <w:footnote w:id="46">
    <w:p w:rsidR="00D64E4D" w:rsidRDefault="00DB1970">
      <w:pPr>
        <w:pStyle w:val="FootnoteText"/>
        <w:ind w:left="284" w:hanging="284"/>
      </w:pPr>
      <w:r>
        <w:rPr>
          <w:rStyle w:val="FootnoteReference"/>
          <w:rFonts w:ascii="Times New Roman" w:hAnsi="Times New Roman"/>
        </w:rPr>
        <w:footnoteRef/>
      </w:r>
      <w:r>
        <w:rPr>
          <w:rFonts w:ascii="Times New Roman" w:hAnsi="Times New Roman"/>
        </w:rPr>
        <w:t xml:space="preserve"> COM 2012/27/EС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4D" w:rsidRDefault="00D64E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4D" w:rsidRDefault="00D64E4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4D" w:rsidRDefault="00D64E4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4D" w:rsidRDefault="00D64E4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4D" w:rsidRDefault="00D64E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4D" w:rsidRDefault="00D64E4D">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6E3B3D"/>
    <w:multiLevelType w:val="hybridMultilevel"/>
    <w:tmpl w:val="A59A8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E14083"/>
    <w:multiLevelType w:val="hybridMultilevel"/>
    <w:tmpl w:val="36D61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D1608C9"/>
    <w:multiLevelType w:val="hybridMultilevel"/>
    <w:tmpl w:val="9438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4128EE0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429"/>
        </w:tabs>
        <w:ind w:left="1429"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6D2061F"/>
    <w:multiLevelType w:val="hybridMultilevel"/>
    <w:tmpl w:val="E6DA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5B6810"/>
    <w:multiLevelType w:val="hybridMultilevel"/>
    <w:tmpl w:val="1C7E7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CEF774A"/>
    <w:multiLevelType w:val="hybridMultilevel"/>
    <w:tmpl w:val="61EC02AE"/>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3503DC4"/>
    <w:multiLevelType w:val="hybridMultilevel"/>
    <w:tmpl w:val="A87E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0">
    <w:nsid w:val="3F485E9A"/>
    <w:multiLevelType w:val="hybridMultilevel"/>
    <w:tmpl w:val="FD74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EB139B"/>
    <w:multiLevelType w:val="hybridMultilevel"/>
    <w:tmpl w:val="5D1C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BD1A93"/>
    <w:multiLevelType w:val="hybridMultilevel"/>
    <w:tmpl w:val="67988D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6C402D9"/>
    <w:multiLevelType w:val="hybridMultilevel"/>
    <w:tmpl w:val="C89C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4C77CB"/>
    <w:multiLevelType w:val="hybridMultilevel"/>
    <w:tmpl w:val="091E16BE"/>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50144F3"/>
    <w:multiLevelType w:val="hybridMultilevel"/>
    <w:tmpl w:val="D708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2A4040"/>
    <w:multiLevelType w:val="hybridMultilevel"/>
    <w:tmpl w:val="61962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8B147D3"/>
    <w:multiLevelType w:val="hybridMultilevel"/>
    <w:tmpl w:val="5FB0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5FB9176A"/>
    <w:multiLevelType w:val="hybridMultilevel"/>
    <w:tmpl w:val="DF2E7A38"/>
    <w:lvl w:ilvl="0" w:tplc="17D8246C">
      <w:start w:val="1"/>
      <w:numFmt w:val="bullet"/>
      <w:lvlText w:val="•"/>
      <w:lvlJc w:val="left"/>
      <w:pPr>
        <w:tabs>
          <w:tab w:val="num" w:pos="720"/>
        </w:tabs>
        <w:ind w:left="720" w:hanging="360"/>
      </w:pPr>
      <w:rPr>
        <w:rFonts w:ascii="Arial" w:hAnsi="Arial" w:hint="default"/>
      </w:rPr>
    </w:lvl>
    <w:lvl w:ilvl="1" w:tplc="B4662098" w:tentative="1">
      <w:start w:val="1"/>
      <w:numFmt w:val="bullet"/>
      <w:lvlText w:val="•"/>
      <w:lvlJc w:val="left"/>
      <w:pPr>
        <w:tabs>
          <w:tab w:val="num" w:pos="1440"/>
        </w:tabs>
        <w:ind w:left="1440" w:hanging="360"/>
      </w:pPr>
      <w:rPr>
        <w:rFonts w:ascii="Arial" w:hAnsi="Arial" w:hint="default"/>
      </w:rPr>
    </w:lvl>
    <w:lvl w:ilvl="2" w:tplc="D37CFBA0" w:tentative="1">
      <w:start w:val="1"/>
      <w:numFmt w:val="bullet"/>
      <w:lvlText w:val="•"/>
      <w:lvlJc w:val="left"/>
      <w:pPr>
        <w:tabs>
          <w:tab w:val="num" w:pos="2160"/>
        </w:tabs>
        <w:ind w:left="2160" w:hanging="360"/>
      </w:pPr>
      <w:rPr>
        <w:rFonts w:ascii="Arial" w:hAnsi="Arial" w:hint="default"/>
      </w:rPr>
    </w:lvl>
    <w:lvl w:ilvl="3" w:tplc="F468D306">
      <w:start w:val="1"/>
      <w:numFmt w:val="bullet"/>
      <w:lvlText w:val="•"/>
      <w:lvlJc w:val="left"/>
      <w:pPr>
        <w:tabs>
          <w:tab w:val="num" w:pos="2880"/>
        </w:tabs>
        <w:ind w:left="2880" w:hanging="360"/>
      </w:pPr>
      <w:rPr>
        <w:rFonts w:ascii="Arial" w:hAnsi="Arial" w:hint="default"/>
      </w:rPr>
    </w:lvl>
    <w:lvl w:ilvl="4" w:tplc="102CEB04" w:tentative="1">
      <w:start w:val="1"/>
      <w:numFmt w:val="bullet"/>
      <w:lvlText w:val="•"/>
      <w:lvlJc w:val="left"/>
      <w:pPr>
        <w:tabs>
          <w:tab w:val="num" w:pos="3600"/>
        </w:tabs>
        <w:ind w:left="3600" w:hanging="360"/>
      </w:pPr>
      <w:rPr>
        <w:rFonts w:ascii="Arial" w:hAnsi="Arial" w:hint="default"/>
      </w:rPr>
    </w:lvl>
    <w:lvl w:ilvl="5" w:tplc="85BAABC8" w:tentative="1">
      <w:start w:val="1"/>
      <w:numFmt w:val="bullet"/>
      <w:lvlText w:val="•"/>
      <w:lvlJc w:val="left"/>
      <w:pPr>
        <w:tabs>
          <w:tab w:val="num" w:pos="4320"/>
        </w:tabs>
        <w:ind w:left="4320" w:hanging="360"/>
      </w:pPr>
      <w:rPr>
        <w:rFonts w:ascii="Arial" w:hAnsi="Arial" w:hint="default"/>
      </w:rPr>
    </w:lvl>
    <w:lvl w:ilvl="6" w:tplc="CC8A6846" w:tentative="1">
      <w:start w:val="1"/>
      <w:numFmt w:val="bullet"/>
      <w:lvlText w:val="•"/>
      <w:lvlJc w:val="left"/>
      <w:pPr>
        <w:tabs>
          <w:tab w:val="num" w:pos="5040"/>
        </w:tabs>
        <w:ind w:left="5040" w:hanging="360"/>
      </w:pPr>
      <w:rPr>
        <w:rFonts w:ascii="Arial" w:hAnsi="Arial" w:hint="default"/>
      </w:rPr>
    </w:lvl>
    <w:lvl w:ilvl="7" w:tplc="D73C9954" w:tentative="1">
      <w:start w:val="1"/>
      <w:numFmt w:val="bullet"/>
      <w:lvlText w:val="•"/>
      <w:lvlJc w:val="left"/>
      <w:pPr>
        <w:tabs>
          <w:tab w:val="num" w:pos="5760"/>
        </w:tabs>
        <w:ind w:left="5760" w:hanging="360"/>
      </w:pPr>
      <w:rPr>
        <w:rFonts w:ascii="Arial" w:hAnsi="Arial" w:hint="default"/>
      </w:rPr>
    </w:lvl>
    <w:lvl w:ilvl="8" w:tplc="C7AEE1C6" w:tentative="1">
      <w:start w:val="1"/>
      <w:numFmt w:val="bullet"/>
      <w:lvlText w:val="•"/>
      <w:lvlJc w:val="left"/>
      <w:pPr>
        <w:tabs>
          <w:tab w:val="num" w:pos="6480"/>
        </w:tabs>
        <w:ind w:left="6480" w:hanging="360"/>
      </w:pPr>
      <w:rPr>
        <w:rFonts w:ascii="Arial" w:hAnsi="Arial" w:hint="default"/>
      </w:rPr>
    </w:lvl>
  </w:abstractNum>
  <w:abstractNum w:abstractNumId="3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273270C"/>
    <w:multiLevelType w:val="hybridMultilevel"/>
    <w:tmpl w:val="F34C6C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3272BB7"/>
    <w:multiLevelType w:val="hybridMultilevel"/>
    <w:tmpl w:val="8C9A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215536"/>
    <w:multiLevelType w:val="hybridMultilevel"/>
    <w:tmpl w:val="9274FCD4"/>
    <w:lvl w:ilvl="0" w:tplc="08090001">
      <w:start w:val="1"/>
      <w:numFmt w:val="bullet"/>
      <w:lvlText w:val=""/>
      <w:lvlJc w:val="left"/>
      <w:pPr>
        <w:ind w:left="1920" w:hanging="360"/>
      </w:pPr>
      <w:rPr>
        <w:rFonts w:ascii="Symbol" w:hAnsi="Symbol" w:hint="default"/>
      </w:rPr>
    </w:lvl>
    <w:lvl w:ilvl="1" w:tplc="08090003">
      <w:start w:val="1"/>
      <w:numFmt w:val="bullet"/>
      <w:lvlText w:val="o"/>
      <w:lvlJc w:val="left"/>
      <w:pPr>
        <w:ind w:left="2642" w:hanging="360"/>
      </w:pPr>
      <w:rPr>
        <w:rFonts w:ascii="Courier New" w:hAnsi="Courier New" w:cs="Courier New" w:hint="default"/>
      </w:rPr>
    </w:lvl>
    <w:lvl w:ilvl="2" w:tplc="08090005">
      <w:start w:val="1"/>
      <w:numFmt w:val="bullet"/>
      <w:lvlText w:val=""/>
      <w:lvlJc w:val="left"/>
      <w:pPr>
        <w:ind w:left="3362" w:hanging="360"/>
      </w:pPr>
      <w:rPr>
        <w:rFonts w:ascii="Wingdings" w:hAnsi="Wingdings" w:hint="default"/>
      </w:rPr>
    </w:lvl>
    <w:lvl w:ilvl="3" w:tplc="08090001">
      <w:start w:val="1"/>
      <w:numFmt w:val="bullet"/>
      <w:lvlText w:val=""/>
      <w:lvlJc w:val="left"/>
      <w:pPr>
        <w:ind w:left="4082" w:hanging="360"/>
      </w:pPr>
      <w:rPr>
        <w:rFonts w:ascii="Symbol" w:hAnsi="Symbol" w:hint="default"/>
      </w:rPr>
    </w:lvl>
    <w:lvl w:ilvl="4" w:tplc="08090003" w:tentative="1">
      <w:start w:val="1"/>
      <w:numFmt w:val="bullet"/>
      <w:lvlText w:val="o"/>
      <w:lvlJc w:val="left"/>
      <w:pPr>
        <w:ind w:left="4802" w:hanging="360"/>
      </w:pPr>
      <w:rPr>
        <w:rFonts w:ascii="Courier New" w:hAnsi="Courier New" w:cs="Courier New" w:hint="default"/>
      </w:rPr>
    </w:lvl>
    <w:lvl w:ilvl="5" w:tplc="08090005" w:tentative="1">
      <w:start w:val="1"/>
      <w:numFmt w:val="bullet"/>
      <w:lvlText w:val=""/>
      <w:lvlJc w:val="left"/>
      <w:pPr>
        <w:ind w:left="5522" w:hanging="360"/>
      </w:pPr>
      <w:rPr>
        <w:rFonts w:ascii="Wingdings" w:hAnsi="Wingdings" w:hint="default"/>
      </w:rPr>
    </w:lvl>
    <w:lvl w:ilvl="6" w:tplc="08090001" w:tentative="1">
      <w:start w:val="1"/>
      <w:numFmt w:val="bullet"/>
      <w:lvlText w:val=""/>
      <w:lvlJc w:val="left"/>
      <w:pPr>
        <w:ind w:left="6242" w:hanging="360"/>
      </w:pPr>
      <w:rPr>
        <w:rFonts w:ascii="Symbol" w:hAnsi="Symbol" w:hint="default"/>
      </w:rPr>
    </w:lvl>
    <w:lvl w:ilvl="7" w:tplc="08090003" w:tentative="1">
      <w:start w:val="1"/>
      <w:numFmt w:val="bullet"/>
      <w:lvlText w:val="o"/>
      <w:lvlJc w:val="left"/>
      <w:pPr>
        <w:ind w:left="6962" w:hanging="360"/>
      </w:pPr>
      <w:rPr>
        <w:rFonts w:ascii="Courier New" w:hAnsi="Courier New" w:cs="Courier New" w:hint="default"/>
      </w:rPr>
    </w:lvl>
    <w:lvl w:ilvl="8" w:tplc="08090005" w:tentative="1">
      <w:start w:val="1"/>
      <w:numFmt w:val="bullet"/>
      <w:lvlText w:val=""/>
      <w:lvlJc w:val="left"/>
      <w:pPr>
        <w:ind w:left="7682" w:hanging="360"/>
      </w:pPr>
      <w:rPr>
        <w:rFonts w:ascii="Wingdings" w:hAnsi="Wingdings" w:hint="default"/>
      </w:rPr>
    </w:lvl>
  </w:abstractNum>
  <w:abstractNum w:abstractNumId="37">
    <w:nsid w:val="68BB1E26"/>
    <w:multiLevelType w:val="hybridMultilevel"/>
    <w:tmpl w:val="89BEDE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6A550BBC"/>
    <w:multiLevelType w:val="hybridMultilevel"/>
    <w:tmpl w:val="DDA0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0F690A"/>
    <w:multiLevelType w:val="hybridMultilevel"/>
    <w:tmpl w:val="0914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1">
    <w:nsid w:val="71523670"/>
    <w:multiLevelType w:val="hybridMultilevel"/>
    <w:tmpl w:val="4D0E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43F67C2"/>
    <w:multiLevelType w:val="hybridMultilevel"/>
    <w:tmpl w:val="AACC0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33133B"/>
    <w:multiLevelType w:val="hybridMultilevel"/>
    <w:tmpl w:val="F8149A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nsid w:val="7BFE1857"/>
    <w:multiLevelType w:val="hybridMultilevel"/>
    <w:tmpl w:val="10AE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9"/>
  </w:num>
  <w:num w:numId="5">
    <w:abstractNumId w:val="11"/>
  </w:num>
  <w:num w:numId="6">
    <w:abstractNumId w:val="18"/>
  </w:num>
  <w:num w:numId="7">
    <w:abstractNumId w:val="33"/>
  </w:num>
  <w:num w:numId="8">
    <w:abstractNumId w:val="40"/>
  </w:num>
  <w:num w:numId="9">
    <w:abstractNumId w:val="16"/>
  </w:num>
  <w:num w:numId="10">
    <w:abstractNumId w:val="32"/>
  </w:num>
  <w:num w:numId="11">
    <w:abstractNumId w:val="30"/>
  </w:num>
  <w:num w:numId="12">
    <w:abstractNumId w:val="23"/>
  </w:num>
  <w:num w:numId="13">
    <w:abstractNumId w:val="26"/>
  </w:num>
  <w:num w:numId="14">
    <w:abstractNumId w:val="8"/>
  </w:num>
  <w:num w:numId="15">
    <w:abstractNumId w:val="17"/>
  </w:num>
  <w:num w:numId="16">
    <w:abstractNumId w:val="5"/>
  </w:num>
  <w:num w:numId="17">
    <w:abstractNumId w:val="12"/>
  </w:num>
  <w:num w:numId="18">
    <w:abstractNumId w:val="42"/>
  </w:num>
  <w:num w:numId="19">
    <w:abstractNumId w:val="14"/>
  </w:num>
  <w:num w:numId="20">
    <w:abstractNumId w:val="36"/>
  </w:num>
  <w:num w:numId="21">
    <w:abstractNumId w:val="4"/>
  </w:num>
  <w:num w:numId="22">
    <w:abstractNumId w:val="25"/>
  </w:num>
  <w:num w:numId="23">
    <w:abstractNumId w:val="9"/>
  </w:num>
  <w:num w:numId="24">
    <w:abstractNumId w:val="38"/>
  </w:num>
  <w:num w:numId="25">
    <w:abstractNumId w:val="45"/>
  </w:num>
  <w:num w:numId="26">
    <w:abstractNumId w:val="3"/>
  </w:num>
  <w:num w:numId="27">
    <w:abstractNumId w:val="44"/>
  </w:num>
  <w:num w:numId="28">
    <w:abstractNumId w:val="34"/>
  </w:num>
  <w:num w:numId="29">
    <w:abstractNumId w:val="28"/>
  </w:num>
  <w:num w:numId="30">
    <w:abstractNumId w:val="41"/>
  </w:num>
  <w:num w:numId="31">
    <w:abstractNumId w:val="20"/>
  </w:num>
  <w:num w:numId="32">
    <w:abstractNumId w:val="31"/>
  </w:num>
  <w:num w:numId="33">
    <w:abstractNumId w:val="10"/>
  </w:num>
  <w:num w:numId="34">
    <w:abstractNumId w:val="13"/>
  </w:num>
  <w:num w:numId="35">
    <w:abstractNumId w:val="21"/>
  </w:num>
  <w:num w:numId="36">
    <w:abstractNumId w:val="39"/>
  </w:num>
  <w:num w:numId="37">
    <w:abstractNumId w:val="6"/>
  </w:num>
  <w:num w:numId="38">
    <w:abstractNumId w:val="43"/>
  </w:num>
  <w:num w:numId="39">
    <w:abstractNumId w:val="27"/>
  </w:num>
  <w:num w:numId="40">
    <w:abstractNumId w:val="29"/>
  </w:num>
  <w:num w:numId="41">
    <w:abstractNumId w:val="22"/>
  </w:num>
  <w:num w:numId="42">
    <w:abstractNumId w:val="35"/>
  </w:num>
  <w:num w:numId="43">
    <w:abstractNumId w:val="2"/>
  </w:num>
  <w:num w:numId="44">
    <w:abstractNumId w:val="15"/>
  </w:num>
  <w:num w:numId="45">
    <w:abstractNumId w:val="24"/>
  </w:num>
  <w:num w:numId="46">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D89FEB2-A95E-4F18-B851-4FA2825D8E6C"/>
    <w:docVar w:name="LW_COVERPAGE_TYPE" w:val="1"/>
    <w:docVar w:name="LW_CROSSREFERENCE" w:val="{SWD(2017) 365 final}"/>
    <w:docVar w:name="LW_DocType" w:val="REP"/>
    <w:docVar w:name="LW_EMISSION" w:val="8.11.2017"/>
    <w:docVar w:name="LW_EMISSION_ISODATE" w:val="2017-11-08"/>
    <w:docVar w:name="LW_EMISSION_LOCATION" w:val="BRX"/>
    <w:docVar w:name="LW_EMISSION_PREFIX" w:val="Брюксел, "/>
    <w:docVar w:name="LW_EMISSION_SUFFIX" w:val="\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0?\u1098?\u1084? \u1085?\u1072?\u1081?-\u1096?\u1080?\u1088?\u1086?\u1082?\u1086? \u1080?\u1079?\u1087?\u1086?\u1083?\u1079?\u1074?\u1072?\u1085?\u1077? \u1085?\u1072? \u1072?\u1083?\u1090?\u1077?\u1088?\u1085?\u1072?\u1090?\u1080?\u1074?\u1085?\u1080? \u1075?\u1086?\u1088?\u1080?\u1074?\u1072?/\u1077?\u1085?\u1077?\u1088?\u1075?\u1086?\u1085?\u1086?\u1089?\u1080?\u1090?\u1077?\u1083?\u1080?: \u1087?\u1083?\u1072?\u1085? \u1079?\u1072? \u1076?\u1077?\u1081?\u1089?\u1090?\u1074?\u1080?\u1077? \u1086?\u1090?\u1085?\u1086?\u1089?\u1085?\u1086? \u1080?\u1085?\u1092?\u1088?\u1072?\u1089?\u1090?\u1088?\u1091?\u1082?\u1090?\u1091?\u1088?\u1072?\u1090?\u1072? \u1079?\u1072? \u1072?\u1083?\u1090?\u1077?\u1088?\u1085?\u1072?\u1090?\u1080?\u1074?\u1085?\u1080? \u1075?\u1086?\u1088?\u1080?\u1074?\u1072?/\u1077?\u1085?\u1077?\u1088?\u1075?\u1086?\u1085?\u1086?\u1089?\u1080?\u1090?\u1077?\u1083?\u1080? \u1089?\u1098?\u1075?\u1083?\u1072?\u1089?\u1085?\u1086? \u1095?\u1083?\u1077?\u1085? 10, \u1087?\u1072?\u1088?\u1072?\u1075?\u1088?\u1072?\u1092? 6 \u1086?\u1090? \u1044?\u1080?\u1088?\u1077?\u1082?\u1090?\u1080?\u1074?\u1072? 2014/94/\u1045?\u1057?, \u1074?\u1082?\u1083?\u1102?\u1095?\u1080?\u1090?\u1077?\u1083?\u1085?\u1086? \u1086?\u1094?\u1077?\u1085?\u1082?\u1072? \u1085?\u1072? \u1085?\u1072?\u1094?\u1080?\u1086?\u1085?\u1072?\u1083?\u1085?\u1080?\u1090?\u1077? \u1087?\u1086?\u1083?\u1080?\u1090?\u1080?\u1095?\u1077?\u1089?\u1082?\u1080? \u1088?\u1072?\u1084?\u1082?\u1080? \u1087?\u1086? \u1095?\u1083?\u1077?\u1085? 10, \u1087?\u1072?\u1088?\u1072?\u1075?\u1088?\u1072?\u1092? 2 \u1086?\u1090? \u1044?\u1080?\u1088?\u1077?\u1082?\u1090?\u1080?\u1074?\u1072? 2014/94/\u1045?\u1057?"/>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Stamp" w:val="\\dossiers.dgt.cec.eu.int\dossiers\MOVE\MOVE-2017-01064\MOVE-2017-01064-00-01-EN-REV-00.201710091540495301474.DOCX"/>
  </w:docVars>
  <w:rsids>
    <w:rsidRoot w:val="00D64E4D"/>
    <w:rsid w:val="009C12D1"/>
    <w:rsid w:val="00D64E4D"/>
    <w:rsid w:val="00DB1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Text1"/>
    <w:qFormat/>
    <w:pPr>
      <w:keepNext/>
      <w:numPr>
        <w:numId w:val="3"/>
      </w:numPr>
      <w:spacing w:before="240"/>
      <w:outlineLvl w:val="0"/>
    </w:pPr>
    <w:rPr>
      <w:rFonts w:ascii="Times New Roman" w:hAnsi="Times New Roman"/>
      <w:b/>
      <w:smallCaps/>
      <w:sz w:val="24"/>
      <w:szCs w:val="24"/>
    </w:rPr>
  </w:style>
  <w:style w:type="paragraph" w:styleId="Heading2">
    <w:name w:val="heading 2"/>
    <w:basedOn w:val="Normal"/>
    <w:next w:val="Text2"/>
    <w:link w:val="Heading2Char"/>
    <w:qFormat/>
    <w:pPr>
      <w:keepNext/>
      <w:numPr>
        <w:ilvl w:val="1"/>
        <w:numId w:val="3"/>
      </w:numPr>
      <w:tabs>
        <w:tab w:val="clear" w:pos="1429"/>
        <w:tab w:val="num" w:pos="862"/>
      </w:tabs>
      <w:ind w:left="862"/>
      <w:outlineLvl w:val="1"/>
    </w:pPr>
    <w:rPr>
      <w:rFonts w:ascii="Times New Roman" w:hAnsi="Times New Roman"/>
      <w:b/>
      <w:sz w:val="24"/>
      <w:szCs w:val="24"/>
    </w:rPr>
  </w:style>
  <w:style w:type="paragraph" w:styleId="Heading3">
    <w:name w:val="heading 3"/>
    <w:basedOn w:val="Normal"/>
    <w:next w:val="Text3"/>
    <w:qFormat/>
    <w:pPr>
      <w:keepNext/>
      <w:numPr>
        <w:ilvl w:val="2"/>
        <w:numId w:val="3"/>
      </w:numPr>
      <w:tabs>
        <w:tab w:val="clear" w:pos="720"/>
        <w:tab w:val="num" w:pos="1560"/>
      </w:tabs>
      <w:ind w:left="156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paragraph" w:styleId="FootnoteText">
    <w:name w:val="footnote text"/>
    <w:aliases w:val="Footnote text,Footnote Text Char3,Footnote Text Char2 Char,Footnote Text Char Char Char1 Char,Footnote Text Char1 Char1 Char,Footnote Text Char Char Char2,fn,Fußnote,Fotnotstext1,Footnote Text Char2,9 pt,ft,foot note te,foot note tex,Car,9"/>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pPr>
    <w:rPr>
      <w:rFonts w:eastAsiaTheme="minorHAnsi"/>
    </w:rPr>
  </w:style>
  <w:style w:type="paragraph" w:customStyle="1" w:styleId="LegalNumPar2">
    <w:name w:val="LegalNumPar2"/>
    <w:basedOn w:val="Normal"/>
    <w:pPr>
      <w:numPr>
        <w:ilvl w:val="1"/>
        <w:numId w:val="19"/>
      </w:numPr>
      <w:spacing w:line="360" w:lineRule="auto"/>
      <w:ind w:left="952" w:hanging="476"/>
    </w:pPr>
    <w:rPr>
      <w:rFonts w:eastAsiaTheme="minorHAnsi"/>
    </w:rPr>
  </w:style>
  <w:style w:type="paragraph" w:customStyle="1" w:styleId="LegalNumPar3">
    <w:name w:val="LegalNumPar3"/>
    <w:basedOn w:val="Normal"/>
    <w:pPr>
      <w:numPr>
        <w:ilvl w:val="2"/>
        <w:numId w:val="19"/>
      </w:numPr>
      <w:spacing w:line="360" w:lineRule="auto"/>
    </w:pPr>
    <w:rPr>
      <w:rFonts w:eastAsiaTheme="minorHAnsi"/>
    </w:rPr>
  </w:style>
  <w:style w:type="character" w:customStyle="1" w:styleId="FooterChar">
    <w:name w:val="Footer Char"/>
    <w:basedOn w:val="DefaultParagraphFont"/>
    <w:link w:val="Footer"/>
    <w:uiPriority w:val="99"/>
    <w:rPr>
      <w:rFonts w:eastAsiaTheme="minorHAnsi"/>
      <w:sz w:val="24"/>
      <w:szCs w:val="22"/>
      <w:lang w:eastAsia="bg-BG"/>
    </w:rPr>
  </w:style>
  <w:style w:type="character" w:customStyle="1" w:styleId="HeaderChar">
    <w:name w:val="Header Char"/>
    <w:basedOn w:val="DefaultParagraphFont"/>
    <w:link w:val="Header"/>
    <w:uiPriority w:val="99"/>
    <w:rPr>
      <w:rFonts w:eastAsiaTheme="minorHAnsi"/>
      <w:sz w:val="24"/>
      <w:szCs w:val="22"/>
      <w:lang w:eastAsia="bg-BG"/>
    </w:rPr>
  </w:style>
  <w:style w:type="paragraph" w:styleId="ListParagraph">
    <w:name w:val="List Paragraph"/>
    <w:basedOn w:val="Normal"/>
    <w:uiPriority w:val="34"/>
    <w:qFormat/>
    <w:pPr>
      <w:ind w:left="720"/>
      <w:contextualSpacing/>
    </w:pPr>
    <w:rPr>
      <w:rFonts w:asciiTheme="minorHAnsi" w:eastAsiaTheme="minorHAnsi" w:hAnsiTheme="minorHAnsi" w:cstheme="minorBidi"/>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fn Char,Fußnote Char,Fotnotstext1 Char,9 pt Char"/>
    <w:basedOn w:val="DefaultParagraphFont"/>
    <w:uiPriority w:val="99"/>
    <w:qFormat/>
    <w:rPr>
      <w:lang w:eastAsia="bg-BG"/>
    </w:rPr>
  </w:style>
  <w:style w:type="character" w:styleId="FootnoteReference">
    <w:name w:val="footnote reference"/>
    <w:aliases w:val="SUPERS,Footnote symbol,Times 10 Point,Exposant 3 Point,Footnote,BVI fnr,number,-E Fußnotenzeichen,Footnote reference number,note TESI,EN Footnote Reference,Footnote Reference/,Footnote Reference Number,styl, Exposant 3 Point, BVI fnr"/>
    <w:basedOn w:val="DefaultParagraphFont"/>
    <w:link w:val="Footnotenumber"/>
    <w:uiPriority w:val="99"/>
    <w:unhideWhenUsed/>
    <w:qFormat/>
    <w:rPr>
      <w:vertAlign w:val="superscript"/>
    </w:rPr>
  </w:style>
  <w:style w:type="character" w:customStyle="1" w:styleId="CommentTextChar">
    <w:name w:val="Comment Text Char"/>
    <w:basedOn w:val="DefaultParagraphFont"/>
    <w:link w:val="CommentText"/>
    <w:uiPriority w:val="99"/>
    <w:rPr>
      <w:lang w:eastAsia="bg-BG"/>
    </w:rPr>
  </w:style>
  <w:style w:type="paragraph" w:customStyle="1" w:styleId="Footnotenumber">
    <w:name w:val="Footnote number"/>
    <w:aliases w:val="fr"/>
    <w:basedOn w:val="Normal"/>
    <w:link w:val="FootnoteReference"/>
    <w:uiPriority w:val="99"/>
    <w:pPr>
      <w:spacing w:after="160" w:line="240" w:lineRule="exact"/>
    </w:pPr>
    <w:rPr>
      <w:rFonts w:ascii="Times New Roman" w:eastAsia="Times New Roman" w:hAnsi="Times New Roman"/>
      <w:sz w:val="20"/>
      <w:szCs w:val="20"/>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bg-BG"/>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SubjectChar">
    <w:name w:val="Comment Subject Char"/>
    <w:basedOn w:val="CommentTextChar"/>
    <w:link w:val="CommentSubject"/>
    <w:uiPriority w:val="99"/>
    <w:semiHidden/>
    <w:rPr>
      <w:rFonts w:ascii="Calibri" w:eastAsia="Calibri" w:hAnsi="Calibri"/>
      <w:b/>
      <w:bCs/>
      <w:lang w:eastAsia="bg-BG"/>
    </w:rPr>
  </w:style>
  <w:style w:type="character" w:customStyle="1" w:styleId="Heading2Char">
    <w:name w:val="Heading 2 Char"/>
    <w:basedOn w:val="DefaultParagraphFont"/>
    <w:link w:val="Heading2"/>
    <w:rPr>
      <w:rFonts w:eastAsia="Calibri"/>
      <w:b/>
      <w:sz w:val="24"/>
      <w:szCs w:val="24"/>
      <w:lang w:eastAsia="bg-BG"/>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BriefingtextChar">
    <w:name w:val="Briefing text Char"/>
    <w:link w:val="Briefingtext"/>
    <w:locked/>
    <w:rPr>
      <w:rFonts w:ascii="Arial" w:hAnsi="Arial" w:cs="Arial"/>
      <w:sz w:val="22"/>
      <w:szCs w:val="24"/>
      <w:lang w:eastAsia="bg-BG"/>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eastAsia="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eastAsia="Calibri"/>
      <w:sz w:val="24"/>
      <w:szCs w:val="22"/>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qFormat="1"/>
    <w:lsdException w:name="annotation text" w:uiPriority="99"/>
    <w:lsdException w:name="header" w:uiPriority="9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Text1"/>
    <w:qFormat/>
    <w:pPr>
      <w:keepNext/>
      <w:numPr>
        <w:numId w:val="3"/>
      </w:numPr>
      <w:spacing w:before="240"/>
      <w:outlineLvl w:val="0"/>
    </w:pPr>
    <w:rPr>
      <w:rFonts w:ascii="Times New Roman" w:hAnsi="Times New Roman"/>
      <w:b/>
      <w:smallCaps/>
      <w:sz w:val="24"/>
      <w:szCs w:val="24"/>
    </w:rPr>
  </w:style>
  <w:style w:type="paragraph" w:styleId="Heading2">
    <w:name w:val="heading 2"/>
    <w:basedOn w:val="Normal"/>
    <w:next w:val="Text2"/>
    <w:link w:val="Heading2Char"/>
    <w:qFormat/>
    <w:pPr>
      <w:keepNext/>
      <w:numPr>
        <w:ilvl w:val="1"/>
        <w:numId w:val="3"/>
      </w:numPr>
      <w:tabs>
        <w:tab w:val="clear" w:pos="1429"/>
        <w:tab w:val="num" w:pos="862"/>
      </w:tabs>
      <w:ind w:left="862"/>
      <w:outlineLvl w:val="1"/>
    </w:pPr>
    <w:rPr>
      <w:rFonts w:ascii="Times New Roman" w:hAnsi="Times New Roman"/>
      <w:b/>
      <w:sz w:val="24"/>
      <w:szCs w:val="24"/>
    </w:rPr>
  </w:style>
  <w:style w:type="paragraph" w:styleId="Heading3">
    <w:name w:val="heading 3"/>
    <w:basedOn w:val="Normal"/>
    <w:next w:val="Text3"/>
    <w:qFormat/>
    <w:pPr>
      <w:keepNext/>
      <w:numPr>
        <w:ilvl w:val="2"/>
        <w:numId w:val="3"/>
      </w:numPr>
      <w:tabs>
        <w:tab w:val="clear" w:pos="720"/>
        <w:tab w:val="num" w:pos="1560"/>
      </w:tabs>
      <w:ind w:left="1560"/>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paragraph" w:styleId="FootnoteText">
    <w:name w:val="footnote text"/>
    <w:aliases w:val="Footnote text,Footnote Text Char3,Footnote Text Char2 Char,Footnote Text Char Char Char1 Char,Footnote Text Char1 Char1 Char,Footnote Text Char Char Char2,fn,Fußnote,Fotnotstext1,Footnote Text Char2,9 pt,ft,foot note te,foot note tex,Car,9"/>
    <w:basedOn w:val="Normal"/>
    <w:uiPriority w:val="99"/>
    <w:qFormat/>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pPr>
    <w:rPr>
      <w:rFonts w:eastAsiaTheme="minorHAnsi"/>
    </w:rPr>
  </w:style>
  <w:style w:type="paragraph" w:customStyle="1" w:styleId="LegalNumPar2">
    <w:name w:val="LegalNumPar2"/>
    <w:basedOn w:val="Normal"/>
    <w:pPr>
      <w:numPr>
        <w:ilvl w:val="1"/>
        <w:numId w:val="19"/>
      </w:numPr>
      <w:spacing w:line="360" w:lineRule="auto"/>
      <w:ind w:left="952" w:hanging="476"/>
    </w:pPr>
    <w:rPr>
      <w:rFonts w:eastAsiaTheme="minorHAnsi"/>
    </w:rPr>
  </w:style>
  <w:style w:type="paragraph" w:customStyle="1" w:styleId="LegalNumPar3">
    <w:name w:val="LegalNumPar3"/>
    <w:basedOn w:val="Normal"/>
    <w:pPr>
      <w:numPr>
        <w:ilvl w:val="2"/>
        <w:numId w:val="19"/>
      </w:numPr>
      <w:spacing w:line="360" w:lineRule="auto"/>
    </w:pPr>
    <w:rPr>
      <w:rFonts w:eastAsiaTheme="minorHAnsi"/>
    </w:rPr>
  </w:style>
  <w:style w:type="character" w:customStyle="1" w:styleId="FooterChar">
    <w:name w:val="Footer Char"/>
    <w:basedOn w:val="DefaultParagraphFont"/>
    <w:link w:val="Footer"/>
    <w:uiPriority w:val="99"/>
    <w:rPr>
      <w:rFonts w:eastAsiaTheme="minorHAnsi"/>
      <w:sz w:val="24"/>
      <w:szCs w:val="22"/>
      <w:lang w:eastAsia="bg-BG"/>
    </w:rPr>
  </w:style>
  <w:style w:type="character" w:customStyle="1" w:styleId="HeaderChar">
    <w:name w:val="Header Char"/>
    <w:basedOn w:val="DefaultParagraphFont"/>
    <w:link w:val="Header"/>
    <w:uiPriority w:val="99"/>
    <w:rPr>
      <w:rFonts w:eastAsiaTheme="minorHAnsi"/>
      <w:sz w:val="24"/>
      <w:szCs w:val="22"/>
      <w:lang w:eastAsia="bg-BG"/>
    </w:rPr>
  </w:style>
  <w:style w:type="paragraph" w:styleId="ListParagraph">
    <w:name w:val="List Paragraph"/>
    <w:basedOn w:val="Normal"/>
    <w:uiPriority w:val="34"/>
    <w:qFormat/>
    <w:pPr>
      <w:ind w:left="720"/>
      <w:contextualSpacing/>
    </w:pPr>
    <w:rPr>
      <w:rFonts w:asciiTheme="minorHAnsi" w:eastAsiaTheme="minorHAnsi" w:hAnsiTheme="minorHAnsi" w:cstheme="minorBidi"/>
    </w:rPr>
  </w:style>
  <w:style w:type="character" w:customStyle="1" w:styleId="FootnoteTextChar">
    <w:name w:val="Footnote Text Char"/>
    <w:aliases w:val="Footnote text Char,Footnote Text Char3 Char,Footnote Text Char2 Char Char,Footnote Text Char Char Char1 Char Char,Footnote Text Char1 Char1 Char Char,Footnote Text Char Char Char2 Char,fn Char,Fußnote Char,Fotnotstext1 Char,9 pt Char"/>
    <w:basedOn w:val="DefaultParagraphFont"/>
    <w:uiPriority w:val="99"/>
    <w:qFormat/>
    <w:rPr>
      <w:lang w:eastAsia="bg-BG"/>
    </w:rPr>
  </w:style>
  <w:style w:type="character" w:styleId="FootnoteReference">
    <w:name w:val="footnote reference"/>
    <w:aliases w:val="SUPERS,Footnote symbol,Times 10 Point,Exposant 3 Point,Footnote,BVI fnr,number,-E Fußnotenzeichen,Footnote reference number,note TESI,EN Footnote Reference,Footnote Reference/,Footnote Reference Number,styl, Exposant 3 Point, BVI fnr"/>
    <w:basedOn w:val="DefaultParagraphFont"/>
    <w:link w:val="Footnotenumber"/>
    <w:uiPriority w:val="99"/>
    <w:unhideWhenUsed/>
    <w:qFormat/>
    <w:rPr>
      <w:vertAlign w:val="superscript"/>
    </w:rPr>
  </w:style>
  <w:style w:type="character" w:customStyle="1" w:styleId="CommentTextChar">
    <w:name w:val="Comment Text Char"/>
    <w:basedOn w:val="DefaultParagraphFont"/>
    <w:link w:val="CommentText"/>
    <w:uiPriority w:val="99"/>
    <w:rPr>
      <w:lang w:eastAsia="bg-BG"/>
    </w:rPr>
  </w:style>
  <w:style w:type="paragraph" w:customStyle="1" w:styleId="Footnotenumber">
    <w:name w:val="Footnote number"/>
    <w:aliases w:val="fr"/>
    <w:basedOn w:val="Normal"/>
    <w:link w:val="FootnoteReference"/>
    <w:uiPriority w:val="99"/>
    <w:pPr>
      <w:spacing w:after="160" w:line="240" w:lineRule="exact"/>
    </w:pPr>
    <w:rPr>
      <w:rFonts w:ascii="Times New Roman" w:eastAsia="Times New Roman" w:hAnsi="Times New Roman"/>
      <w:sz w:val="20"/>
      <w:szCs w:val="20"/>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bg-BG"/>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SubjectChar">
    <w:name w:val="Comment Subject Char"/>
    <w:basedOn w:val="CommentTextChar"/>
    <w:link w:val="CommentSubject"/>
    <w:uiPriority w:val="99"/>
    <w:semiHidden/>
    <w:rPr>
      <w:rFonts w:ascii="Calibri" w:eastAsia="Calibri" w:hAnsi="Calibri"/>
      <w:b/>
      <w:bCs/>
      <w:lang w:eastAsia="bg-BG"/>
    </w:rPr>
  </w:style>
  <w:style w:type="character" w:customStyle="1" w:styleId="Heading2Char">
    <w:name w:val="Heading 2 Char"/>
    <w:basedOn w:val="DefaultParagraphFont"/>
    <w:link w:val="Heading2"/>
    <w:rPr>
      <w:rFonts w:eastAsia="Calibri"/>
      <w:b/>
      <w:sz w:val="24"/>
      <w:szCs w:val="24"/>
      <w:lang w:eastAsia="bg-BG"/>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BriefingtextChar">
    <w:name w:val="Briefing text Char"/>
    <w:link w:val="Briefingtext"/>
    <w:locked/>
    <w:rPr>
      <w:rFonts w:ascii="Arial" w:hAnsi="Arial" w:cs="Arial"/>
      <w:sz w:val="22"/>
      <w:szCs w:val="24"/>
      <w:lang w:eastAsia="bg-BG"/>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eastAsia="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eastAsia="Calibri"/>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DefaultParagraphFont"/>
    <w:link w:val="HeaderCoverPage"/>
    <w:rPr>
      <w:rFonts w:eastAsia="Calibri"/>
      <w:sz w:val="24"/>
      <w:szCs w:val="22"/>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00487">
      <w:bodyDiv w:val="1"/>
      <w:marLeft w:val="0"/>
      <w:marRight w:val="0"/>
      <w:marTop w:val="0"/>
      <w:marBottom w:val="0"/>
      <w:divBdr>
        <w:top w:val="none" w:sz="0" w:space="0" w:color="auto"/>
        <w:left w:val="none" w:sz="0" w:space="0" w:color="auto"/>
        <w:bottom w:val="none" w:sz="0" w:space="0" w:color="auto"/>
        <w:right w:val="none" w:sz="0" w:space="0" w:color="auto"/>
      </w:divBdr>
      <w:divsChild>
        <w:div w:id="69891623">
          <w:marLeft w:val="547"/>
          <w:marRight w:val="0"/>
          <w:marTop w:val="0"/>
          <w:marBottom w:val="0"/>
          <w:divBdr>
            <w:top w:val="none" w:sz="0" w:space="0" w:color="auto"/>
            <w:left w:val="none" w:sz="0" w:space="0" w:color="auto"/>
            <w:bottom w:val="none" w:sz="0" w:space="0" w:color="auto"/>
            <w:right w:val="none" w:sz="0" w:space="0" w:color="auto"/>
          </w:divBdr>
        </w:div>
        <w:div w:id="694619564">
          <w:marLeft w:val="547"/>
          <w:marRight w:val="0"/>
          <w:marTop w:val="0"/>
          <w:marBottom w:val="0"/>
          <w:divBdr>
            <w:top w:val="none" w:sz="0" w:space="0" w:color="auto"/>
            <w:left w:val="none" w:sz="0" w:space="0" w:color="auto"/>
            <w:bottom w:val="none" w:sz="0" w:space="0" w:color="auto"/>
            <w:right w:val="none" w:sz="0" w:space="0" w:color="auto"/>
          </w:divBdr>
        </w:div>
        <w:div w:id="1566529509">
          <w:marLeft w:val="547"/>
          <w:marRight w:val="0"/>
          <w:marTop w:val="0"/>
          <w:marBottom w:val="0"/>
          <w:divBdr>
            <w:top w:val="none" w:sz="0" w:space="0" w:color="auto"/>
            <w:left w:val="none" w:sz="0" w:space="0" w:color="auto"/>
            <w:bottom w:val="none" w:sz="0" w:space="0" w:color="auto"/>
            <w:right w:val="none" w:sz="0" w:space="0" w:color="auto"/>
          </w:divBdr>
        </w:div>
        <w:div w:id="1944415293">
          <w:marLeft w:val="547"/>
          <w:marRight w:val="0"/>
          <w:marTop w:val="0"/>
          <w:marBottom w:val="0"/>
          <w:divBdr>
            <w:top w:val="none" w:sz="0" w:space="0" w:color="auto"/>
            <w:left w:val="none" w:sz="0" w:space="0" w:color="auto"/>
            <w:bottom w:val="none" w:sz="0" w:space="0" w:color="auto"/>
            <w:right w:val="none" w:sz="0" w:space="0" w:color="auto"/>
          </w:divBdr>
        </w:div>
      </w:divsChild>
    </w:div>
    <w:div w:id="324404304">
      <w:bodyDiv w:val="1"/>
      <w:marLeft w:val="0"/>
      <w:marRight w:val="0"/>
      <w:marTop w:val="0"/>
      <w:marBottom w:val="0"/>
      <w:divBdr>
        <w:top w:val="none" w:sz="0" w:space="0" w:color="auto"/>
        <w:left w:val="none" w:sz="0" w:space="0" w:color="auto"/>
        <w:bottom w:val="none" w:sz="0" w:space="0" w:color="auto"/>
        <w:right w:val="none" w:sz="0" w:space="0" w:color="auto"/>
      </w:divBdr>
    </w:div>
    <w:div w:id="1198350696">
      <w:bodyDiv w:val="1"/>
      <w:marLeft w:val="0"/>
      <w:marRight w:val="0"/>
      <w:marTop w:val="0"/>
      <w:marBottom w:val="0"/>
      <w:divBdr>
        <w:top w:val="none" w:sz="0" w:space="0" w:color="auto"/>
        <w:left w:val="none" w:sz="0" w:space="0" w:color="auto"/>
        <w:bottom w:val="none" w:sz="0" w:space="0" w:color="auto"/>
        <w:right w:val="none" w:sz="0" w:space="0" w:color="auto"/>
      </w:divBdr>
    </w:div>
    <w:div w:id="1218708377">
      <w:bodyDiv w:val="1"/>
      <w:marLeft w:val="0"/>
      <w:marRight w:val="0"/>
      <w:marTop w:val="0"/>
      <w:marBottom w:val="0"/>
      <w:divBdr>
        <w:top w:val="none" w:sz="0" w:space="0" w:color="auto"/>
        <w:left w:val="none" w:sz="0" w:space="0" w:color="auto"/>
        <w:bottom w:val="none" w:sz="0" w:space="0" w:color="auto"/>
        <w:right w:val="none" w:sz="0" w:space="0" w:color="auto"/>
      </w:divBdr>
    </w:div>
    <w:div w:id="1442870444">
      <w:bodyDiv w:val="1"/>
      <w:marLeft w:val="0"/>
      <w:marRight w:val="0"/>
      <w:marTop w:val="0"/>
      <w:marBottom w:val="0"/>
      <w:divBdr>
        <w:top w:val="none" w:sz="0" w:space="0" w:color="auto"/>
        <w:left w:val="none" w:sz="0" w:space="0" w:color="auto"/>
        <w:bottom w:val="none" w:sz="0" w:space="0" w:color="auto"/>
        <w:right w:val="none" w:sz="0" w:space="0" w:color="auto"/>
      </w:divBdr>
    </w:div>
    <w:div w:id="1968511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iorities/jobs-growth-and-investment/investment-plan_bg" TargetMode="External"/><Relationship Id="rId7" Type="http://schemas.openxmlformats.org/officeDocument/2006/relationships/hyperlink" Target="http://beta.eu-smartcities.eu/" TargetMode="External"/><Relationship Id="rId2" Type="http://schemas.openxmlformats.org/officeDocument/2006/relationships/hyperlink" Target="http://ec.europa.eu/transparency/regexpert/index.cfm?do=groupDetail.groupDetail&amp;groupID=2869&amp;Lang=BG" TargetMode="External"/><Relationship Id="rId1" Type="http://schemas.openxmlformats.org/officeDocument/2006/relationships/hyperlink" Target="https://ec.europa.eu/transport/themes/urban/cpt/stf_bg" TargetMode="External"/><Relationship Id="rId6" Type="http://schemas.openxmlformats.org/officeDocument/2006/relationships/hyperlink" Target="http://civitas.eu/" TargetMode="External"/><Relationship Id="rId5" Type="http://schemas.openxmlformats.org/officeDocument/2006/relationships/hyperlink" Target="http://www.eib.org/products/advising/jaspers/index.htm?f=search&amp;media=search" TargetMode="External"/><Relationship Id="rId4" Type="http://schemas.openxmlformats.org/officeDocument/2006/relationships/hyperlink" Target="http://ec.europa.eu/transport/infrastructure/tentec/tentec-portal/map/map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88DC-1A7E-4B8E-9033-F45732D0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25</Pages>
  <Words>8693</Words>
  <Characters>51812</Characters>
  <Application>Microsoft Office Word</Application>
  <DocSecurity>0</DocSecurity>
  <PresentationFormat>Microsoft Word 14.0</PresentationFormat>
  <Lines>431</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EL4</cp:keywords>
  <dc:description/>
  <cp:lastModifiedBy>Stefanie Heilemann</cp:lastModifiedBy>
  <cp:revision>1</cp:revision>
  <cp:lastPrinted>2017-10-23T16:10:00Z</cp:lastPrinted>
  <dcterms:created xsi:type="dcterms:W3CDTF">2017-11-20T15:02:00Z</dcterms:created>
  <dcterms:modified xsi:type="dcterms:W3CDTF">2017-11-21T15:40:00Z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Claire DEPRE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