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CA" w:rsidRDefault="00561431" w:rsidP="0056143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A7319F6-3C50-4EB9-AE92-26500B7CBFBD" style="width:450.25pt;height:406.2pt">
            <v:imagedata r:id="rId8" o:title=""/>
          </v:shape>
        </w:pict>
      </w:r>
    </w:p>
    <w:p w:rsidR="001D1ACA" w:rsidRDefault="001D1ACA">
      <w:pPr>
        <w:rPr>
          <w:noProof/>
        </w:rPr>
        <w:sectPr w:rsidR="001D1ACA" w:rsidSect="0056143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1D1ACA" w:rsidRDefault="00561431">
      <w:pPr>
        <w:pStyle w:val="Annexetitre"/>
        <w:rPr>
          <w:noProof/>
        </w:rPr>
      </w:pPr>
      <w:r>
        <w:rPr>
          <w:noProof/>
        </w:rPr>
        <w:lastRenderedPageBreak/>
        <w:t>ANNEX</w:t>
      </w:r>
    </w:p>
    <w:p w:rsidR="001D1ACA" w:rsidRDefault="00561431">
      <w:pPr>
        <w:keepNext/>
        <w:spacing w:before="100" w:beforeAutospacing="1" w:after="100" w:afterAutospacing="1"/>
        <w:rPr>
          <w:rFonts w:eastAsia="Times New Roman"/>
          <w:b/>
          <w:noProof/>
          <w:szCs w:val="24"/>
          <w:lang w:eastAsia="en-GB"/>
        </w:rPr>
      </w:pPr>
      <w:r>
        <w:rPr>
          <w:rFonts w:eastAsia="Times New Roman"/>
          <w:b/>
          <w:noProof/>
          <w:szCs w:val="24"/>
          <w:lang w:eastAsia="en-GB"/>
        </w:rPr>
        <w:t>Guideline 5: Boosting the demand for labour</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States should facilitate the creation of quality jobs, including by reducing the barriers that businesses face in hiring people, by promoting entrepreneurship and self-employment and, in particular, </w:t>
      </w:r>
      <w:r>
        <w:rPr>
          <w:rFonts w:eastAsia="Times New Roman"/>
          <w:noProof/>
          <w:szCs w:val="20"/>
        </w:rPr>
        <w:t xml:space="preserve">by </w:t>
      </w:r>
      <w:r>
        <w:rPr>
          <w:rFonts w:eastAsia="Times New Roman"/>
          <w:noProof/>
          <w:szCs w:val="24"/>
          <w:lang w:eastAsia="en-GB"/>
        </w:rPr>
        <w:t>supporting the creation and growth of micro and</w:t>
      </w:r>
      <w:r>
        <w:rPr>
          <w:rFonts w:eastAsia="Times New Roman"/>
          <w:noProof/>
          <w:szCs w:val="24"/>
          <w:lang w:eastAsia="en-GB"/>
        </w:rPr>
        <w:t xml:space="preserve"> small enterprises. Member States should actively promote the social economy and foster social innovation.</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States should encourage innovative forms of work, which create job opportunities for all in a responsible manner.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The tax burden should be sh</w:t>
      </w:r>
      <w:r>
        <w:rPr>
          <w:rFonts w:eastAsia="Times New Roman"/>
          <w:noProof/>
          <w:szCs w:val="24"/>
          <w:lang w:eastAsia="en-GB"/>
        </w:rPr>
        <w:t>ifted away from labour to other sources of taxation that are less detrimental to employment and growth, taking account of the redistributive effect of the tax system, while protecting revenue for adequate social protection and growth-enhancing expenditure.</w:t>
      </w:r>
      <w:r>
        <w:rPr>
          <w:rFonts w:eastAsia="Times New Roman"/>
          <w:noProof/>
          <w:szCs w:val="24"/>
          <w:lang w:eastAsia="en-GB"/>
        </w:rPr>
        <w:t xml:space="preserve">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Member States should, in line with national practices and respecting the autonomy of social partners, encourage transparent and predictable wage-setting mechanisms, allowing for the responsiveness of wages to productivity developments while ensuring fair</w:t>
      </w:r>
      <w:r>
        <w:rPr>
          <w:rFonts w:eastAsia="Times New Roman"/>
          <w:noProof/>
          <w:szCs w:val="24"/>
          <w:lang w:eastAsia="en-GB"/>
        </w:rPr>
        <w:t xml:space="preserve"> wages that provide for a decent standard of living. These mechanisms should take into account differences in skills levels and divergences in economic performance across regions, sectors and companies. Respecting national practices,</w:t>
      </w:r>
      <w:r>
        <w:rPr>
          <w:rFonts w:eastAsia="Times New Roman"/>
          <w:noProof/>
          <w:szCs w:val="20"/>
        </w:rPr>
        <w:t xml:space="preserve"> </w:t>
      </w:r>
      <w:r>
        <w:rPr>
          <w:rFonts w:eastAsia="Times New Roman"/>
          <w:noProof/>
          <w:sz w:val="22"/>
          <w:szCs w:val="20"/>
        </w:rPr>
        <w:t>M</w:t>
      </w:r>
      <w:r>
        <w:rPr>
          <w:rFonts w:eastAsia="Times New Roman"/>
          <w:noProof/>
          <w:szCs w:val="24"/>
          <w:lang w:eastAsia="en-GB"/>
        </w:rPr>
        <w:t>ember States and soci</w:t>
      </w:r>
      <w:r>
        <w:rPr>
          <w:rFonts w:eastAsia="Times New Roman"/>
          <w:noProof/>
          <w:szCs w:val="24"/>
          <w:lang w:eastAsia="en-GB"/>
        </w:rPr>
        <w:t>al partners should ensure adequate minimum wage levels, taking into account their impact on competitiveness, job creation and in-work poverty.</w:t>
      </w:r>
    </w:p>
    <w:p w:rsidR="001D1ACA" w:rsidRDefault="001D1ACA">
      <w:pPr>
        <w:spacing w:before="100" w:beforeAutospacing="1" w:after="100" w:afterAutospacing="1"/>
        <w:rPr>
          <w:rFonts w:eastAsia="Times New Roman"/>
          <w:noProof/>
          <w:szCs w:val="24"/>
          <w:lang w:eastAsia="en-GB"/>
        </w:rPr>
      </w:pPr>
    </w:p>
    <w:p w:rsidR="001D1ACA" w:rsidRDefault="00561431">
      <w:pPr>
        <w:keepNext/>
        <w:spacing w:before="100" w:beforeAutospacing="1" w:after="100" w:afterAutospacing="1"/>
        <w:rPr>
          <w:rFonts w:eastAsia="Times New Roman"/>
          <w:b/>
          <w:noProof/>
          <w:szCs w:val="24"/>
          <w:lang w:eastAsia="en-GB"/>
        </w:rPr>
      </w:pPr>
      <w:r>
        <w:rPr>
          <w:rFonts w:eastAsia="Times New Roman"/>
          <w:b/>
          <w:noProof/>
          <w:szCs w:val="24"/>
          <w:lang w:eastAsia="en-GB"/>
        </w:rPr>
        <w:t xml:space="preserve">Guideline 6: </w:t>
      </w:r>
      <w:r>
        <w:rPr>
          <w:rFonts w:eastAsia="Times New Roman"/>
          <w:b/>
          <w:bCs/>
          <w:noProof/>
          <w:szCs w:val="20"/>
        </w:rPr>
        <w:t xml:space="preserve">Enhancing labour supply: </w:t>
      </w:r>
      <w:r>
        <w:rPr>
          <w:rFonts w:eastAsia="Times New Roman"/>
          <w:b/>
          <w:noProof/>
          <w:szCs w:val="24"/>
          <w:lang w:eastAsia="en-GB"/>
        </w:rPr>
        <w:t>access to employment, skills and competences</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In the context of technologic</w:t>
      </w:r>
      <w:r>
        <w:rPr>
          <w:rFonts w:eastAsia="Times New Roman"/>
          <w:noProof/>
          <w:szCs w:val="24"/>
          <w:lang w:eastAsia="en-GB"/>
        </w:rPr>
        <w:t>al, environmental and demographic change, Member States, in cooperation with social partners, should promote productivity and employability through an appropriate supply of relevant knowledge, skills and competences</w:t>
      </w:r>
      <w:r>
        <w:rPr>
          <w:rFonts w:eastAsia="Times New Roman"/>
          <w:noProof/>
          <w:szCs w:val="20"/>
        </w:rPr>
        <w:t xml:space="preserve"> </w:t>
      </w:r>
      <w:r>
        <w:rPr>
          <w:rFonts w:eastAsia="Times New Roman"/>
          <w:noProof/>
          <w:szCs w:val="24"/>
          <w:lang w:eastAsia="en-GB"/>
        </w:rPr>
        <w:t>throughout people's working lives, respo</w:t>
      </w:r>
      <w:r>
        <w:rPr>
          <w:rFonts w:eastAsia="Times New Roman"/>
          <w:noProof/>
          <w:szCs w:val="24"/>
          <w:lang w:eastAsia="en-GB"/>
        </w:rPr>
        <w:t xml:space="preserve">nding to current and future labour market needs. Member States should make the necessary investment in both initial and continuing education and training. They should </w:t>
      </w:r>
      <w:r>
        <w:rPr>
          <w:rFonts w:eastAsia="Times New Roman"/>
          <w:bCs/>
          <w:noProof/>
          <w:szCs w:val="24"/>
          <w:lang w:val="en" w:eastAsia="en-GB"/>
        </w:rPr>
        <w:t xml:space="preserve">work together with </w:t>
      </w:r>
      <w:r>
        <w:rPr>
          <w:rFonts w:eastAsia="Times New Roman"/>
          <w:noProof/>
          <w:szCs w:val="24"/>
          <w:lang w:val="en" w:eastAsia="en-GB"/>
        </w:rPr>
        <w:t>social partners, education and training providers and other stakeholde</w:t>
      </w:r>
      <w:r>
        <w:rPr>
          <w:rFonts w:eastAsia="Times New Roman"/>
          <w:noProof/>
          <w:szCs w:val="24"/>
          <w:lang w:val="en" w:eastAsia="en-GB"/>
        </w:rPr>
        <w:t xml:space="preserve">rs </w:t>
      </w:r>
      <w:r>
        <w:rPr>
          <w:rFonts w:eastAsia="Times New Roman"/>
          <w:bCs/>
          <w:noProof/>
          <w:szCs w:val="24"/>
          <w:lang w:val="en" w:eastAsia="en-GB"/>
        </w:rPr>
        <w:t>to</w:t>
      </w:r>
      <w:r>
        <w:rPr>
          <w:rFonts w:eastAsia="Times New Roman"/>
          <w:noProof/>
          <w:szCs w:val="24"/>
          <w:lang w:val="en" w:eastAsia="en-GB"/>
        </w:rPr>
        <w:t xml:space="preserve"> address </w:t>
      </w:r>
      <w:r>
        <w:rPr>
          <w:rFonts w:eastAsia="Times New Roman"/>
          <w:noProof/>
          <w:szCs w:val="24"/>
          <w:lang w:eastAsia="en-GB"/>
        </w:rPr>
        <w:t>structural weaknesses in education and training systems, to provide quality and inclusive education, training and life-long learning. They should ensure the transfer of training entitlements during professional transitions. This should allow everyone bette</w:t>
      </w:r>
      <w:r>
        <w:rPr>
          <w:rFonts w:eastAsia="Times New Roman"/>
          <w:noProof/>
          <w:szCs w:val="24"/>
          <w:lang w:eastAsia="en-GB"/>
        </w:rPr>
        <w:t xml:space="preserve">r to anticipate and adapt to </w:t>
      </w:r>
      <w:r>
        <w:rPr>
          <w:rFonts w:eastAsia="Times New Roman"/>
          <w:noProof/>
          <w:szCs w:val="20"/>
        </w:rPr>
        <w:t xml:space="preserve">labour </w:t>
      </w:r>
      <w:r>
        <w:rPr>
          <w:rFonts w:eastAsia="Times New Roman"/>
          <w:noProof/>
          <w:szCs w:val="24"/>
          <w:lang w:eastAsia="en-GB"/>
        </w:rPr>
        <w:t xml:space="preserve">market needs and successfully manage transitions, thus strengthening the overall resilience of the economy to shocks.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val="en" w:eastAsia="en-GB"/>
        </w:rPr>
        <w:t xml:space="preserve">Member States should foster equal opportunities </w:t>
      </w:r>
      <w:r>
        <w:rPr>
          <w:rFonts w:eastAsia="Times New Roman"/>
          <w:noProof/>
          <w:szCs w:val="20"/>
          <w:lang w:val="en"/>
        </w:rPr>
        <w:t xml:space="preserve">in education and </w:t>
      </w:r>
      <w:r>
        <w:rPr>
          <w:rFonts w:eastAsia="Times New Roman"/>
          <w:noProof/>
          <w:szCs w:val="24"/>
          <w:lang w:eastAsia="en-GB"/>
        </w:rPr>
        <w:t xml:space="preserve">raise overall education levels, particularly for the least qualified. They should ensure quality learning outcomes, reinforce basic skills, reduce the number of young people leaving school early, </w:t>
      </w:r>
      <w:r>
        <w:rPr>
          <w:rFonts w:eastAsia="Times New Roman"/>
          <w:noProof/>
          <w:szCs w:val="24"/>
          <w:lang w:val="en" w:eastAsia="en-GB"/>
        </w:rPr>
        <w:t>enhance the labour-market relevance of tertiary degrees, imp</w:t>
      </w:r>
      <w:r>
        <w:rPr>
          <w:rFonts w:eastAsia="Times New Roman"/>
          <w:noProof/>
          <w:szCs w:val="24"/>
          <w:lang w:val="en" w:eastAsia="en-GB"/>
        </w:rPr>
        <w:t xml:space="preserve">rove skills monitoring and forecasting, </w:t>
      </w:r>
      <w:r>
        <w:rPr>
          <w:rFonts w:eastAsia="Times New Roman"/>
          <w:noProof/>
          <w:szCs w:val="24"/>
          <w:lang w:eastAsia="en-GB"/>
        </w:rPr>
        <w:t>and increase adult participation in continuing education and training. Member States should strengthen work-based learning in their vocational education and training systems, including through quality and effective a</w:t>
      </w:r>
      <w:r>
        <w:rPr>
          <w:rFonts w:eastAsia="Times New Roman"/>
          <w:noProof/>
          <w:szCs w:val="24"/>
          <w:lang w:eastAsia="en-GB"/>
        </w:rPr>
        <w:t>pprenticeships,</w:t>
      </w:r>
      <w:r>
        <w:rPr>
          <w:rFonts w:eastAsia="Times New Roman"/>
          <w:noProof/>
          <w:szCs w:val="24"/>
          <w:lang w:val="en" w:eastAsia="en-GB"/>
        </w:rPr>
        <w:t xml:space="preserve"> make skills more visible and comparable</w:t>
      </w:r>
      <w:r>
        <w:rPr>
          <w:rFonts w:eastAsia="Times New Roman"/>
          <w:noProof/>
          <w:szCs w:val="24"/>
          <w:lang w:eastAsia="en-GB"/>
        </w:rPr>
        <w:t xml:space="preserve"> and increase opportunities for recognising and validating skills and competences acquired outside </w:t>
      </w:r>
      <w:r>
        <w:rPr>
          <w:rFonts w:eastAsia="Times New Roman"/>
          <w:noProof/>
          <w:szCs w:val="24"/>
          <w:lang w:eastAsia="en-GB"/>
        </w:rPr>
        <w:lastRenderedPageBreak/>
        <w:t>formal education and training. They should upgrade and increase the supply and take-up of flexible con</w:t>
      </w:r>
      <w:r>
        <w:rPr>
          <w:rFonts w:eastAsia="Times New Roman"/>
          <w:noProof/>
          <w:szCs w:val="24"/>
          <w:lang w:eastAsia="en-GB"/>
        </w:rPr>
        <w:t xml:space="preserve">tinuing vocational training. Member States should also support low skilled adults to maintain or develop their long term employability by boosting access to and take up of quality learning opportunities, through the establishment of </w:t>
      </w:r>
      <w:r>
        <w:rPr>
          <w:rFonts w:eastAsia="Times New Roman"/>
          <w:noProof/>
          <w:szCs w:val="20"/>
        </w:rPr>
        <w:t>Upskilling Pathways,</w:t>
      </w:r>
      <w:r>
        <w:rPr>
          <w:rFonts w:eastAsia="Times New Roman"/>
          <w:noProof/>
          <w:szCs w:val="24"/>
          <w:lang w:eastAsia="en-GB"/>
        </w:rPr>
        <w:t xml:space="preserve"> in</w:t>
      </w:r>
      <w:r>
        <w:rPr>
          <w:rFonts w:eastAsia="Times New Roman"/>
          <w:noProof/>
          <w:szCs w:val="24"/>
          <w:lang w:eastAsia="en-GB"/>
        </w:rPr>
        <w:t xml:space="preserve">cluding a skills assessment, a matching offer of education and training and the validation and recognition of the skills acquired.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High unemployment and inactivity should be tackled, including through timely and tailor-made assistance based on support for</w:t>
      </w:r>
      <w:r>
        <w:rPr>
          <w:rFonts w:eastAsia="Times New Roman"/>
          <w:noProof/>
          <w:szCs w:val="24"/>
          <w:lang w:eastAsia="en-GB"/>
        </w:rPr>
        <w:t xml:space="preserve"> job-search, training, and requalification.  Comprehensive strategies that include in-depth individual assessment at the latest after 18 months of unemployment should be pursued with a view to significantly reducing and preventing structural unemployment. </w:t>
      </w:r>
      <w:r>
        <w:rPr>
          <w:rFonts w:eastAsia="Times New Roman"/>
          <w:noProof/>
          <w:szCs w:val="24"/>
          <w:lang w:eastAsia="en-GB"/>
        </w:rPr>
        <w:t>Youth unemployment and the high rates of young people not in education, employment or training (NEETs), should continue to be addressed through a structural improvement in the school-to-work transition, including through the full implementation of the Yout</w:t>
      </w:r>
      <w:r>
        <w:rPr>
          <w:rFonts w:eastAsia="Times New Roman"/>
          <w:noProof/>
          <w:szCs w:val="24"/>
          <w:lang w:eastAsia="en-GB"/>
        </w:rPr>
        <w:t>h Guarantee</w:t>
      </w:r>
      <w:r>
        <w:rPr>
          <w:rStyle w:val="FootnoteReference"/>
          <w:noProof/>
        </w:rPr>
        <w:footnoteReference w:id="1"/>
      </w:r>
      <w:r>
        <w:rPr>
          <w:rFonts w:eastAsia="Times New Roman"/>
          <w:noProof/>
          <w:szCs w:val="24"/>
          <w:lang w:eastAsia="en-GB"/>
        </w:rPr>
        <w:t>.</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Tax reforms to shift taxes away from labour should aim to remove barriers and disincentives to participation in the labour market, in particular for those furthest away from the labour market. Member States should support an adapted work envi</w:t>
      </w:r>
      <w:r>
        <w:rPr>
          <w:rFonts w:eastAsia="Times New Roman"/>
          <w:noProof/>
          <w:szCs w:val="24"/>
          <w:lang w:eastAsia="en-GB"/>
        </w:rPr>
        <w:t>ronment for people with disabilities, including targeted financial support actions and services that enable them to participate in the labour market and in society.</w:t>
      </w:r>
    </w:p>
    <w:p w:rsidR="001D1ACA" w:rsidRDefault="00561431">
      <w:pPr>
        <w:spacing w:before="100" w:beforeAutospacing="1" w:after="100" w:afterAutospacing="1"/>
        <w:rPr>
          <w:rFonts w:eastAsia="SimSun"/>
          <w:noProof/>
          <w:szCs w:val="24"/>
        </w:rPr>
      </w:pPr>
      <w:r>
        <w:rPr>
          <w:rFonts w:eastAsia="Times New Roman"/>
          <w:noProof/>
          <w:szCs w:val="24"/>
          <w:lang w:eastAsia="en-GB"/>
        </w:rPr>
        <w:t>Barriers to participation and career progression should be eliminated to ensure gender equa</w:t>
      </w:r>
      <w:r>
        <w:rPr>
          <w:rFonts w:eastAsia="Times New Roman"/>
          <w:noProof/>
          <w:szCs w:val="24"/>
          <w:lang w:eastAsia="en-GB"/>
        </w:rPr>
        <w:t>lity and</w:t>
      </w:r>
      <w:r>
        <w:rPr>
          <w:rFonts w:eastAsia="Times New Roman"/>
          <w:noProof/>
          <w:szCs w:val="20"/>
        </w:rPr>
        <w:t xml:space="preserve"> increased </w:t>
      </w:r>
      <w:r>
        <w:rPr>
          <w:rFonts w:eastAsia="Times New Roman"/>
          <w:noProof/>
          <w:szCs w:val="24"/>
          <w:lang w:eastAsia="en-GB"/>
        </w:rPr>
        <w:t>labour market participation of women, including through equal pay for equal work. The reconciliation of work and family life should be promoted, in particular through access to long-term care and affordable quality early childhood educat</w:t>
      </w:r>
      <w:r>
        <w:rPr>
          <w:rFonts w:eastAsia="Times New Roman"/>
          <w:noProof/>
          <w:szCs w:val="24"/>
          <w:lang w:eastAsia="en-GB"/>
        </w:rPr>
        <w:t>ion and care.</w:t>
      </w:r>
      <w:r>
        <w:rPr>
          <w:rFonts w:ascii="Calibri" w:eastAsia="SimSun" w:hAnsi="Calibri"/>
          <w:noProof/>
          <w:sz w:val="22"/>
          <w:szCs w:val="20"/>
        </w:rPr>
        <w:t xml:space="preserve"> </w:t>
      </w:r>
      <w:r>
        <w:rPr>
          <w:rFonts w:eastAsia="SimSun"/>
          <w:noProof/>
          <w:szCs w:val="24"/>
        </w:rPr>
        <w:t>Member States should ensure that parents and other people with caring responsibilities have access to suitable family leaves and flexible working arrangements in order to balance work and private life, and promote a balanced use of these enti</w:t>
      </w:r>
      <w:r>
        <w:rPr>
          <w:rFonts w:eastAsia="SimSun"/>
          <w:noProof/>
          <w:szCs w:val="24"/>
        </w:rPr>
        <w:t>tlements between women and men.</w:t>
      </w:r>
    </w:p>
    <w:p w:rsidR="001D1ACA" w:rsidRDefault="001D1ACA">
      <w:pPr>
        <w:spacing w:before="100" w:beforeAutospacing="1" w:after="100" w:afterAutospacing="1"/>
        <w:rPr>
          <w:rFonts w:eastAsia="SimSun"/>
          <w:noProof/>
          <w:szCs w:val="24"/>
        </w:rPr>
      </w:pPr>
    </w:p>
    <w:p w:rsidR="001D1ACA" w:rsidRDefault="00561431">
      <w:pPr>
        <w:keepNext/>
        <w:spacing w:before="100" w:beforeAutospacing="1" w:after="100" w:afterAutospacing="1"/>
        <w:rPr>
          <w:rFonts w:eastAsia="Times New Roman"/>
          <w:b/>
          <w:noProof/>
          <w:szCs w:val="24"/>
          <w:lang w:eastAsia="en-GB"/>
        </w:rPr>
      </w:pPr>
      <w:r>
        <w:rPr>
          <w:rFonts w:eastAsia="Times New Roman"/>
          <w:b/>
          <w:noProof/>
          <w:szCs w:val="24"/>
          <w:lang w:eastAsia="en-GB"/>
        </w:rPr>
        <w:t>Guideline 7: Enhancing the functioning of labour markets and the effectiveness of social dialogue</w:t>
      </w:r>
    </w:p>
    <w:p w:rsidR="001D1ACA" w:rsidRDefault="00561431">
      <w:pPr>
        <w:spacing w:before="100" w:beforeAutospacing="1" w:after="100" w:afterAutospacing="1"/>
        <w:rPr>
          <w:rFonts w:ascii="Calibri" w:eastAsia="SimSun" w:hAnsi="Calibri"/>
          <w:noProof/>
          <w:sz w:val="22"/>
        </w:rPr>
      </w:pPr>
      <w:r>
        <w:rPr>
          <w:rFonts w:eastAsia="Times New Roman"/>
          <w:noProof/>
          <w:szCs w:val="24"/>
          <w:lang w:eastAsia="en-GB"/>
        </w:rPr>
        <w:t xml:space="preserve">To benefit best from a dynamic and productive workforce and new work patterns and business models, Member States should work </w:t>
      </w:r>
      <w:r>
        <w:rPr>
          <w:rFonts w:eastAsia="Times New Roman"/>
          <w:noProof/>
          <w:szCs w:val="24"/>
          <w:lang w:eastAsia="en-GB"/>
        </w:rPr>
        <w:t>together with social partners to implement flexibility and security principles. They should reduce and prevent segmentation within labour markets, fight undeclared work and foster the transition towards open-ended forms of employment. Employment protection</w:t>
      </w:r>
      <w:r>
        <w:rPr>
          <w:rFonts w:eastAsia="Times New Roman"/>
          <w:noProof/>
          <w:szCs w:val="24"/>
          <w:lang w:eastAsia="en-GB"/>
        </w:rPr>
        <w:t xml:space="preserve"> rules, labour law and institutions should all provide a suitable environment for recruitment. </w:t>
      </w:r>
      <w:r>
        <w:rPr>
          <w:rFonts w:eastAsia="SimSun"/>
          <w:noProof/>
          <w:szCs w:val="24"/>
        </w:rPr>
        <w:t>The necessary flexibility for employers to adapt swiftly to changes in the economic context should be ensured, while preserving appropriate security and healthy,</w:t>
      </w:r>
      <w:r>
        <w:rPr>
          <w:rFonts w:eastAsia="SimSun"/>
          <w:noProof/>
          <w:szCs w:val="24"/>
        </w:rPr>
        <w:t xml:space="preserve"> safe and well-adapted working environments for workers.</w:t>
      </w:r>
      <w:r>
        <w:rPr>
          <w:rFonts w:eastAsia="Times New Roman"/>
          <w:noProof/>
          <w:szCs w:val="24"/>
          <w:lang w:eastAsia="en-GB"/>
        </w:rPr>
        <w:t xml:space="preserve"> Employment relationships that lead to precarious working conditions should be prevented, including by prohibiting the abuse of atypical contracts. Access to effective and impartial dispute resolution</w:t>
      </w:r>
      <w:r>
        <w:rPr>
          <w:rFonts w:eastAsia="Times New Roman"/>
          <w:noProof/>
          <w:szCs w:val="24"/>
          <w:lang w:eastAsia="en-GB"/>
        </w:rPr>
        <w:t xml:space="preserve"> and a right to redress, including adequate compensation, should be ensured in case of unfair dismissal.</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lastRenderedPageBreak/>
        <w:t xml:space="preserve">Policies should aim to improve and support labour-market matching and </w:t>
      </w:r>
      <w:r>
        <w:rPr>
          <w:rFonts w:eastAsia="Times New Roman"/>
          <w:noProof/>
          <w:szCs w:val="20"/>
        </w:rPr>
        <w:t>transitions</w:t>
      </w:r>
      <w:r>
        <w:rPr>
          <w:rFonts w:eastAsia="Times New Roman"/>
          <w:noProof/>
          <w:szCs w:val="24"/>
          <w:lang w:eastAsia="en-GB"/>
        </w:rPr>
        <w:t>. Member States should effectively activate and enable those who can p</w:t>
      </w:r>
      <w:r>
        <w:rPr>
          <w:rFonts w:eastAsia="Times New Roman"/>
          <w:noProof/>
          <w:szCs w:val="24"/>
          <w:lang w:eastAsia="en-GB"/>
        </w:rPr>
        <w:t xml:space="preserve">articipate in the labour market. Member States should strengthen the effectiveness of active labour-market policies by increasing their targeting, outreach, coverage and better linking them with income support, based on the rights and responsibilities for </w:t>
      </w:r>
      <w:r>
        <w:rPr>
          <w:rFonts w:eastAsia="Times New Roman"/>
          <w:noProof/>
          <w:szCs w:val="24"/>
          <w:lang w:eastAsia="en-GB"/>
        </w:rPr>
        <w:t xml:space="preserve">the unemployed actively to seek work. Member States should aim for more effective public employment services by ensuring timely and tailor-made assistance to support jobseekers, supporting labour-market demand and implementing </w:t>
      </w:r>
      <w:r>
        <w:rPr>
          <w:rFonts w:eastAsia="Times New Roman"/>
          <w:noProof/>
          <w:szCs w:val="20"/>
        </w:rPr>
        <w:t>performance-based management.</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States should provide the unemployed with adequate unemployment benefits of reasonable duration, in line with their contributions and national eligibility rules. Such benefits should not constitute a disincentive to a quick return to employment.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T</w:t>
      </w:r>
      <w:r>
        <w:rPr>
          <w:rFonts w:eastAsia="Times New Roman"/>
          <w:noProof/>
          <w:szCs w:val="24"/>
          <w:lang w:eastAsia="en-GB"/>
        </w:rPr>
        <w:t>he mobility of learners and workers should be promoted with the aim of enhancing employability skills and exploiting the full potential of the European labour market. Barriers to mobility in education and training, in occupational and personal pensions and</w:t>
      </w:r>
      <w:r>
        <w:rPr>
          <w:rFonts w:eastAsia="Times New Roman"/>
          <w:noProof/>
          <w:szCs w:val="24"/>
          <w:lang w:eastAsia="en-GB"/>
        </w:rPr>
        <w:t xml:space="preserve"> in the recognition of qualifications should be removed. Member States should take action to ensure that administrative procedures are not a blocking or complicating factor for workers from other Member States in taking up active employment. Member States </w:t>
      </w:r>
      <w:r>
        <w:rPr>
          <w:rFonts w:eastAsia="Times New Roman"/>
          <w:noProof/>
          <w:szCs w:val="24"/>
          <w:lang w:eastAsia="en-GB"/>
        </w:rPr>
        <w:t xml:space="preserve">should also prevent abuses of the existing rules and </w:t>
      </w:r>
      <w:r>
        <w:rPr>
          <w:rFonts w:eastAsia="Times New Roman"/>
          <w:noProof/>
          <w:szCs w:val="20"/>
        </w:rPr>
        <w:t>address potential ‘brain drain’ from certain regions</w:t>
      </w:r>
      <w:r>
        <w:rPr>
          <w:rFonts w:eastAsia="Times New Roman"/>
          <w:noProof/>
          <w:szCs w:val="24"/>
          <w:lang w:eastAsia="en-GB"/>
        </w:rPr>
        <w:t>.</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In line with national practices, and in order to achieve more effective social dialogue and better socio-economic outcomes, Member States should </w:t>
      </w:r>
      <w:r>
        <w:rPr>
          <w:rFonts w:eastAsia="Times New Roman"/>
          <w:noProof/>
          <w:szCs w:val="20"/>
        </w:rPr>
        <w:t>ensu</w:t>
      </w:r>
      <w:r>
        <w:rPr>
          <w:rFonts w:eastAsia="Times New Roman"/>
          <w:noProof/>
          <w:szCs w:val="20"/>
        </w:rPr>
        <w:t>re the timely and meaningful involvement of</w:t>
      </w:r>
      <w:r>
        <w:rPr>
          <w:rFonts w:eastAsia="Times New Roman"/>
          <w:noProof/>
          <w:szCs w:val="24"/>
          <w:lang w:eastAsia="en-GB"/>
        </w:rPr>
        <w:t xml:space="preserve"> social partners in the design and implementation of economic, employment and social reforms and policies, including by providing support for increased capacity of social partners. Social partners should be encour</w:t>
      </w:r>
      <w:r>
        <w:rPr>
          <w:rFonts w:eastAsia="Times New Roman"/>
          <w:noProof/>
          <w:szCs w:val="24"/>
          <w:lang w:eastAsia="en-GB"/>
        </w:rPr>
        <w:t xml:space="preserve">aged to negotiate and conclude collective agreements in matters relevant to them, respecting fully their autonomy and the right to collective action. </w:t>
      </w:r>
    </w:p>
    <w:p w:rsidR="001D1ACA" w:rsidRDefault="001D1ACA">
      <w:pPr>
        <w:spacing w:before="100" w:beforeAutospacing="1" w:after="100" w:afterAutospacing="1"/>
        <w:rPr>
          <w:rFonts w:eastAsia="Times New Roman"/>
          <w:b/>
          <w:noProof/>
          <w:szCs w:val="24"/>
          <w:lang w:eastAsia="en-GB"/>
        </w:rPr>
      </w:pPr>
    </w:p>
    <w:p w:rsidR="001D1ACA" w:rsidRDefault="00561431">
      <w:pPr>
        <w:keepNext/>
        <w:spacing w:before="100" w:beforeAutospacing="1" w:after="100" w:afterAutospacing="1"/>
        <w:rPr>
          <w:rFonts w:eastAsia="Times New Roman"/>
          <w:b/>
          <w:noProof/>
          <w:szCs w:val="24"/>
          <w:lang w:eastAsia="en-GB"/>
        </w:rPr>
      </w:pPr>
      <w:r>
        <w:rPr>
          <w:rFonts w:eastAsia="Times New Roman"/>
          <w:b/>
          <w:noProof/>
          <w:szCs w:val="24"/>
          <w:lang w:eastAsia="en-GB"/>
        </w:rPr>
        <w:t>Guideline 8: Promoting equal opportunities for all, fostering social inclusion and combatting poverty</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States should promote inclusive labour markets, open to all, by putting in place effective measures to promote equal opportunities for </w:t>
      </w:r>
      <w:r>
        <w:rPr>
          <w:rFonts w:eastAsia="Times New Roman"/>
          <w:noProof/>
          <w:szCs w:val="20"/>
        </w:rPr>
        <w:t>under-represented groups</w:t>
      </w:r>
      <w:r>
        <w:rPr>
          <w:rFonts w:eastAsia="Times New Roman"/>
          <w:noProof/>
          <w:szCs w:val="24"/>
          <w:lang w:eastAsia="en-GB"/>
        </w:rPr>
        <w:t xml:space="preserve"> in the labour market. They should ensure equal treatment regarding employment, social pro</w:t>
      </w:r>
      <w:r>
        <w:rPr>
          <w:rFonts w:eastAsia="Times New Roman"/>
          <w:noProof/>
          <w:szCs w:val="24"/>
          <w:lang w:eastAsia="en-GB"/>
        </w:rPr>
        <w:t>tection, education and access to goods and services</w:t>
      </w:r>
      <w:r>
        <w:rPr>
          <w:rFonts w:eastAsia="Times New Roman"/>
          <w:noProof/>
          <w:szCs w:val="20"/>
        </w:rPr>
        <w:t>, regardless of gender, racial or ethnic origin, religion or belief, disability, age or sexual orientation</w:t>
      </w:r>
      <w:r>
        <w:rPr>
          <w:rFonts w:eastAsia="Times New Roman"/>
          <w:noProof/>
          <w:szCs w:val="24"/>
          <w:lang w:eastAsia="en-GB"/>
        </w:rPr>
        <w:t xml:space="preserve">.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Member States should modernise social protection systems to provide effective, efficient and ade</w:t>
      </w:r>
      <w:r>
        <w:rPr>
          <w:rFonts w:eastAsia="Times New Roman"/>
          <w:noProof/>
          <w:szCs w:val="24"/>
          <w:lang w:eastAsia="en-GB"/>
        </w:rPr>
        <w:t>quate social protection throughout all stages of an individual's life, fostering social inclusion and upward social mobility, incentivising labour market participation and addressing inequalities, including through the design of their tax and benefit syste</w:t>
      </w:r>
      <w:r>
        <w:rPr>
          <w:rFonts w:eastAsia="Times New Roman"/>
          <w:noProof/>
          <w:szCs w:val="24"/>
          <w:lang w:eastAsia="en-GB"/>
        </w:rPr>
        <w:t xml:space="preserve">ms. The modernisation of social protection systems should lead to better accessibility, sustainability, adequacy and quality.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 xml:space="preserve">Member States should develop and implement preventive and integrated strategies through the combination of the three strands of </w:t>
      </w:r>
      <w:r>
        <w:rPr>
          <w:rFonts w:eastAsia="Times New Roman"/>
          <w:noProof/>
          <w:szCs w:val="24"/>
          <w:lang w:eastAsia="en-GB"/>
        </w:rPr>
        <w:t xml:space="preserve">active inclusion: </w:t>
      </w:r>
      <w:r>
        <w:rPr>
          <w:rFonts w:eastAsia="Times New Roman"/>
          <w:noProof/>
          <w:szCs w:val="24"/>
          <w:lang w:val="en" w:eastAsia="en-GB"/>
        </w:rPr>
        <w:t xml:space="preserve">adequate income support, inclusive </w:t>
      </w:r>
      <w:r>
        <w:rPr>
          <w:rFonts w:eastAsia="Times New Roman"/>
          <w:noProof/>
          <w:szCs w:val="24"/>
          <w:lang w:eastAsia="en-GB"/>
        </w:rPr>
        <w:t>labour</w:t>
      </w:r>
      <w:r>
        <w:rPr>
          <w:rFonts w:eastAsia="Times New Roman"/>
          <w:noProof/>
          <w:szCs w:val="24"/>
          <w:lang w:val="en" w:eastAsia="en-GB"/>
        </w:rPr>
        <w:t xml:space="preserve"> markets and access to quality services.</w:t>
      </w:r>
      <w:r>
        <w:rPr>
          <w:rFonts w:eastAsia="Times New Roman"/>
          <w:noProof/>
          <w:szCs w:val="24"/>
          <w:lang w:eastAsia="en-GB"/>
        </w:rPr>
        <w:t xml:space="preserve"> Social protection systems should ensure the right to adequate minimum income benefits for everyone lacking sufficient resources and promote social inclusion</w:t>
      </w:r>
      <w:r>
        <w:rPr>
          <w:rFonts w:eastAsia="Times New Roman"/>
          <w:noProof/>
          <w:szCs w:val="24"/>
          <w:lang w:eastAsia="en-GB"/>
        </w:rPr>
        <w:t xml:space="preserve"> by encouraging people to participate actively in the labour market and society. </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Affordable, accessible and quality services such as childcare, out-of-school care, education, training, housing, health services and long-term care are essential for ensuring</w:t>
      </w:r>
      <w:r>
        <w:rPr>
          <w:rFonts w:eastAsia="Times New Roman"/>
          <w:noProof/>
          <w:szCs w:val="24"/>
          <w:lang w:eastAsia="en-GB"/>
        </w:rPr>
        <w:t xml:space="preserve"> equal opportunities, including for</w:t>
      </w:r>
      <w:r>
        <w:rPr>
          <w:rFonts w:eastAsia="Times New Roman"/>
          <w:noProof/>
          <w:szCs w:val="20"/>
        </w:rPr>
        <w:t xml:space="preserve"> children </w:t>
      </w:r>
      <w:r>
        <w:rPr>
          <w:rFonts w:eastAsia="Times New Roman"/>
          <w:noProof/>
          <w:szCs w:val="24"/>
          <w:lang w:eastAsia="en-GB"/>
        </w:rPr>
        <w:t>and young people. Particular attention should be given to fighting poverty, social exclusion, including reducing in-work poverty. Member States should ensure that everyone has access to essential services, inclu</w:t>
      </w:r>
      <w:r>
        <w:rPr>
          <w:rFonts w:eastAsia="Times New Roman"/>
          <w:noProof/>
          <w:szCs w:val="24"/>
          <w:lang w:eastAsia="en-GB"/>
        </w:rPr>
        <w:t>ding water, sanitation, energy, transport, financial services and digital communications. For those in need and vulnerable people, Member States should ensure access to adequate social housing assistance as well as the right to appropriate assistance and p</w:t>
      </w:r>
      <w:r>
        <w:rPr>
          <w:rFonts w:eastAsia="Times New Roman"/>
          <w:noProof/>
          <w:szCs w:val="24"/>
          <w:lang w:eastAsia="en-GB"/>
        </w:rPr>
        <w:t>rotection against forced eviction. Homelessness should be tackled specifically. The specific needs of people with disabilities should be taken into account.</w:t>
      </w:r>
    </w:p>
    <w:p w:rsidR="001D1ACA" w:rsidRDefault="00561431">
      <w:pPr>
        <w:spacing w:before="100" w:beforeAutospacing="1" w:after="100" w:afterAutospacing="1"/>
        <w:rPr>
          <w:rFonts w:eastAsia="Times New Roman"/>
          <w:noProof/>
          <w:szCs w:val="24"/>
          <w:lang w:eastAsia="en-GB"/>
        </w:rPr>
      </w:pPr>
      <w:r>
        <w:rPr>
          <w:rFonts w:eastAsia="Times New Roman"/>
          <w:noProof/>
          <w:szCs w:val="24"/>
          <w:lang w:eastAsia="en-GB"/>
        </w:rPr>
        <w:t>Member States should ensure the right to timely access to affordable health care and long-term care</w:t>
      </w:r>
      <w:r>
        <w:rPr>
          <w:rFonts w:eastAsia="Times New Roman"/>
          <w:noProof/>
          <w:szCs w:val="24"/>
          <w:lang w:eastAsia="en-GB"/>
        </w:rPr>
        <w:t xml:space="preserve"> of good quality, while safeguarding sustainability over the long run.</w:t>
      </w:r>
    </w:p>
    <w:p w:rsidR="001D1ACA" w:rsidRDefault="00561431">
      <w:pPr>
        <w:spacing w:before="100" w:beforeAutospacing="1" w:after="100" w:afterAutospacing="1"/>
        <w:rPr>
          <w:rFonts w:eastAsia="Times New Roman"/>
          <w:noProof/>
          <w:szCs w:val="24"/>
        </w:rPr>
      </w:pPr>
      <w:r>
        <w:rPr>
          <w:rFonts w:eastAsia="Times New Roman"/>
          <w:noProof/>
          <w:szCs w:val="24"/>
          <w:lang w:eastAsia="en-GB"/>
        </w:rPr>
        <w:t>In a context of increasing longevity and demographic change, Member States should secure the sustainability and adequacy of pension systems for women and men, providing equal opportunit</w:t>
      </w:r>
      <w:r>
        <w:rPr>
          <w:rFonts w:eastAsia="Times New Roman"/>
          <w:noProof/>
          <w:szCs w:val="24"/>
          <w:lang w:eastAsia="en-GB"/>
        </w:rPr>
        <w:t>ies for workers and the self-employed, of both sexes, to acquire pension rights, including through supplementary schemes to ensure living in dignity. Pension reforms</w:t>
      </w:r>
      <w:r>
        <w:rPr>
          <w:rFonts w:eastAsia="Times New Roman"/>
          <w:noProof/>
          <w:szCs w:val="24"/>
        </w:rPr>
        <w:t xml:space="preserve"> should be supported by measures that extend working lives and </w:t>
      </w:r>
      <w:r>
        <w:rPr>
          <w:rFonts w:eastAsia="Times New Roman"/>
          <w:noProof/>
          <w:szCs w:val="24"/>
          <w:lang w:val="en"/>
        </w:rPr>
        <w:t>raise the effective retireme</w:t>
      </w:r>
      <w:r>
        <w:rPr>
          <w:rFonts w:eastAsia="Times New Roman"/>
          <w:noProof/>
          <w:szCs w:val="24"/>
          <w:lang w:val="en"/>
        </w:rPr>
        <w:t>nt age, such as limiting early exit from the labour market and increasing the statutory retirement age to reflect life expectancy gains</w:t>
      </w:r>
      <w:r>
        <w:rPr>
          <w:rFonts w:eastAsia="Times New Roman"/>
          <w:noProof/>
          <w:szCs w:val="24"/>
        </w:rPr>
        <w:t>. Members States should establish a constructive dialogue with the relevant stakeholders, and allow an appropriate phasin</w:t>
      </w:r>
      <w:r>
        <w:rPr>
          <w:rFonts w:eastAsia="Times New Roman"/>
          <w:noProof/>
          <w:szCs w:val="24"/>
        </w:rPr>
        <w:t xml:space="preserve">g in of the reforms. </w:t>
      </w:r>
    </w:p>
    <w:sectPr w:rsidR="001D1ACA" w:rsidSect="0056143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CA" w:rsidRDefault="00561431">
      <w:pPr>
        <w:spacing w:before="0" w:after="0"/>
      </w:pPr>
      <w:r>
        <w:separator/>
      </w:r>
    </w:p>
  </w:endnote>
  <w:endnote w:type="continuationSeparator" w:id="0">
    <w:p w:rsidR="001D1ACA" w:rsidRDefault="005614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Footer"/>
      <w:rPr>
        <w:rFonts w:ascii="Arial" w:hAnsi="Arial" w:cs="Arial"/>
        <w:b/>
        <w:sz w:val="48"/>
      </w:rPr>
    </w:pPr>
    <w:r w:rsidRPr="00561431">
      <w:rPr>
        <w:rFonts w:ascii="Arial" w:hAnsi="Arial" w:cs="Arial"/>
        <w:b/>
        <w:sz w:val="48"/>
      </w:rPr>
      <w:t>EN</w:t>
    </w:r>
    <w:r w:rsidRPr="00561431">
      <w:rPr>
        <w:rFonts w:ascii="Arial" w:hAnsi="Arial" w:cs="Arial"/>
        <w:b/>
        <w:sz w:val="48"/>
      </w:rPr>
      <w:tab/>
    </w:r>
    <w:r w:rsidRPr="00561431">
      <w:rPr>
        <w:rFonts w:ascii="Arial" w:hAnsi="Arial" w:cs="Arial"/>
        <w:b/>
        <w:sz w:val="48"/>
      </w:rPr>
      <w:tab/>
    </w:r>
    <w:r w:rsidRPr="00561431">
      <w:tab/>
    </w:r>
    <w:proofErr w:type="spellStart"/>
    <w:r w:rsidRPr="0056143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Footer"/>
      <w:rPr>
        <w:rFonts w:ascii="Arial" w:hAnsi="Arial" w:cs="Arial"/>
        <w:b/>
        <w:sz w:val="48"/>
      </w:rPr>
    </w:pPr>
    <w:r w:rsidRPr="00561431">
      <w:rPr>
        <w:rFonts w:ascii="Arial" w:hAnsi="Arial" w:cs="Arial"/>
        <w:b/>
        <w:sz w:val="48"/>
      </w:rPr>
      <w:t>EN</w:t>
    </w:r>
    <w:r w:rsidRPr="0056143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561431">
      <w:tab/>
    </w:r>
    <w:r w:rsidRPr="0056143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CA" w:rsidRDefault="00561431">
      <w:pPr>
        <w:spacing w:before="0" w:after="0"/>
      </w:pPr>
      <w:r>
        <w:separator/>
      </w:r>
    </w:p>
  </w:footnote>
  <w:footnote w:type="continuationSeparator" w:id="0">
    <w:p w:rsidR="001D1ACA" w:rsidRDefault="00561431">
      <w:pPr>
        <w:spacing w:before="0" w:after="0"/>
      </w:pPr>
      <w:r>
        <w:continuationSeparator/>
      </w:r>
    </w:p>
  </w:footnote>
  <w:footnote w:id="1">
    <w:p w:rsidR="001D1ACA" w:rsidRDefault="00561431">
      <w:pPr>
        <w:pStyle w:val="FootnoteText"/>
      </w:pPr>
      <w:r>
        <w:rPr>
          <w:rStyle w:val="FootnoteReference"/>
        </w:rPr>
        <w:footnoteRef/>
      </w:r>
      <w:r>
        <w:tab/>
      </w:r>
      <w:r>
        <w:rPr>
          <w:bCs/>
          <w:i/>
          <w:iCs/>
        </w:rPr>
        <w:t>OJ C 120, 26.4.2013,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31" w:rsidRPr="00561431" w:rsidRDefault="00561431" w:rsidP="00561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3417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2E0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0AF7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4A78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F6F1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0832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647EB4"/>
    <w:lvl w:ilvl="0">
      <w:start w:val="1"/>
      <w:numFmt w:val="decimal"/>
      <w:pStyle w:val="ListNumber"/>
      <w:lvlText w:val="%1."/>
      <w:lvlJc w:val="left"/>
      <w:pPr>
        <w:tabs>
          <w:tab w:val="num" w:pos="360"/>
        </w:tabs>
        <w:ind w:left="360" w:hanging="360"/>
      </w:pPr>
    </w:lvl>
  </w:abstractNum>
  <w:abstractNum w:abstractNumId="7">
    <w:nsid w:val="FFFFFF89"/>
    <w:multiLevelType w:val="singleLevel"/>
    <w:tmpl w:val="05200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0 16:35: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A7319F6-3C50-4EB9-AE92-26500B7CBFBD"/>
    <w:docVar w:name="LW_COVERPAGE_TYPE" w:val="1"/>
    <w:docVar w:name="LW_CROSSREFERENCE" w:val="&lt;UNUSED&gt;"/>
    <w:docVar w:name="LW_DocType" w:val="ANNEX"/>
    <w:docVar w:name="LW_EMISSION" w:val="22.11.2017"/>
    <w:docVar w:name="LW_EMISSION_ISODATE" w:val="2017-11-22"/>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_x000b__x000b_on guidelines for the employment policies of the Member States_x000b_"/>
    <w:docVar w:name="LW_TYPEACTEPRINCIPAL.CP" w:val="Proposal for a _x000b__x000b_COUNCIL DECISION _x000b__x000b_on guidelines for the employment policies of the Member States_x000b_"/>
  </w:docVars>
  <w:rsids>
    <w:rsidRoot w:val="001D1ACA"/>
    <w:rsid w:val="001D1ACA"/>
    <w:rsid w:val="0056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61431"/>
    <w:pPr>
      <w:tabs>
        <w:tab w:val="center" w:pos="4535"/>
        <w:tab w:val="right" w:pos="9071"/>
      </w:tabs>
      <w:spacing w:before="0"/>
    </w:pPr>
  </w:style>
  <w:style w:type="character" w:customStyle="1" w:styleId="HeaderChar">
    <w:name w:val="Header Char"/>
    <w:basedOn w:val="DefaultParagraphFont"/>
    <w:link w:val="Header"/>
    <w:uiPriority w:val="99"/>
    <w:rsid w:val="00561431"/>
    <w:rPr>
      <w:rFonts w:ascii="Times New Roman" w:hAnsi="Times New Roman" w:cs="Times New Roman"/>
      <w:sz w:val="24"/>
      <w:lang w:val="en-GB"/>
    </w:rPr>
  </w:style>
  <w:style w:type="paragraph" w:styleId="Footer">
    <w:name w:val="footer"/>
    <w:basedOn w:val="Normal"/>
    <w:link w:val="FooterChar"/>
    <w:uiPriority w:val="99"/>
    <w:unhideWhenUsed/>
    <w:rsid w:val="005614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143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1431"/>
    <w:pPr>
      <w:tabs>
        <w:tab w:val="center" w:pos="7285"/>
        <w:tab w:val="right" w:pos="14003"/>
      </w:tabs>
      <w:spacing w:before="0"/>
    </w:pPr>
  </w:style>
  <w:style w:type="paragraph" w:customStyle="1" w:styleId="FooterLandscape">
    <w:name w:val="FooterLandscape"/>
    <w:basedOn w:val="Normal"/>
    <w:rsid w:val="005614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14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614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61431"/>
    <w:pPr>
      <w:tabs>
        <w:tab w:val="center" w:pos="4535"/>
        <w:tab w:val="right" w:pos="9071"/>
      </w:tabs>
      <w:spacing w:before="0"/>
    </w:pPr>
  </w:style>
  <w:style w:type="character" w:customStyle="1" w:styleId="HeaderChar">
    <w:name w:val="Header Char"/>
    <w:basedOn w:val="DefaultParagraphFont"/>
    <w:link w:val="Header"/>
    <w:uiPriority w:val="99"/>
    <w:rsid w:val="00561431"/>
    <w:rPr>
      <w:rFonts w:ascii="Times New Roman" w:hAnsi="Times New Roman" w:cs="Times New Roman"/>
      <w:sz w:val="24"/>
      <w:lang w:val="en-GB"/>
    </w:rPr>
  </w:style>
  <w:style w:type="paragraph" w:styleId="Footer">
    <w:name w:val="footer"/>
    <w:basedOn w:val="Normal"/>
    <w:link w:val="FooterChar"/>
    <w:uiPriority w:val="99"/>
    <w:unhideWhenUsed/>
    <w:rsid w:val="005614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143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1431"/>
    <w:pPr>
      <w:tabs>
        <w:tab w:val="center" w:pos="7285"/>
        <w:tab w:val="right" w:pos="14003"/>
      </w:tabs>
      <w:spacing w:before="0"/>
    </w:pPr>
  </w:style>
  <w:style w:type="paragraph" w:customStyle="1" w:styleId="FooterLandscape">
    <w:name w:val="FooterLandscape"/>
    <w:basedOn w:val="Normal"/>
    <w:rsid w:val="005614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14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614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1642</Words>
  <Characters>10168</Characters>
  <Application>Microsoft Office Word</Application>
  <DocSecurity>0</DocSecurity>
  <Lines>149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Stefanie Heilemann</cp:lastModifiedBy>
  <cp:revision>11</cp:revision>
  <cp:lastPrinted>2017-10-26T09:32:00Z</cp:lastPrinted>
  <dcterms:created xsi:type="dcterms:W3CDTF">2017-11-10T15:34:00Z</dcterms:created>
  <dcterms:modified xsi:type="dcterms:W3CDTF">2017-11-21T15:49:00Z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Yellow (DQC version 03)</vt:lpwstr>
  </property>
</Properties>
</file>