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1DD" w:rsidRDefault="00D75BDB" w:rsidP="00D75BDB">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4F400E25-40F2-47FC-ABC5-7ACD13BFFFA4" style="width:450.8pt;height:334.35pt">
            <v:imagedata r:id="rId9" o:title=""/>
          </v:shape>
        </w:pict>
      </w:r>
    </w:p>
    <w:bookmarkEnd w:id="0"/>
    <w:p w:rsidR="00CB01DD" w:rsidRDefault="00CB01DD">
      <w:pPr>
        <w:rPr>
          <w:noProof/>
        </w:rPr>
        <w:sectPr w:rsidR="00CB01DD" w:rsidSect="00D75BDB">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lastRenderedPageBreak/>
        <w:t>TABLE OF CONTENTS</w:t>
      </w:r>
    </w:p>
    <w:p w:rsidR="00CB01DD" w:rsidRDefault="00CB01DD">
      <w:pPr>
        <w:rPr>
          <w:rFonts w:ascii="Times New Roman" w:hAnsi="Times New Roman" w:cs="Times New Roman"/>
          <w:b/>
          <w:noProof/>
          <w:sz w:val="24"/>
          <w:szCs w:val="24"/>
        </w:rPr>
      </w:pPr>
    </w:p>
    <w:p w:rsidR="00CB01DD" w:rsidRDefault="00D75BDB">
      <w:pPr>
        <w:pStyle w:val="TOC1"/>
        <w:tabs>
          <w:tab w:val="right" w:leader="dot" w:pos="9062"/>
        </w:tabs>
        <w:rPr>
          <w:rFonts w:asciiTheme="minorHAnsi" w:eastAsiaTheme="minorEastAsia" w:hAnsiTheme="minorHAnsi"/>
          <w:noProof/>
          <w:sz w:val="22"/>
          <w:lang w:eastAsia="en-GB"/>
        </w:rPr>
      </w:pPr>
      <w:r>
        <w:rPr>
          <w:rFonts w:cs="Times New Roman"/>
          <w:b/>
          <w:noProof/>
          <w:szCs w:val="24"/>
        </w:rPr>
        <w:fldChar w:fldCharType="begin"/>
      </w:r>
      <w:r>
        <w:rPr>
          <w:rFonts w:cs="Times New Roman"/>
          <w:b/>
          <w:noProof/>
          <w:szCs w:val="24"/>
        </w:rPr>
        <w:instrText xml:space="preserve"> TOC \o "1-3" \h \z \u </w:instrText>
      </w:r>
      <w:r>
        <w:rPr>
          <w:rFonts w:cs="Times New Roman"/>
          <w:b/>
          <w:noProof/>
          <w:szCs w:val="24"/>
        </w:rPr>
        <w:fldChar w:fldCharType="separate"/>
      </w:r>
      <w:hyperlink w:anchor="_Toc498075878" w:history="1">
        <w:r>
          <w:rPr>
            <w:rStyle w:val="Hyperlink"/>
            <w:noProof/>
          </w:rPr>
          <w:t>FOREWORD</w:t>
        </w:r>
        <w:r>
          <w:rPr>
            <w:noProof/>
            <w:webHidden/>
          </w:rPr>
          <w:tab/>
        </w:r>
        <w:r>
          <w:rPr>
            <w:noProof/>
            <w:webHidden/>
          </w:rPr>
          <w:fldChar w:fldCharType="begin"/>
        </w:r>
        <w:r>
          <w:rPr>
            <w:noProof/>
            <w:webHidden/>
          </w:rPr>
          <w:instrText xml:space="preserve"> PAGEREF _Toc498075878 \h </w:instrText>
        </w:r>
        <w:r>
          <w:rPr>
            <w:noProof/>
            <w:webHidden/>
          </w:rPr>
        </w:r>
        <w:r>
          <w:rPr>
            <w:noProof/>
            <w:webHidden/>
          </w:rPr>
          <w:fldChar w:fldCharType="separate"/>
        </w:r>
        <w:r>
          <w:rPr>
            <w:noProof/>
            <w:webHidden/>
          </w:rPr>
          <w:t>2</w:t>
        </w:r>
        <w:r>
          <w:rPr>
            <w:noProof/>
            <w:webHidden/>
          </w:rPr>
          <w:fldChar w:fldCharType="end"/>
        </w:r>
      </w:hyperlink>
    </w:p>
    <w:p w:rsidR="00CB01DD" w:rsidRDefault="00D75BDB">
      <w:pPr>
        <w:pStyle w:val="TOC1"/>
        <w:tabs>
          <w:tab w:val="right" w:leader="dot" w:pos="9062"/>
        </w:tabs>
        <w:rPr>
          <w:rFonts w:asciiTheme="minorHAnsi" w:eastAsiaTheme="minorEastAsia" w:hAnsiTheme="minorHAnsi"/>
          <w:noProof/>
          <w:sz w:val="22"/>
          <w:lang w:eastAsia="en-GB"/>
        </w:rPr>
      </w:pPr>
      <w:hyperlink w:anchor="_Toc498075879" w:history="1">
        <w:r>
          <w:rPr>
            <w:rStyle w:val="Hyperlink"/>
            <w:noProof/>
          </w:rPr>
          <w:t>KEY MESSAGES</w:t>
        </w:r>
        <w:r>
          <w:rPr>
            <w:noProof/>
            <w:webHidden/>
          </w:rPr>
          <w:tab/>
        </w:r>
        <w:r>
          <w:rPr>
            <w:noProof/>
            <w:webHidden/>
          </w:rPr>
          <w:fldChar w:fldCharType="begin"/>
        </w:r>
        <w:r>
          <w:rPr>
            <w:noProof/>
            <w:webHidden/>
          </w:rPr>
          <w:instrText xml:space="preserve"> PAGEREF _Toc498075879 \h </w:instrText>
        </w:r>
        <w:r>
          <w:rPr>
            <w:noProof/>
            <w:webHidden/>
          </w:rPr>
        </w:r>
        <w:r>
          <w:rPr>
            <w:noProof/>
            <w:webHidden/>
          </w:rPr>
          <w:fldChar w:fldCharType="separate"/>
        </w:r>
        <w:r>
          <w:rPr>
            <w:noProof/>
            <w:webHidden/>
          </w:rPr>
          <w:t>3</w:t>
        </w:r>
        <w:r>
          <w:rPr>
            <w:noProof/>
            <w:webHidden/>
          </w:rPr>
          <w:fldChar w:fldCharType="end"/>
        </w:r>
      </w:hyperlink>
    </w:p>
    <w:p w:rsidR="00CB01DD" w:rsidRDefault="00D75BDB">
      <w:pPr>
        <w:pStyle w:val="TOC1"/>
        <w:tabs>
          <w:tab w:val="left" w:pos="440"/>
          <w:tab w:val="right" w:leader="dot" w:pos="9062"/>
        </w:tabs>
        <w:rPr>
          <w:rFonts w:asciiTheme="minorHAnsi" w:eastAsiaTheme="minorEastAsia" w:hAnsiTheme="minorHAnsi"/>
          <w:noProof/>
          <w:sz w:val="22"/>
          <w:lang w:eastAsia="en-GB"/>
        </w:rPr>
      </w:pPr>
      <w:hyperlink w:anchor="_Toc498075880" w:history="1">
        <w:r>
          <w:rPr>
            <w:rStyle w:val="Hyperlink"/>
            <w:noProof/>
          </w:rPr>
          <w:t>1.</w:t>
        </w:r>
        <w:r>
          <w:rPr>
            <w:rFonts w:asciiTheme="minorHAnsi" w:eastAsiaTheme="minorEastAsia" w:hAnsiTheme="minorHAnsi"/>
            <w:noProof/>
            <w:sz w:val="22"/>
            <w:lang w:eastAsia="en-GB"/>
          </w:rPr>
          <w:tab/>
        </w:r>
        <w:r>
          <w:rPr>
            <w:rStyle w:val="Hyperlink"/>
            <w:noProof/>
          </w:rPr>
          <w:t xml:space="preserve">OVERVIEW OF </w:t>
        </w:r>
        <w:r>
          <w:rPr>
            <w:rStyle w:val="Hyperlink"/>
            <w:noProof/>
          </w:rPr>
          <w:t>LABOUR MARKET AND SOCIAL TRENDS AND CHALLENGES IN THE EUROPEAN UNION</w:t>
        </w:r>
        <w:r>
          <w:rPr>
            <w:noProof/>
            <w:webHidden/>
          </w:rPr>
          <w:tab/>
        </w:r>
        <w:r>
          <w:rPr>
            <w:noProof/>
            <w:webHidden/>
          </w:rPr>
          <w:fldChar w:fldCharType="begin"/>
        </w:r>
        <w:r>
          <w:rPr>
            <w:noProof/>
            <w:webHidden/>
          </w:rPr>
          <w:instrText xml:space="preserve"> PAGEREF _Toc498075880 \h </w:instrText>
        </w:r>
        <w:r>
          <w:rPr>
            <w:noProof/>
            <w:webHidden/>
          </w:rPr>
        </w:r>
        <w:r>
          <w:rPr>
            <w:noProof/>
            <w:webHidden/>
          </w:rPr>
          <w:fldChar w:fldCharType="separate"/>
        </w:r>
        <w:r>
          <w:rPr>
            <w:noProof/>
            <w:webHidden/>
          </w:rPr>
          <w:t>11</w:t>
        </w:r>
        <w:r>
          <w:rPr>
            <w:noProof/>
            <w:webHidden/>
          </w:rPr>
          <w:fldChar w:fldCharType="end"/>
        </w:r>
      </w:hyperlink>
    </w:p>
    <w:p w:rsidR="00CB01DD" w:rsidRDefault="00D75BDB">
      <w:pPr>
        <w:pStyle w:val="TOC3"/>
        <w:tabs>
          <w:tab w:val="left" w:pos="1100"/>
          <w:tab w:val="right" w:leader="dot" w:pos="9062"/>
        </w:tabs>
        <w:rPr>
          <w:rFonts w:asciiTheme="minorHAnsi" w:eastAsiaTheme="minorEastAsia" w:hAnsiTheme="minorHAnsi"/>
          <w:noProof/>
          <w:sz w:val="22"/>
          <w:lang w:eastAsia="en-GB"/>
        </w:rPr>
      </w:pPr>
      <w:hyperlink w:anchor="_Toc498075881" w:history="1">
        <w:r>
          <w:rPr>
            <w:rStyle w:val="Hyperlink"/>
            <w:noProof/>
          </w:rPr>
          <w:t>1.1</w:t>
        </w:r>
        <w:r>
          <w:rPr>
            <w:rFonts w:asciiTheme="minorHAnsi" w:eastAsiaTheme="minorEastAsia" w:hAnsiTheme="minorHAnsi"/>
            <w:noProof/>
            <w:sz w:val="22"/>
            <w:lang w:eastAsia="en-GB"/>
          </w:rPr>
          <w:tab/>
        </w:r>
        <w:r>
          <w:rPr>
            <w:rStyle w:val="Hyperlink"/>
            <w:noProof/>
          </w:rPr>
          <w:t>Labour market trends</w:t>
        </w:r>
        <w:r>
          <w:rPr>
            <w:noProof/>
            <w:webHidden/>
          </w:rPr>
          <w:tab/>
        </w:r>
        <w:r>
          <w:rPr>
            <w:noProof/>
            <w:webHidden/>
          </w:rPr>
          <w:fldChar w:fldCharType="begin"/>
        </w:r>
        <w:r>
          <w:rPr>
            <w:noProof/>
            <w:webHidden/>
          </w:rPr>
          <w:instrText xml:space="preserve"> PAGEREF _Toc498075881 \h </w:instrText>
        </w:r>
        <w:r>
          <w:rPr>
            <w:noProof/>
            <w:webHidden/>
          </w:rPr>
        </w:r>
        <w:r>
          <w:rPr>
            <w:noProof/>
            <w:webHidden/>
          </w:rPr>
          <w:fldChar w:fldCharType="separate"/>
        </w:r>
        <w:r>
          <w:rPr>
            <w:noProof/>
            <w:webHidden/>
          </w:rPr>
          <w:t>11</w:t>
        </w:r>
        <w:r>
          <w:rPr>
            <w:noProof/>
            <w:webHidden/>
          </w:rPr>
          <w:fldChar w:fldCharType="end"/>
        </w:r>
      </w:hyperlink>
    </w:p>
    <w:p w:rsidR="00CB01DD" w:rsidRDefault="00D75BDB">
      <w:pPr>
        <w:pStyle w:val="TOC3"/>
        <w:tabs>
          <w:tab w:val="left" w:pos="1100"/>
          <w:tab w:val="right" w:leader="dot" w:pos="9062"/>
        </w:tabs>
        <w:rPr>
          <w:rFonts w:asciiTheme="minorHAnsi" w:eastAsiaTheme="minorEastAsia" w:hAnsiTheme="minorHAnsi"/>
          <w:noProof/>
          <w:sz w:val="22"/>
          <w:lang w:eastAsia="en-GB"/>
        </w:rPr>
      </w:pPr>
      <w:hyperlink w:anchor="_Toc498075882" w:history="1">
        <w:r>
          <w:rPr>
            <w:rStyle w:val="Hyperlink"/>
            <w:noProof/>
          </w:rPr>
          <w:t>1.2</w:t>
        </w:r>
        <w:r>
          <w:rPr>
            <w:rFonts w:asciiTheme="minorHAnsi" w:eastAsiaTheme="minorEastAsia" w:hAnsiTheme="minorHAnsi"/>
            <w:noProof/>
            <w:sz w:val="22"/>
            <w:lang w:eastAsia="en-GB"/>
          </w:rPr>
          <w:tab/>
        </w:r>
        <w:r>
          <w:rPr>
            <w:rStyle w:val="Hyperlink"/>
            <w:noProof/>
          </w:rPr>
          <w:t>Social trends</w:t>
        </w:r>
        <w:r>
          <w:rPr>
            <w:noProof/>
            <w:webHidden/>
          </w:rPr>
          <w:tab/>
        </w:r>
        <w:r>
          <w:rPr>
            <w:noProof/>
            <w:webHidden/>
          </w:rPr>
          <w:fldChar w:fldCharType="begin"/>
        </w:r>
        <w:r>
          <w:rPr>
            <w:noProof/>
            <w:webHidden/>
          </w:rPr>
          <w:instrText xml:space="preserve"> PAGEREF _Toc498075882 \h </w:instrText>
        </w:r>
        <w:r>
          <w:rPr>
            <w:noProof/>
            <w:webHidden/>
          </w:rPr>
        </w:r>
        <w:r>
          <w:rPr>
            <w:noProof/>
            <w:webHidden/>
          </w:rPr>
          <w:fldChar w:fldCharType="separate"/>
        </w:r>
        <w:r>
          <w:rPr>
            <w:noProof/>
            <w:webHidden/>
          </w:rPr>
          <w:t>15</w:t>
        </w:r>
        <w:r>
          <w:rPr>
            <w:noProof/>
            <w:webHidden/>
          </w:rPr>
          <w:fldChar w:fldCharType="end"/>
        </w:r>
      </w:hyperlink>
    </w:p>
    <w:p w:rsidR="00CB01DD" w:rsidRDefault="00D75BDB">
      <w:pPr>
        <w:pStyle w:val="TOC1"/>
        <w:tabs>
          <w:tab w:val="left" w:pos="440"/>
          <w:tab w:val="right" w:leader="dot" w:pos="9062"/>
        </w:tabs>
        <w:rPr>
          <w:rFonts w:asciiTheme="minorHAnsi" w:eastAsiaTheme="minorEastAsia" w:hAnsiTheme="minorHAnsi"/>
          <w:noProof/>
          <w:sz w:val="22"/>
          <w:lang w:eastAsia="en-GB"/>
        </w:rPr>
      </w:pPr>
      <w:hyperlink w:anchor="_Toc498075883" w:history="1">
        <w:r>
          <w:rPr>
            <w:rStyle w:val="Hyperlink"/>
            <w:noProof/>
          </w:rPr>
          <w:t>2.</w:t>
        </w:r>
        <w:r>
          <w:rPr>
            <w:rFonts w:asciiTheme="minorHAnsi" w:eastAsiaTheme="minorEastAsia" w:hAnsiTheme="minorHAnsi"/>
            <w:noProof/>
            <w:sz w:val="22"/>
            <w:lang w:eastAsia="en-GB"/>
          </w:rPr>
          <w:tab/>
        </w:r>
        <w:r>
          <w:rPr>
            <w:rStyle w:val="Hyperlink"/>
            <w:noProof/>
          </w:rPr>
          <w:t>SNAPSHOTS</w:t>
        </w:r>
        <w:r>
          <w:rPr>
            <w:rStyle w:val="Hyperlink"/>
            <w:noProof/>
          </w:rPr>
          <w:t xml:space="preserve"> FROM THE SOCIAL SCOREBOARD</w:t>
        </w:r>
        <w:r>
          <w:rPr>
            <w:noProof/>
            <w:webHidden/>
          </w:rPr>
          <w:tab/>
        </w:r>
        <w:r>
          <w:rPr>
            <w:noProof/>
            <w:webHidden/>
          </w:rPr>
          <w:fldChar w:fldCharType="begin"/>
        </w:r>
        <w:r>
          <w:rPr>
            <w:noProof/>
            <w:webHidden/>
          </w:rPr>
          <w:instrText xml:space="preserve"> PAGEREF _Toc498075883 \h </w:instrText>
        </w:r>
        <w:r>
          <w:rPr>
            <w:noProof/>
            <w:webHidden/>
          </w:rPr>
        </w:r>
        <w:r>
          <w:rPr>
            <w:noProof/>
            <w:webHidden/>
          </w:rPr>
          <w:fldChar w:fldCharType="separate"/>
        </w:r>
        <w:r>
          <w:rPr>
            <w:noProof/>
            <w:webHidden/>
          </w:rPr>
          <w:t>19</w:t>
        </w:r>
        <w:r>
          <w:rPr>
            <w:noProof/>
            <w:webHidden/>
          </w:rPr>
          <w:fldChar w:fldCharType="end"/>
        </w:r>
      </w:hyperlink>
    </w:p>
    <w:p w:rsidR="00CB01DD" w:rsidRDefault="00D75BDB">
      <w:pPr>
        <w:pStyle w:val="TOC3"/>
        <w:tabs>
          <w:tab w:val="left" w:pos="1100"/>
          <w:tab w:val="right" w:leader="dot" w:pos="9062"/>
        </w:tabs>
        <w:rPr>
          <w:rFonts w:asciiTheme="minorHAnsi" w:eastAsiaTheme="minorEastAsia" w:hAnsiTheme="minorHAnsi"/>
          <w:noProof/>
          <w:sz w:val="22"/>
          <w:lang w:eastAsia="en-GB"/>
        </w:rPr>
      </w:pPr>
      <w:hyperlink w:anchor="_Toc498075884" w:history="1">
        <w:r>
          <w:rPr>
            <w:rStyle w:val="Hyperlink"/>
            <w:noProof/>
          </w:rPr>
          <w:t>2.1</w:t>
        </w:r>
        <w:r>
          <w:rPr>
            <w:rFonts w:asciiTheme="minorHAnsi" w:eastAsiaTheme="minorEastAsia" w:hAnsiTheme="minorHAnsi"/>
            <w:noProof/>
            <w:sz w:val="22"/>
            <w:lang w:eastAsia="en-GB"/>
          </w:rPr>
          <w:tab/>
        </w:r>
        <w:r>
          <w:rPr>
            <w:rStyle w:val="Hyperlink"/>
            <w:noProof/>
          </w:rPr>
          <w:t>The scoreboard explained</w:t>
        </w:r>
        <w:r>
          <w:rPr>
            <w:noProof/>
            <w:webHidden/>
          </w:rPr>
          <w:tab/>
        </w:r>
        <w:r>
          <w:rPr>
            <w:noProof/>
            <w:webHidden/>
          </w:rPr>
          <w:fldChar w:fldCharType="begin"/>
        </w:r>
        <w:r>
          <w:rPr>
            <w:noProof/>
            <w:webHidden/>
          </w:rPr>
          <w:instrText xml:space="preserve"> PAGEREF _Toc498075884 \h </w:instrText>
        </w:r>
        <w:r>
          <w:rPr>
            <w:noProof/>
            <w:webHidden/>
          </w:rPr>
        </w:r>
        <w:r>
          <w:rPr>
            <w:noProof/>
            <w:webHidden/>
          </w:rPr>
          <w:fldChar w:fldCharType="separate"/>
        </w:r>
        <w:r>
          <w:rPr>
            <w:noProof/>
            <w:webHidden/>
          </w:rPr>
          <w:t>19</w:t>
        </w:r>
        <w:r>
          <w:rPr>
            <w:noProof/>
            <w:webHidden/>
          </w:rPr>
          <w:fldChar w:fldCharType="end"/>
        </w:r>
      </w:hyperlink>
    </w:p>
    <w:p w:rsidR="00CB01DD" w:rsidRDefault="00D75BDB">
      <w:pPr>
        <w:pStyle w:val="TOC3"/>
        <w:tabs>
          <w:tab w:val="left" w:pos="1100"/>
          <w:tab w:val="right" w:leader="dot" w:pos="9062"/>
        </w:tabs>
        <w:rPr>
          <w:rFonts w:asciiTheme="minorHAnsi" w:eastAsiaTheme="minorEastAsia" w:hAnsiTheme="minorHAnsi"/>
          <w:noProof/>
          <w:sz w:val="22"/>
          <w:lang w:eastAsia="en-GB"/>
        </w:rPr>
      </w:pPr>
      <w:hyperlink w:anchor="_Toc498075885" w:history="1">
        <w:r>
          <w:rPr>
            <w:rStyle w:val="Hyperlink"/>
            <w:noProof/>
          </w:rPr>
          <w:t>2.2</w:t>
        </w:r>
        <w:r>
          <w:rPr>
            <w:rFonts w:asciiTheme="minorHAnsi" w:eastAsiaTheme="minorEastAsia" w:hAnsiTheme="minorHAnsi"/>
            <w:noProof/>
            <w:sz w:val="22"/>
            <w:lang w:eastAsia="en-GB"/>
          </w:rPr>
          <w:tab/>
        </w:r>
        <w:r>
          <w:rPr>
            <w:rStyle w:val="Hyperlink"/>
            <w:noProof/>
          </w:rPr>
          <w:t>Evidence from the social scoreboard</w:t>
        </w:r>
        <w:r>
          <w:rPr>
            <w:noProof/>
            <w:webHidden/>
          </w:rPr>
          <w:tab/>
        </w:r>
        <w:r>
          <w:rPr>
            <w:noProof/>
            <w:webHidden/>
          </w:rPr>
          <w:fldChar w:fldCharType="begin"/>
        </w:r>
        <w:r>
          <w:rPr>
            <w:noProof/>
            <w:webHidden/>
          </w:rPr>
          <w:instrText xml:space="preserve"> PAGEREF _Toc498075885 \h </w:instrText>
        </w:r>
        <w:r>
          <w:rPr>
            <w:noProof/>
            <w:webHidden/>
          </w:rPr>
        </w:r>
        <w:r>
          <w:rPr>
            <w:noProof/>
            <w:webHidden/>
          </w:rPr>
          <w:fldChar w:fldCharType="separate"/>
        </w:r>
        <w:r>
          <w:rPr>
            <w:noProof/>
            <w:webHidden/>
          </w:rPr>
          <w:t>21</w:t>
        </w:r>
        <w:r>
          <w:rPr>
            <w:noProof/>
            <w:webHidden/>
          </w:rPr>
          <w:fldChar w:fldCharType="end"/>
        </w:r>
      </w:hyperlink>
    </w:p>
    <w:p w:rsidR="00CB01DD" w:rsidRDefault="00D75BDB">
      <w:pPr>
        <w:pStyle w:val="TOC1"/>
        <w:tabs>
          <w:tab w:val="left" w:pos="660"/>
          <w:tab w:val="right" w:leader="dot" w:pos="9062"/>
        </w:tabs>
        <w:rPr>
          <w:rFonts w:asciiTheme="minorHAnsi" w:eastAsiaTheme="minorEastAsia" w:hAnsiTheme="minorHAnsi"/>
          <w:noProof/>
          <w:sz w:val="22"/>
          <w:lang w:eastAsia="en-GB"/>
        </w:rPr>
      </w:pPr>
      <w:hyperlink w:anchor="_Toc498075886" w:history="1">
        <w:r>
          <w:rPr>
            <w:rStyle w:val="Hyperlink"/>
            <w:noProof/>
          </w:rPr>
          <w:t xml:space="preserve">3. </w:t>
        </w:r>
        <w:r>
          <w:rPr>
            <w:rFonts w:asciiTheme="minorHAnsi" w:eastAsiaTheme="minorEastAsia" w:hAnsiTheme="minorHAnsi"/>
            <w:noProof/>
            <w:sz w:val="22"/>
            <w:lang w:eastAsia="en-GB"/>
          </w:rPr>
          <w:tab/>
        </w:r>
        <w:r>
          <w:rPr>
            <w:rStyle w:val="Hyperlink"/>
            <w:noProof/>
          </w:rPr>
          <w:t>EMPLOYMENT AND SOCIAL REFORMS – MEMBER STATES PERFORMANCE AND ACTION</w:t>
        </w:r>
        <w:r>
          <w:rPr>
            <w:noProof/>
            <w:webHidden/>
          </w:rPr>
          <w:tab/>
        </w:r>
        <w:r>
          <w:rPr>
            <w:noProof/>
            <w:webHidden/>
          </w:rPr>
          <w:fldChar w:fldCharType="begin"/>
        </w:r>
        <w:r>
          <w:rPr>
            <w:noProof/>
            <w:webHidden/>
          </w:rPr>
          <w:instrText xml:space="preserve"> PAGEREF _Toc498075886 \h </w:instrText>
        </w:r>
        <w:r>
          <w:rPr>
            <w:noProof/>
            <w:webHidden/>
          </w:rPr>
        </w:r>
        <w:r>
          <w:rPr>
            <w:noProof/>
            <w:webHidden/>
          </w:rPr>
          <w:fldChar w:fldCharType="separate"/>
        </w:r>
        <w:r>
          <w:rPr>
            <w:noProof/>
            <w:webHidden/>
          </w:rPr>
          <w:t>27</w:t>
        </w:r>
        <w:r>
          <w:rPr>
            <w:noProof/>
            <w:webHidden/>
          </w:rPr>
          <w:fldChar w:fldCharType="end"/>
        </w:r>
      </w:hyperlink>
    </w:p>
    <w:p w:rsidR="00CB01DD" w:rsidRDefault="00D75BDB">
      <w:pPr>
        <w:pStyle w:val="TOC2"/>
        <w:tabs>
          <w:tab w:val="left" w:pos="880"/>
          <w:tab w:val="right" w:leader="dot" w:pos="9062"/>
        </w:tabs>
        <w:rPr>
          <w:rFonts w:asciiTheme="minorHAnsi" w:eastAsiaTheme="minorEastAsia" w:hAnsiTheme="minorHAnsi"/>
          <w:noProof/>
          <w:sz w:val="22"/>
          <w:lang w:eastAsia="en-GB"/>
        </w:rPr>
      </w:pPr>
      <w:hyperlink w:anchor="_Toc498075887" w:history="1">
        <w:r>
          <w:rPr>
            <w:rStyle w:val="Hyperlink"/>
            <w:noProof/>
          </w:rPr>
          <w:t xml:space="preserve">3.1 </w:t>
        </w:r>
        <w:r>
          <w:rPr>
            <w:rFonts w:asciiTheme="minorHAnsi" w:eastAsiaTheme="minorEastAsia" w:hAnsiTheme="minorHAnsi"/>
            <w:noProof/>
            <w:sz w:val="22"/>
            <w:lang w:eastAsia="en-GB"/>
          </w:rPr>
          <w:tab/>
        </w:r>
        <w:r>
          <w:rPr>
            <w:rStyle w:val="Hyperlink"/>
            <w:noProof/>
          </w:rPr>
          <w:t>Guideline 5: Boosting demand for labour</w:t>
        </w:r>
        <w:r>
          <w:rPr>
            <w:noProof/>
            <w:webHidden/>
          </w:rPr>
          <w:tab/>
        </w:r>
        <w:r>
          <w:rPr>
            <w:noProof/>
            <w:webHidden/>
          </w:rPr>
          <w:fldChar w:fldCharType="begin"/>
        </w:r>
        <w:r>
          <w:rPr>
            <w:noProof/>
            <w:webHidden/>
          </w:rPr>
          <w:instrText xml:space="preserve"> PAGEREF _Toc498075887 \h </w:instrText>
        </w:r>
        <w:r>
          <w:rPr>
            <w:noProof/>
            <w:webHidden/>
          </w:rPr>
        </w:r>
        <w:r>
          <w:rPr>
            <w:noProof/>
            <w:webHidden/>
          </w:rPr>
          <w:fldChar w:fldCharType="separate"/>
        </w:r>
        <w:r>
          <w:rPr>
            <w:noProof/>
            <w:webHidden/>
          </w:rPr>
          <w:t>27</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88" w:history="1">
        <w:r>
          <w:rPr>
            <w:rStyle w:val="Hyperlink"/>
            <w:noProof/>
          </w:rPr>
          <w:t>3.1.1</w:t>
        </w:r>
        <w:r>
          <w:rPr>
            <w:rFonts w:asciiTheme="minorHAnsi" w:eastAsiaTheme="minorEastAsia" w:hAnsiTheme="minorHAnsi"/>
            <w:noProof/>
            <w:sz w:val="22"/>
            <w:lang w:eastAsia="en-GB"/>
          </w:rPr>
          <w:tab/>
        </w:r>
        <w:r>
          <w:rPr>
            <w:rStyle w:val="Hyperlink"/>
            <w:noProof/>
          </w:rPr>
          <w:t>Key indicators</w:t>
        </w:r>
        <w:r>
          <w:rPr>
            <w:noProof/>
            <w:webHidden/>
          </w:rPr>
          <w:tab/>
        </w:r>
        <w:r>
          <w:rPr>
            <w:noProof/>
            <w:webHidden/>
          </w:rPr>
          <w:fldChar w:fldCharType="begin"/>
        </w:r>
        <w:r>
          <w:rPr>
            <w:noProof/>
            <w:webHidden/>
          </w:rPr>
          <w:instrText xml:space="preserve"> PAGEREF _Toc4980</w:instrText>
        </w:r>
        <w:r>
          <w:rPr>
            <w:noProof/>
            <w:webHidden/>
          </w:rPr>
          <w:instrText xml:space="preserve">75888 \h </w:instrText>
        </w:r>
        <w:r>
          <w:rPr>
            <w:noProof/>
            <w:webHidden/>
          </w:rPr>
        </w:r>
        <w:r>
          <w:rPr>
            <w:noProof/>
            <w:webHidden/>
          </w:rPr>
          <w:fldChar w:fldCharType="separate"/>
        </w:r>
        <w:r>
          <w:rPr>
            <w:noProof/>
            <w:webHidden/>
          </w:rPr>
          <w:t>28</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89" w:history="1">
        <w:r>
          <w:rPr>
            <w:rStyle w:val="Hyperlink"/>
            <w:noProof/>
          </w:rPr>
          <w:t>3.1.2</w:t>
        </w:r>
        <w:r>
          <w:rPr>
            <w:rFonts w:asciiTheme="minorHAnsi" w:eastAsiaTheme="minorEastAsia" w:hAnsiTheme="minorHAnsi"/>
            <w:noProof/>
            <w:sz w:val="22"/>
            <w:lang w:eastAsia="en-GB"/>
          </w:rPr>
          <w:tab/>
        </w:r>
        <w:r>
          <w:rPr>
            <w:rStyle w:val="Hyperlink"/>
            <w:noProof/>
          </w:rPr>
          <w:t>Policy response</w:t>
        </w:r>
        <w:r>
          <w:rPr>
            <w:noProof/>
            <w:webHidden/>
          </w:rPr>
          <w:tab/>
        </w:r>
        <w:r>
          <w:rPr>
            <w:noProof/>
            <w:webHidden/>
          </w:rPr>
          <w:fldChar w:fldCharType="begin"/>
        </w:r>
        <w:r>
          <w:rPr>
            <w:noProof/>
            <w:webHidden/>
          </w:rPr>
          <w:instrText xml:space="preserve"> PAGEREF _Toc498075889 \h </w:instrText>
        </w:r>
        <w:r>
          <w:rPr>
            <w:noProof/>
            <w:webHidden/>
          </w:rPr>
        </w:r>
        <w:r>
          <w:rPr>
            <w:noProof/>
            <w:webHidden/>
          </w:rPr>
          <w:fldChar w:fldCharType="separate"/>
        </w:r>
        <w:r>
          <w:rPr>
            <w:noProof/>
            <w:webHidden/>
          </w:rPr>
          <w:t>38</w:t>
        </w:r>
        <w:r>
          <w:rPr>
            <w:noProof/>
            <w:webHidden/>
          </w:rPr>
          <w:fldChar w:fldCharType="end"/>
        </w:r>
      </w:hyperlink>
    </w:p>
    <w:p w:rsidR="00CB01DD" w:rsidRDefault="00D75BDB">
      <w:pPr>
        <w:pStyle w:val="TOC2"/>
        <w:tabs>
          <w:tab w:val="left" w:pos="880"/>
          <w:tab w:val="right" w:leader="dot" w:pos="9062"/>
        </w:tabs>
        <w:rPr>
          <w:rFonts w:asciiTheme="minorHAnsi" w:eastAsiaTheme="minorEastAsia" w:hAnsiTheme="minorHAnsi"/>
          <w:noProof/>
          <w:sz w:val="22"/>
          <w:lang w:eastAsia="en-GB"/>
        </w:rPr>
      </w:pPr>
      <w:hyperlink w:anchor="_Toc498075890" w:history="1">
        <w:r>
          <w:rPr>
            <w:rStyle w:val="Hyperlink"/>
            <w:noProof/>
          </w:rPr>
          <w:t xml:space="preserve">3.2 </w:t>
        </w:r>
        <w:r>
          <w:rPr>
            <w:rFonts w:asciiTheme="minorHAnsi" w:eastAsiaTheme="minorEastAsia" w:hAnsiTheme="minorHAnsi"/>
            <w:noProof/>
            <w:sz w:val="22"/>
            <w:lang w:eastAsia="en-GB"/>
          </w:rPr>
          <w:tab/>
        </w:r>
        <w:r>
          <w:rPr>
            <w:rStyle w:val="Hyperlink"/>
            <w:noProof/>
          </w:rPr>
          <w:t>Guideline 6: Enhancing labour supply, skills and competences</w:t>
        </w:r>
        <w:r>
          <w:rPr>
            <w:noProof/>
            <w:webHidden/>
          </w:rPr>
          <w:tab/>
        </w:r>
        <w:r>
          <w:rPr>
            <w:noProof/>
            <w:webHidden/>
          </w:rPr>
          <w:fldChar w:fldCharType="begin"/>
        </w:r>
        <w:r>
          <w:rPr>
            <w:noProof/>
            <w:webHidden/>
          </w:rPr>
          <w:instrText xml:space="preserve"> PAGEREF _Toc498075890 \h </w:instrText>
        </w:r>
        <w:r>
          <w:rPr>
            <w:noProof/>
            <w:webHidden/>
          </w:rPr>
        </w:r>
        <w:r>
          <w:rPr>
            <w:noProof/>
            <w:webHidden/>
          </w:rPr>
          <w:fldChar w:fldCharType="separate"/>
        </w:r>
        <w:r>
          <w:rPr>
            <w:noProof/>
            <w:webHidden/>
          </w:rPr>
          <w:t>43</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91" w:history="1">
        <w:r>
          <w:rPr>
            <w:rStyle w:val="Hyperlink"/>
            <w:noProof/>
          </w:rPr>
          <w:t>3.2.1</w:t>
        </w:r>
        <w:r>
          <w:rPr>
            <w:rFonts w:asciiTheme="minorHAnsi" w:eastAsiaTheme="minorEastAsia" w:hAnsiTheme="minorHAnsi"/>
            <w:noProof/>
            <w:sz w:val="22"/>
            <w:lang w:eastAsia="en-GB"/>
          </w:rPr>
          <w:tab/>
        </w:r>
        <w:r>
          <w:rPr>
            <w:rStyle w:val="Hyperlink"/>
            <w:noProof/>
          </w:rPr>
          <w:t>Key indicators</w:t>
        </w:r>
        <w:r>
          <w:rPr>
            <w:noProof/>
            <w:webHidden/>
          </w:rPr>
          <w:tab/>
        </w:r>
        <w:r>
          <w:rPr>
            <w:noProof/>
            <w:webHidden/>
          </w:rPr>
          <w:fldChar w:fldCharType="begin"/>
        </w:r>
        <w:r>
          <w:rPr>
            <w:noProof/>
            <w:webHidden/>
          </w:rPr>
          <w:instrText xml:space="preserve"> PAGEREF </w:instrText>
        </w:r>
        <w:r>
          <w:rPr>
            <w:noProof/>
            <w:webHidden/>
          </w:rPr>
          <w:instrText xml:space="preserve">_Toc498075891 \h </w:instrText>
        </w:r>
        <w:r>
          <w:rPr>
            <w:noProof/>
            <w:webHidden/>
          </w:rPr>
        </w:r>
        <w:r>
          <w:rPr>
            <w:noProof/>
            <w:webHidden/>
          </w:rPr>
          <w:fldChar w:fldCharType="separate"/>
        </w:r>
        <w:r>
          <w:rPr>
            <w:noProof/>
            <w:webHidden/>
          </w:rPr>
          <w:t>43</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92" w:history="1">
        <w:r>
          <w:rPr>
            <w:rStyle w:val="Hyperlink"/>
            <w:noProof/>
          </w:rPr>
          <w:t>3.2.2</w:t>
        </w:r>
        <w:r>
          <w:rPr>
            <w:rFonts w:asciiTheme="minorHAnsi" w:eastAsiaTheme="minorEastAsia" w:hAnsiTheme="minorHAnsi"/>
            <w:noProof/>
            <w:sz w:val="22"/>
            <w:lang w:eastAsia="en-GB"/>
          </w:rPr>
          <w:tab/>
        </w:r>
        <w:r>
          <w:rPr>
            <w:rStyle w:val="Hyperlink"/>
            <w:noProof/>
          </w:rPr>
          <w:t>Policy response</w:t>
        </w:r>
        <w:r>
          <w:rPr>
            <w:noProof/>
            <w:webHidden/>
          </w:rPr>
          <w:tab/>
        </w:r>
        <w:r>
          <w:rPr>
            <w:noProof/>
            <w:webHidden/>
          </w:rPr>
          <w:fldChar w:fldCharType="begin"/>
        </w:r>
        <w:r>
          <w:rPr>
            <w:noProof/>
            <w:webHidden/>
          </w:rPr>
          <w:instrText xml:space="preserve"> PAGEREF _Toc498075892 \h </w:instrText>
        </w:r>
        <w:r>
          <w:rPr>
            <w:noProof/>
            <w:webHidden/>
          </w:rPr>
        </w:r>
        <w:r>
          <w:rPr>
            <w:noProof/>
            <w:webHidden/>
          </w:rPr>
          <w:fldChar w:fldCharType="separate"/>
        </w:r>
        <w:r>
          <w:rPr>
            <w:noProof/>
            <w:webHidden/>
          </w:rPr>
          <w:t>61</w:t>
        </w:r>
        <w:r>
          <w:rPr>
            <w:noProof/>
            <w:webHidden/>
          </w:rPr>
          <w:fldChar w:fldCharType="end"/>
        </w:r>
      </w:hyperlink>
    </w:p>
    <w:p w:rsidR="00CB01DD" w:rsidRDefault="00D75BDB">
      <w:pPr>
        <w:pStyle w:val="TOC2"/>
        <w:tabs>
          <w:tab w:val="left" w:pos="880"/>
          <w:tab w:val="right" w:leader="dot" w:pos="9062"/>
        </w:tabs>
        <w:rPr>
          <w:rFonts w:asciiTheme="minorHAnsi" w:eastAsiaTheme="minorEastAsia" w:hAnsiTheme="minorHAnsi"/>
          <w:noProof/>
          <w:sz w:val="22"/>
          <w:lang w:eastAsia="en-GB"/>
        </w:rPr>
      </w:pPr>
      <w:hyperlink w:anchor="_Toc498075893" w:history="1">
        <w:r>
          <w:rPr>
            <w:rStyle w:val="Hyperlink"/>
            <w:noProof/>
          </w:rPr>
          <w:t xml:space="preserve">3.3 </w:t>
        </w:r>
        <w:r>
          <w:rPr>
            <w:rFonts w:asciiTheme="minorHAnsi" w:eastAsiaTheme="minorEastAsia" w:hAnsiTheme="minorHAnsi"/>
            <w:noProof/>
            <w:sz w:val="22"/>
            <w:lang w:eastAsia="en-GB"/>
          </w:rPr>
          <w:tab/>
        </w:r>
        <w:r>
          <w:rPr>
            <w:rStyle w:val="Hyperlink"/>
            <w:noProof/>
          </w:rPr>
          <w:t>Guideline 7: Enhancing the functioning of labour markets</w:t>
        </w:r>
        <w:r>
          <w:rPr>
            <w:noProof/>
            <w:webHidden/>
          </w:rPr>
          <w:tab/>
        </w:r>
        <w:r>
          <w:rPr>
            <w:noProof/>
            <w:webHidden/>
          </w:rPr>
          <w:fldChar w:fldCharType="begin"/>
        </w:r>
        <w:r>
          <w:rPr>
            <w:noProof/>
            <w:webHidden/>
          </w:rPr>
          <w:instrText xml:space="preserve"> PAGEREF _Toc498075893 \h </w:instrText>
        </w:r>
        <w:r>
          <w:rPr>
            <w:noProof/>
            <w:webHidden/>
          </w:rPr>
        </w:r>
        <w:r>
          <w:rPr>
            <w:noProof/>
            <w:webHidden/>
          </w:rPr>
          <w:fldChar w:fldCharType="separate"/>
        </w:r>
        <w:r>
          <w:rPr>
            <w:noProof/>
            <w:webHidden/>
          </w:rPr>
          <w:t>79</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94" w:history="1">
        <w:r>
          <w:rPr>
            <w:rStyle w:val="Hyperlink"/>
            <w:noProof/>
          </w:rPr>
          <w:t xml:space="preserve">3.3.1 </w:t>
        </w:r>
        <w:r>
          <w:rPr>
            <w:rFonts w:asciiTheme="minorHAnsi" w:eastAsiaTheme="minorEastAsia" w:hAnsiTheme="minorHAnsi"/>
            <w:noProof/>
            <w:sz w:val="22"/>
            <w:lang w:eastAsia="en-GB"/>
          </w:rPr>
          <w:tab/>
        </w:r>
        <w:r>
          <w:rPr>
            <w:rStyle w:val="Hyperlink"/>
            <w:noProof/>
          </w:rPr>
          <w:t>Key indicators</w:t>
        </w:r>
        <w:r>
          <w:rPr>
            <w:noProof/>
            <w:webHidden/>
          </w:rPr>
          <w:tab/>
        </w:r>
        <w:r>
          <w:rPr>
            <w:noProof/>
            <w:webHidden/>
          </w:rPr>
          <w:fldChar w:fldCharType="begin"/>
        </w:r>
        <w:r>
          <w:rPr>
            <w:noProof/>
            <w:webHidden/>
          </w:rPr>
          <w:instrText xml:space="preserve"> PAGEREF _Toc498075894 \h </w:instrText>
        </w:r>
        <w:r>
          <w:rPr>
            <w:noProof/>
            <w:webHidden/>
          </w:rPr>
        </w:r>
        <w:r>
          <w:rPr>
            <w:noProof/>
            <w:webHidden/>
          </w:rPr>
          <w:fldChar w:fldCharType="separate"/>
        </w:r>
        <w:r>
          <w:rPr>
            <w:noProof/>
            <w:webHidden/>
          </w:rPr>
          <w:t>79</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95" w:history="1">
        <w:r>
          <w:rPr>
            <w:rStyle w:val="Hyperlink"/>
            <w:noProof/>
          </w:rPr>
          <w:t xml:space="preserve">3.3.2 </w:t>
        </w:r>
        <w:r>
          <w:rPr>
            <w:rFonts w:asciiTheme="minorHAnsi" w:eastAsiaTheme="minorEastAsia" w:hAnsiTheme="minorHAnsi"/>
            <w:noProof/>
            <w:sz w:val="22"/>
            <w:lang w:eastAsia="en-GB"/>
          </w:rPr>
          <w:tab/>
        </w:r>
        <w:r>
          <w:rPr>
            <w:rStyle w:val="Hyperlink"/>
            <w:noProof/>
          </w:rPr>
          <w:t>Policy response</w:t>
        </w:r>
        <w:r>
          <w:rPr>
            <w:noProof/>
            <w:webHidden/>
          </w:rPr>
          <w:tab/>
        </w:r>
        <w:r>
          <w:rPr>
            <w:noProof/>
            <w:webHidden/>
          </w:rPr>
          <w:fldChar w:fldCharType="begin"/>
        </w:r>
        <w:r>
          <w:rPr>
            <w:noProof/>
            <w:webHidden/>
          </w:rPr>
          <w:instrText xml:space="preserve"> PAGEREF _Toc498075895 \h </w:instrText>
        </w:r>
        <w:r>
          <w:rPr>
            <w:noProof/>
            <w:webHidden/>
          </w:rPr>
        </w:r>
        <w:r>
          <w:rPr>
            <w:noProof/>
            <w:webHidden/>
          </w:rPr>
          <w:fldChar w:fldCharType="separate"/>
        </w:r>
        <w:r>
          <w:rPr>
            <w:noProof/>
            <w:webHidden/>
          </w:rPr>
          <w:t>90</w:t>
        </w:r>
        <w:r>
          <w:rPr>
            <w:noProof/>
            <w:webHidden/>
          </w:rPr>
          <w:fldChar w:fldCharType="end"/>
        </w:r>
      </w:hyperlink>
    </w:p>
    <w:p w:rsidR="00CB01DD" w:rsidRDefault="00D75BDB">
      <w:pPr>
        <w:pStyle w:val="TOC2"/>
        <w:tabs>
          <w:tab w:val="right" w:leader="dot" w:pos="9062"/>
        </w:tabs>
        <w:rPr>
          <w:rFonts w:asciiTheme="minorHAnsi" w:eastAsiaTheme="minorEastAsia" w:hAnsiTheme="minorHAnsi"/>
          <w:noProof/>
          <w:sz w:val="22"/>
          <w:lang w:eastAsia="en-GB"/>
        </w:rPr>
      </w:pPr>
      <w:hyperlink w:anchor="_Toc498075896" w:history="1">
        <w:r>
          <w:rPr>
            <w:rStyle w:val="Hyperlink"/>
            <w:noProof/>
          </w:rPr>
          <w:t>3.4 Fo</w:t>
        </w:r>
        <w:r>
          <w:rPr>
            <w:rStyle w:val="Hyperlink"/>
            <w:noProof/>
          </w:rPr>
          <w:t>stering social inclusion, combatting poverty and promoting equal opportunities</w:t>
        </w:r>
        <w:r>
          <w:rPr>
            <w:noProof/>
            <w:webHidden/>
          </w:rPr>
          <w:tab/>
        </w:r>
        <w:r>
          <w:rPr>
            <w:noProof/>
            <w:webHidden/>
          </w:rPr>
          <w:fldChar w:fldCharType="begin"/>
        </w:r>
        <w:r>
          <w:rPr>
            <w:noProof/>
            <w:webHidden/>
          </w:rPr>
          <w:instrText xml:space="preserve"> PAGEREF _Toc498075896 \h </w:instrText>
        </w:r>
        <w:r>
          <w:rPr>
            <w:noProof/>
            <w:webHidden/>
          </w:rPr>
        </w:r>
        <w:r>
          <w:rPr>
            <w:noProof/>
            <w:webHidden/>
          </w:rPr>
          <w:fldChar w:fldCharType="separate"/>
        </w:r>
        <w:r>
          <w:rPr>
            <w:noProof/>
            <w:webHidden/>
          </w:rPr>
          <w:t>99</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97" w:history="1">
        <w:r>
          <w:rPr>
            <w:rStyle w:val="Hyperlink"/>
            <w:noProof/>
            <w:lang w:eastAsia="en-GB"/>
          </w:rPr>
          <w:t>3.4.1</w:t>
        </w:r>
        <w:r>
          <w:rPr>
            <w:rFonts w:asciiTheme="minorHAnsi" w:eastAsiaTheme="minorEastAsia" w:hAnsiTheme="minorHAnsi"/>
            <w:noProof/>
            <w:sz w:val="22"/>
            <w:lang w:eastAsia="en-GB"/>
          </w:rPr>
          <w:tab/>
        </w:r>
        <w:r>
          <w:rPr>
            <w:rStyle w:val="Hyperlink"/>
            <w:noProof/>
            <w:lang w:eastAsia="en-GB"/>
          </w:rPr>
          <w:t>Key indicators</w:t>
        </w:r>
        <w:r>
          <w:rPr>
            <w:noProof/>
            <w:webHidden/>
          </w:rPr>
          <w:tab/>
        </w:r>
        <w:r>
          <w:rPr>
            <w:noProof/>
            <w:webHidden/>
          </w:rPr>
          <w:fldChar w:fldCharType="begin"/>
        </w:r>
        <w:r>
          <w:rPr>
            <w:noProof/>
            <w:webHidden/>
          </w:rPr>
          <w:instrText xml:space="preserve"> PAGEREF _Toc498075897 \h </w:instrText>
        </w:r>
        <w:r>
          <w:rPr>
            <w:noProof/>
            <w:webHidden/>
          </w:rPr>
        </w:r>
        <w:r>
          <w:rPr>
            <w:noProof/>
            <w:webHidden/>
          </w:rPr>
          <w:fldChar w:fldCharType="separate"/>
        </w:r>
        <w:r>
          <w:rPr>
            <w:noProof/>
            <w:webHidden/>
          </w:rPr>
          <w:t>9</w:t>
        </w:r>
        <w:r>
          <w:rPr>
            <w:noProof/>
            <w:webHidden/>
          </w:rPr>
          <w:t>9</w:t>
        </w:r>
        <w:r>
          <w:rPr>
            <w:noProof/>
            <w:webHidden/>
          </w:rPr>
          <w:fldChar w:fldCharType="end"/>
        </w:r>
      </w:hyperlink>
    </w:p>
    <w:p w:rsidR="00CB01DD" w:rsidRDefault="00D75BDB">
      <w:pPr>
        <w:pStyle w:val="TOC3"/>
        <w:tabs>
          <w:tab w:val="left" w:pos="1320"/>
          <w:tab w:val="right" w:leader="dot" w:pos="9062"/>
        </w:tabs>
        <w:rPr>
          <w:rFonts w:asciiTheme="minorHAnsi" w:eastAsiaTheme="minorEastAsia" w:hAnsiTheme="minorHAnsi"/>
          <w:noProof/>
          <w:sz w:val="22"/>
          <w:lang w:eastAsia="en-GB"/>
        </w:rPr>
      </w:pPr>
      <w:hyperlink w:anchor="_Toc498075898" w:history="1">
        <w:r>
          <w:rPr>
            <w:rStyle w:val="Hyperlink"/>
            <w:noProof/>
          </w:rPr>
          <w:t>3.4.2</w:t>
        </w:r>
        <w:r>
          <w:rPr>
            <w:rFonts w:asciiTheme="minorHAnsi" w:eastAsiaTheme="minorEastAsia" w:hAnsiTheme="minorHAnsi"/>
            <w:noProof/>
            <w:sz w:val="22"/>
            <w:lang w:eastAsia="en-GB"/>
          </w:rPr>
          <w:tab/>
        </w:r>
        <w:r>
          <w:rPr>
            <w:rStyle w:val="Hyperlink"/>
            <w:noProof/>
          </w:rPr>
          <w:t>Policy response</w:t>
        </w:r>
        <w:r>
          <w:rPr>
            <w:noProof/>
            <w:webHidden/>
          </w:rPr>
          <w:tab/>
        </w:r>
        <w:r>
          <w:rPr>
            <w:noProof/>
            <w:webHidden/>
          </w:rPr>
          <w:fldChar w:fldCharType="begin"/>
        </w:r>
        <w:r>
          <w:rPr>
            <w:noProof/>
            <w:webHidden/>
          </w:rPr>
          <w:instrText xml:space="preserve"> PAGEREF _Toc498075898 \h </w:instrText>
        </w:r>
        <w:r>
          <w:rPr>
            <w:noProof/>
            <w:webHidden/>
          </w:rPr>
        </w:r>
        <w:r>
          <w:rPr>
            <w:noProof/>
            <w:webHidden/>
          </w:rPr>
          <w:fldChar w:fldCharType="separate"/>
        </w:r>
        <w:r>
          <w:rPr>
            <w:noProof/>
            <w:webHidden/>
          </w:rPr>
          <w:t>113</w:t>
        </w:r>
        <w:r>
          <w:rPr>
            <w:noProof/>
            <w:webHidden/>
          </w:rPr>
          <w:fldChar w:fldCharType="end"/>
        </w:r>
      </w:hyperlink>
    </w:p>
    <w:p w:rsidR="00CB01DD" w:rsidRDefault="00D75BDB">
      <w:pPr>
        <w:pStyle w:val="TOC1"/>
        <w:tabs>
          <w:tab w:val="right" w:leader="dot" w:pos="9062"/>
        </w:tabs>
        <w:rPr>
          <w:rFonts w:asciiTheme="minorHAnsi" w:eastAsiaTheme="minorEastAsia" w:hAnsiTheme="minorHAnsi"/>
          <w:noProof/>
          <w:sz w:val="22"/>
          <w:lang w:eastAsia="en-GB"/>
        </w:rPr>
      </w:pPr>
      <w:hyperlink w:anchor="_Toc498075899" w:history="1">
        <w:r>
          <w:rPr>
            <w:rStyle w:val="Hyperlink"/>
            <w:noProof/>
          </w:rPr>
          <w:t>AN</w:t>
        </w:r>
        <w:r>
          <w:rPr>
            <w:rStyle w:val="Hyperlink"/>
            <w:noProof/>
          </w:rPr>
          <w:t>NEXES</w:t>
        </w:r>
        <w:r>
          <w:rPr>
            <w:noProof/>
            <w:webHidden/>
          </w:rPr>
          <w:tab/>
        </w:r>
        <w:r>
          <w:rPr>
            <w:noProof/>
            <w:webHidden/>
          </w:rPr>
          <w:fldChar w:fldCharType="begin"/>
        </w:r>
        <w:r>
          <w:rPr>
            <w:noProof/>
            <w:webHidden/>
          </w:rPr>
          <w:instrText xml:space="preserve"> PAGEREF _Toc498075899 \h </w:instrText>
        </w:r>
        <w:r>
          <w:rPr>
            <w:noProof/>
            <w:webHidden/>
          </w:rPr>
        </w:r>
        <w:r>
          <w:rPr>
            <w:noProof/>
            <w:webHidden/>
          </w:rPr>
          <w:fldChar w:fldCharType="separate"/>
        </w:r>
        <w:r>
          <w:rPr>
            <w:noProof/>
            <w:webHidden/>
          </w:rPr>
          <w:t>118</w:t>
        </w:r>
        <w:r>
          <w:rPr>
            <w:noProof/>
            <w:webHidden/>
          </w:rPr>
          <w:fldChar w:fldCharType="end"/>
        </w:r>
      </w:hyperlink>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fldChar w:fldCharType="end"/>
      </w:r>
      <w:r>
        <w:rPr>
          <w:rFonts w:ascii="Times New Roman" w:hAnsi="Times New Roman" w:cs="Times New Roman"/>
          <w:b/>
          <w:noProof/>
          <w:sz w:val="24"/>
          <w:szCs w:val="24"/>
        </w:rPr>
        <w:br w:type="page"/>
      </w:r>
    </w:p>
    <w:p w:rsidR="00CB01DD" w:rsidRDefault="00D75BDB">
      <w:pPr>
        <w:pStyle w:val="Heading1"/>
        <w:rPr>
          <w:noProof/>
        </w:rPr>
      </w:pPr>
      <w:bookmarkStart w:id="2" w:name="_Toc498075878"/>
      <w:r>
        <w:rPr>
          <w:noProof/>
        </w:rPr>
        <w:lastRenderedPageBreak/>
        <w:t>FOREWORD</w:t>
      </w:r>
      <w:bookmarkEnd w:id="2"/>
    </w:p>
    <w:p w:rsidR="00CB01DD" w:rsidRDefault="00D75BDB">
      <w:pPr>
        <w:spacing w:line="36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Joint Employment Report (JER) is mandated by Article 148 of the Treaty on the Functioning of the European Union (TFEU). It is part of the Autumn package, which includes the </w:t>
      </w:r>
      <w:r>
        <w:rPr>
          <w:rFonts w:ascii="Times New Roman" w:eastAsia="Calibri" w:hAnsi="Times New Roman" w:cs="Times New Roman"/>
          <w:noProof/>
          <w:sz w:val="24"/>
        </w:rPr>
        <w:t>Annual Growth Survey launching the European Semester cycle. The Joint Employment Report provides an annual overview of key employment and social developments in Europe as well as Member States' reform actions, in line with the Guidelines for the Employment</w:t>
      </w:r>
      <w:r>
        <w:rPr>
          <w:rFonts w:ascii="Times New Roman" w:eastAsia="Calibri" w:hAnsi="Times New Roman" w:cs="Times New Roman"/>
          <w:noProof/>
          <w:sz w:val="24"/>
        </w:rPr>
        <w:t xml:space="preserve"> Policies of the Member States</w:t>
      </w:r>
      <w:r>
        <w:rPr>
          <w:rStyle w:val="FootnoteReference"/>
          <w:rFonts w:ascii="Times New Roman" w:eastAsia="Calibri" w:hAnsi="Times New Roman" w:cs="Times New Roman"/>
          <w:noProof/>
          <w:sz w:val="24"/>
        </w:rPr>
        <w:footnoteReference w:id="1"/>
      </w:r>
      <w:r>
        <w:rPr>
          <w:rFonts w:ascii="Times New Roman" w:eastAsia="Calibri" w:hAnsi="Times New Roman" w:cs="Times New Roman"/>
          <w:noProof/>
          <w:sz w:val="24"/>
        </w:rPr>
        <w:t>. The reporting on these reforms follows the structure of the Guidelines: boosting demand for labour (Guideline 5), enhancing labour supply, skills and competences (Guideline 6), enhancing the functioning of labour markets (G</w:t>
      </w:r>
      <w:r>
        <w:rPr>
          <w:rFonts w:ascii="Times New Roman" w:eastAsia="Calibri" w:hAnsi="Times New Roman" w:cs="Times New Roman"/>
          <w:noProof/>
          <w:sz w:val="24"/>
        </w:rPr>
        <w:t xml:space="preserve">uideline 7), and fostering social inclusion, combatting poverty and promoting equal opportunities (Guideline 8). </w:t>
      </w:r>
    </w:p>
    <w:p w:rsidR="00CB01DD" w:rsidRDefault="00D75BDB">
      <w:pPr>
        <w:spacing w:line="360" w:lineRule="auto"/>
        <w:jc w:val="both"/>
        <w:rPr>
          <w:rFonts w:ascii="Times New Roman" w:hAnsi="Times New Roman" w:cs="Times New Roman"/>
          <w:noProof/>
          <w:sz w:val="24"/>
          <w:szCs w:val="24"/>
        </w:rPr>
      </w:pPr>
      <w:r>
        <w:rPr>
          <w:rFonts w:ascii="Times New Roman" w:eastAsia="Calibri" w:hAnsi="Times New Roman" w:cs="Times New Roman"/>
          <w:noProof/>
          <w:sz w:val="24"/>
        </w:rPr>
        <w:t>In addition, the Joint Employment Report 2018 monitors Member States' performance in relation to the European Pillar of Social Rights. The Pil</w:t>
      </w:r>
      <w:r>
        <w:rPr>
          <w:rFonts w:ascii="Times New Roman" w:eastAsia="Calibri" w:hAnsi="Times New Roman" w:cs="Times New Roman"/>
          <w:noProof/>
          <w:sz w:val="24"/>
        </w:rPr>
        <w:t xml:space="preserve">lar, </w:t>
      </w:r>
      <w:r>
        <w:rPr>
          <w:rFonts w:ascii="Times New Roman" w:hAnsi="Times New Roman" w:cs="Times New Roman"/>
          <w:noProof/>
          <w:sz w:val="24"/>
          <w:szCs w:val="24"/>
        </w:rPr>
        <w:t>signed as an inter-institutional Proclamation by the European Parliament, the Council and the Commission on 17 November 2017, identifies principles and rights in three areas: i) equal opportunities and access to the labour market</w:t>
      </w:r>
      <w:r>
        <w:rPr>
          <w:rFonts w:ascii="Times New Roman" w:eastAsia="Arial Unicode MS" w:hAnsi="Times New Roman" w:cs="Times New Roman"/>
          <w:noProof/>
          <w:color w:val="000000"/>
          <w:sz w:val="24"/>
          <w:szCs w:val="24"/>
          <w:bdr w:val="nil"/>
        </w:rPr>
        <w:t>, ii) fair working con</w:t>
      </w:r>
      <w:r>
        <w:rPr>
          <w:rFonts w:ascii="Times New Roman" w:eastAsia="Arial Unicode MS" w:hAnsi="Times New Roman" w:cs="Times New Roman"/>
          <w:noProof/>
          <w:color w:val="000000"/>
          <w:sz w:val="24"/>
          <w:szCs w:val="24"/>
          <w:bdr w:val="nil"/>
        </w:rPr>
        <w:t>ditions, and iii) social protection and inclusion. Monitoring</w:t>
      </w:r>
      <w:r>
        <w:rPr>
          <w:rFonts w:ascii="Times New Roman" w:hAnsi="Times New Roman" w:cs="Times New Roman"/>
          <w:iCs/>
          <w:noProof/>
          <w:sz w:val="24"/>
          <w:szCs w:val="24"/>
        </w:rPr>
        <w:t xml:space="preserve"> of progress in these areas is underpinned, in particular, by a detailed analysis of the Social Scoreboard accompanying the Pillar.</w:t>
      </w:r>
    </w:p>
    <w:p w:rsidR="00CB01DD" w:rsidRDefault="00D75BDB">
      <w:pPr>
        <w:spacing w:line="36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Joint Employment Report is structured as follows: an </w:t>
      </w:r>
      <w:r>
        <w:rPr>
          <w:rFonts w:ascii="Times New Roman" w:eastAsia="Calibri" w:hAnsi="Times New Roman" w:cs="Times New Roman"/>
          <w:noProof/>
          <w:sz w:val="24"/>
        </w:rPr>
        <w:t>introductory chapter (Chapter 1) reports on main labour market and social trends in the European Union to set the scene. Chapter 2 presents the main results from the analysis of the social scoreboard associated to the European Pillar of Social Rights. Chap</w:t>
      </w:r>
      <w:r>
        <w:rPr>
          <w:rFonts w:ascii="Times New Roman" w:eastAsia="Calibri" w:hAnsi="Times New Roman" w:cs="Times New Roman"/>
          <w:noProof/>
          <w:sz w:val="24"/>
        </w:rPr>
        <w:t>ter 3 provides a detailed cross-country description of key indicators (including from the social scoreboard) and policies implemented by Member States to address the Guidelines for Employment Policies.</w:t>
      </w:r>
    </w:p>
    <w:p w:rsidR="00CB01DD" w:rsidRDefault="00D75BDB">
      <w:pPr>
        <w:rPr>
          <w:rFonts w:ascii="Times New Roman" w:eastAsia="Calibri" w:hAnsi="Times New Roman" w:cs="Times New Roman"/>
          <w:noProof/>
          <w:sz w:val="24"/>
        </w:rPr>
      </w:pPr>
      <w:r>
        <w:rPr>
          <w:rFonts w:ascii="Times New Roman" w:eastAsia="Calibri" w:hAnsi="Times New Roman" w:cs="Times New Roman"/>
          <w:noProof/>
          <w:sz w:val="24"/>
        </w:rPr>
        <w:br w:type="page"/>
      </w:r>
    </w:p>
    <w:p w:rsidR="00CB01DD" w:rsidRDefault="00D75BDB">
      <w:pPr>
        <w:pStyle w:val="Heading1"/>
        <w:rPr>
          <w:noProof/>
        </w:rPr>
      </w:pPr>
      <w:bookmarkStart w:id="3" w:name="_Toc498075879"/>
      <w:r>
        <w:rPr>
          <w:noProof/>
        </w:rPr>
        <w:t>KEY MESSAGES</w:t>
      </w:r>
      <w:bookmarkEnd w:id="3"/>
    </w:p>
    <w:p w:rsidR="00CB01DD" w:rsidRDefault="00D75BDB">
      <w:pPr>
        <w:spacing w:line="36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following key messages emerge from </w:t>
      </w:r>
      <w:r>
        <w:rPr>
          <w:rFonts w:ascii="Times New Roman" w:eastAsia="Calibri" w:hAnsi="Times New Roman" w:cs="Times New Roman"/>
          <w:noProof/>
          <w:sz w:val="24"/>
        </w:rPr>
        <w:t>the analysis in the Report:</w:t>
      </w:r>
    </w:p>
    <w:p w:rsidR="00CB01DD" w:rsidRDefault="00D75BDB">
      <w:pPr>
        <w:spacing w:line="360" w:lineRule="auto"/>
        <w:jc w:val="both"/>
        <w:rPr>
          <w:rFonts w:ascii="Times New Roman" w:hAnsi="Times New Roman" w:cs="Times New Roman"/>
          <w:i/>
          <w:noProof/>
          <w:sz w:val="24"/>
          <w:szCs w:val="24"/>
        </w:rPr>
      </w:pPr>
      <w:r>
        <w:rPr>
          <w:rFonts w:ascii="Times New Roman" w:hAnsi="Times New Roman" w:cs="Times New Roman"/>
          <w:b/>
          <w:i/>
          <w:noProof/>
          <w:sz w:val="24"/>
          <w:szCs w:val="24"/>
        </w:rPr>
        <w:t>The economic expansion, which now has reached all Member States, is accompanied by steady improvements in the labour market and social situation</w:t>
      </w:r>
      <w:r>
        <w:rPr>
          <w:rFonts w:ascii="Times New Roman" w:hAnsi="Times New Roman" w:cs="Times New Roman"/>
          <w:i/>
          <w:noProof/>
          <w:sz w:val="24"/>
          <w:szCs w:val="24"/>
        </w:rPr>
        <w:t xml:space="preserve">. On average for the EU, 11 out of the 14 social scoreboard indicators, monitoring </w:t>
      </w:r>
      <w:r>
        <w:rPr>
          <w:rFonts w:ascii="Times New Roman" w:hAnsi="Times New Roman" w:cs="Times New Roman"/>
          <w:i/>
          <w:noProof/>
          <w:sz w:val="24"/>
          <w:szCs w:val="24"/>
        </w:rPr>
        <w:t>progress on the European Pillar of Social Rights, recorded an improvement over the last year. Of the remaining three, two remained broadly unchanged and only one (impact of social transfers on poverty reduction) slightly deteriorated, though with very diff</w:t>
      </w:r>
      <w:r>
        <w:rPr>
          <w:rFonts w:ascii="Times New Roman" w:hAnsi="Times New Roman" w:cs="Times New Roman"/>
          <w:i/>
          <w:noProof/>
          <w:sz w:val="24"/>
          <w:szCs w:val="24"/>
        </w:rPr>
        <w:t>erentiated patterns at country level. Overall, this evidence points to ongoing progress with respect to the Pillar's three chapters, supported by the strong recovery and by recent reform efforts. Still, challenges on specific principles of the Pillar are i</w:t>
      </w:r>
      <w:r>
        <w:rPr>
          <w:rFonts w:ascii="Times New Roman" w:hAnsi="Times New Roman" w:cs="Times New Roman"/>
          <w:i/>
          <w:noProof/>
          <w:sz w:val="24"/>
          <w:szCs w:val="24"/>
        </w:rPr>
        <w:t>dentified for a majority of Member States, as highlighted in the body of the report. These will also be subject of an in-depth analysis in the European Semester Country Reports.</w:t>
      </w:r>
    </w:p>
    <w:p w:rsidR="00CB01DD" w:rsidRDefault="00D75BDB">
      <w:pPr>
        <w:spacing w:line="360" w:lineRule="auto"/>
        <w:jc w:val="both"/>
        <w:rPr>
          <w:rFonts w:ascii="Times New Roman" w:hAnsi="Times New Roman" w:cs="Times New Roman"/>
          <w:i/>
          <w:noProof/>
          <w:sz w:val="24"/>
          <w:szCs w:val="24"/>
        </w:rPr>
      </w:pPr>
      <w:r>
        <w:rPr>
          <w:rFonts w:ascii="Times New Roman" w:hAnsi="Times New Roman" w:cs="Times New Roman"/>
          <w:b/>
          <w:i/>
          <w:noProof/>
          <w:sz w:val="24"/>
          <w:szCs w:val="24"/>
        </w:rPr>
        <w:t>Job creation has picked up and employment continues to expand at a firm pace.</w:t>
      </w:r>
      <w:r>
        <w:rPr>
          <w:rFonts w:ascii="Times New Roman" w:hAnsi="Times New Roman" w:cs="Times New Roman"/>
          <w:i/>
          <w:noProof/>
          <w:sz w:val="24"/>
          <w:szCs w:val="24"/>
        </w:rPr>
        <w:t xml:space="preserve"> </w:t>
      </w:r>
      <w:r>
        <w:rPr>
          <w:rFonts w:ascii="Times New Roman" w:hAnsi="Times New Roman" w:cs="Times New Roman"/>
          <w:i/>
          <w:noProof/>
          <w:sz w:val="24"/>
          <w:szCs w:val="24"/>
        </w:rPr>
        <w:t>In the second quarter of 2017 some 235.4 million persons were in employment in the EU (156 million in the euro area), the highest level ever recorded. Employment exceeds its pre-crisis peak in 2008 by 1.7%. Compared to the lowest level in mid-2013, 11 mill</w:t>
      </w:r>
      <w:r>
        <w:rPr>
          <w:rFonts w:ascii="Times New Roman" w:hAnsi="Times New Roman" w:cs="Times New Roman"/>
          <w:i/>
          <w:noProof/>
          <w:sz w:val="24"/>
          <w:szCs w:val="24"/>
        </w:rPr>
        <w:t xml:space="preserve">ion more people are now in employment in the EU. At the current pace, and with an employment rate of 72.2% in the second quarter of 2017, the Europe2020 target of 75% for the employment rate may be within reach. </w:t>
      </w:r>
    </w:p>
    <w:p w:rsidR="00CB01DD" w:rsidRDefault="00D75BDB">
      <w:pPr>
        <w:spacing w:line="36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The main labour market indicators have stre</w:t>
      </w:r>
      <w:r>
        <w:rPr>
          <w:rFonts w:ascii="Times New Roman" w:hAnsi="Times New Roman" w:cs="Times New Roman"/>
          <w:b/>
          <w:i/>
          <w:noProof/>
          <w:sz w:val="24"/>
          <w:szCs w:val="24"/>
        </w:rPr>
        <w:t>ngthened across the board</w:t>
      </w:r>
      <w:r>
        <w:rPr>
          <w:rFonts w:ascii="Times New Roman" w:hAnsi="Times New Roman" w:cs="Times New Roman"/>
          <w:i/>
          <w:iCs/>
          <w:noProof/>
          <w:sz w:val="24"/>
          <w:szCs w:val="24"/>
        </w:rPr>
        <w:t xml:space="preserve">. </w:t>
      </w:r>
      <w:r>
        <w:rPr>
          <w:rFonts w:ascii="Times New Roman" w:hAnsi="Times New Roman" w:cs="Times New Roman"/>
          <w:i/>
          <w:noProof/>
          <w:sz w:val="24"/>
          <w:szCs w:val="24"/>
        </w:rPr>
        <w:t>The unemployment rate has continued the decline observed since mid-2013. In August 2017, it decreased to 7.6 % in the EU (and 9.1% in the euro area), the lowest level in the EU since December 2008 (February 2009 in the euro area)</w:t>
      </w:r>
      <w:r>
        <w:rPr>
          <w:rFonts w:ascii="Times New Roman" w:hAnsi="Times New Roman" w:cs="Times New Roman"/>
          <w:i/>
          <w:noProof/>
          <w:sz w:val="24"/>
          <w:szCs w:val="24"/>
        </w:rPr>
        <w:t xml:space="preserve">, approaching its low of 6.8 % in March 2008. </w:t>
      </w:r>
      <w:r>
        <w:rPr>
          <w:rFonts w:ascii="Times New Roman" w:hAnsi="Times New Roman" w:cs="Times New Roman"/>
          <w:i/>
          <w:iCs/>
          <w:noProof/>
          <w:sz w:val="24"/>
          <w:szCs w:val="24"/>
        </w:rPr>
        <w:t xml:space="preserve">Youth </w:t>
      </w:r>
      <w:r>
        <w:rPr>
          <w:rFonts w:ascii="Times New Roman" w:hAnsi="Times New Roman" w:cs="Times New Roman"/>
          <w:i/>
          <w:noProof/>
          <w:sz w:val="24"/>
          <w:szCs w:val="24"/>
        </w:rPr>
        <w:t>unemployment and long-term unemployment also continued to decline at a steady pace. Activity rates, which never fell throughout the</w:t>
      </w:r>
      <w:r>
        <w:rPr>
          <w:rFonts w:ascii="Times New Roman" w:hAnsi="Times New Roman" w:cs="Times New Roman"/>
          <w:i/>
          <w:iCs/>
          <w:noProof/>
          <w:sz w:val="24"/>
          <w:szCs w:val="24"/>
        </w:rPr>
        <w:t xml:space="preserve"> crisis, keep increasing in almost all Member States. </w:t>
      </w:r>
    </w:p>
    <w:p w:rsidR="00CB01DD" w:rsidRDefault="00D75BDB">
      <w:pPr>
        <w:spacing w:line="360" w:lineRule="auto"/>
        <w:jc w:val="both"/>
        <w:rPr>
          <w:rFonts w:ascii="Times New Roman" w:hAnsi="Times New Roman" w:cs="Times New Roman"/>
          <w:i/>
          <w:iCs/>
          <w:noProof/>
          <w:sz w:val="24"/>
          <w:szCs w:val="24"/>
        </w:rPr>
      </w:pPr>
      <w:r>
        <w:rPr>
          <w:rFonts w:ascii="Times New Roman" w:hAnsi="Times New Roman" w:cs="Times New Roman"/>
          <w:b/>
          <w:i/>
          <w:iCs/>
          <w:noProof/>
          <w:sz w:val="24"/>
          <w:szCs w:val="24"/>
        </w:rPr>
        <w:t>While all Member S</w:t>
      </w:r>
      <w:r>
        <w:rPr>
          <w:rFonts w:ascii="Times New Roman" w:hAnsi="Times New Roman" w:cs="Times New Roman"/>
          <w:b/>
          <w:i/>
          <w:iCs/>
          <w:noProof/>
          <w:sz w:val="24"/>
          <w:szCs w:val="24"/>
        </w:rPr>
        <w:t>tates show improvements, very substantial differences can be observed</w:t>
      </w:r>
      <w:r>
        <w:rPr>
          <w:rFonts w:ascii="Times New Roman" w:hAnsi="Times New Roman" w:cs="Times New Roman"/>
          <w:i/>
          <w:iCs/>
          <w:noProof/>
          <w:sz w:val="24"/>
          <w:szCs w:val="24"/>
        </w:rPr>
        <w:t xml:space="preserve">. </w:t>
      </w:r>
      <w:r>
        <w:rPr>
          <w:rFonts w:ascii="Times New Roman" w:hAnsi="Times New Roman" w:cs="Times New Roman"/>
          <w:i/>
          <w:noProof/>
          <w:sz w:val="24"/>
          <w:szCs w:val="24"/>
        </w:rPr>
        <w:t>The unemployment rate ranges from 3.1 % in the Czech Republic and 3.8% in Germany to 17.3 % in Spain and 21.6 % in Greece (Q2-2017). The employment rate ranges from 57.7 % in Greece and</w:t>
      </w:r>
      <w:r>
        <w:rPr>
          <w:rFonts w:ascii="Times New Roman" w:hAnsi="Times New Roman" w:cs="Times New Roman"/>
          <w:i/>
          <w:noProof/>
          <w:sz w:val="24"/>
          <w:szCs w:val="24"/>
        </w:rPr>
        <w:t xml:space="preserve"> 62.1 % in Italy to 79.3 % in Germany and 82 % in Sweden (Q2-2017). In many Member States, employment rates have still some way to go to recover from the crisis and notably also to attain the Europe 2020 national targets. </w:t>
      </w:r>
    </w:p>
    <w:p w:rsidR="00CB01DD" w:rsidRDefault="00D75BDB">
      <w:pPr>
        <w:autoSpaceDE w:val="0"/>
        <w:autoSpaceDN w:val="0"/>
        <w:adjustRightInd w:val="0"/>
        <w:spacing w:line="360" w:lineRule="auto"/>
        <w:jc w:val="both"/>
        <w:rPr>
          <w:rFonts w:ascii="Times New Roman" w:hAnsi="Times New Roman" w:cs="Times New Roman"/>
          <w:i/>
          <w:noProof/>
          <w:sz w:val="24"/>
          <w:szCs w:val="24"/>
        </w:rPr>
      </w:pPr>
      <w:r>
        <w:rPr>
          <w:rFonts w:ascii="Times New Roman" w:hAnsi="Times New Roman" w:cs="Times New Roman"/>
          <w:b/>
          <w:i/>
          <w:noProof/>
          <w:sz w:val="24"/>
          <w:szCs w:val="24"/>
        </w:rPr>
        <w:t xml:space="preserve">Underutilisation of the labour </w:t>
      </w:r>
      <w:r>
        <w:rPr>
          <w:rFonts w:ascii="Times New Roman" w:hAnsi="Times New Roman" w:cs="Times New Roman"/>
          <w:b/>
          <w:i/>
          <w:noProof/>
          <w:sz w:val="24"/>
          <w:szCs w:val="24"/>
        </w:rPr>
        <w:t>force is falling but remains sizeable even in countries where unemployment is low.</w:t>
      </w:r>
      <w:r>
        <w:rPr>
          <w:rFonts w:ascii="Times New Roman" w:hAnsi="Times New Roman" w:cs="Times New Roman"/>
          <w:i/>
          <w:noProof/>
          <w:sz w:val="24"/>
          <w:szCs w:val="24"/>
        </w:rPr>
        <w:t xml:space="preserve"> During the recovery the total number of hours worked has increased at a significantly slower rate than employment levels. Importantly, hours worked per employed person are h</w:t>
      </w:r>
      <w:r>
        <w:rPr>
          <w:rFonts w:ascii="Times New Roman" w:hAnsi="Times New Roman" w:cs="Times New Roman"/>
          <w:i/>
          <w:noProof/>
          <w:sz w:val="24"/>
          <w:szCs w:val="24"/>
        </w:rPr>
        <w:t>olding stable about 3% below the pre-crisis level. Furthermore, (involuntary) part-time remains high, though full-time employment has increased in 2016. While the recovery is boosting the creation of both permanent and temporary jobs, the share of fixed-te</w:t>
      </w:r>
      <w:r>
        <w:rPr>
          <w:rFonts w:ascii="Times New Roman" w:hAnsi="Times New Roman" w:cs="Times New Roman"/>
          <w:i/>
          <w:noProof/>
          <w:sz w:val="24"/>
          <w:szCs w:val="24"/>
        </w:rPr>
        <w:t xml:space="preserve">rm employees remains stable (at around 14%) in the EU. The combination of high shares of fixed-term contracts and low transition rates towards permanent jobs points to labour market segmentation in a number of Member States. Self-employment increased only </w:t>
      </w:r>
      <w:r>
        <w:rPr>
          <w:rFonts w:ascii="Times New Roman" w:hAnsi="Times New Roman" w:cs="Times New Roman"/>
          <w:i/>
          <w:noProof/>
          <w:sz w:val="24"/>
          <w:szCs w:val="24"/>
        </w:rPr>
        <w:t>marginally (by 0.3%) in 2016, with a faster increase among self-employed without employees.</w:t>
      </w:r>
    </w:p>
    <w:p w:rsidR="00CB01DD" w:rsidRDefault="00D75BDB">
      <w:pPr>
        <w:spacing w:line="360" w:lineRule="auto"/>
        <w:jc w:val="both"/>
        <w:rPr>
          <w:rFonts w:ascii="Times New Roman" w:hAnsi="Times New Roman" w:cs="Times New Roman"/>
          <w:bCs/>
          <w:i/>
          <w:iCs/>
          <w:noProof/>
          <w:sz w:val="24"/>
          <w:szCs w:val="24"/>
        </w:rPr>
      </w:pPr>
      <w:r>
        <w:rPr>
          <w:rFonts w:ascii="Times New Roman" w:hAnsi="Times New Roman" w:cs="Times New Roman"/>
          <w:b/>
          <w:bCs/>
          <w:i/>
          <w:iCs/>
          <w:noProof/>
          <w:sz w:val="24"/>
          <w:szCs w:val="24"/>
        </w:rPr>
        <w:t>Despite the improvements in the labour market, wage growth remains subdued in most countries.</w:t>
      </w:r>
      <w:r>
        <w:rPr>
          <w:rFonts w:ascii="Times New Roman" w:hAnsi="Times New Roman" w:cs="Times New Roman"/>
          <w:bCs/>
          <w:i/>
          <w:iCs/>
          <w:noProof/>
          <w:sz w:val="24"/>
          <w:szCs w:val="24"/>
        </w:rPr>
        <w:t xml:space="preserve"> </w:t>
      </w:r>
      <w:r>
        <w:rPr>
          <w:rFonts w:ascii="Times New Roman" w:hAnsi="Times New Roman"/>
          <w:i/>
          <w:iCs/>
          <w:noProof/>
          <w:sz w:val="24"/>
          <w:szCs w:val="24"/>
        </w:rPr>
        <w:t>The overall modest wage dynamics can be explained by the remaining sla</w:t>
      </w:r>
      <w:r>
        <w:rPr>
          <w:rFonts w:ascii="Times New Roman" w:hAnsi="Times New Roman"/>
          <w:i/>
          <w:iCs/>
          <w:noProof/>
          <w:sz w:val="24"/>
          <w:szCs w:val="24"/>
        </w:rPr>
        <w:t xml:space="preserve">ck in the labour market, weak productivity growth and low inflation expectations. In addition, </w:t>
      </w:r>
      <w:r>
        <w:rPr>
          <w:rFonts w:ascii="Times New Roman" w:hAnsi="Times New Roman" w:cs="Times New Roman"/>
          <w:bCs/>
          <w:i/>
          <w:iCs/>
          <w:noProof/>
          <w:sz w:val="24"/>
          <w:szCs w:val="24"/>
        </w:rPr>
        <w:t>in the period 2014 to 2016, real wage growth lagged behind productivity growth. This is a long-term trend: in the EU, from 2000 to 2016, real productivity per pe</w:t>
      </w:r>
      <w:r>
        <w:rPr>
          <w:rFonts w:ascii="Times New Roman" w:hAnsi="Times New Roman" w:cs="Times New Roman"/>
          <w:bCs/>
          <w:i/>
          <w:iCs/>
          <w:noProof/>
          <w:sz w:val="24"/>
          <w:szCs w:val="24"/>
        </w:rPr>
        <w:t xml:space="preserve">rson employed grew by 14.3%, while real compensation per employee grew by 10.2%. </w:t>
      </w:r>
    </w:p>
    <w:p w:rsidR="00CB01DD" w:rsidRDefault="00D75BDB">
      <w:pPr>
        <w:spacing w:line="360" w:lineRule="auto"/>
        <w:jc w:val="both"/>
        <w:rPr>
          <w:rFonts w:ascii="Times New Roman" w:hAnsi="Times New Roman" w:cs="Times New Roman"/>
          <w:bCs/>
          <w:i/>
          <w:iCs/>
          <w:noProof/>
          <w:sz w:val="24"/>
          <w:szCs w:val="24"/>
        </w:rPr>
      </w:pPr>
      <w:r>
        <w:rPr>
          <w:rFonts w:ascii="Times New Roman" w:hAnsi="Times New Roman" w:cs="Times New Roman"/>
          <w:b/>
          <w:bCs/>
          <w:i/>
          <w:iCs/>
          <w:noProof/>
          <w:sz w:val="24"/>
          <w:szCs w:val="24"/>
        </w:rPr>
        <w:t>Several Member States have taken steps to enhance the predictability of the wage setting system, with the involvement of social partners.</w:t>
      </w:r>
      <w:r>
        <w:rPr>
          <w:rFonts w:ascii="Times New Roman" w:hAnsi="Times New Roman" w:cs="Times New Roman"/>
          <w:bCs/>
          <w:i/>
          <w:iCs/>
          <w:noProof/>
          <w:sz w:val="24"/>
          <w:szCs w:val="24"/>
        </w:rPr>
        <w:t xml:space="preserve"> They have made changes to improve th</w:t>
      </w:r>
      <w:r>
        <w:rPr>
          <w:rFonts w:ascii="Times New Roman" w:hAnsi="Times New Roman" w:cs="Times New Roman"/>
          <w:bCs/>
          <w:i/>
          <w:iCs/>
          <w:noProof/>
          <w:sz w:val="24"/>
          <w:szCs w:val="24"/>
        </w:rPr>
        <w:t>e responsiveness of the wage setting system to economic conditions. Also the processes governing minimum wage developments have been part of this development. It is important that wages are set in a predictable way providing for a decent standard of living</w:t>
      </w:r>
      <w:r>
        <w:rPr>
          <w:rFonts w:ascii="Times New Roman" w:hAnsi="Times New Roman" w:cs="Times New Roman"/>
          <w:bCs/>
          <w:i/>
          <w:iCs/>
          <w:noProof/>
          <w:sz w:val="24"/>
          <w:szCs w:val="24"/>
        </w:rPr>
        <w:t>, respecting the autonomy of the social partners. Minimum wages, in particular, should be adjusted through a transparent system, with the double aim of preventing in-work poverty whilst safeguarding access to employment and incentives to seek work. Medium-</w:t>
      </w:r>
      <w:r>
        <w:rPr>
          <w:rFonts w:ascii="Times New Roman" w:hAnsi="Times New Roman" w:cs="Times New Roman"/>
          <w:bCs/>
          <w:i/>
          <w:iCs/>
          <w:noProof/>
          <w:sz w:val="24"/>
          <w:szCs w:val="24"/>
        </w:rPr>
        <w:t>term responsiveness to productivity developments is important in this context.</w:t>
      </w:r>
    </w:p>
    <w:p w:rsidR="00CB01DD" w:rsidRDefault="00D75BDB">
      <w:pPr>
        <w:spacing w:line="36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In line with the labour market upturn there is a general improvement in the financial situation of households</w:t>
      </w:r>
      <w:r>
        <w:rPr>
          <w:rFonts w:ascii="Times New Roman" w:hAnsi="Times New Roman" w:cs="Times New Roman"/>
          <w:i/>
          <w:noProof/>
          <w:sz w:val="24"/>
          <w:szCs w:val="24"/>
        </w:rPr>
        <w:t>. H</w:t>
      </w:r>
      <w:r>
        <w:rPr>
          <w:rFonts w:ascii="Times New Roman" w:hAnsi="Times New Roman" w:cs="Times New Roman"/>
          <w:i/>
          <w:iCs/>
          <w:noProof/>
          <w:sz w:val="24"/>
          <w:szCs w:val="24"/>
        </w:rPr>
        <w:t>ousehold disposable income continued to rise</w:t>
      </w:r>
      <w:r>
        <w:rPr>
          <w:rFonts w:ascii="Times New Roman" w:hAnsi="Times New Roman" w:cs="Times New Roman"/>
          <w:b/>
          <w:i/>
          <w:noProof/>
          <w:sz w:val="24"/>
          <w:szCs w:val="24"/>
        </w:rPr>
        <w:t xml:space="preserve"> </w:t>
      </w:r>
      <w:r>
        <w:rPr>
          <w:rFonts w:ascii="Times New Roman" w:hAnsi="Times New Roman" w:cs="Times New Roman"/>
          <w:i/>
          <w:noProof/>
          <w:sz w:val="24"/>
          <w:szCs w:val="24"/>
        </w:rPr>
        <w:t>at a steady pace. It</w:t>
      </w:r>
      <w:r>
        <w:rPr>
          <w:rFonts w:ascii="Times New Roman" w:hAnsi="Times New Roman" w:cs="Times New Roman"/>
          <w:i/>
          <w:noProof/>
          <w:sz w:val="24"/>
          <w:szCs w:val="24"/>
        </w:rPr>
        <w:t xml:space="preserve"> has now reached the 2009 peak for the EU. Higher job creation and resulting </w:t>
      </w:r>
      <w:r>
        <w:rPr>
          <w:rFonts w:ascii="Times New Roman" w:hAnsi="Times New Roman" w:cs="Times New Roman"/>
          <w:i/>
          <w:iCs/>
          <w:noProof/>
          <w:sz w:val="24"/>
          <w:szCs w:val="24"/>
        </w:rPr>
        <w:t xml:space="preserve">increases in labour incomes were the main contributors to the observed increase. Improvements can be seen in nearly all Member States. </w:t>
      </w:r>
      <w:r>
        <w:rPr>
          <w:rFonts w:ascii="Times New Roman" w:hAnsi="Times New Roman" w:cs="Times New Roman"/>
          <w:i/>
          <w:noProof/>
          <w:sz w:val="24"/>
          <w:szCs w:val="24"/>
        </w:rPr>
        <w:t>However, in a number of Member States househ</w:t>
      </w:r>
      <w:r>
        <w:rPr>
          <w:rFonts w:ascii="Times New Roman" w:hAnsi="Times New Roman" w:cs="Times New Roman"/>
          <w:i/>
          <w:noProof/>
          <w:sz w:val="24"/>
          <w:szCs w:val="24"/>
        </w:rPr>
        <w:t>old disposable income has not yet reached the pre-crisis levels</w:t>
      </w:r>
      <w:r>
        <w:rPr>
          <w:rFonts w:ascii="Times New Roman" w:hAnsi="Times New Roman" w:cs="Times New Roman"/>
          <w:i/>
          <w:iCs/>
          <w:noProof/>
          <w:sz w:val="24"/>
          <w:szCs w:val="24"/>
        </w:rPr>
        <w:t xml:space="preserve">. </w:t>
      </w:r>
    </w:p>
    <w:p w:rsidR="00CB01DD" w:rsidRDefault="00D75BDB">
      <w:pPr>
        <w:pStyle w:val="Default"/>
        <w:spacing w:after="240" w:line="360" w:lineRule="auto"/>
        <w:jc w:val="both"/>
        <w:rPr>
          <w:bCs/>
          <w:i/>
          <w:iCs/>
          <w:noProof/>
        </w:rPr>
      </w:pPr>
      <w:r>
        <w:rPr>
          <w:b/>
          <w:bCs/>
          <w:i/>
          <w:iCs/>
          <w:noProof/>
        </w:rPr>
        <w:t xml:space="preserve">Increasing labour market participation, employment rates, and productivity is an imperative in view of demographic change. </w:t>
      </w:r>
      <w:r>
        <w:rPr>
          <w:bCs/>
          <w:i/>
          <w:iCs/>
          <w:noProof/>
        </w:rPr>
        <w:t>Ongoing ageing of our societies implies more pressure on younger ge</w:t>
      </w:r>
      <w:r>
        <w:rPr>
          <w:bCs/>
          <w:i/>
          <w:iCs/>
          <w:noProof/>
        </w:rPr>
        <w:t>nerations – those same generations who experience also a more difficult access to stable, quality jobs – in order to guarantee sufficient revenues to the pension systems and ensure their sustainability. At the same time, it makes longer working lives a nec</w:t>
      </w:r>
      <w:r>
        <w:rPr>
          <w:bCs/>
          <w:i/>
          <w:iCs/>
          <w:noProof/>
        </w:rPr>
        <w:t>essity and puts pressure on pension benefits in the future. In broader terms, it risks affecting the "social contract" across generations, potentially creating a generational divide</w:t>
      </w:r>
      <w:r>
        <w:rPr>
          <w:bCs/>
          <w:iCs/>
          <w:noProof/>
        </w:rPr>
        <w:t xml:space="preserve"> </w:t>
      </w:r>
      <w:r>
        <w:rPr>
          <w:bCs/>
          <w:i/>
          <w:iCs/>
          <w:noProof/>
        </w:rPr>
        <w:t>and putting intergenerational fairness into question. Increasing employmen</w:t>
      </w:r>
      <w:r>
        <w:rPr>
          <w:bCs/>
          <w:i/>
          <w:iCs/>
          <w:noProof/>
        </w:rPr>
        <w:t>t rates, participation and productivity to contain these impacts is therefore vital at the current juncture.</w:t>
      </w:r>
    </w:p>
    <w:p w:rsidR="00CB01DD" w:rsidRDefault="00D75BDB">
      <w:pPr>
        <w:spacing w:line="360" w:lineRule="auto"/>
        <w:jc w:val="both"/>
        <w:rPr>
          <w:rFonts w:ascii="Times New Roman" w:hAnsi="Times New Roman" w:cs="Times New Roman"/>
          <w:bCs/>
          <w:i/>
          <w:iCs/>
          <w:noProof/>
          <w:sz w:val="24"/>
          <w:szCs w:val="24"/>
        </w:rPr>
      </w:pPr>
      <w:r>
        <w:rPr>
          <w:rFonts w:ascii="Times New Roman" w:hAnsi="Times New Roman" w:cs="Times New Roman"/>
          <w:b/>
          <w:bCs/>
          <w:i/>
          <w:iCs/>
          <w:noProof/>
          <w:sz w:val="24"/>
          <w:szCs w:val="24"/>
        </w:rPr>
        <w:t xml:space="preserve">Recent gains in employment have not been evenly distributed among different population groups. </w:t>
      </w:r>
      <w:r>
        <w:rPr>
          <w:rFonts w:ascii="Times New Roman" w:hAnsi="Times New Roman" w:cs="Times New Roman"/>
          <w:bCs/>
          <w:i/>
          <w:iCs/>
          <w:noProof/>
          <w:sz w:val="24"/>
          <w:szCs w:val="24"/>
        </w:rPr>
        <w:t xml:space="preserve">The gap in employment rates between low-skilled and </w:t>
      </w:r>
      <w:r>
        <w:rPr>
          <w:rFonts w:ascii="Times New Roman" w:hAnsi="Times New Roman" w:cs="Times New Roman"/>
          <w:bCs/>
          <w:i/>
          <w:iCs/>
          <w:noProof/>
          <w:sz w:val="24"/>
          <w:szCs w:val="24"/>
        </w:rPr>
        <w:t>high-skilled workers is large (31 pps), underlining the need to invest in skills to better respond to changing labour market needs. Significant differences remain in the returns on education and training across Member States, showing the potential benefits</w:t>
      </w:r>
      <w:r>
        <w:rPr>
          <w:rFonts w:ascii="Times New Roman" w:hAnsi="Times New Roman" w:cs="Times New Roman"/>
          <w:bCs/>
          <w:i/>
          <w:iCs/>
          <w:noProof/>
          <w:sz w:val="24"/>
          <w:szCs w:val="24"/>
        </w:rPr>
        <w:t xml:space="preserve"> of further reforms. The employment rate of young people, although recovering, is almost 4 percentage points below the pre-crisis level. Similarly, the employment rate of migrants (non-EU born) has been recovering more slowly than for other groups, and has</w:t>
      </w:r>
      <w:r>
        <w:rPr>
          <w:rFonts w:ascii="Times New Roman" w:hAnsi="Times New Roman" w:cs="Times New Roman"/>
          <w:bCs/>
          <w:i/>
          <w:iCs/>
          <w:noProof/>
          <w:sz w:val="24"/>
          <w:szCs w:val="24"/>
        </w:rPr>
        <w:t xml:space="preserve"> not yet returned to pre-crisis level. In addition, people with a disability are less likely to be employed than those without disability, although their situation has improved. On the positive side, the employment rates of women and older workers continue</w:t>
      </w:r>
      <w:r>
        <w:rPr>
          <w:rFonts w:ascii="Times New Roman" w:hAnsi="Times New Roman" w:cs="Times New Roman"/>
          <w:bCs/>
          <w:i/>
          <w:iCs/>
          <w:noProof/>
          <w:sz w:val="24"/>
          <w:szCs w:val="24"/>
        </w:rPr>
        <w:t xml:space="preserve"> to increase, but significant challenges remain for both groups.</w:t>
      </w:r>
    </w:p>
    <w:p w:rsidR="00CB01DD" w:rsidRDefault="00D75BDB">
      <w:pPr>
        <w:pStyle w:val="Default"/>
        <w:spacing w:after="240" w:line="360" w:lineRule="auto"/>
        <w:jc w:val="both"/>
        <w:rPr>
          <w:i/>
          <w:noProof/>
        </w:rPr>
      </w:pPr>
      <w:r>
        <w:rPr>
          <w:b/>
          <w:bCs/>
          <w:i/>
          <w:noProof/>
          <w:lang w:val="en-GB"/>
        </w:rPr>
        <w:t xml:space="preserve">While the employment rate of women reached another record high, </w:t>
      </w:r>
      <w:r>
        <w:rPr>
          <w:b/>
          <w:bCs/>
          <w:i/>
          <w:iCs/>
          <w:noProof/>
          <w:lang w:val="en-GB"/>
        </w:rPr>
        <w:t xml:space="preserve">they continue to be underrepresented in the labour market and face a significant pay differential. </w:t>
      </w:r>
      <w:r>
        <w:rPr>
          <w:i/>
          <w:noProof/>
          <w:lang w:val="en-GB"/>
        </w:rPr>
        <w:t xml:space="preserve">Women tend to </w:t>
      </w:r>
      <w:r>
        <w:rPr>
          <w:bCs/>
          <w:i/>
          <w:iCs/>
          <w:noProof/>
          <w:lang w:val="en-GB"/>
        </w:rPr>
        <w:t>outperform men</w:t>
      </w:r>
      <w:r>
        <w:rPr>
          <w:bCs/>
          <w:i/>
          <w:iCs/>
          <w:noProof/>
          <w:lang w:val="en-GB"/>
        </w:rPr>
        <w:t xml:space="preserve"> in terms of educational attainment,</w:t>
      </w:r>
      <w:r>
        <w:rPr>
          <w:i/>
          <w:iCs/>
          <w:noProof/>
          <w:lang w:val="en-GB"/>
        </w:rPr>
        <w:t xml:space="preserve"> but their employment rate is still 11 pps below that of men, even if it has consistently increased</w:t>
      </w:r>
      <w:r>
        <w:rPr>
          <w:bCs/>
          <w:i/>
          <w:iCs/>
          <w:noProof/>
          <w:lang w:val="en-GB"/>
        </w:rPr>
        <w:t xml:space="preserve">. </w:t>
      </w:r>
      <w:r>
        <w:rPr>
          <w:i/>
          <w:iCs/>
          <w:noProof/>
          <w:lang w:val="en-GB"/>
        </w:rPr>
        <w:t xml:space="preserve">Again, this varies considerably across the EU. </w:t>
      </w:r>
      <w:r>
        <w:rPr>
          <w:bCs/>
          <w:i/>
          <w:iCs/>
          <w:noProof/>
          <w:lang w:val="en-GB"/>
        </w:rPr>
        <w:t>T</w:t>
      </w:r>
      <w:r>
        <w:rPr>
          <w:i/>
          <w:iCs/>
          <w:noProof/>
          <w:lang w:val="en-GB"/>
        </w:rPr>
        <w:t xml:space="preserve">he employment gap is especially high for mothers and women with caring </w:t>
      </w:r>
      <w:r>
        <w:rPr>
          <w:i/>
          <w:iCs/>
          <w:noProof/>
          <w:lang w:val="en-GB"/>
        </w:rPr>
        <w:t>responsibilities. This is compounded by</w:t>
      </w:r>
      <w:r>
        <w:rPr>
          <w:i/>
          <w:noProof/>
          <w:lang w:val="en-GB"/>
        </w:rPr>
        <w:t xml:space="preserve"> financial disincentives faced by women when entering the labour market or wanting to work more</w:t>
      </w:r>
      <w:r>
        <w:rPr>
          <w:i/>
          <w:iCs/>
          <w:noProof/>
          <w:lang w:val="en-GB"/>
        </w:rPr>
        <w:t xml:space="preserve">. </w:t>
      </w:r>
      <w:r>
        <w:rPr>
          <w:bCs/>
          <w:i/>
          <w:noProof/>
          <w:lang w:val="en-GB"/>
        </w:rPr>
        <w:t>A strong albeit narrowing gender gap in pay persists in the EU, with t</w:t>
      </w:r>
      <w:r>
        <w:rPr>
          <w:i/>
          <w:noProof/>
          <w:lang w:val="en-GB"/>
        </w:rPr>
        <w:t>he average gross hourly earnings of male employees</w:t>
      </w:r>
      <w:r>
        <w:rPr>
          <w:i/>
          <w:noProof/>
          <w:lang w:val="en-GB"/>
        </w:rPr>
        <w:t xml:space="preserve"> about 16 % higher than those of female employees in 2015. This gap is largely due to an underrepresentation of women in well-paid sectors and occupations, including management and supervisory positions, reflecting to some extent discrimination in the labo</w:t>
      </w:r>
      <w:r>
        <w:rPr>
          <w:i/>
          <w:noProof/>
          <w:lang w:val="en-GB"/>
        </w:rPr>
        <w:t>ur market. At the same time, women are more likely to take time off work to take care of dependent family members or relatives.</w:t>
      </w:r>
      <w:r>
        <w:rPr>
          <w:i/>
          <w:noProof/>
        </w:rPr>
        <w:t xml:space="preserve"> </w:t>
      </w:r>
    </w:p>
    <w:p w:rsidR="00CB01DD" w:rsidRDefault="00D75BDB">
      <w:pPr>
        <w:pStyle w:val="Default"/>
        <w:spacing w:after="240" w:line="360" w:lineRule="auto"/>
        <w:jc w:val="both"/>
        <w:rPr>
          <w:i/>
          <w:iCs/>
          <w:noProof/>
        </w:rPr>
      </w:pPr>
      <w:r>
        <w:rPr>
          <w:b/>
          <w:i/>
          <w:noProof/>
        </w:rPr>
        <w:t xml:space="preserve">In addition, more part-time </w:t>
      </w:r>
      <w:r>
        <w:rPr>
          <w:b/>
          <w:i/>
          <w:noProof/>
          <w:lang w:val="en-GB"/>
        </w:rPr>
        <w:t>work c</w:t>
      </w:r>
      <w:r>
        <w:rPr>
          <w:b/>
          <w:i/>
          <w:iCs/>
          <w:noProof/>
          <w:lang w:val="en-GB"/>
        </w:rPr>
        <w:t>ombined</w:t>
      </w:r>
      <w:r>
        <w:rPr>
          <w:b/>
          <w:i/>
          <w:iCs/>
          <w:noProof/>
        </w:rPr>
        <w:t xml:space="preserve"> with shorter and more discontinuous careers often translates into lower pensions for </w:t>
      </w:r>
      <w:r>
        <w:rPr>
          <w:b/>
          <w:i/>
          <w:iCs/>
          <w:noProof/>
        </w:rPr>
        <w:t>women.</w:t>
      </w:r>
      <w:r>
        <w:rPr>
          <w:i/>
          <w:iCs/>
          <w:noProof/>
        </w:rPr>
        <w:t xml:space="preserve"> This indicates that a comprehensive integration of work-life balance considerations into policy making is needed. Some Member States are taking further action to ensure access to affordable and quality childcare and other care services, leave and fl</w:t>
      </w:r>
      <w:r>
        <w:rPr>
          <w:i/>
          <w:iCs/>
          <w:noProof/>
        </w:rPr>
        <w:t xml:space="preserve">exible working time arrangements, and reduce existing disincentives to work in tax and benefit systems (notably for second earners). These actions, jointly with the implementation of </w:t>
      </w:r>
      <w:r>
        <w:rPr>
          <w:i/>
          <w:iCs/>
          <w:noProof/>
          <w:lang w:val="en-GB"/>
        </w:rPr>
        <w:t>anti-</w:t>
      </w:r>
      <w:r>
        <w:rPr>
          <w:i/>
          <w:noProof/>
          <w:lang w:val="en-GB"/>
        </w:rPr>
        <w:t>discrimination practices, play a key role</w:t>
      </w:r>
      <w:r>
        <w:rPr>
          <w:i/>
          <w:iCs/>
          <w:noProof/>
        </w:rPr>
        <w:t xml:space="preserve"> towards equal treatment of</w:t>
      </w:r>
      <w:r>
        <w:rPr>
          <w:i/>
          <w:iCs/>
          <w:noProof/>
        </w:rPr>
        <w:t xml:space="preserve"> women</w:t>
      </w:r>
      <w:r>
        <w:rPr>
          <w:i/>
          <w:noProof/>
          <w:lang w:val="en-GB"/>
        </w:rPr>
        <w:t>.</w:t>
      </w:r>
      <w:r>
        <w:rPr>
          <w:i/>
          <w:iCs/>
          <w:noProof/>
        </w:rPr>
        <w:t xml:space="preserve"> In turn, they support upward social mobility, foster equal opportunities and reduce inequality and poverty, with benefits extending across generations, in line with the objectives of the Social Pillar.</w:t>
      </w:r>
    </w:p>
    <w:p w:rsidR="00CB01DD" w:rsidRDefault="00D75BDB">
      <w:pPr>
        <w:spacing w:line="360" w:lineRule="auto"/>
        <w:jc w:val="both"/>
        <w:rPr>
          <w:rFonts w:ascii="Times New Roman" w:hAnsi="Times New Roman" w:cs="Times New Roman"/>
          <w:bCs/>
          <w:i/>
          <w:iCs/>
          <w:noProof/>
          <w:sz w:val="24"/>
          <w:szCs w:val="24"/>
        </w:rPr>
      </w:pPr>
      <w:r>
        <w:rPr>
          <w:rFonts w:ascii="Times New Roman" w:hAnsi="Times New Roman" w:cs="Times New Roman"/>
          <w:b/>
          <w:bCs/>
          <w:i/>
          <w:iCs/>
          <w:noProof/>
          <w:sz w:val="24"/>
          <w:szCs w:val="24"/>
        </w:rPr>
        <w:t xml:space="preserve">Older workers are staying increasingly longer </w:t>
      </w:r>
      <w:r>
        <w:rPr>
          <w:rFonts w:ascii="Times New Roman" w:hAnsi="Times New Roman" w:cs="Times New Roman"/>
          <w:b/>
          <w:bCs/>
          <w:i/>
          <w:iCs/>
          <w:noProof/>
          <w:sz w:val="24"/>
          <w:szCs w:val="24"/>
        </w:rPr>
        <w:t xml:space="preserve">in the labour market. </w:t>
      </w:r>
      <w:r>
        <w:rPr>
          <w:rFonts w:ascii="Times New Roman" w:hAnsi="Times New Roman" w:cs="Times New Roman"/>
          <w:bCs/>
          <w:i/>
          <w:iCs/>
          <w:noProof/>
          <w:sz w:val="24"/>
          <w:szCs w:val="24"/>
        </w:rPr>
        <w:t xml:space="preserve">Their employment rate has increased after the crisis for all age-groups 55+ (but with large variations across Member States), and continues rising. The last wave of pension reforms, which </w:t>
      </w:r>
      <w:r>
        <w:rPr>
          <w:rFonts w:ascii="Times New Roman" w:hAnsi="Times New Roman" w:cs="Times New Roman"/>
          <w:i/>
          <w:iCs/>
          <w:noProof/>
          <w:sz w:val="24"/>
          <w:szCs w:val="24"/>
        </w:rPr>
        <w:t xml:space="preserve">increased retirement age in most Member States, </w:t>
      </w:r>
      <w:r>
        <w:rPr>
          <w:rFonts w:ascii="Times New Roman" w:hAnsi="Times New Roman" w:cs="Times New Roman"/>
          <w:bCs/>
          <w:i/>
          <w:iCs/>
          <w:noProof/>
          <w:sz w:val="24"/>
          <w:szCs w:val="24"/>
        </w:rPr>
        <w:t>and the availability of more flexible working arrangements, are some of the drivers of this trend. However, the availability of appropriate work-life balance policies and the support to age management, includ</w:t>
      </w:r>
      <w:r>
        <w:rPr>
          <w:rFonts w:ascii="Times New Roman" w:hAnsi="Times New Roman" w:cs="Times New Roman"/>
          <w:bCs/>
          <w:i/>
          <w:iCs/>
          <w:noProof/>
          <w:sz w:val="24"/>
          <w:szCs w:val="24"/>
        </w:rPr>
        <w:t xml:space="preserve">ing the modernisation of working environments, is crucial to accompany this process. In this respect, </w:t>
      </w:r>
      <w:r>
        <w:rPr>
          <w:rFonts w:ascii="Times New Roman" w:hAnsi="Times New Roman" w:cs="Times New Roman"/>
          <w:i/>
          <w:iCs/>
          <w:noProof/>
          <w:sz w:val="24"/>
          <w:szCs w:val="24"/>
        </w:rPr>
        <w:t xml:space="preserve">some countries are promoting longer working lives by allowing more flexible transitions into retirement and combining pension with income from work. </w:t>
      </w:r>
    </w:p>
    <w:p w:rsidR="00CB01DD" w:rsidRDefault="00D75BDB">
      <w:pPr>
        <w:pStyle w:val="Default"/>
        <w:spacing w:after="240" w:line="360" w:lineRule="auto"/>
        <w:jc w:val="both"/>
        <w:rPr>
          <w:i/>
          <w:iCs/>
          <w:noProof/>
          <w:color w:val="auto"/>
          <w:spacing w:val="-2"/>
          <w:lang w:eastAsia="en-GB"/>
        </w:rPr>
      </w:pPr>
      <w:r>
        <w:rPr>
          <w:b/>
          <w:bCs/>
          <w:i/>
          <w:iCs/>
          <w:noProof/>
        </w:rPr>
        <w:t>Tack</w:t>
      </w:r>
      <w:r>
        <w:rPr>
          <w:b/>
          <w:bCs/>
          <w:i/>
          <w:iCs/>
          <w:noProof/>
        </w:rPr>
        <w:t xml:space="preserve">ling youth and long-term unemployment remains a priority. </w:t>
      </w:r>
      <w:r>
        <w:rPr>
          <w:bCs/>
          <w:i/>
          <w:iCs/>
          <w:noProof/>
        </w:rPr>
        <w:t>While steadily declining</w:t>
      </w:r>
      <w:r>
        <w:rPr>
          <w:i/>
          <w:iCs/>
          <w:noProof/>
        </w:rPr>
        <w:t xml:space="preserve">, the youth </w:t>
      </w:r>
      <w:r>
        <w:rPr>
          <w:bCs/>
          <w:i/>
          <w:iCs/>
          <w:noProof/>
        </w:rPr>
        <w:t xml:space="preserve">unemployment rate is still 17 % (Q2-2017) and is a key challenge in a number of countries. The same goes </w:t>
      </w:r>
      <w:r>
        <w:rPr>
          <w:bCs/>
          <w:i/>
          <w:iCs/>
          <w:noProof/>
          <w:lang w:val="en-GB"/>
        </w:rPr>
        <w:t xml:space="preserve">for </w:t>
      </w:r>
      <w:r>
        <w:rPr>
          <w:i/>
          <w:noProof/>
          <w:lang w:val="en-GB"/>
        </w:rPr>
        <w:t>the share of those not in employment, education or tr</w:t>
      </w:r>
      <w:r>
        <w:rPr>
          <w:i/>
          <w:noProof/>
          <w:lang w:val="en-GB"/>
        </w:rPr>
        <w:t>aining</w:t>
      </w:r>
      <w:r>
        <w:rPr>
          <w:i/>
          <w:noProof/>
        </w:rPr>
        <w:t xml:space="preserve"> (NEET). </w:t>
      </w:r>
      <w:r>
        <w:rPr>
          <w:bCs/>
          <w:i/>
          <w:iCs/>
          <w:noProof/>
        </w:rPr>
        <w:t xml:space="preserve">Long-term unemployment </w:t>
      </w:r>
      <w:r>
        <w:rPr>
          <w:i/>
          <w:iCs/>
          <w:noProof/>
        </w:rPr>
        <w:t>remains very high in some Member States</w:t>
      </w:r>
      <w:r>
        <w:rPr>
          <w:bCs/>
          <w:i/>
          <w:iCs/>
          <w:noProof/>
        </w:rPr>
        <w:t xml:space="preserve"> and</w:t>
      </w:r>
      <w:r>
        <w:rPr>
          <w:i/>
          <w:iCs/>
          <w:noProof/>
        </w:rPr>
        <w:t xml:space="preserve"> accounts for almost 50% of total unemployment. A high duration of unemployment implies a depreciation of skills, low attachment to the labour market and ultimately a high ris</w:t>
      </w:r>
      <w:r>
        <w:rPr>
          <w:i/>
          <w:iCs/>
          <w:noProof/>
        </w:rPr>
        <w:t>k of poverty and social exclusion. Moreover, it risks turning cyclical unemployment into structural, with negative consequences on potential growth. Actions taken by Member States in line with t</w:t>
      </w:r>
      <w:r>
        <w:rPr>
          <w:i/>
          <w:iCs/>
          <w:noProof/>
          <w:color w:val="auto"/>
        </w:rPr>
        <w:t xml:space="preserve">he Council Recommendation of February 2016 on the integration </w:t>
      </w:r>
      <w:r>
        <w:rPr>
          <w:i/>
          <w:iCs/>
          <w:noProof/>
          <w:color w:val="auto"/>
        </w:rPr>
        <w:t xml:space="preserve">of long-term unemployment and with the Youth Guarantee can be key drivers for improvement. </w:t>
      </w:r>
    </w:p>
    <w:p w:rsidR="00CB01DD" w:rsidRDefault="00D75BDB">
      <w:pPr>
        <w:spacing w:line="360" w:lineRule="auto"/>
        <w:jc w:val="both"/>
        <w:rPr>
          <w:rFonts w:ascii="Times New Roman" w:hAnsi="Times New Roman" w:cs="Times New Roman"/>
          <w:bCs/>
          <w:i/>
          <w:iCs/>
          <w:noProof/>
          <w:sz w:val="24"/>
          <w:szCs w:val="24"/>
        </w:rPr>
      </w:pPr>
      <w:r>
        <w:rPr>
          <w:rFonts w:ascii="Times New Roman" w:hAnsi="Times New Roman" w:cs="Times New Roman"/>
          <w:b/>
          <w:bCs/>
          <w:i/>
          <w:iCs/>
          <w:noProof/>
          <w:sz w:val="24"/>
          <w:szCs w:val="24"/>
        </w:rPr>
        <w:t xml:space="preserve">Guaranteeing access to quality and inclusive education, and improving investment in national education systems and skills are key </w:t>
      </w:r>
      <w:r>
        <w:rPr>
          <w:rFonts w:ascii="Times New Roman" w:hAnsi="Times New Roman"/>
          <w:b/>
          <w:bCs/>
          <w:i/>
          <w:iCs/>
          <w:noProof/>
          <w:sz w:val="24"/>
          <w:szCs w:val="24"/>
        </w:rPr>
        <w:t xml:space="preserve">in enabling people to become </w:t>
      </w:r>
      <w:r>
        <w:rPr>
          <w:rFonts w:ascii="Times New Roman" w:hAnsi="Times New Roman" w:cs="Times New Roman"/>
          <w:b/>
          <w:bCs/>
          <w:i/>
          <w:iCs/>
          <w:noProof/>
          <w:sz w:val="24"/>
          <w:szCs w:val="24"/>
        </w:rPr>
        <w:t>engag</w:t>
      </w:r>
      <w:r>
        <w:rPr>
          <w:rFonts w:ascii="Times New Roman" w:hAnsi="Times New Roman" w:cs="Times New Roman"/>
          <w:b/>
          <w:bCs/>
          <w:i/>
          <w:iCs/>
          <w:noProof/>
          <w:sz w:val="24"/>
          <w:szCs w:val="24"/>
        </w:rPr>
        <w:t xml:space="preserve">ed and active citizens, and in facilitating transitions into and within the labour market. </w:t>
      </w:r>
      <w:r>
        <w:rPr>
          <w:rFonts w:ascii="Times New Roman" w:hAnsi="Times New Roman" w:cs="Times New Roman"/>
          <w:bCs/>
          <w:i/>
          <w:iCs/>
          <w:noProof/>
          <w:sz w:val="24"/>
          <w:szCs w:val="24"/>
        </w:rPr>
        <w:t>If progress continues at the current pace, Europe is on track towards reaching the 2020 targets on both early school leaving and tertiary education attainment. Membe</w:t>
      </w:r>
      <w:r>
        <w:rPr>
          <w:rFonts w:ascii="Times New Roman" w:hAnsi="Times New Roman" w:cs="Times New Roman"/>
          <w:bCs/>
          <w:i/>
          <w:iCs/>
          <w:noProof/>
          <w:sz w:val="24"/>
          <w:szCs w:val="24"/>
        </w:rPr>
        <w:t>r States are taking action to modernise their education systems, notably with a view to prevent early school leaving and tackle low proficiency in basic skills, especially by closing the educational gap of disadvantaged learners. Specific measures are bein</w:t>
      </w:r>
      <w:r>
        <w:rPr>
          <w:rFonts w:ascii="Times New Roman" w:hAnsi="Times New Roman" w:cs="Times New Roman"/>
          <w:bCs/>
          <w:i/>
          <w:iCs/>
          <w:noProof/>
          <w:sz w:val="24"/>
          <w:szCs w:val="24"/>
        </w:rPr>
        <w:t>g introduced, in some cases, to encourage the integration of migrants into education. Improving the labour market relevance of higher education is also high in the agendas. In line with the New Skills Agenda for Europe, National Coalitions for Digital Skil</w:t>
      </w:r>
      <w:r>
        <w:rPr>
          <w:rFonts w:ascii="Times New Roman" w:hAnsi="Times New Roman" w:cs="Times New Roman"/>
          <w:bCs/>
          <w:i/>
          <w:iCs/>
          <w:noProof/>
          <w:sz w:val="24"/>
          <w:szCs w:val="24"/>
        </w:rPr>
        <w:t>ls and Jobs have been launched in numerous Member States in order to foster investment in digital skills. With frequent support of social partners and other stakeholders, Member States are improving the quality of vocational education and training, apprent</w:t>
      </w:r>
      <w:r>
        <w:rPr>
          <w:rFonts w:ascii="Times New Roman" w:hAnsi="Times New Roman" w:cs="Times New Roman"/>
          <w:bCs/>
          <w:i/>
          <w:iCs/>
          <w:noProof/>
          <w:sz w:val="24"/>
          <w:szCs w:val="24"/>
        </w:rPr>
        <w:t>iceships and mechanisms for validation of skills acquired outside the formal system.</w:t>
      </w:r>
    </w:p>
    <w:p w:rsidR="00CB01DD" w:rsidRDefault="00D75BDB">
      <w:pPr>
        <w:spacing w:line="360" w:lineRule="auto"/>
        <w:jc w:val="both"/>
        <w:rPr>
          <w:rFonts w:ascii="Times New Roman" w:hAnsi="Times New Roman" w:cs="Times New Roman"/>
          <w:i/>
          <w:iCs/>
          <w:noProof/>
          <w:sz w:val="24"/>
          <w:szCs w:val="24"/>
        </w:rPr>
      </w:pPr>
      <w:r>
        <w:rPr>
          <w:rFonts w:ascii="Times New Roman" w:hAnsi="Times New Roman" w:cs="Times New Roman"/>
          <w:b/>
          <w:bCs/>
          <w:i/>
          <w:iCs/>
          <w:noProof/>
          <w:sz w:val="24"/>
          <w:szCs w:val="24"/>
        </w:rPr>
        <w:t>Good labour market functioning, the creation of quality jobs, promotion of entrepreneurship and higher participation in the labour market can be supported by properly comb</w:t>
      </w:r>
      <w:r>
        <w:rPr>
          <w:rFonts w:ascii="Times New Roman" w:hAnsi="Times New Roman" w:cs="Times New Roman"/>
          <w:b/>
          <w:bCs/>
          <w:i/>
          <w:iCs/>
          <w:noProof/>
          <w:sz w:val="24"/>
          <w:szCs w:val="24"/>
        </w:rPr>
        <w:t xml:space="preserve">ining flexibility and security, on the job and during transitions. </w:t>
      </w:r>
      <w:r>
        <w:rPr>
          <w:rFonts w:ascii="Times New Roman" w:hAnsi="Times New Roman" w:cs="Times New Roman"/>
          <w:i/>
          <w:iCs/>
          <w:noProof/>
          <w:sz w:val="24"/>
          <w:szCs w:val="24"/>
        </w:rPr>
        <w:t>Promoting job creation on permanent contracts, ensuring that temporary contracts represent stepping stones and not dead-ends, easing transitions across jobs and enabling entrepreneurs to sc</w:t>
      </w:r>
      <w:r>
        <w:rPr>
          <w:rFonts w:ascii="Times New Roman" w:hAnsi="Times New Roman" w:cs="Times New Roman"/>
          <w:i/>
          <w:iCs/>
          <w:noProof/>
          <w:sz w:val="24"/>
          <w:szCs w:val="24"/>
        </w:rPr>
        <w:t>ale up are key purposes.</w:t>
      </w:r>
      <w:r>
        <w:rPr>
          <w:rFonts w:ascii="Times New Roman" w:hAnsi="Times New Roman" w:cs="Times New Roman"/>
          <w:bCs/>
          <w:i/>
          <w:iCs/>
          <w:noProof/>
          <w:sz w:val="24"/>
          <w:szCs w:val="24"/>
        </w:rPr>
        <w:t xml:space="preserve"> M</w:t>
      </w:r>
      <w:r>
        <w:rPr>
          <w:rFonts w:ascii="Times New Roman" w:hAnsi="Times New Roman" w:cs="Times New Roman"/>
          <w:i/>
          <w:iCs/>
          <w:noProof/>
          <w:sz w:val="24"/>
          <w:szCs w:val="24"/>
        </w:rPr>
        <w:t>ember States are taking steps to achieve a balanced policy response in this domain, notably by making the legislative framework for dismissals clearer and more predictable, and by recognizing the need for effective social protecti</w:t>
      </w:r>
      <w:r>
        <w:rPr>
          <w:rFonts w:ascii="Times New Roman" w:hAnsi="Times New Roman" w:cs="Times New Roman"/>
          <w:i/>
          <w:iCs/>
          <w:noProof/>
          <w:sz w:val="24"/>
          <w:szCs w:val="24"/>
        </w:rPr>
        <w:t>on systems adapted to more diverse needs and circumstances, especially as a response to new forms of work. Still, the degree of coverage and adequacy of unemployment and other benefits and services differs considerably across Member States. In this context</w:t>
      </w:r>
      <w:r>
        <w:rPr>
          <w:rFonts w:ascii="Times New Roman" w:hAnsi="Times New Roman" w:cs="Times New Roman"/>
          <w:i/>
          <w:iCs/>
          <w:noProof/>
          <w:sz w:val="24"/>
          <w:szCs w:val="24"/>
        </w:rPr>
        <w:t xml:space="preserve">, </w:t>
      </w:r>
      <w:r>
        <w:rPr>
          <w:rFonts w:ascii="Times New Roman" w:hAnsi="Times New Roman" w:cs="Times New Roman"/>
          <w:bCs/>
          <w:i/>
          <w:iCs/>
          <w:noProof/>
          <w:sz w:val="24"/>
          <w:szCs w:val="24"/>
        </w:rPr>
        <w:t>e</w:t>
      </w:r>
      <w:r>
        <w:rPr>
          <w:rFonts w:ascii="Times New Roman" w:hAnsi="Times New Roman" w:cs="Times New Roman"/>
          <w:i/>
          <w:iCs/>
          <w:noProof/>
          <w:sz w:val="24"/>
          <w:szCs w:val="24"/>
        </w:rPr>
        <w:t xml:space="preserve">ffective active labour market policies enabling smooth transitions across jobs appear very important for dealing with the challenges posed by globalisation and digital change. </w:t>
      </w:r>
    </w:p>
    <w:p w:rsidR="00CB01DD" w:rsidRDefault="00D75BDB">
      <w:pPr>
        <w:spacing w:line="360" w:lineRule="auto"/>
        <w:jc w:val="both"/>
        <w:rPr>
          <w:rFonts w:ascii="Times New Roman" w:hAnsi="Times New Roman" w:cs="Times New Roman"/>
          <w:i/>
          <w:iCs/>
          <w:noProof/>
          <w:sz w:val="24"/>
          <w:szCs w:val="24"/>
        </w:rPr>
      </w:pPr>
      <w:r>
        <w:rPr>
          <w:rFonts w:ascii="Times New Roman" w:hAnsi="Times New Roman" w:cs="Times New Roman"/>
          <w:b/>
          <w:i/>
          <w:iCs/>
          <w:noProof/>
          <w:sz w:val="24"/>
          <w:szCs w:val="24"/>
        </w:rPr>
        <w:t>Along with the economic and labour market recovery, the proportion of people</w:t>
      </w:r>
      <w:r>
        <w:rPr>
          <w:rFonts w:ascii="Times New Roman" w:hAnsi="Times New Roman" w:cs="Times New Roman"/>
          <w:i/>
          <w:iCs/>
          <w:noProof/>
          <w:sz w:val="24"/>
          <w:szCs w:val="24"/>
        </w:rPr>
        <w:t xml:space="preserve"> </w:t>
      </w:r>
      <w:r>
        <w:rPr>
          <w:rFonts w:ascii="Times New Roman" w:hAnsi="Times New Roman" w:cs="Times New Roman"/>
          <w:b/>
          <w:i/>
          <w:iCs/>
          <w:noProof/>
          <w:sz w:val="24"/>
          <w:szCs w:val="24"/>
        </w:rPr>
        <w:t>at-risk-of poverty or social exclusion continued to decrease</w:t>
      </w:r>
      <w:r>
        <w:rPr>
          <w:rFonts w:ascii="Times New Roman" w:hAnsi="Times New Roman" w:cs="Times New Roman"/>
          <w:i/>
          <w:iCs/>
          <w:noProof/>
          <w:sz w:val="24"/>
          <w:szCs w:val="24"/>
        </w:rPr>
        <w:t xml:space="preserve"> </w:t>
      </w:r>
      <w:r>
        <w:rPr>
          <w:rFonts w:ascii="Times New Roman" w:hAnsi="Times New Roman" w:cs="Times New Roman"/>
          <w:b/>
          <w:i/>
          <w:iCs/>
          <w:noProof/>
          <w:sz w:val="24"/>
          <w:szCs w:val="24"/>
        </w:rPr>
        <w:t>in 2016 and has reached its 2008 level.</w:t>
      </w:r>
      <w:r>
        <w:rPr>
          <w:rFonts w:ascii="Times New Roman" w:hAnsi="Times New Roman" w:cs="Times New Roman"/>
          <w:i/>
          <w:iCs/>
          <w:noProof/>
          <w:sz w:val="24"/>
          <w:szCs w:val="24"/>
        </w:rPr>
        <w:t xml:space="preserve"> The reduction is mostly due to a fall in the share of low work intensity households and in lower material deprivation rates, while the (monetary) at-risk-</w:t>
      </w:r>
      <w:r>
        <w:rPr>
          <w:rFonts w:ascii="Times New Roman" w:hAnsi="Times New Roman" w:cs="Times New Roman"/>
          <w:i/>
          <w:iCs/>
          <w:noProof/>
          <w:sz w:val="24"/>
          <w:szCs w:val="24"/>
        </w:rPr>
        <w:t>of-poverty rate has stabilised. While declining, t</w:t>
      </w:r>
      <w:r>
        <w:rPr>
          <w:rFonts w:ascii="Times New Roman" w:hAnsi="Times New Roman" w:cs="Times New Roman"/>
          <w:i/>
          <w:noProof/>
          <w:sz w:val="24"/>
          <w:szCs w:val="24"/>
        </w:rPr>
        <w:t>he total number of people at risk of poverty or social exclusion remains at a very high level – 118 million people or 23.5% of the total population in 2016, which is far off-track in reaching the Europe 202</w:t>
      </w:r>
      <w:r>
        <w:rPr>
          <w:rFonts w:ascii="Times New Roman" w:hAnsi="Times New Roman" w:cs="Times New Roman"/>
          <w:i/>
          <w:noProof/>
          <w:sz w:val="24"/>
          <w:szCs w:val="24"/>
        </w:rPr>
        <w:t>0 poverty and social exclusion target.</w:t>
      </w:r>
      <w:r>
        <w:rPr>
          <w:rFonts w:ascii="Times New Roman" w:hAnsi="Times New Roman" w:cs="Times New Roman"/>
          <w:noProof/>
          <w:sz w:val="24"/>
          <w:szCs w:val="24"/>
        </w:rPr>
        <w:t xml:space="preserve"> </w:t>
      </w:r>
    </w:p>
    <w:p w:rsidR="00CB01DD" w:rsidRDefault="00D75BDB">
      <w:pPr>
        <w:spacing w:line="360" w:lineRule="auto"/>
        <w:jc w:val="both"/>
        <w:rPr>
          <w:rFonts w:ascii="Times New Roman" w:hAnsi="Times New Roman" w:cs="Times New Roman"/>
          <w:bCs/>
          <w:iCs/>
          <w:noProof/>
          <w:sz w:val="24"/>
          <w:szCs w:val="24"/>
        </w:rPr>
      </w:pPr>
      <w:r>
        <w:rPr>
          <w:rFonts w:ascii="Times New Roman" w:hAnsi="Times New Roman" w:cs="Times New Roman"/>
          <w:b/>
          <w:bCs/>
          <w:i/>
          <w:iCs/>
          <w:noProof/>
          <w:sz w:val="24"/>
          <w:szCs w:val="24"/>
        </w:rPr>
        <w:t xml:space="preserve">Income inequality has slightly decreased in the EU, after increasing in the aftermath of the crisis. </w:t>
      </w:r>
      <w:r>
        <w:rPr>
          <w:rFonts w:ascii="Times New Roman" w:hAnsi="Times New Roman" w:cs="Times New Roman"/>
          <w:i/>
          <w:iCs/>
          <w:noProof/>
          <w:sz w:val="24"/>
          <w:szCs w:val="24"/>
        </w:rPr>
        <w:t>The richest 20% of the population had a disposable income that was around five times higher than that of the poores</w:t>
      </w:r>
      <w:r>
        <w:rPr>
          <w:rFonts w:ascii="Times New Roman" w:hAnsi="Times New Roman" w:cs="Times New Roman"/>
          <w:i/>
          <w:iCs/>
          <w:noProof/>
          <w:sz w:val="24"/>
          <w:szCs w:val="24"/>
        </w:rPr>
        <w:t xml:space="preserve">t 20% in 2016, with large disparities across countries (and an increase in inequality in some). The persistence of relatively </w:t>
      </w:r>
      <w:r>
        <w:rPr>
          <w:rFonts w:ascii="Times New Roman" w:hAnsi="Times New Roman" w:cs="Times New Roman"/>
          <w:bCs/>
          <w:i/>
          <w:iCs/>
          <w:noProof/>
          <w:sz w:val="24"/>
          <w:szCs w:val="24"/>
        </w:rPr>
        <w:t>large income inequalities, often linked to inequal opportunities in access to education, training and social protection, and refle</w:t>
      </w:r>
      <w:r>
        <w:rPr>
          <w:rFonts w:ascii="Times New Roman" w:hAnsi="Times New Roman" w:cs="Times New Roman"/>
          <w:bCs/>
          <w:i/>
          <w:iCs/>
          <w:noProof/>
          <w:sz w:val="24"/>
          <w:szCs w:val="24"/>
        </w:rPr>
        <w:t xml:space="preserve">cting poor labour market outcomes, raises concerns in terms of fairness, social inclusion and sustainable growth. </w:t>
      </w:r>
    </w:p>
    <w:p w:rsidR="00CB01DD" w:rsidRDefault="00D75BDB">
      <w:pPr>
        <w:spacing w:after="240" w:line="360" w:lineRule="auto"/>
        <w:jc w:val="both"/>
        <w:rPr>
          <w:rFonts w:ascii="Times New Roman" w:hAnsi="Times New Roman" w:cs="Times New Roman"/>
          <w:bCs/>
          <w:i/>
          <w:iCs/>
          <w:noProof/>
          <w:sz w:val="24"/>
          <w:szCs w:val="24"/>
        </w:rPr>
      </w:pPr>
      <w:r>
        <w:rPr>
          <w:rFonts w:ascii="Times New Roman" w:hAnsi="Times New Roman" w:cs="Times New Roman"/>
          <w:b/>
          <w:bCs/>
          <w:i/>
          <w:iCs/>
          <w:noProof/>
          <w:sz w:val="24"/>
          <w:szCs w:val="24"/>
        </w:rPr>
        <w:t xml:space="preserve">Member States continue to modernise social protection systems, by improving </w:t>
      </w:r>
      <w:r>
        <w:rPr>
          <w:rFonts w:ascii="Times New Roman" w:hAnsi="Times New Roman"/>
          <w:b/>
          <w:bCs/>
          <w:i/>
          <w:iCs/>
          <w:noProof/>
          <w:sz w:val="24"/>
          <w:szCs w:val="24"/>
        </w:rPr>
        <w:t>coverage and adequacy of benefits and services, notably for non-s</w:t>
      </w:r>
      <w:r>
        <w:rPr>
          <w:rFonts w:ascii="Times New Roman" w:hAnsi="Times New Roman"/>
          <w:b/>
          <w:bCs/>
          <w:i/>
          <w:iCs/>
          <w:noProof/>
          <w:sz w:val="24"/>
          <w:szCs w:val="24"/>
        </w:rPr>
        <w:t xml:space="preserve">tandard workers, </w:t>
      </w:r>
      <w:r>
        <w:rPr>
          <w:rFonts w:ascii="Times New Roman" w:hAnsi="Times New Roman" w:cs="Times New Roman"/>
          <w:b/>
          <w:bCs/>
          <w:i/>
          <w:iCs/>
          <w:noProof/>
          <w:sz w:val="24"/>
          <w:szCs w:val="24"/>
        </w:rPr>
        <w:t xml:space="preserve">and actively encourage labour market participation. </w:t>
      </w:r>
      <w:r>
        <w:rPr>
          <w:rFonts w:ascii="Times New Roman" w:hAnsi="Times New Roman" w:cs="Times New Roman"/>
          <w:bCs/>
          <w:i/>
          <w:iCs/>
          <w:noProof/>
          <w:sz w:val="24"/>
          <w:szCs w:val="24"/>
        </w:rPr>
        <w:t>In line with the European Pillar of Social Rights principles, some Member States extended eligibility for social security schemes (including parental leave, unemployment and sickness bene</w:t>
      </w:r>
      <w:r>
        <w:rPr>
          <w:rFonts w:ascii="Times New Roman" w:hAnsi="Times New Roman" w:cs="Times New Roman"/>
          <w:bCs/>
          <w:i/>
          <w:iCs/>
          <w:noProof/>
          <w:sz w:val="24"/>
          <w:szCs w:val="24"/>
        </w:rPr>
        <w:t>fits) to self-employed and free-lance workers, previously not covered. Nationwide</w:t>
      </w:r>
      <w:r>
        <w:rPr>
          <w:rFonts w:ascii="Times New Roman" w:hAnsi="Times New Roman" w:cs="Times New Roman"/>
          <w:b/>
          <w:bCs/>
          <w:i/>
          <w:iCs/>
          <w:noProof/>
          <w:sz w:val="24"/>
          <w:szCs w:val="24"/>
        </w:rPr>
        <w:t xml:space="preserve"> </w:t>
      </w:r>
      <w:r>
        <w:rPr>
          <w:rFonts w:ascii="Times New Roman" w:hAnsi="Times New Roman" w:cs="Times New Roman"/>
          <w:bCs/>
          <w:i/>
          <w:iCs/>
          <w:noProof/>
          <w:sz w:val="24"/>
          <w:szCs w:val="24"/>
        </w:rPr>
        <w:t>minimum</w:t>
      </w:r>
      <w:r>
        <w:rPr>
          <w:rFonts w:ascii="Times New Roman" w:hAnsi="Times New Roman" w:cs="Times New Roman"/>
          <w:b/>
          <w:bCs/>
          <w:i/>
          <w:iCs/>
          <w:noProof/>
          <w:sz w:val="24"/>
          <w:szCs w:val="24"/>
        </w:rPr>
        <w:t xml:space="preserve"> </w:t>
      </w:r>
      <w:r>
        <w:rPr>
          <w:rFonts w:ascii="Times New Roman" w:hAnsi="Times New Roman" w:cs="Times New Roman"/>
          <w:bCs/>
          <w:i/>
          <w:iCs/>
          <w:noProof/>
          <w:sz w:val="24"/>
          <w:szCs w:val="24"/>
        </w:rPr>
        <w:t>income support measures were introduced for the first time in two countries, Greece and Italy. Actions are also being taken to strengthen the activation of benefits r</w:t>
      </w:r>
      <w:r>
        <w:rPr>
          <w:rFonts w:ascii="Times New Roman" w:hAnsi="Times New Roman" w:cs="Times New Roman"/>
          <w:bCs/>
          <w:i/>
          <w:iCs/>
          <w:noProof/>
          <w:sz w:val="24"/>
          <w:szCs w:val="24"/>
        </w:rPr>
        <w:t>ecipients, for instance by making participation into active labour market policies compulsory and/or by improving individualised services. In this regard, it is important to ensure the effective access of all workers including self-employed to social prote</w:t>
      </w:r>
      <w:r>
        <w:rPr>
          <w:rFonts w:ascii="Times New Roman" w:hAnsi="Times New Roman" w:cs="Times New Roman"/>
          <w:bCs/>
          <w:i/>
          <w:iCs/>
          <w:noProof/>
          <w:sz w:val="24"/>
          <w:szCs w:val="24"/>
        </w:rPr>
        <w:t xml:space="preserve">ction schemes, and improve the coordination between employment and social services, including through the creation of one-stop-shops, in order better to target those in need and support, with quality services, their (re)integration in the labour market. </w:t>
      </w:r>
    </w:p>
    <w:p w:rsidR="00CB01DD" w:rsidRDefault="00D75BDB">
      <w:pPr>
        <w:spacing w:line="360" w:lineRule="auto"/>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 xml:space="preserve">Tax and benefit systems play an important role in reducing the impact on poverty and inequality, but the measured impact of social transfers (excluding pensions) on the risk of poverty was still slightly declining in 2016. </w:t>
      </w:r>
      <w:r>
        <w:rPr>
          <w:rFonts w:ascii="Times New Roman" w:hAnsi="Times New Roman" w:cs="Times New Roman"/>
          <w:bCs/>
          <w:i/>
          <w:iCs/>
          <w:noProof/>
          <w:sz w:val="24"/>
          <w:szCs w:val="24"/>
        </w:rPr>
        <w:t xml:space="preserve">This development, which does not </w:t>
      </w:r>
      <w:r>
        <w:rPr>
          <w:rFonts w:ascii="Times New Roman" w:hAnsi="Times New Roman" w:cs="Times New Roman"/>
          <w:bCs/>
          <w:i/>
          <w:iCs/>
          <w:noProof/>
          <w:sz w:val="24"/>
          <w:szCs w:val="24"/>
        </w:rPr>
        <w:t>yet take into account latest reforms to enhance social safety, hides different developments at country level. In particular, it may reflect changes in benefits adequacy and coverage, lack of indexation (in a context of generally increasing incomes), as wel</w:t>
      </w:r>
      <w:r>
        <w:rPr>
          <w:rFonts w:ascii="Times New Roman" w:hAnsi="Times New Roman" w:cs="Times New Roman"/>
          <w:bCs/>
          <w:i/>
          <w:iCs/>
          <w:noProof/>
          <w:sz w:val="24"/>
          <w:szCs w:val="24"/>
        </w:rPr>
        <w:t>l as changes in the composition of households (and related characteristics of those at risk of poverty). To tackle inequalities and reduce poverty, including by breaking their transmission across generations, Member States can take further action in differ</w:t>
      </w:r>
      <w:r>
        <w:rPr>
          <w:rFonts w:ascii="Times New Roman" w:hAnsi="Times New Roman" w:cs="Times New Roman"/>
          <w:bCs/>
          <w:i/>
          <w:iCs/>
          <w:noProof/>
          <w:sz w:val="24"/>
          <w:szCs w:val="24"/>
        </w:rPr>
        <w:t xml:space="preserve">ent areas, including by improving the design of tax and benefits systems, fostering equal opportunies in education and training, ensuring access to quality healthcare, and promoting gender equality amongst others. </w:t>
      </w:r>
    </w:p>
    <w:p w:rsidR="00CB01DD" w:rsidRDefault="00D75BDB">
      <w:pPr>
        <w:spacing w:line="360" w:lineRule="auto"/>
        <w:jc w:val="both"/>
        <w:rPr>
          <w:rFonts w:ascii="Times New Roman" w:hAnsi="Times New Roman" w:cs="Times New Roman"/>
          <w:bCs/>
          <w:i/>
          <w:iCs/>
          <w:noProof/>
          <w:sz w:val="24"/>
          <w:szCs w:val="24"/>
        </w:rPr>
      </w:pPr>
      <w:r>
        <w:rPr>
          <w:rFonts w:ascii="Times New Roman" w:hAnsi="Times New Roman" w:cs="Times New Roman"/>
          <w:b/>
          <w:i/>
          <w:iCs/>
          <w:noProof/>
          <w:sz w:val="24"/>
          <w:szCs w:val="24"/>
        </w:rPr>
        <w:t>Safeguarding pension adequacy, whilst ens</w:t>
      </w:r>
      <w:r>
        <w:rPr>
          <w:rFonts w:ascii="Times New Roman" w:hAnsi="Times New Roman" w:cs="Times New Roman"/>
          <w:b/>
          <w:i/>
          <w:iCs/>
          <w:noProof/>
          <w:sz w:val="24"/>
          <w:szCs w:val="24"/>
        </w:rPr>
        <w:t>uring the financial sustainability of social security systems, remains a priority.</w:t>
      </w:r>
      <w:r>
        <w:rPr>
          <w:rFonts w:ascii="Times New Roman" w:hAnsi="Times New Roman" w:cs="Times New Roman"/>
          <w:i/>
          <w:iCs/>
          <w:noProof/>
          <w:sz w:val="24"/>
          <w:szCs w:val="24"/>
        </w:rPr>
        <w:t xml:space="preserve"> Most recent reforms often feature measures to improve adequacy, notably of lower pensions. In particular, a number of countries took measures to raise minimum pensions or re</w:t>
      </w:r>
      <w:r>
        <w:rPr>
          <w:rFonts w:ascii="Times New Roman" w:hAnsi="Times New Roman" w:cs="Times New Roman"/>
          <w:i/>
          <w:iCs/>
          <w:noProof/>
          <w:sz w:val="24"/>
          <w:szCs w:val="24"/>
        </w:rPr>
        <w:t>duce the tax burden on lower pension incomes. Strengthening s</w:t>
      </w:r>
      <w:r>
        <w:rPr>
          <w:rFonts w:ascii="Times New Roman" w:hAnsi="Times New Roman" w:cs="Times New Roman"/>
          <w:bCs/>
          <w:i/>
          <w:iCs/>
          <w:noProof/>
          <w:sz w:val="24"/>
          <w:szCs w:val="24"/>
        </w:rPr>
        <w:t>upplementary pensions and other forms of retirement savings could also play a positive role to improve adequacy in some Member States.</w:t>
      </w:r>
      <w:r>
        <w:rPr>
          <w:rFonts w:ascii="Times New Roman" w:hAnsi="Times New Roman" w:cs="Times New Roman"/>
          <w:i/>
          <w:iCs/>
          <w:noProof/>
          <w:sz w:val="24"/>
          <w:szCs w:val="24"/>
        </w:rPr>
        <w:t xml:space="preserve"> In the context of demographic change, pension reforms that m</w:t>
      </w:r>
      <w:r>
        <w:rPr>
          <w:rFonts w:ascii="Times New Roman" w:hAnsi="Times New Roman" w:cs="Times New Roman"/>
          <w:i/>
          <w:iCs/>
          <w:noProof/>
          <w:sz w:val="24"/>
          <w:szCs w:val="24"/>
        </w:rPr>
        <w:t>ay lead to earlier exit from the labour market, thus endangering the sustainability and adequacy of pensions, should be avoided. In this respect and in the light of the persisting pension gap between men and women and the increased risk of poverty for elde</w:t>
      </w:r>
      <w:r>
        <w:rPr>
          <w:rFonts w:ascii="Times New Roman" w:hAnsi="Times New Roman" w:cs="Times New Roman"/>
          <w:i/>
          <w:iCs/>
          <w:noProof/>
          <w:sz w:val="24"/>
          <w:szCs w:val="24"/>
        </w:rPr>
        <w:t xml:space="preserve">rly women, measures to ensure the alignement of the retirement age for both genders are essential in some Member States. </w:t>
      </w:r>
    </w:p>
    <w:p w:rsidR="00CB01DD" w:rsidRDefault="00D75BDB">
      <w:pPr>
        <w:spacing w:after="240" w:line="360" w:lineRule="auto"/>
        <w:jc w:val="both"/>
        <w:rPr>
          <w:rFonts w:ascii="Times New Roman" w:hAnsi="Times New Roman" w:cs="Times New Roman"/>
          <w:i/>
          <w:noProof/>
          <w:sz w:val="24"/>
          <w:szCs w:val="24"/>
        </w:rPr>
      </w:pPr>
      <w:r>
        <w:rPr>
          <w:rFonts w:ascii="Times New Roman" w:hAnsi="Times New Roman" w:cs="Times New Roman"/>
          <w:b/>
          <w:bCs/>
          <w:i/>
          <w:iCs/>
          <w:noProof/>
          <w:sz w:val="24"/>
          <w:szCs w:val="24"/>
        </w:rPr>
        <w:t>Equal and timely access to quality health and long term care, as well as effective health promotion and disease prevention, are key to</w:t>
      </w:r>
      <w:r>
        <w:rPr>
          <w:rFonts w:ascii="Times New Roman" w:hAnsi="Times New Roman" w:cs="Times New Roman"/>
          <w:b/>
          <w:bCs/>
          <w:i/>
          <w:iCs/>
          <w:noProof/>
          <w:sz w:val="24"/>
          <w:szCs w:val="24"/>
        </w:rPr>
        <w:t xml:space="preserve"> foster a healthy and active population and achieve economic prosperity. </w:t>
      </w:r>
      <w:r>
        <w:rPr>
          <w:rFonts w:ascii="Times New Roman" w:hAnsi="Times New Roman" w:cs="Times New Roman"/>
          <w:i/>
          <w:iCs/>
          <w:noProof/>
          <w:sz w:val="24"/>
          <w:szCs w:val="24"/>
        </w:rPr>
        <w:t>In a number of Member States h</w:t>
      </w:r>
      <w:r>
        <w:rPr>
          <w:rFonts w:ascii="Times New Roman" w:hAnsi="Times New Roman" w:cs="Times New Roman"/>
          <w:i/>
          <w:noProof/>
          <w:sz w:val="24"/>
          <w:szCs w:val="24"/>
        </w:rPr>
        <w:t>ealthcare reforms have been implemented to encourage the provision of and access to effective primary health care services; to enshrine promotion of good</w:t>
      </w:r>
      <w:r>
        <w:rPr>
          <w:rFonts w:ascii="Times New Roman" w:hAnsi="Times New Roman" w:cs="Times New Roman"/>
          <w:i/>
          <w:noProof/>
          <w:sz w:val="24"/>
          <w:szCs w:val="24"/>
        </w:rPr>
        <w:t xml:space="preserve"> health and prevention of diseases in primary care; to streamline and increase the sustainability of specialist and hospital care; and to improve the access to affordable medicines used in a cost-effective way, in line with Member States' competence. Some </w:t>
      </w:r>
      <w:r>
        <w:rPr>
          <w:rFonts w:ascii="Times New Roman" w:hAnsi="Times New Roman" w:cs="Times New Roman"/>
          <w:i/>
          <w:noProof/>
          <w:sz w:val="24"/>
          <w:szCs w:val="24"/>
        </w:rPr>
        <w:t xml:space="preserve">Member States are also taking steps to improve the efficiency and quality of long-term care services. This should promote social inclusion and reduce obstacles to labour market participation for family carers, especially women. </w:t>
      </w:r>
    </w:p>
    <w:p w:rsidR="00CB01DD" w:rsidRDefault="00D75BDB">
      <w:pPr>
        <w:spacing w:after="240" w:line="360" w:lineRule="auto"/>
        <w:jc w:val="both"/>
        <w:rPr>
          <w:rFonts w:ascii="Times New Roman" w:hAnsi="Times New Roman" w:cs="Times New Roman"/>
          <w:b/>
          <w:bCs/>
          <w:noProof/>
          <w:sz w:val="24"/>
          <w:szCs w:val="24"/>
        </w:rPr>
      </w:pPr>
      <w:r>
        <w:rPr>
          <w:rFonts w:ascii="Times New Roman" w:hAnsi="Times New Roman" w:cs="Times New Roman"/>
          <w:b/>
          <w:i/>
          <w:noProof/>
          <w:sz w:val="24"/>
          <w:szCs w:val="24"/>
        </w:rPr>
        <w:t>A well-functioning social d</w:t>
      </w:r>
      <w:r>
        <w:rPr>
          <w:rFonts w:ascii="Times New Roman" w:hAnsi="Times New Roman" w:cs="Times New Roman"/>
          <w:b/>
          <w:i/>
          <w:noProof/>
          <w:sz w:val="24"/>
          <w:szCs w:val="24"/>
        </w:rPr>
        <w:t>ialogue is key for achieving social fairness while ensuring economic performance.</w:t>
      </w:r>
      <w:r>
        <w:rPr>
          <w:rFonts w:ascii="Times New Roman" w:hAnsi="Times New Roman" w:cs="Times New Roman"/>
          <w:i/>
          <w:noProof/>
          <w:sz w:val="24"/>
          <w:szCs w:val="24"/>
        </w:rPr>
        <w:t xml:space="preserve"> Social dialogue plays a central role in reinforcing social rights and enhancing sustainable and inclusive growth. The degree and impact of social partners' involvement in the</w:t>
      </w:r>
      <w:r>
        <w:rPr>
          <w:rFonts w:ascii="Times New Roman" w:hAnsi="Times New Roman" w:cs="Times New Roman"/>
          <w:i/>
          <w:noProof/>
          <w:sz w:val="24"/>
          <w:szCs w:val="24"/>
        </w:rPr>
        <w:t xml:space="preserve"> design and implementation of relevant reforms varies considerably among EU countries. This is largely due to a diversity of practices and institutional settings in the different Member States, and to varying social partners' capacities and contributions. </w:t>
      </w:r>
      <w:r>
        <w:rPr>
          <w:rFonts w:ascii="Times New Roman" w:hAnsi="Times New Roman" w:cs="Times New Roman"/>
          <w:i/>
          <w:noProof/>
          <w:sz w:val="24"/>
          <w:szCs w:val="24"/>
        </w:rPr>
        <w:t xml:space="preserve">Whereas there is no single model that serves as a reference, it is important that social partners are actively involved at all stages of policy-making and implementation, in line with the European Pillar of Social Rights. </w:t>
      </w:r>
      <w:r>
        <w:rPr>
          <w:rFonts w:ascii="Times New Roman" w:hAnsi="Times New Roman" w:cs="Times New Roman"/>
          <w:b/>
          <w:bCs/>
          <w:noProof/>
          <w:sz w:val="24"/>
          <w:szCs w:val="24"/>
        </w:rPr>
        <w:br w:type="page"/>
      </w:r>
    </w:p>
    <w:p w:rsidR="00CB01DD" w:rsidRDefault="00D75BDB">
      <w:pPr>
        <w:pStyle w:val="Heading1"/>
        <w:ind w:left="720" w:hanging="720"/>
        <w:rPr>
          <w:noProof/>
        </w:rPr>
      </w:pPr>
      <w:bookmarkStart w:id="4" w:name="_Toc498075880"/>
      <w:r>
        <w:rPr>
          <w:noProof/>
        </w:rPr>
        <w:t>1.</w:t>
      </w:r>
      <w:r>
        <w:rPr>
          <w:noProof/>
        </w:rPr>
        <w:tab/>
        <w:t>OVERVIEW OF LABOUR MARKET AND</w:t>
      </w:r>
      <w:r>
        <w:rPr>
          <w:noProof/>
        </w:rPr>
        <w:t xml:space="preserve"> SOCIAL TRENDS AND CHALLENGES IN THE EUROPEAN UNION</w:t>
      </w:r>
      <w:bookmarkEnd w:id="4"/>
    </w:p>
    <w:p w:rsidR="00CB01DD" w:rsidRDefault="00CB01DD">
      <w:pPr>
        <w:autoSpaceDE w:val="0"/>
        <w:autoSpaceDN w:val="0"/>
        <w:adjustRightInd w:val="0"/>
        <w:spacing w:after="0" w:line="240" w:lineRule="auto"/>
        <w:ind w:left="720" w:hanging="720"/>
        <w:jc w:val="both"/>
        <w:rPr>
          <w:rFonts w:ascii="Times New Roman" w:hAnsi="Times New Roman" w:cs="Times New Roman"/>
          <w:b/>
          <w:bCs/>
          <w:noProof/>
          <w:sz w:val="24"/>
          <w:szCs w:val="24"/>
        </w:rPr>
      </w:pPr>
    </w:p>
    <w:p w:rsidR="00CB01DD" w:rsidRDefault="00CB01DD">
      <w:pPr>
        <w:autoSpaceDE w:val="0"/>
        <w:autoSpaceDN w:val="0"/>
        <w:adjustRightInd w:val="0"/>
        <w:spacing w:after="0" w:line="240" w:lineRule="auto"/>
        <w:jc w:val="both"/>
        <w:rPr>
          <w:rFonts w:ascii="Times New Roman" w:hAnsi="Times New Roman" w:cs="Times New Roman"/>
          <w:b/>
          <w:bCs/>
          <w:noProof/>
          <w:sz w:val="24"/>
          <w:szCs w:val="24"/>
        </w:rPr>
      </w:pPr>
    </w:p>
    <w:p w:rsidR="00CB01DD" w:rsidRDefault="00D75BDB">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This section presents an overview of labour market and social trends and challenges in the European Union, providing a detailed analytical account of major employment and social policy areas. </w:t>
      </w:r>
    </w:p>
    <w:p w:rsidR="00CB01DD" w:rsidRDefault="00CB01DD">
      <w:pPr>
        <w:contextualSpacing/>
        <w:jc w:val="both"/>
        <w:rPr>
          <w:rFonts w:ascii="Times New Roman" w:hAnsi="Times New Roman" w:cs="Times New Roman"/>
          <w:i/>
          <w:iCs/>
          <w:noProof/>
          <w:sz w:val="24"/>
          <w:szCs w:val="24"/>
        </w:rPr>
      </w:pPr>
    </w:p>
    <w:p w:rsidR="00CB01DD" w:rsidRDefault="00CB01DD">
      <w:pPr>
        <w:contextualSpacing/>
        <w:jc w:val="both"/>
        <w:rPr>
          <w:rFonts w:ascii="Times New Roman" w:hAnsi="Times New Roman" w:cs="Times New Roman"/>
          <w:i/>
          <w:iCs/>
          <w:noProof/>
          <w:sz w:val="24"/>
          <w:szCs w:val="24"/>
        </w:rPr>
      </w:pPr>
    </w:p>
    <w:p w:rsidR="00CB01DD" w:rsidRDefault="00D75BDB">
      <w:pPr>
        <w:pStyle w:val="Heading3"/>
        <w:rPr>
          <w:noProof/>
        </w:rPr>
      </w:pPr>
      <w:bookmarkStart w:id="5" w:name="_Toc498075881"/>
      <w:r>
        <w:rPr>
          <w:noProof/>
        </w:rPr>
        <w:t>1.1</w:t>
      </w:r>
      <w:r>
        <w:rPr>
          <w:noProof/>
        </w:rPr>
        <w:tab/>
        <w:t>Lab</w:t>
      </w:r>
      <w:r>
        <w:rPr>
          <w:noProof/>
        </w:rPr>
        <w:t>our market trends</w:t>
      </w:r>
      <w:bookmarkEnd w:id="5"/>
    </w:p>
    <w:p w:rsidR="00CB01DD" w:rsidRDefault="00CB01DD">
      <w:pPr>
        <w:contextualSpacing/>
        <w:jc w:val="both"/>
        <w:rPr>
          <w:rFonts w:ascii="Times New Roman" w:hAnsi="Times New Roman" w:cs="Times New Roman"/>
          <w:i/>
          <w:iCs/>
          <w:noProof/>
          <w:sz w:val="24"/>
          <w:szCs w:val="24"/>
        </w:rPr>
      </w:pP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European Union labour market conditions significantly improved in 2016 and the first half of 2017, with substantial progress towards the Europe 2020 strategy employment rate target.</w:t>
      </w:r>
      <w:r>
        <w:rPr>
          <w:rFonts w:ascii="Times New Roman" w:hAnsi="Times New Roman" w:cs="Times New Roman"/>
          <w:iCs/>
          <w:noProof/>
          <w:sz w:val="24"/>
          <w:szCs w:val="24"/>
        </w:rPr>
        <w:t xml:space="preserve">  The employment rate (20-64) recorded the largest incre</w:t>
      </w:r>
      <w:r>
        <w:rPr>
          <w:rFonts w:ascii="Times New Roman" w:hAnsi="Times New Roman" w:cs="Times New Roman"/>
          <w:iCs/>
          <w:noProof/>
          <w:sz w:val="24"/>
          <w:szCs w:val="24"/>
        </w:rPr>
        <w:t>ase after the crisis, by 1 percentage point to 71.1% in 2016. It continued rising in the first half of 2017, to 72.2% in Q2-2017</w:t>
      </w:r>
      <w:r>
        <w:rPr>
          <w:rStyle w:val="FootnoteReference"/>
          <w:rFonts w:ascii="Times New Roman" w:hAnsi="Times New Roman" w:cs="Times New Roman"/>
          <w:iCs/>
          <w:noProof/>
          <w:sz w:val="24"/>
          <w:szCs w:val="24"/>
        </w:rPr>
        <w:footnoteReference w:id="2"/>
      </w:r>
      <w:r>
        <w:rPr>
          <w:rFonts w:ascii="Times New Roman" w:hAnsi="Times New Roman" w:cs="Times New Roman"/>
          <w:iCs/>
          <w:noProof/>
          <w:sz w:val="24"/>
          <w:szCs w:val="24"/>
        </w:rPr>
        <w:t>, the highest level ever reached in the EU. At the same time, the number of people in employment amounted to 235.4 million in Q</w:t>
      </w:r>
      <w:r>
        <w:rPr>
          <w:rFonts w:ascii="Times New Roman" w:hAnsi="Times New Roman" w:cs="Times New Roman"/>
          <w:iCs/>
          <w:noProof/>
          <w:sz w:val="24"/>
          <w:szCs w:val="24"/>
        </w:rPr>
        <w:t xml:space="preserve">2-2017, 3.5 million jobs more than one year before. If the employment rate continues increasing at the current pace, the Europe 2020 strategy employment target of 75% would be broadly within reach. The </w:t>
      </w:r>
      <w:r>
        <w:rPr>
          <w:rFonts w:ascii="Times New Roman" w:hAnsi="Times New Roman" w:cs="Times New Roman"/>
          <w:noProof/>
          <w:sz w:val="24"/>
          <w:szCs w:val="24"/>
        </w:rPr>
        <w:t>situation</w:t>
      </w:r>
      <w:r>
        <w:rPr>
          <w:rFonts w:ascii="Times New Roman" w:hAnsi="Times New Roman" w:cs="Times New Roman"/>
          <w:iCs/>
          <w:noProof/>
          <w:sz w:val="24"/>
          <w:szCs w:val="24"/>
        </w:rPr>
        <w:t xml:space="preserve"> improved substantially also in the euro area</w:t>
      </w:r>
      <w:r>
        <w:rPr>
          <w:rFonts w:ascii="Times New Roman" w:hAnsi="Times New Roman" w:cs="Times New Roman"/>
          <w:iCs/>
          <w:noProof/>
          <w:sz w:val="24"/>
          <w:szCs w:val="24"/>
        </w:rPr>
        <w:t xml:space="preserve">, where the employment rate attained its highest level at 70.9% in Q2-2017. The employment recovery is supported by a steady increase in labour market participation, with the activity rate (15-64) having achieved a record level at 73.4% in Q2-2017 (73% in </w:t>
      </w:r>
      <w:r>
        <w:rPr>
          <w:rFonts w:ascii="Times New Roman" w:hAnsi="Times New Roman" w:cs="Times New Roman"/>
          <w:iCs/>
          <w:noProof/>
          <w:sz w:val="24"/>
          <w:szCs w:val="24"/>
        </w:rPr>
        <w:t xml:space="preserve">the euro area). </w:t>
      </w: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 xml:space="preserve">The continuous increase in employment translated into a continuous drop in the unemployment rate (15-74), </w:t>
      </w:r>
      <w:r>
        <w:rPr>
          <w:rFonts w:ascii="Times New Roman" w:hAnsi="Times New Roman" w:cs="Times New Roman"/>
          <w:iCs/>
          <w:noProof/>
          <w:sz w:val="24"/>
          <w:szCs w:val="24"/>
        </w:rPr>
        <w:t>which reached 7.7% in Q2-2017 (9.2% in the euro area), slowly approaching the pre-crisis level. This is all the more positive conside</w:t>
      </w:r>
      <w:r>
        <w:rPr>
          <w:rFonts w:ascii="Times New Roman" w:hAnsi="Times New Roman" w:cs="Times New Roman"/>
          <w:iCs/>
          <w:noProof/>
          <w:sz w:val="24"/>
          <w:szCs w:val="24"/>
        </w:rPr>
        <w:t xml:space="preserve">ring that more people who were previously inactive joined the labour market and increased the size of the labour force (including more job-seekers). </w:t>
      </w: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Youth and long-term unemployment have been decreasing quickly.</w:t>
      </w:r>
      <w:r>
        <w:rPr>
          <w:rFonts w:ascii="Times New Roman" w:hAnsi="Times New Roman" w:cs="Times New Roman"/>
          <w:iCs/>
          <w:noProof/>
          <w:sz w:val="24"/>
          <w:szCs w:val="24"/>
        </w:rPr>
        <w:t xml:space="preserve"> While still high (particularly so in some M</w:t>
      </w:r>
      <w:r>
        <w:rPr>
          <w:rFonts w:ascii="Times New Roman" w:hAnsi="Times New Roman" w:cs="Times New Roman"/>
          <w:iCs/>
          <w:noProof/>
          <w:sz w:val="24"/>
          <w:szCs w:val="24"/>
        </w:rPr>
        <w:t xml:space="preserve">ember States), the youth unemployment rate dropped by almost 2 pps year-on-year, to 17% in Q2-2017 (19.1% in the euro area). It is now about 7 pps below the peak of 23.9% reached in Q1-2013. </w:t>
      </w:r>
      <w:r>
        <w:rPr>
          <w:rFonts w:ascii="Times New Roman" w:hAnsi="Times New Roman" w:cs="Times New Roman"/>
          <w:noProof/>
          <w:sz w:val="24"/>
          <w:szCs w:val="24"/>
          <w:lang w:eastAsia="en-GB"/>
        </w:rPr>
        <w:t>The long-term unemployment rate (i.e. unemployed for more than 12</w:t>
      </w:r>
      <w:r>
        <w:rPr>
          <w:rFonts w:ascii="Times New Roman" w:hAnsi="Times New Roman" w:cs="Times New Roman"/>
          <w:noProof/>
          <w:sz w:val="24"/>
          <w:szCs w:val="24"/>
          <w:lang w:eastAsia="en-GB"/>
        </w:rPr>
        <w:t xml:space="preserve"> months as a share of the active population) followed a similar trend, declining by 0.6 pps year-on-year to 3.4% </w:t>
      </w:r>
      <w:r>
        <w:rPr>
          <w:rFonts w:ascii="Times New Roman" w:hAnsi="Times New Roman" w:cs="Times New Roman"/>
          <w:iCs/>
          <w:noProof/>
          <w:sz w:val="24"/>
          <w:szCs w:val="24"/>
        </w:rPr>
        <w:t xml:space="preserve">in Q2-2017 (4.7% in the euro area). The </w:t>
      </w:r>
      <w:r>
        <w:rPr>
          <w:rFonts w:ascii="Times New Roman" w:hAnsi="Times New Roman" w:cs="Times New Roman"/>
          <w:noProof/>
          <w:sz w:val="24"/>
          <w:szCs w:val="24"/>
          <w:lang w:eastAsia="en-GB"/>
        </w:rPr>
        <w:t>share of long-term unemployment among total unemployment is also falling but remains high at 45.6% (49.</w:t>
      </w:r>
      <w:r>
        <w:rPr>
          <w:rFonts w:ascii="Times New Roman" w:hAnsi="Times New Roman" w:cs="Times New Roman"/>
          <w:noProof/>
          <w:sz w:val="24"/>
          <w:szCs w:val="24"/>
          <w:lang w:eastAsia="en-GB"/>
        </w:rPr>
        <w:t xml:space="preserve">7% in the euro area) and surpasses 50% in some Member States. Moreover, the very long-term unemployment rate (i.e. considering those unemployed for more than 24 months) is only declining slowly, which increases the risk that it becomes entrenched. </w:t>
      </w:r>
    </w:p>
    <w:p w:rsidR="00CB01DD" w:rsidRDefault="00CB01DD">
      <w:pPr>
        <w:spacing w:line="360" w:lineRule="auto"/>
        <w:jc w:val="both"/>
        <w:rPr>
          <w:rFonts w:ascii="Times New Roman" w:hAnsi="Times New Roman" w:cs="Times New Roman"/>
          <w:b/>
          <w:noProof/>
          <w:sz w:val="24"/>
          <w:szCs w:val="24"/>
          <w:lang w:eastAsia="en-GB"/>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w:t>
      </w:r>
      <w:r>
        <w:rPr>
          <w:rFonts w:ascii="Times New Roman" w:hAnsi="Times New Roman"/>
          <w:noProof/>
          <w:sz w:val="24"/>
          <w:szCs w:val="24"/>
        </w:rPr>
        <w:fldChar w:fldCharType="end"/>
      </w:r>
      <w:r>
        <w:rPr>
          <w:rFonts w:ascii="Times New Roman" w:hAnsi="Times New Roman"/>
          <w:noProof/>
          <w:sz w:val="24"/>
          <w:szCs w:val="24"/>
        </w:rPr>
        <w:t xml:space="preserve">: Unemployment and long-term unemployment rates and share in the EU </w:t>
      </w:r>
    </w:p>
    <w:p w:rsidR="00CB01DD" w:rsidRDefault="00D75BDB">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eastAsia="en-GB"/>
        </w:rPr>
        <w:drawing>
          <wp:inline distT="0" distB="0" distL="0" distR="0" wp14:anchorId="7180A84B" wp14:editId="6FC53629">
            <wp:extent cx="4790782" cy="28759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8962" cy="2874897"/>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CB01DD">
      <w:pPr>
        <w:spacing w:line="360" w:lineRule="auto"/>
        <w:jc w:val="both"/>
        <w:rPr>
          <w:rFonts w:ascii="Times New Roman" w:hAnsi="Times New Roman" w:cs="Times New Roman"/>
          <w:b/>
          <w:iCs/>
          <w:noProof/>
          <w:sz w:val="24"/>
          <w:szCs w:val="24"/>
        </w:rPr>
      </w:pP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The recovery in employment and the decline in unemployment have been surprisingly strong given the steady but moderate GDP growt</w:t>
      </w:r>
      <w:r>
        <w:rPr>
          <w:rFonts w:ascii="Times New Roman" w:hAnsi="Times New Roman" w:cs="Times New Roman"/>
          <w:b/>
          <w:iCs/>
          <w:noProof/>
          <w:sz w:val="24"/>
          <w:szCs w:val="24"/>
        </w:rPr>
        <w:t>h</w:t>
      </w:r>
      <w:r>
        <w:rPr>
          <w:rStyle w:val="FootnoteReference"/>
          <w:rFonts w:ascii="Times New Roman" w:hAnsi="Times New Roman" w:cs="Times New Roman"/>
          <w:b/>
          <w:iCs/>
          <w:noProof/>
          <w:sz w:val="24"/>
          <w:szCs w:val="24"/>
        </w:rPr>
        <w:footnoteReference w:id="3"/>
      </w:r>
      <w:r>
        <w:rPr>
          <w:rFonts w:ascii="Times New Roman" w:hAnsi="Times New Roman" w:cs="Times New Roman"/>
          <w:b/>
          <w:iCs/>
          <w:noProof/>
          <w:sz w:val="24"/>
          <w:szCs w:val="24"/>
        </w:rPr>
        <w:t>.</w:t>
      </w:r>
      <w:r>
        <w:rPr>
          <w:rFonts w:ascii="Times New Roman" w:hAnsi="Times New Roman" w:cs="Times New Roman"/>
          <w:iCs/>
          <w:noProof/>
          <w:sz w:val="24"/>
          <w:szCs w:val="24"/>
        </w:rPr>
        <w:t xml:space="preserve"> This trend emerged clearly during the last two years, both in the EU and the euro area. However, subdued growth in hours worked per employed person points to some remaining slack in the labour market as they remain about 3% below the pre-crisis level i</w:t>
      </w:r>
      <w:r>
        <w:rPr>
          <w:rFonts w:ascii="Times New Roman" w:hAnsi="Times New Roman" w:cs="Times New Roman"/>
          <w:iCs/>
          <w:noProof/>
          <w:sz w:val="24"/>
          <w:szCs w:val="24"/>
        </w:rPr>
        <w:t>n the EU (</w:t>
      </w:r>
      <w:r>
        <w:rPr>
          <w:rFonts w:ascii="Times New Roman" w:hAnsi="Times New Roman"/>
          <w:noProof/>
          <w:sz w:val="24"/>
          <w:szCs w:val="24"/>
        </w:rPr>
        <w:t>Figure 2</w:t>
      </w:r>
      <w:r>
        <w:rPr>
          <w:rFonts w:ascii="Times New Roman" w:hAnsi="Times New Roman" w:cs="Times New Roman"/>
          <w:iCs/>
          <w:noProof/>
          <w:sz w:val="24"/>
          <w:szCs w:val="24"/>
        </w:rPr>
        <w:t>) and about 4% in the euro area. Increases in part-time work and, to a smaller extent, reductions in the hours of full-time workers have contributed to this development. Nonetheless, over 2016 full-time employment grew faster than part-time (as shown later</w:t>
      </w:r>
      <w:r>
        <w:rPr>
          <w:rFonts w:ascii="Times New Roman" w:hAnsi="Times New Roman" w:cs="Times New Roman"/>
          <w:iCs/>
          <w:noProof/>
          <w:sz w:val="24"/>
          <w:szCs w:val="24"/>
        </w:rPr>
        <w:t xml:space="preserve"> in this section). </w:t>
      </w:r>
    </w:p>
    <w:p w:rsidR="00CB01DD" w:rsidRDefault="00D75BDB">
      <w:pPr>
        <w:pStyle w:val="Caption"/>
        <w:keepNext/>
        <w:spacing w:line="240" w:lineRule="auto"/>
        <w:rPr>
          <w:rFonts w:ascii="Times New Roman" w:hAnsi="Times New Roman"/>
          <w:noProof/>
          <w:sz w:val="24"/>
          <w:szCs w:val="24"/>
        </w:rPr>
      </w:pPr>
      <w:bookmarkStart w:id="6" w:name="_Ref495484615"/>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bookmarkEnd w:id="6"/>
      <w:r>
        <w:rPr>
          <w:rFonts w:ascii="Times New Roman" w:hAnsi="Times New Roman"/>
          <w:noProof/>
          <w:sz w:val="24"/>
          <w:szCs w:val="24"/>
        </w:rPr>
        <w:t>: Growth in real GDP, employment and hours worked per employed person in the EU (cumulative change – index 2008 = 100)</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7BBBB8E7" wp14:editId="6BB1796A">
            <wp:extent cx="4705200" cy="20664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200" cy="206640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val="fr-BE" w:eastAsia="en-GB"/>
        </w:rPr>
      </w:pPr>
      <w:r>
        <w:rPr>
          <w:rFonts w:ascii="Times New Roman" w:hAnsi="Times New Roman" w:cs="Times New Roman"/>
          <w:noProof/>
          <w:sz w:val="20"/>
          <w:szCs w:val="20"/>
          <w:lang w:val="fr-BE" w:eastAsia="en-GB"/>
        </w:rPr>
        <w:t>Source: Eurostat, National accounts (DG EMPL calculations).</w:t>
      </w:r>
    </w:p>
    <w:p w:rsidR="00CB01DD" w:rsidRDefault="00CB01DD">
      <w:pPr>
        <w:spacing w:line="360" w:lineRule="auto"/>
        <w:contextualSpacing/>
        <w:jc w:val="both"/>
        <w:rPr>
          <w:rFonts w:ascii="Times New Roman" w:hAnsi="Times New Roman" w:cs="Times New Roman"/>
          <w:b/>
          <w:iCs/>
          <w:noProof/>
          <w:sz w:val="24"/>
          <w:szCs w:val="24"/>
          <w:lang w:val="fr-BE"/>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Employment growth has been stronger among older workers. </w:t>
      </w:r>
      <w:r>
        <w:rPr>
          <w:rFonts w:ascii="Times New Roman" w:hAnsi="Times New Roman" w:cs="Times New Roman"/>
          <w:noProof/>
          <w:sz w:val="24"/>
          <w:szCs w:val="24"/>
          <w:lang w:eastAsia="en-GB"/>
        </w:rPr>
        <w:t xml:space="preserve">As shown in </w:t>
      </w:r>
      <w:r>
        <w:rPr>
          <w:rFonts w:ascii="Times New Roman" w:hAnsi="Times New Roman"/>
          <w:noProof/>
          <w:sz w:val="24"/>
          <w:szCs w:val="24"/>
        </w:rPr>
        <w:t>Figure 3</w:t>
      </w:r>
      <w:r>
        <w:rPr>
          <w:rFonts w:ascii="Times New Roman" w:hAnsi="Times New Roman" w:cs="Times New Roman"/>
          <w:noProof/>
          <w:sz w:val="24"/>
          <w:szCs w:val="24"/>
          <w:lang w:eastAsia="en-GB"/>
        </w:rPr>
        <w:t xml:space="preserve">, the largest increase in employment figures in the EU, by 4.6% in 2016, was recorded by older workers (aged 55-64). This adds up to a continuously rising employment rate for this group in the post-crisis period, from 45.5% in 2008 to 55.3% in 2016, and a </w:t>
      </w:r>
      <w:r>
        <w:rPr>
          <w:rFonts w:ascii="Times New Roman" w:hAnsi="Times New Roman" w:cs="Times New Roman"/>
          <w:noProof/>
          <w:sz w:val="24"/>
          <w:szCs w:val="24"/>
          <w:lang w:eastAsia="en-GB"/>
        </w:rPr>
        <w:t>corresponding rise in the activity rate (to 59.1% in 2016). This trend reflects ongoing reforms of national pension systems, with a view to improve their sustainability and increase labour supply in a context of demographic change (including increasing lif</w:t>
      </w:r>
      <w:r>
        <w:rPr>
          <w:rFonts w:ascii="Times New Roman" w:hAnsi="Times New Roman" w:cs="Times New Roman"/>
          <w:noProof/>
          <w:sz w:val="24"/>
          <w:szCs w:val="24"/>
          <w:lang w:eastAsia="en-GB"/>
        </w:rPr>
        <w:t>e expectancy). As in 2015, employment growth was comparatively lower among young (15-24) and prime age (25-54) workers, though quicker for the former group (1.3% vs 0.8%). In view of a stable activity rate (at 41.5% both in 2015 and 2016), steady job creat</w:t>
      </w:r>
      <w:r>
        <w:rPr>
          <w:rFonts w:ascii="Times New Roman" w:hAnsi="Times New Roman" w:cs="Times New Roman"/>
          <w:noProof/>
          <w:sz w:val="24"/>
          <w:szCs w:val="24"/>
          <w:lang w:eastAsia="en-GB"/>
        </w:rPr>
        <w:t xml:space="preserve">ion among young people contributed to the decrease in youth unemployment. Employment growth was comparable across genders, as already in 2015. Employment of both men and women increased by 1.4% over 2016. This means that whereas employment rates increased </w:t>
      </w:r>
      <w:r>
        <w:rPr>
          <w:rFonts w:ascii="Times New Roman" w:hAnsi="Times New Roman" w:cs="Times New Roman"/>
          <w:noProof/>
          <w:sz w:val="24"/>
          <w:szCs w:val="24"/>
          <w:lang w:eastAsia="en-GB"/>
        </w:rPr>
        <w:t xml:space="preserve">for both groups (by 1 pp to respectively 76.9% and 65.3%) the gender employment gap remained unaffected. </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While rising across all education levels, employment increased the most among higher-educated workers</w:t>
      </w:r>
      <w:r>
        <w:rPr>
          <w:rFonts w:ascii="Times New Roman" w:hAnsi="Times New Roman" w:cs="Times New Roman"/>
          <w:noProof/>
          <w:sz w:val="24"/>
          <w:szCs w:val="24"/>
          <w:lang w:eastAsia="en-GB"/>
        </w:rPr>
        <w:t>. Indeed, the number of people with higher educat</w:t>
      </w:r>
      <w:r>
        <w:rPr>
          <w:rFonts w:ascii="Times New Roman" w:hAnsi="Times New Roman" w:cs="Times New Roman"/>
          <w:noProof/>
          <w:sz w:val="24"/>
          <w:szCs w:val="24"/>
          <w:lang w:eastAsia="en-GB"/>
        </w:rPr>
        <w:t>ion in employment increased by 3.1% in 2016 (age group 25-64). Medium- (i.e. with upper secondary education) and low-skilled (with lower secondary education or below) workers recorded a comparatively lower increase by 0.4% and 0.9% respectively</w:t>
      </w:r>
      <w:r>
        <w:rPr>
          <w:rStyle w:val="FootnoteReference"/>
          <w:rFonts w:ascii="Times New Roman" w:hAnsi="Times New Roman" w:cs="Times New Roman"/>
          <w:noProof/>
          <w:sz w:val="24"/>
          <w:szCs w:val="24"/>
          <w:lang w:eastAsia="en-GB"/>
        </w:rPr>
        <w:footnoteReference w:id="4"/>
      </w:r>
      <w:r>
        <w:rPr>
          <w:rFonts w:ascii="Times New Roman" w:hAnsi="Times New Roman" w:cs="Times New Roman"/>
          <w:noProof/>
          <w:sz w:val="24"/>
          <w:szCs w:val="24"/>
          <w:lang w:eastAsia="en-GB"/>
        </w:rPr>
        <w:t xml:space="preserve">. Detailed </w:t>
      </w:r>
      <w:r>
        <w:rPr>
          <w:rFonts w:ascii="Times New Roman" w:hAnsi="Times New Roman" w:cs="Times New Roman"/>
          <w:noProof/>
          <w:sz w:val="24"/>
          <w:szCs w:val="24"/>
          <w:lang w:eastAsia="en-GB"/>
        </w:rPr>
        <w:t>trends by Member States are provided in the following sections of the report.</w:t>
      </w:r>
    </w:p>
    <w:p w:rsidR="00CB01DD" w:rsidRDefault="00CB01DD">
      <w:pPr>
        <w:spacing w:line="360" w:lineRule="auto"/>
        <w:jc w:val="both"/>
        <w:rPr>
          <w:rFonts w:ascii="Times New Roman" w:hAnsi="Times New Roman" w:cs="Times New Roman"/>
          <w:b/>
          <w:noProof/>
          <w:sz w:val="24"/>
          <w:szCs w:val="24"/>
          <w:lang w:eastAsia="en-GB"/>
        </w:rPr>
      </w:pPr>
    </w:p>
    <w:p w:rsidR="00CB01DD" w:rsidRDefault="00D75BDB">
      <w:pPr>
        <w:pStyle w:val="Caption"/>
        <w:keepNext/>
        <w:spacing w:line="240" w:lineRule="auto"/>
        <w:rPr>
          <w:rFonts w:ascii="Times New Roman" w:hAnsi="Times New Roman"/>
          <w:noProof/>
          <w:sz w:val="24"/>
          <w:szCs w:val="24"/>
        </w:rPr>
      </w:pPr>
      <w:bookmarkStart w:id="7" w:name="_Ref495484633"/>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w:t>
      </w:r>
      <w:r>
        <w:rPr>
          <w:rFonts w:ascii="Times New Roman" w:hAnsi="Times New Roman"/>
          <w:noProof/>
          <w:sz w:val="24"/>
          <w:szCs w:val="24"/>
        </w:rPr>
        <w:fldChar w:fldCharType="end"/>
      </w:r>
      <w:bookmarkEnd w:id="7"/>
      <w:r>
        <w:rPr>
          <w:rFonts w:ascii="Times New Roman" w:hAnsi="Times New Roman"/>
          <w:noProof/>
          <w:sz w:val="24"/>
          <w:szCs w:val="24"/>
        </w:rPr>
        <w:t>: Employment rates and employment growth across different groups in the EU</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128BCF52" wp14:editId="189D415A">
            <wp:extent cx="4522058" cy="35142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3449" cy="351538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CB01DD">
      <w:pPr>
        <w:spacing w:line="360" w:lineRule="auto"/>
        <w:contextualSpacing/>
        <w:jc w:val="both"/>
        <w:rPr>
          <w:rFonts w:ascii="Times New Roman" w:hAnsi="Times New Roman" w:cs="Times New Roman"/>
          <w:iCs/>
          <w:noProof/>
          <w:sz w:val="24"/>
          <w:szCs w:val="24"/>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The recovery is boosting both permanent and temporary jobs, with increasingly full-time work schedules. </w:t>
      </w:r>
      <w:r>
        <w:rPr>
          <w:rFonts w:ascii="Times New Roman" w:hAnsi="Times New Roman" w:cs="Times New Roman"/>
          <w:noProof/>
          <w:sz w:val="24"/>
          <w:szCs w:val="24"/>
          <w:lang w:eastAsia="en-GB"/>
        </w:rPr>
        <w:t>In absolute terms, the increase in the number of employees on permanent contracts in 2016 exceeded that of employees on temporary contracts (2.7 million</w:t>
      </w:r>
      <w:r>
        <w:rPr>
          <w:rFonts w:ascii="Times New Roman" w:hAnsi="Times New Roman" w:cs="Times New Roman"/>
          <w:noProof/>
          <w:sz w:val="24"/>
          <w:szCs w:val="24"/>
          <w:lang w:eastAsia="en-GB"/>
        </w:rPr>
        <w:t xml:space="preserve"> vs. 0.6 million), though in percentage terms the increase was larger for the latter. The share of temporary employees over total employees remained stable at 14.2% (more details in Section 3.3.1). Self-employment increased only marginally (by 0.3%) in 201</w:t>
      </w:r>
      <w:r>
        <w:rPr>
          <w:rFonts w:ascii="Times New Roman" w:hAnsi="Times New Roman" w:cs="Times New Roman"/>
          <w:noProof/>
          <w:sz w:val="24"/>
          <w:szCs w:val="24"/>
          <w:lang w:eastAsia="en-GB"/>
        </w:rPr>
        <w:t>6, with a faster increase among self-employed without employees (more details in Section 3.1.1). As mentioned earlier in the chapter, since the onset of the crisis the number of part-time workers has increased substantially (by around 11% compared to 2008)</w:t>
      </w:r>
      <w:r>
        <w:rPr>
          <w:rFonts w:ascii="Times New Roman" w:hAnsi="Times New Roman" w:cs="Times New Roman"/>
          <w:noProof/>
          <w:sz w:val="24"/>
          <w:szCs w:val="24"/>
          <w:lang w:eastAsia="en-GB"/>
        </w:rPr>
        <w:t>, while full-time employment has dropped (by 2%). Nonetheless, this trend might be on the verge of changing, as in 2016 proportionally more full-time than part-time jobs were created (the same had occurred only once since 2008, in 2014). In addition, the s</w:t>
      </w:r>
      <w:r>
        <w:rPr>
          <w:rFonts w:ascii="Times New Roman" w:hAnsi="Times New Roman" w:cs="Times New Roman"/>
          <w:noProof/>
          <w:sz w:val="24"/>
          <w:szCs w:val="24"/>
          <w:lang w:eastAsia="en-GB"/>
        </w:rPr>
        <w:t>hare of involuntary part-time has decreased in 2016, from 29.1% to 27.7%. In line with the trend of recent years, most job creation occurred in services (+1.7%). Industry and construction also showed good growth (both with +1%). In construction, employment</w:t>
      </w:r>
      <w:r>
        <w:rPr>
          <w:rFonts w:ascii="Times New Roman" w:hAnsi="Times New Roman" w:cs="Times New Roman"/>
          <w:noProof/>
          <w:sz w:val="24"/>
          <w:szCs w:val="24"/>
          <w:lang w:eastAsia="en-GB"/>
        </w:rPr>
        <w:t xml:space="preserve"> growth showed a positive sign for the first year since 2008 – though compared to that year, there are still 18% fewer people employed in the sector. Jobs in agriculture continued to fall, following a long-term trend, by 4% in 2016.</w:t>
      </w:r>
    </w:p>
    <w:p w:rsidR="00CB01DD" w:rsidRDefault="00CB01DD">
      <w:pPr>
        <w:spacing w:line="360" w:lineRule="auto"/>
        <w:contextualSpacing/>
        <w:jc w:val="both"/>
        <w:rPr>
          <w:rFonts w:ascii="Times New Roman" w:hAnsi="Times New Roman" w:cs="Times New Roman"/>
          <w:b/>
          <w:iCs/>
          <w:noProof/>
          <w:sz w:val="24"/>
          <w:szCs w:val="24"/>
        </w:rPr>
      </w:pPr>
    </w:p>
    <w:p w:rsidR="00CB01DD" w:rsidRDefault="00D75BDB">
      <w:pPr>
        <w:pStyle w:val="Heading3"/>
        <w:rPr>
          <w:noProof/>
        </w:rPr>
      </w:pPr>
      <w:bookmarkStart w:id="8" w:name="_Toc498075882"/>
      <w:r>
        <w:rPr>
          <w:noProof/>
        </w:rPr>
        <w:t>1.2</w:t>
      </w:r>
      <w:r>
        <w:rPr>
          <w:noProof/>
        </w:rPr>
        <w:tab/>
        <w:t>Social trends</w:t>
      </w:r>
      <w:bookmarkEnd w:id="8"/>
      <w:r>
        <w:rPr>
          <w:noProof/>
        </w:rPr>
        <w:t xml:space="preserve"> </w:t>
      </w:r>
    </w:p>
    <w:p w:rsidR="00CB01DD" w:rsidRDefault="00CB01DD">
      <w:pPr>
        <w:contextualSpacing/>
        <w:jc w:val="both"/>
        <w:rPr>
          <w:rFonts w:ascii="Times New Roman" w:hAnsi="Times New Roman" w:cs="Times New Roman"/>
          <w:b/>
          <w:noProof/>
          <w:sz w:val="24"/>
          <w:szCs w:val="24"/>
          <w:lang w:eastAsia="en-GB"/>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Im</w:t>
      </w:r>
      <w:r>
        <w:rPr>
          <w:rFonts w:ascii="Times New Roman" w:hAnsi="Times New Roman" w:cs="Times New Roman"/>
          <w:b/>
          <w:noProof/>
          <w:sz w:val="24"/>
          <w:szCs w:val="24"/>
          <w:lang w:eastAsia="en-GB"/>
        </w:rPr>
        <w:t>proved labour market conditions have brought general improvements in the financial situation of households</w:t>
      </w:r>
      <w:r>
        <w:rPr>
          <w:rFonts w:ascii="Times New Roman" w:hAnsi="Times New Roman" w:cs="Times New Roman"/>
          <w:noProof/>
          <w:sz w:val="24"/>
          <w:szCs w:val="24"/>
          <w:lang w:eastAsia="en-GB"/>
        </w:rPr>
        <w:t>. The real Gross Disposable Household Income (GDHI), which measures household market income adjusted for taxes and social transfers, increased for a t</w:t>
      </w:r>
      <w:r>
        <w:rPr>
          <w:rFonts w:ascii="Times New Roman" w:hAnsi="Times New Roman" w:cs="Times New Roman"/>
          <w:noProof/>
          <w:sz w:val="24"/>
          <w:szCs w:val="24"/>
          <w:lang w:eastAsia="en-GB"/>
        </w:rPr>
        <w:t>hird consecutive year in 2016 and has reached the previous peak of 2009</w:t>
      </w:r>
      <w:r>
        <w:rPr>
          <w:rStyle w:val="FootnoteReference"/>
          <w:rFonts w:ascii="Times New Roman" w:hAnsi="Times New Roman" w:cs="Times New Roman"/>
          <w:noProof/>
          <w:sz w:val="24"/>
          <w:szCs w:val="24"/>
          <w:lang w:eastAsia="en-GB"/>
        </w:rPr>
        <w:footnoteReference w:id="5"/>
      </w:r>
      <w:r>
        <w:rPr>
          <w:rFonts w:ascii="Times New Roman" w:hAnsi="Times New Roman" w:cs="Times New Roman"/>
          <w:noProof/>
          <w:sz w:val="24"/>
          <w:szCs w:val="24"/>
          <w:lang w:eastAsia="en-GB"/>
        </w:rPr>
        <w:t>. Quarterly data indicate a stable increase of around 2% on yearly basis in 2016. Growth continued in the first quarter of 2017, though at a slower pace</w:t>
      </w:r>
      <w:r>
        <w:rPr>
          <w:rStyle w:val="FootnoteReference"/>
          <w:rFonts w:ascii="Times New Roman" w:hAnsi="Times New Roman" w:cs="Times New Roman"/>
          <w:noProof/>
          <w:sz w:val="24"/>
          <w:szCs w:val="24"/>
          <w:lang w:eastAsia="en-GB"/>
        </w:rPr>
        <w:footnoteReference w:id="6"/>
      </w:r>
      <w:r>
        <w:rPr>
          <w:rFonts w:ascii="Times New Roman" w:hAnsi="Times New Roman" w:cs="Times New Roman"/>
          <w:noProof/>
          <w:sz w:val="24"/>
          <w:szCs w:val="24"/>
          <w:lang w:eastAsia="en-GB"/>
        </w:rPr>
        <w:t>. Recent growth is driven by hi</w:t>
      </w:r>
      <w:r>
        <w:rPr>
          <w:rFonts w:ascii="Times New Roman" w:hAnsi="Times New Roman" w:cs="Times New Roman"/>
          <w:noProof/>
          <w:sz w:val="24"/>
          <w:szCs w:val="24"/>
          <w:lang w:eastAsia="en-GB"/>
        </w:rPr>
        <w:t xml:space="preserve">gher incomes from work, with compensation of the self-employed and especially employees increasing at a firm pace. This mostly reflects higher employment rates, and to a lesser extent wage increases. Increases in social benefits also raised the disposable </w:t>
      </w:r>
      <w:r>
        <w:rPr>
          <w:rFonts w:ascii="Times New Roman" w:hAnsi="Times New Roman" w:cs="Times New Roman"/>
          <w:noProof/>
          <w:sz w:val="24"/>
          <w:szCs w:val="24"/>
          <w:lang w:eastAsia="en-GB"/>
        </w:rPr>
        <w:t>income of households, but their contribution to overall GDHI growth has decreased in the second half of 2016. Property incomes and other income contributions have remained stable in the past years, while higher social contributions and taxes had a negative</w:t>
      </w:r>
      <w:r>
        <w:rPr>
          <w:rFonts w:ascii="Times New Roman" w:hAnsi="Times New Roman" w:cs="Times New Roman"/>
          <w:noProof/>
          <w:sz w:val="24"/>
          <w:szCs w:val="24"/>
          <w:lang w:eastAsia="en-GB"/>
        </w:rPr>
        <w:t xml:space="preserve"> contribution to GDHI growth.</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The improved income situation of households has reduced the number of people at risk of poverty or social exclusion (AROPE</w:t>
      </w:r>
      <w:r>
        <w:rPr>
          <w:rStyle w:val="FootnoteReference"/>
          <w:rFonts w:ascii="Times New Roman" w:hAnsi="Times New Roman" w:cs="Times New Roman"/>
          <w:b/>
          <w:noProof/>
          <w:sz w:val="24"/>
          <w:szCs w:val="24"/>
          <w:lang w:eastAsia="en-GB"/>
        </w:rPr>
        <w:footnoteReference w:id="7"/>
      </w:r>
      <w:r>
        <w:rPr>
          <w:rFonts w:ascii="Times New Roman" w:hAnsi="Times New Roman" w:cs="Times New Roman"/>
          <w:b/>
          <w:noProof/>
          <w:sz w:val="24"/>
          <w:szCs w:val="24"/>
          <w:lang w:eastAsia="en-GB"/>
        </w:rPr>
        <w:t>).</w:t>
      </w:r>
      <w:r>
        <w:rPr>
          <w:rFonts w:ascii="Times New Roman" w:hAnsi="Times New Roman" w:cs="Times New Roman"/>
          <w:noProof/>
          <w:sz w:val="24"/>
          <w:szCs w:val="24"/>
          <w:lang w:eastAsia="en-GB"/>
        </w:rPr>
        <w:t xml:space="preserve"> This indicator continued to improve for a fourth consecutive year in 2016, dropping to 23.5% (from 2</w:t>
      </w:r>
      <w:r>
        <w:rPr>
          <w:rFonts w:ascii="Times New Roman" w:hAnsi="Times New Roman" w:cs="Times New Roman"/>
          <w:noProof/>
          <w:sz w:val="24"/>
          <w:szCs w:val="24"/>
          <w:lang w:eastAsia="en-GB"/>
        </w:rPr>
        <w:t>3.8% one year earlier), and is now approaching its lowest level of 23.3% in 2009. Still, progress towards achieving the Europe 2020 strategy headline target – of lifting at least 20 million people out of poverty compared to 2008 – remains insufficient.  Ar</w:t>
      </w:r>
      <w:r>
        <w:rPr>
          <w:rFonts w:ascii="Times New Roman" w:hAnsi="Times New Roman" w:cs="Times New Roman"/>
          <w:noProof/>
          <w:sz w:val="24"/>
          <w:szCs w:val="24"/>
          <w:lang w:eastAsia="en-GB"/>
        </w:rPr>
        <w:t>ound 118 million people were at risk of poverty or social exclusion in 2016, i.e. about 700,000 more than in 2008</w:t>
      </w:r>
      <w:r>
        <w:rPr>
          <w:rStyle w:val="FootnoteReference"/>
          <w:rFonts w:ascii="Times New Roman" w:hAnsi="Times New Roman" w:cs="Times New Roman"/>
          <w:noProof/>
          <w:sz w:val="24"/>
          <w:szCs w:val="24"/>
          <w:lang w:eastAsia="en-GB"/>
        </w:rPr>
        <w:footnoteReference w:id="8"/>
      </w:r>
      <w:r>
        <w:rPr>
          <w:rFonts w:ascii="Times New Roman" w:hAnsi="Times New Roman" w:cs="Times New Roman"/>
          <w:noProof/>
          <w:sz w:val="24"/>
          <w:szCs w:val="24"/>
          <w:lang w:eastAsia="en-GB"/>
        </w:rPr>
        <w:t>. The risk was more prevalent among certain groups: children (aged 0-17, 26.4%), young people (aged 18-24, 30.5%) as well as people with at mo</w:t>
      </w:r>
      <w:r>
        <w:rPr>
          <w:rFonts w:ascii="Times New Roman" w:hAnsi="Times New Roman" w:cs="Times New Roman"/>
          <w:noProof/>
          <w:sz w:val="24"/>
          <w:szCs w:val="24"/>
          <w:lang w:eastAsia="en-GB"/>
        </w:rPr>
        <w:t>st lower secondary level education (34.9%) and people with disabilities (aged 16+, 29.9%). Two-thirds of the unemployed were also at risk of poverty or social exclusion in 2016.  Non-EU born people tend to face higher risks of poverty or social exclusion (</w:t>
      </w:r>
      <w:r>
        <w:rPr>
          <w:rFonts w:ascii="Times New Roman" w:hAnsi="Times New Roman" w:cs="Times New Roman"/>
          <w:noProof/>
          <w:sz w:val="24"/>
          <w:szCs w:val="24"/>
          <w:lang w:eastAsia="en-GB"/>
        </w:rPr>
        <w:t xml:space="preserve">39.1% in 2015). Conversely, elderly people (age 65+) remain relatively better protected (with a slight deterioration, from 17.4% in 2015 to 18.3% in 2016). </w:t>
      </w:r>
    </w:p>
    <w:p w:rsidR="00CB01DD" w:rsidRDefault="00CB01DD">
      <w:pPr>
        <w:spacing w:line="360" w:lineRule="auto"/>
        <w:jc w:val="both"/>
        <w:rPr>
          <w:rFonts w:ascii="Times New Roman" w:hAnsi="Times New Roman" w:cs="Times New Roman"/>
          <w:noProof/>
          <w:sz w:val="24"/>
          <w:szCs w:val="24"/>
          <w:lang w:eastAsia="en-GB"/>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rFonts w:ascii="Times New Roman" w:hAnsi="Times New Roman"/>
          <w:noProof/>
          <w:sz w:val="24"/>
          <w:szCs w:val="24"/>
        </w:rPr>
        <w:fldChar w:fldCharType="end"/>
      </w:r>
      <w:r>
        <w:rPr>
          <w:rFonts w:ascii="Times New Roman" w:hAnsi="Times New Roman"/>
          <w:noProof/>
          <w:sz w:val="24"/>
          <w:szCs w:val="24"/>
        </w:rPr>
        <w:t xml:space="preserve">:  Sub-indicators of ‘people at risk of poverty or social exclusion", 2005-2016 </w:t>
      </w:r>
    </w:p>
    <w:p w:rsidR="00CB01DD" w:rsidRDefault="00D75BDB">
      <w:pPr>
        <w:rPr>
          <w:noProof/>
        </w:rPr>
      </w:pPr>
      <w:r>
        <w:rPr>
          <w:noProof/>
          <w:lang w:eastAsia="en-GB"/>
        </w:rPr>
        <w:drawing>
          <wp:inline distT="0" distB="0" distL="0" distR="0" wp14:anchorId="63E0D4E3" wp14:editId="4353F556">
            <wp:extent cx="4831308" cy="267283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3546" cy="2674075"/>
                    </a:xfrm>
                    <a:prstGeom prst="rect">
                      <a:avLst/>
                    </a:prstGeom>
                    <a:noFill/>
                  </pic:spPr>
                </pic:pic>
              </a:graphicData>
            </a:graphic>
          </wp:inline>
        </w:drawing>
      </w:r>
    </w:p>
    <w:p w:rsidR="00CB01DD" w:rsidRDefault="00D75BDB">
      <w:pPr>
        <w:rPr>
          <w:rFonts w:ascii="Times New Roman" w:hAnsi="Times New Roman"/>
          <w:noProof/>
          <w:sz w:val="20"/>
          <w:szCs w:val="20"/>
        </w:rPr>
      </w:pPr>
      <w:r>
        <w:rPr>
          <w:rFonts w:ascii="Times New Roman" w:hAnsi="Times New Roman" w:cs="Times New Roman"/>
          <w:noProof/>
          <w:sz w:val="20"/>
          <w:szCs w:val="20"/>
          <w:lang w:eastAsia="en-GB"/>
        </w:rPr>
        <w:t>Source: Eurostat, SILC. Note: EU27 in this graph equals EU minus Croatia (only available since 2010).</w:t>
      </w:r>
    </w:p>
    <w:p w:rsidR="00CB01DD" w:rsidRDefault="00CB01DD">
      <w:pPr>
        <w:spacing w:line="360" w:lineRule="auto"/>
        <w:jc w:val="both"/>
        <w:rPr>
          <w:rFonts w:ascii="Times New Roman" w:hAnsi="Times New Roman" w:cs="Times New Roman"/>
          <w:b/>
          <w:iCs/>
          <w:noProof/>
          <w:sz w:val="24"/>
          <w:szCs w:val="24"/>
          <w:lang w:eastAsia="en-GB"/>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iCs/>
          <w:noProof/>
          <w:sz w:val="24"/>
          <w:szCs w:val="24"/>
          <w:lang w:eastAsia="en-GB"/>
        </w:rPr>
        <w:t xml:space="preserve">Looking at sub-components of the AROPE, </w:t>
      </w:r>
      <w:r>
        <w:rPr>
          <w:rFonts w:ascii="Times New Roman" w:hAnsi="Times New Roman" w:cs="Times New Roman"/>
          <w:b/>
          <w:noProof/>
          <w:sz w:val="24"/>
          <w:szCs w:val="24"/>
          <w:lang w:eastAsia="en-GB"/>
        </w:rPr>
        <w:t>monetary poverty remains the m</w:t>
      </w:r>
      <w:r>
        <w:rPr>
          <w:rFonts w:ascii="Times New Roman" w:hAnsi="Times New Roman" w:cs="Times New Roman"/>
          <w:b/>
          <w:noProof/>
          <w:sz w:val="24"/>
          <w:szCs w:val="24"/>
          <w:lang w:eastAsia="en-GB"/>
        </w:rPr>
        <w:t>ost relevant challenge.</w:t>
      </w:r>
      <w:r>
        <w:rPr>
          <w:rFonts w:ascii="Times New Roman" w:hAnsi="Times New Roman" w:cs="Times New Roman"/>
          <w:noProof/>
          <w:sz w:val="24"/>
          <w:szCs w:val="24"/>
          <w:lang w:eastAsia="en-GB"/>
        </w:rPr>
        <w:t xml:space="preserve"> The number of people at risk of poverty (AROP</w:t>
      </w:r>
      <w:r>
        <w:rPr>
          <w:rStyle w:val="FootnoteReference"/>
          <w:rFonts w:ascii="Times New Roman" w:hAnsi="Times New Roman" w:cs="Times New Roman"/>
          <w:noProof/>
          <w:sz w:val="24"/>
          <w:szCs w:val="24"/>
          <w:lang w:eastAsia="en-GB"/>
        </w:rPr>
        <w:footnoteReference w:id="9"/>
      </w:r>
      <w:r>
        <w:rPr>
          <w:rFonts w:ascii="Times New Roman" w:hAnsi="Times New Roman" w:cs="Times New Roman"/>
          <w:noProof/>
          <w:sz w:val="24"/>
          <w:szCs w:val="24"/>
          <w:lang w:eastAsia="en-GB"/>
        </w:rPr>
        <w:t>)</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rose for several years following the crisis, driven by the weak economic and labour market situation until mid-2014, reaching a peak of 87 million in 2016</w:t>
      </w:r>
      <w:r>
        <w:rPr>
          <w:rStyle w:val="FootnoteReference"/>
          <w:rFonts w:ascii="Times New Roman" w:hAnsi="Times New Roman" w:cs="Times New Roman"/>
          <w:noProof/>
          <w:sz w:val="24"/>
          <w:szCs w:val="24"/>
          <w:lang w:eastAsia="en-GB"/>
        </w:rPr>
        <w:footnoteReference w:id="10"/>
      </w:r>
      <w:r>
        <w:rPr>
          <w:rFonts w:ascii="Times New Roman" w:hAnsi="Times New Roman" w:cs="Times New Roman"/>
          <w:noProof/>
          <w:sz w:val="24"/>
          <w:szCs w:val="24"/>
          <w:lang w:eastAsia="en-GB"/>
        </w:rPr>
        <w:t xml:space="preserve">. However, as a share of the </w:t>
      </w:r>
      <w:r>
        <w:rPr>
          <w:rFonts w:ascii="Times New Roman" w:hAnsi="Times New Roman" w:cs="Times New Roman"/>
          <w:noProof/>
          <w:sz w:val="24"/>
          <w:szCs w:val="24"/>
          <w:lang w:eastAsia="en-GB"/>
        </w:rPr>
        <w:t>population, the number of people at risk of poverty has stabilised in 2015 and 2016 (17.3% in both years), thanks to the recovery and improving labour market conditions. Still, it remains above the pre-crisis level of 16.4% in 2009. Flash estimates for inc</w:t>
      </w:r>
      <w:r>
        <w:rPr>
          <w:rFonts w:ascii="Times New Roman" w:hAnsi="Times New Roman" w:cs="Times New Roman"/>
          <w:noProof/>
          <w:sz w:val="24"/>
          <w:szCs w:val="24"/>
          <w:lang w:eastAsia="en-GB"/>
        </w:rPr>
        <w:t>ome year 2016 suggest that monetary poverty further stabilised in most Member States.</w:t>
      </w:r>
      <w:r>
        <w:rPr>
          <w:rFonts w:ascii="Times New Roman" w:hAnsi="Times New Roman" w:cs="Times New Roman"/>
          <w:b/>
          <w:noProof/>
          <w:sz w:val="24"/>
          <w:szCs w:val="24"/>
          <w:lang w:eastAsia="en-GB"/>
        </w:rPr>
        <w:t xml:space="preserve"> </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The number of people suffering from severe material deprivation (SMD</w:t>
      </w:r>
      <w:r>
        <w:rPr>
          <w:rStyle w:val="FootnoteReference"/>
          <w:rFonts w:ascii="Times New Roman" w:hAnsi="Times New Roman" w:cs="Times New Roman"/>
          <w:b/>
          <w:noProof/>
          <w:sz w:val="24"/>
          <w:szCs w:val="24"/>
          <w:lang w:eastAsia="en-GB"/>
        </w:rPr>
        <w:footnoteReference w:id="11"/>
      </w:r>
      <w:r>
        <w:rPr>
          <w:rFonts w:ascii="Times New Roman" w:hAnsi="Times New Roman" w:cs="Times New Roman"/>
          <w:b/>
          <w:noProof/>
          <w:sz w:val="24"/>
          <w:szCs w:val="24"/>
          <w:lang w:eastAsia="en-GB"/>
        </w:rPr>
        <w:t>) has been declining since 2013, and in 2016 reached the lowest level ever recorded</w:t>
      </w:r>
      <w:r>
        <w:rPr>
          <w:rFonts w:ascii="Times New Roman" w:hAnsi="Times New Roman" w:cs="Times New Roman"/>
          <w:noProof/>
          <w:sz w:val="24"/>
          <w:szCs w:val="24"/>
          <w:lang w:eastAsia="en-GB"/>
        </w:rPr>
        <w:t xml:space="preserve"> </w:t>
      </w:r>
      <w:r>
        <w:rPr>
          <w:rFonts w:ascii="Times New Roman" w:hAnsi="Times New Roman" w:cs="Times New Roman"/>
          <w:b/>
          <w:noProof/>
          <w:color w:val="000000" w:themeColor="text1"/>
          <w:sz w:val="24"/>
          <w:szCs w:val="24"/>
          <w:lang w:eastAsia="en-GB"/>
        </w:rPr>
        <w:t>(37.8 million).</w:t>
      </w:r>
      <w:r>
        <w:rPr>
          <w:rFonts w:ascii="Times New Roman" w:hAnsi="Times New Roman" w:cs="Times New Roman"/>
          <w:noProof/>
          <w:color w:val="000000" w:themeColor="text1"/>
          <w:sz w:val="24"/>
          <w:szCs w:val="24"/>
          <w:lang w:eastAsia="en-GB"/>
        </w:rPr>
        <w:t xml:space="preserve"> </w:t>
      </w:r>
      <w:r>
        <w:rPr>
          <w:rFonts w:ascii="Times New Roman" w:hAnsi="Times New Roman" w:cs="Times New Roman"/>
          <w:noProof/>
          <w:color w:val="000000" w:themeColor="text1"/>
          <w:sz w:val="24"/>
          <w:szCs w:val="24"/>
          <w:lang w:eastAsia="en-GB"/>
        </w:rPr>
        <w:t>This figure amounts to</w:t>
      </w:r>
      <w:r>
        <w:rPr>
          <w:rFonts w:ascii="Times New Roman" w:hAnsi="Times New Roman" w:cs="Times New Roman"/>
          <w:noProof/>
          <w:sz w:val="24"/>
          <w:szCs w:val="24"/>
          <w:lang w:eastAsia="en-GB"/>
        </w:rPr>
        <w:t xml:space="preserve"> 7.5% of the EU population (from 8.1% in 2015). Its decrease, reflecting a fall in absolute poverty, is the main driver behind the reduced number of people at risk of poverty or social exclusion. The improved labour market situation l</w:t>
      </w:r>
      <w:r>
        <w:rPr>
          <w:rFonts w:ascii="Times New Roman" w:hAnsi="Times New Roman" w:cs="Times New Roman"/>
          <w:noProof/>
          <w:sz w:val="24"/>
          <w:szCs w:val="24"/>
          <w:lang w:eastAsia="en-GB"/>
        </w:rPr>
        <w:t>ed to a decrease in the share of people living in (quasi) jobless households</w:t>
      </w:r>
      <w:r>
        <w:rPr>
          <w:rStyle w:val="FootnoteReference"/>
          <w:rFonts w:ascii="Times New Roman" w:hAnsi="Times New Roman" w:cs="Times New Roman"/>
          <w:noProof/>
          <w:sz w:val="24"/>
          <w:szCs w:val="24"/>
          <w:lang w:eastAsia="en-GB"/>
        </w:rPr>
        <w:footnoteReference w:id="12"/>
      </w:r>
      <w:r>
        <w:rPr>
          <w:rFonts w:ascii="Times New Roman" w:hAnsi="Times New Roman" w:cs="Times New Roman"/>
          <w:noProof/>
          <w:sz w:val="24"/>
          <w:szCs w:val="24"/>
          <w:lang w:eastAsia="en-GB"/>
        </w:rPr>
        <w:t>.</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This share amounted to 10.4% (or 38.8 million) in 2016,</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declining from the 2014 peak of 11.2%. However, over a longer time horizon, it remains elevated compared to 2008 (9.2%).</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In-work poverty risk has remained on an increasing trend (started with the crisis), affecting 9.6% of the working age population in 2016</w:t>
      </w:r>
      <w:r>
        <w:rPr>
          <w:rFonts w:ascii="Times New Roman" w:hAnsi="Times New Roman" w:cs="Times New Roman"/>
          <w:noProof/>
          <w:sz w:val="24"/>
          <w:szCs w:val="24"/>
          <w:lang w:eastAsia="en-GB"/>
        </w:rPr>
        <w:t>. This value remains above its lowest level of 8.3% in 2010, and correspnds to over 32 million workers at risk of povert</w:t>
      </w:r>
      <w:r>
        <w:rPr>
          <w:rFonts w:ascii="Times New Roman" w:hAnsi="Times New Roman" w:cs="Times New Roman"/>
          <w:noProof/>
          <w:sz w:val="24"/>
          <w:szCs w:val="24"/>
          <w:lang w:eastAsia="en-GB"/>
        </w:rPr>
        <w:t>y. Although crucial in bringing down the risk of poverty, employment alone is not always sufficient to lift people out of poverty. Increases in non-standard forms of employment and employment polarisation may impact future results for this indicator.</w:t>
      </w:r>
    </w:p>
    <w:p w:rsidR="00CB01DD" w:rsidRDefault="00D75BDB">
      <w:pPr>
        <w:spacing w:line="360" w:lineRule="auto"/>
        <w:jc w:val="both"/>
        <w:rPr>
          <w:rFonts w:ascii="Times New Roman" w:hAnsi="Times New Roman"/>
          <w:iCs/>
          <w:noProof/>
          <w:sz w:val="24"/>
          <w:szCs w:val="24"/>
        </w:rPr>
      </w:pPr>
      <w:r>
        <w:rPr>
          <w:rFonts w:ascii="Times New Roman" w:hAnsi="Times New Roman" w:cs="Times New Roman"/>
          <w:b/>
          <w:noProof/>
          <w:sz w:val="24"/>
          <w:szCs w:val="24"/>
          <w:lang w:eastAsia="en-GB"/>
        </w:rPr>
        <w:t>Income inequality started slowly declining in 2016, after having increased in the aftermath of the crisis.</w:t>
      </w:r>
      <w:r>
        <w:rPr>
          <w:rFonts w:ascii="Times New Roman" w:hAnsi="Times New Roman" w:cs="Times New Roman"/>
          <w:noProof/>
          <w:sz w:val="24"/>
          <w:szCs w:val="24"/>
          <w:lang w:eastAsia="en-GB"/>
        </w:rPr>
        <w:t xml:space="preserve"> The income quintile share ratio (i.e. the ratio of total income received by the 20% of the population with the highest income to that received by the</w:t>
      </w:r>
      <w:r>
        <w:rPr>
          <w:rFonts w:ascii="Times New Roman" w:hAnsi="Times New Roman" w:cs="Times New Roman"/>
          <w:noProof/>
          <w:sz w:val="24"/>
          <w:szCs w:val="24"/>
          <w:lang w:eastAsia="en-GB"/>
        </w:rPr>
        <w:t xml:space="preserve"> 20 % of the population with the lowest income) slightly receded from 5.2 in 2015 to 5.1 in 2016, after increasing from 4.9 in 2009. This modest development reflects the improved economic and labour market conditions. Nonetheless, t</w:t>
      </w:r>
      <w:r>
        <w:rPr>
          <w:rFonts w:ascii="Times New Roman" w:hAnsi="Times New Roman"/>
          <w:bCs/>
          <w:noProof/>
          <w:sz w:val="24"/>
          <w:szCs w:val="24"/>
          <w:lang w:eastAsia="en-GB"/>
        </w:rPr>
        <w:t xml:space="preserve">he average EU indicator </w:t>
      </w:r>
      <w:r>
        <w:rPr>
          <w:rFonts w:ascii="Times New Roman" w:hAnsi="Times New Roman"/>
          <w:bCs/>
          <w:noProof/>
          <w:sz w:val="24"/>
          <w:szCs w:val="24"/>
          <w:lang w:eastAsia="en-GB"/>
        </w:rPr>
        <w:t xml:space="preserve">on income inequality hides considerable variation across countries (see Section 3.4). </w:t>
      </w:r>
    </w:p>
    <w:p w:rsidR="00CB01DD" w:rsidRDefault="00D75BDB">
      <w:pPr>
        <w:rPr>
          <w:noProof/>
        </w:rPr>
      </w:pPr>
      <w:r>
        <w:rPr>
          <w:noProof/>
        </w:rPr>
        <w:br w:type="page"/>
      </w:r>
    </w:p>
    <w:p w:rsidR="00CB01DD" w:rsidRDefault="00D75BDB">
      <w:pPr>
        <w:pStyle w:val="Heading1"/>
        <w:rPr>
          <w:noProof/>
        </w:rPr>
      </w:pPr>
      <w:bookmarkStart w:id="9" w:name="_Toc498075883"/>
      <w:r>
        <w:rPr>
          <w:noProof/>
        </w:rPr>
        <w:t>2.</w:t>
      </w:r>
      <w:r>
        <w:rPr>
          <w:noProof/>
        </w:rPr>
        <w:tab/>
        <w:t>SNAPSHOTS FROM THE SOCIAL SCOREBOARD</w:t>
      </w:r>
      <w:bookmarkEnd w:id="9"/>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Pillar of Social Rights, signed as an inter-institutional Proclamation by the European Parliament, the Council and</w:t>
      </w:r>
      <w:r>
        <w:rPr>
          <w:rFonts w:ascii="Times New Roman" w:hAnsi="Times New Roman" w:cs="Times New Roman"/>
          <w:noProof/>
          <w:sz w:val="24"/>
          <w:szCs w:val="24"/>
        </w:rPr>
        <w:t xml:space="preserve"> the Commission on 17 November 2017, sets out a number of key principles and rights to support fair and well-functioning labour markets and welfare systems. It is designed as a compass for a renewed process of convergence among Member States towards better</w:t>
      </w:r>
      <w:r>
        <w:rPr>
          <w:rFonts w:ascii="Times New Roman" w:hAnsi="Times New Roman" w:cs="Times New Roman"/>
          <w:noProof/>
          <w:sz w:val="24"/>
          <w:szCs w:val="24"/>
        </w:rPr>
        <w:t xml:space="preserve"> working and living conditions.</w:t>
      </w: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The European Pillar of Social Rights is accompanied by a new social scoreboard to monitor performances and track trends across the Member States</w:t>
      </w:r>
      <w:r>
        <w:rPr>
          <w:rStyle w:val="FootnoteReference"/>
          <w:rFonts w:ascii="Times New Roman" w:hAnsi="Times New Roman" w:cs="Times New Roman"/>
          <w:iCs/>
          <w:noProof/>
          <w:sz w:val="24"/>
          <w:szCs w:val="24"/>
        </w:rPr>
        <w:footnoteReference w:id="13"/>
      </w:r>
      <w:r>
        <w:rPr>
          <w:rFonts w:ascii="Times New Roman" w:hAnsi="Times New Roman" w:cs="Times New Roman"/>
          <w:iCs/>
          <w:noProof/>
          <w:sz w:val="24"/>
          <w:szCs w:val="24"/>
        </w:rPr>
        <w:t>. This edition of the Joint Employment Report presents the results from the soc</w:t>
      </w:r>
      <w:r>
        <w:rPr>
          <w:rFonts w:ascii="Times New Roman" w:hAnsi="Times New Roman" w:cs="Times New Roman"/>
          <w:iCs/>
          <w:noProof/>
          <w:sz w:val="24"/>
          <w:szCs w:val="24"/>
        </w:rPr>
        <w:t xml:space="preserve">ial scoreboard, which replaces the </w:t>
      </w:r>
      <w:r>
        <w:rPr>
          <w:rFonts w:ascii="Times New Roman" w:hAnsi="Times New Roman" w:cs="Times New Roman"/>
          <w:bCs/>
          <w:noProof/>
          <w:sz w:val="24"/>
          <w:szCs w:val="24"/>
        </w:rPr>
        <w:t>scoreboard of key employment and social indicators agreed in 2013</w:t>
      </w:r>
      <w:r>
        <w:rPr>
          <w:rStyle w:val="FootnoteReference"/>
          <w:rFonts w:ascii="Times New Roman" w:hAnsi="Times New Roman" w:cs="Times New Roman"/>
          <w:bCs/>
          <w:noProof/>
          <w:sz w:val="24"/>
          <w:szCs w:val="24"/>
        </w:rPr>
        <w:footnoteReference w:id="14"/>
      </w:r>
      <w:r>
        <w:rPr>
          <w:rFonts w:ascii="Times New Roman" w:hAnsi="Times New Roman" w:cs="Times New Roman"/>
          <w:bCs/>
          <w:noProof/>
          <w:sz w:val="24"/>
          <w:szCs w:val="24"/>
        </w:rPr>
        <w:t xml:space="preserve">. </w:t>
      </w:r>
      <w:r>
        <w:rPr>
          <w:rFonts w:ascii="Times New Roman" w:hAnsi="Times New Roman" w:cs="Times New Roman"/>
          <w:iCs/>
          <w:noProof/>
          <w:sz w:val="24"/>
          <w:szCs w:val="24"/>
        </w:rPr>
        <w:t xml:space="preserve">The new scoreboard provides a number of </w:t>
      </w:r>
      <w:r>
        <w:rPr>
          <w:rFonts w:ascii="Times New Roman" w:hAnsi="Times New Roman" w:cs="Times New Roman"/>
          <w:b/>
          <w:i/>
          <w:iCs/>
          <w:noProof/>
          <w:sz w:val="24"/>
          <w:szCs w:val="24"/>
        </w:rPr>
        <w:t>Headline Indicators</w:t>
      </w:r>
      <w:r>
        <w:rPr>
          <w:rFonts w:ascii="Times New Roman" w:hAnsi="Times New Roman" w:cs="Times New Roman"/>
          <w:iCs/>
          <w:noProof/>
          <w:sz w:val="24"/>
          <w:szCs w:val="24"/>
        </w:rPr>
        <w:t xml:space="preserve"> to screen the employment and social performance of Member States along three broad dimensions</w:t>
      </w:r>
      <w:r>
        <w:rPr>
          <w:rFonts w:ascii="Times New Roman" w:hAnsi="Times New Roman" w:cs="Times New Roman"/>
          <w:iCs/>
          <w:noProof/>
          <w:sz w:val="24"/>
          <w:szCs w:val="24"/>
        </w:rPr>
        <w:t xml:space="preserve">, identified in the context of the Pillar: (i) equal opportunities and access to the labour market, (ii) dynamic labour markets and fair working conditions, and (iii) public support / social protection and inclusion. This </w:t>
      </w:r>
      <w:r>
        <w:rPr>
          <w:rFonts w:ascii="Times New Roman" w:hAnsi="Times New Roman" w:cs="Times New Roman"/>
          <w:noProof/>
          <w:sz w:val="24"/>
          <w:szCs w:val="24"/>
        </w:rPr>
        <w:t>analysis</w:t>
      </w:r>
      <w:r>
        <w:rPr>
          <w:rFonts w:ascii="Times New Roman" w:hAnsi="Times New Roman" w:cs="Times New Roman"/>
          <w:iCs/>
          <w:noProof/>
          <w:sz w:val="24"/>
          <w:szCs w:val="24"/>
        </w:rPr>
        <w:t xml:space="preserve"> is placed in the broader </w:t>
      </w:r>
      <w:r>
        <w:rPr>
          <w:rFonts w:ascii="Times New Roman" w:hAnsi="Times New Roman" w:cs="Times New Roman"/>
          <w:iCs/>
          <w:noProof/>
          <w:sz w:val="24"/>
          <w:szCs w:val="24"/>
        </w:rPr>
        <w:t xml:space="preserve">reform context presented in Chapter 3. </w:t>
      </w:r>
    </w:p>
    <w:p w:rsidR="00CB01DD" w:rsidRDefault="00CB01DD">
      <w:pPr>
        <w:autoSpaceDE w:val="0"/>
        <w:autoSpaceDN w:val="0"/>
        <w:adjustRightInd w:val="0"/>
        <w:spacing w:line="360" w:lineRule="auto"/>
        <w:ind w:left="720" w:hanging="720"/>
        <w:jc w:val="both"/>
        <w:rPr>
          <w:rFonts w:ascii="Times New Roman" w:hAnsi="Times New Roman" w:cs="Times New Roman"/>
          <w:bCs/>
          <w:noProof/>
          <w:sz w:val="24"/>
          <w:szCs w:val="24"/>
        </w:rPr>
      </w:pPr>
    </w:p>
    <w:p w:rsidR="00CB01DD" w:rsidRDefault="00D75BDB">
      <w:pPr>
        <w:pStyle w:val="Heading3"/>
        <w:rPr>
          <w:noProof/>
        </w:rPr>
      </w:pPr>
      <w:bookmarkStart w:id="10" w:name="_Toc498075884"/>
      <w:r>
        <w:rPr>
          <w:noProof/>
        </w:rPr>
        <w:t>2.1</w:t>
      </w:r>
      <w:r>
        <w:rPr>
          <w:noProof/>
        </w:rPr>
        <w:tab/>
        <w:t>The scoreboard explained</w:t>
      </w:r>
      <w:bookmarkEnd w:id="10"/>
      <w:r>
        <w:rPr>
          <w:noProof/>
        </w:rPr>
        <w:tab/>
      </w: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The social scoreboard will be a central tool for monitoring convergence towards better working and living conditions</w:t>
      </w:r>
      <w:r>
        <w:rPr>
          <w:rFonts w:ascii="Times New Roman" w:hAnsi="Times New Roman" w:cs="Times New Roman"/>
          <w:noProof/>
          <w:sz w:val="24"/>
          <w:szCs w:val="24"/>
        </w:rPr>
        <w:t xml:space="preserve">. It notably </w:t>
      </w:r>
      <w:r>
        <w:rPr>
          <w:rFonts w:ascii="Times New Roman" w:hAnsi="Times New Roman" w:cs="Times New Roman"/>
          <w:iCs/>
          <w:noProof/>
          <w:sz w:val="24"/>
          <w:szCs w:val="24"/>
        </w:rPr>
        <w:t>consists of the following 14 headline indicators that as</w:t>
      </w:r>
      <w:r>
        <w:rPr>
          <w:rFonts w:ascii="Times New Roman" w:hAnsi="Times New Roman" w:cs="Times New Roman"/>
          <w:iCs/>
          <w:noProof/>
          <w:sz w:val="24"/>
          <w:szCs w:val="24"/>
        </w:rPr>
        <w:t>sess employment and social trends at large</w:t>
      </w:r>
      <w:r>
        <w:rPr>
          <w:rStyle w:val="FootnoteReference"/>
          <w:rFonts w:ascii="Times New Roman" w:hAnsi="Times New Roman" w:cs="Times New Roman"/>
          <w:iCs/>
          <w:noProof/>
          <w:sz w:val="24"/>
          <w:szCs w:val="24"/>
        </w:rPr>
        <w:footnoteReference w:id="15"/>
      </w:r>
      <w:r>
        <w:rPr>
          <w:rFonts w:ascii="Times New Roman" w:hAnsi="Times New Roman" w:cs="Times New Roman"/>
          <w:iCs/>
          <w:noProof/>
          <w:sz w:val="24"/>
          <w:szCs w:val="24"/>
        </w:rPr>
        <w:t xml:space="preserve"> :</w:t>
      </w:r>
    </w:p>
    <w:p w:rsidR="00CB01DD" w:rsidRDefault="00D75BDB">
      <w:pPr>
        <w:pStyle w:val="ListParagraph"/>
        <w:numPr>
          <w:ilvl w:val="0"/>
          <w:numId w:val="1"/>
        </w:numPr>
        <w:spacing w:line="36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Equal opportunities and access to the labour market:</w:t>
      </w:r>
    </w:p>
    <w:p w:rsidR="00CB01DD" w:rsidRDefault="00D75BDB">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Share of early leavers from education and training, age 18-24</w:t>
      </w:r>
    </w:p>
    <w:p w:rsidR="00CB01DD" w:rsidRDefault="00D75BDB">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Gender gap in employment rate, age 20-64</w:t>
      </w:r>
    </w:p>
    <w:p w:rsidR="00CB01DD" w:rsidRDefault="00D75BDB">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Income inequality measured as quintile share ratio - </w:t>
      </w:r>
      <w:r>
        <w:rPr>
          <w:rFonts w:ascii="Times New Roman" w:hAnsi="Times New Roman" w:cs="Times New Roman"/>
          <w:iCs/>
          <w:noProof/>
          <w:sz w:val="24"/>
          <w:szCs w:val="24"/>
        </w:rPr>
        <w:t>S80/S20</w:t>
      </w:r>
    </w:p>
    <w:p w:rsidR="00CB01DD" w:rsidRDefault="00D75BDB">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At-risk-of-poverty or social exclusion rate (AROPE)</w:t>
      </w:r>
    </w:p>
    <w:p w:rsidR="00CB01DD" w:rsidRDefault="00D75BDB">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Young people neither in employment nor in education or training (NEET rate), age 15-24</w:t>
      </w:r>
    </w:p>
    <w:p w:rsidR="00CB01DD" w:rsidRDefault="00D75BDB">
      <w:pPr>
        <w:pStyle w:val="ListParagraph"/>
        <w:numPr>
          <w:ilvl w:val="0"/>
          <w:numId w:val="1"/>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cs="Times New Roman"/>
          <w:i/>
          <w:iCs/>
          <w:noProof/>
          <w:sz w:val="24"/>
          <w:szCs w:val="24"/>
        </w:rPr>
        <w:t>Dynamic labour markets and fair working conditions</w:t>
      </w:r>
      <w:r>
        <w:rPr>
          <w:rStyle w:val="FootnoteReference"/>
          <w:rFonts w:ascii="Times New Roman" w:hAnsi="Times New Roman" w:cs="Times New Roman"/>
          <w:i/>
          <w:iCs/>
          <w:noProof/>
          <w:sz w:val="24"/>
          <w:szCs w:val="24"/>
        </w:rPr>
        <w:footnoteReference w:id="16"/>
      </w:r>
      <w:r>
        <w:rPr>
          <w:rFonts w:ascii="Times New Roman" w:hAnsi="Times New Roman" w:cs="Times New Roman"/>
          <w:i/>
          <w:iCs/>
          <w:noProof/>
          <w:sz w:val="24"/>
          <w:szCs w:val="24"/>
        </w:rPr>
        <w:t>:</w:t>
      </w:r>
    </w:p>
    <w:p w:rsidR="00CB01DD" w:rsidRDefault="00D75BDB">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Employment rate, age 20-64</w:t>
      </w:r>
    </w:p>
    <w:p w:rsidR="00CB01DD" w:rsidRDefault="00D75BDB">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Unemployment rate, age 15-74</w:t>
      </w:r>
    </w:p>
    <w:p w:rsidR="00CB01DD" w:rsidRDefault="00D75BDB">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Participants in active labour market policies per 100 persons wanting to work</w:t>
      </w:r>
    </w:p>
    <w:p w:rsidR="00CB01DD" w:rsidRDefault="00D75BDB">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Gross disposable income of households in real terms, per capita</w:t>
      </w:r>
      <w:r>
        <w:rPr>
          <w:rStyle w:val="FootnoteReference"/>
          <w:rFonts w:ascii="Times New Roman" w:hAnsi="Times New Roman" w:cs="Times New Roman"/>
          <w:iCs/>
          <w:noProof/>
          <w:sz w:val="24"/>
          <w:szCs w:val="24"/>
        </w:rPr>
        <w:footnoteReference w:id="17"/>
      </w:r>
    </w:p>
    <w:p w:rsidR="00CB01DD" w:rsidRDefault="00D75BDB">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Compensation of employees per hour worked, in euro</w:t>
      </w:r>
    </w:p>
    <w:p w:rsidR="00CB01DD" w:rsidRDefault="00D75BDB">
      <w:pPr>
        <w:pStyle w:val="ListParagraph"/>
        <w:numPr>
          <w:ilvl w:val="0"/>
          <w:numId w:val="2"/>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cs="Times New Roman"/>
          <w:i/>
          <w:iCs/>
          <w:noProof/>
          <w:sz w:val="24"/>
          <w:szCs w:val="24"/>
        </w:rPr>
        <w:t>Public support / Social protection and inclusion:</w:t>
      </w:r>
    </w:p>
    <w:p w:rsidR="00CB01DD" w:rsidRDefault="00D75BDB">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Impact of </w:t>
      </w:r>
      <w:r>
        <w:rPr>
          <w:rFonts w:ascii="Times New Roman" w:hAnsi="Times New Roman" w:cs="Times New Roman"/>
          <w:iCs/>
          <w:noProof/>
          <w:sz w:val="24"/>
          <w:szCs w:val="24"/>
        </w:rPr>
        <w:t>social transfers (other than pensions) on poverty reduction</w:t>
      </w:r>
      <w:r>
        <w:rPr>
          <w:rStyle w:val="FootnoteReference"/>
          <w:rFonts w:ascii="Times New Roman" w:hAnsi="Times New Roman" w:cs="Times New Roman"/>
          <w:iCs/>
          <w:noProof/>
          <w:sz w:val="24"/>
          <w:szCs w:val="24"/>
        </w:rPr>
        <w:footnoteReference w:id="18"/>
      </w:r>
    </w:p>
    <w:p w:rsidR="00CB01DD" w:rsidRDefault="00D75BDB">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Children aged less than 3 years in formal childcare</w:t>
      </w:r>
    </w:p>
    <w:p w:rsidR="00CB01DD" w:rsidRDefault="00D75BDB">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Self-reported unmet need for medical care</w:t>
      </w:r>
    </w:p>
    <w:p w:rsidR="00CB01DD" w:rsidRDefault="00D75BDB">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iCs/>
          <w:noProof/>
          <w:sz w:val="24"/>
          <w:szCs w:val="24"/>
        </w:rPr>
        <w:t>Share of population with basic overall digital skills or above.</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b/>
          <w:noProof/>
          <w:sz w:val="24"/>
          <w:szCs w:val="24"/>
          <w:lang w:val="en-US"/>
        </w:rPr>
        <w:t>The common methodology used to analys</w:t>
      </w:r>
      <w:r>
        <w:rPr>
          <w:rFonts w:ascii="Times New Roman" w:eastAsia="MS Mincho" w:hAnsi="Times New Roman" w:cs="Times New Roman"/>
          <w:b/>
          <w:noProof/>
          <w:sz w:val="24"/>
          <w:szCs w:val="24"/>
          <w:lang w:val="en-US"/>
        </w:rPr>
        <w:t xml:space="preserve">e the Scoreboard has been </w:t>
      </w:r>
      <w:r>
        <w:rPr>
          <w:rFonts w:ascii="Times New Roman" w:eastAsia="MS Mincho" w:hAnsi="Times New Roman" w:cs="Times New Roman"/>
          <w:b/>
          <w:iCs/>
          <w:noProof/>
          <w:sz w:val="24"/>
          <w:szCs w:val="24"/>
        </w:rPr>
        <w:t>agreed by the Employment Committee and the Social Protection Committee</w:t>
      </w:r>
      <w:r>
        <w:rPr>
          <w:rFonts w:ascii="Times New Roman" w:eastAsia="MS Mincho" w:hAnsi="Times New Roman" w:cs="Times New Roman"/>
          <w:iCs/>
          <w:noProof/>
          <w:sz w:val="24"/>
          <w:szCs w:val="24"/>
        </w:rPr>
        <w:t xml:space="preserve"> (see Annex 3 for details). It</w:t>
      </w:r>
      <w:r>
        <w:rPr>
          <w:rFonts w:ascii="Times New Roman" w:eastAsia="MS Mincho" w:hAnsi="Times New Roman" w:cs="Times New Roman"/>
          <w:b/>
          <w:iCs/>
          <w:noProof/>
          <w:sz w:val="24"/>
          <w:szCs w:val="24"/>
        </w:rPr>
        <w:t xml:space="preserve"> </w:t>
      </w:r>
      <w:r>
        <w:rPr>
          <w:rFonts w:ascii="Times New Roman" w:eastAsia="MS Mincho" w:hAnsi="Times New Roman" w:cs="Times New Roman"/>
          <w:noProof/>
          <w:sz w:val="24"/>
          <w:szCs w:val="24"/>
          <w:lang w:val="en-US"/>
        </w:rPr>
        <w:t>evaluates the situation and developments in Member States by looking at levels and yearly changes</w:t>
      </w:r>
      <w:r>
        <w:rPr>
          <w:rStyle w:val="FootnoteReference"/>
          <w:rFonts w:ascii="Times New Roman" w:eastAsia="MS Mincho" w:hAnsi="Times New Roman" w:cs="Times New Roman"/>
          <w:noProof/>
          <w:sz w:val="24"/>
          <w:szCs w:val="24"/>
          <w:lang w:val="en-US"/>
        </w:rPr>
        <w:footnoteReference w:id="19"/>
      </w:r>
      <w:r>
        <w:rPr>
          <w:rFonts w:ascii="Times New Roman" w:eastAsia="MS Mincho" w:hAnsi="Times New Roman" w:cs="Times New Roman"/>
          <w:noProof/>
          <w:sz w:val="24"/>
          <w:szCs w:val="24"/>
          <w:lang w:val="en-US"/>
        </w:rPr>
        <w:t xml:space="preserve"> of each of the headline indicators included in the social scoreboard.</w:t>
      </w:r>
      <w:r>
        <w:rPr>
          <w:rFonts w:ascii="Times New Roman" w:eastAsia="MS Mincho" w:hAnsi="Times New Roman" w:cs="Times New Roman"/>
          <w:b/>
          <w:noProof/>
          <w:sz w:val="24"/>
          <w:szCs w:val="24"/>
          <w:lang w:val="en-US"/>
        </w:rPr>
        <w:t xml:space="preserve"> </w:t>
      </w:r>
      <w:r>
        <w:rPr>
          <w:rFonts w:ascii="Times New Roman" w:eastAsia="MS Mincho" w:hAnsi="Times New Roman" w:cs="Times New Roman"/>
          <w:noProof/>
          <w:sz w:val="24"/>
          <w:szCs w:val="24"/>
          <w:lang w:val="en-US"/>
        </w:rPr>
        <w:t>Levels and changes are classified according to their distance from the respective (unweighted) EU averages. Member States' performances on levels and changes are then combined (by using</w:t>
      </w:r>
      <w:r>
        <w:rPr>
          <w:rFonts w:ascii="Times New Roman" w:eastAsia="MS Mincho" w:hAnsi="Times New Roman" w:cs="Times New Roman"/>
          <w:noProof/>
          <w:sz w:val="24"/>
          <w:szCs w:val="24"/>
          <w:lang w:val="en-US"/>
        </w:rPr>
        <w:t xml:space="preserve"> a predefined matrix) so that each Member State is assigned to one out of seven categories ("best performers", "better than average", "good but to monitor", "on average/neutral", "weak but improving", "to watch" and "critical situations"). On this basis, T</w:t>
      </w:r>
      <w:r>
        <w:rPr>
          <w:rFonts w:ascii="Times New Roman" w:eastAsia="MS Mincho" w:hAnsi="Times New Roman" w:cs="Times New Roman"/>
          <w:noProof/>
          <w:sz w:val="24"/>
          <w:szCs w:val="24"/>
          <w:lang w:val="en-US"/>
        </w:rPr>
        <w:t xml:space="preserve">able 1 provides a summary of the readings of the scoreboard according to the latest figures available for each indicator. </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b/>
          <w:noProof/>
          <w:sz w:val="24"/>
          <w:szCs w:val="24"/>
          <w:lang w:val="en-US"/>
        </w:rPr>
        <w:t>A careful and non-mechanical reading of the table is warranted.</w:t>
      </w:r>
      <w:r>
        <w:rPr>
          <w:rFonts w:ascii="Times New Roman" w:eastAsia="MS Mincho" w:hAnsi="Times New Roman" w:cs="Times New Roman"/>
          <w:noProof/>
          <w:sz w:val="24"/>
          <w:szCs w:val="24"/>
          <w:lang w:val="en-US"/>
        </w:rPr>
        <w:t xml:space="preserve"> To this purpose, a detailed analysis of the fourteen indicators, incl</w:t>
      </w:r>
      <w:r>
        <w:rPr>
          <w:rFonts w:ascii="Times New Roman" w:eastAsia="MS Mincho" w:hAnsi="Times New Roman" w:cs="Times New Roman"/>
          <w:noProof/>
          <w:sz w:val="24"/>
          <w:szCs w:val="24"/>
          <w:lang w:val="en-US"/>
        </w:rPr>
        <w:t>uding longer-term trends and additional indicators, when relevant, is presented in Chapter 3. In addition, the forthcoming country reports will provide an in-depth analysis of all "critical situations" and additional socio-economic background to better qua</w:t>
      </w:r>
      <w:r>
        <w:rPr>
          <w:rFonts w:ascii="Times New Roman" w:eastAsia="MS Mincho" w:hAnsi="Times New Roman" w:cs="Times New Roman"/>
          <w:noProof/>
          <w:sz w:val="24"/>
          <w:szCs w:val="24"/>
          <w:lang w:val="en-US"/>
        </w:rPr>
        <w:t>lify country-specific challenges in the context of the European Semester. This will provide an analytical basis for the subsequent Commission proposals for Country Specific Recommendations where appropriate.</w:t>
      </w:r>
    </w:p>
    <w:p w:rsidR="00CB01DD" w:rsidRDefault="00D75BDB">
      <w:pPr>
        <w:pStyle w:val="Heading3"/>
        <w:rPr>
          <w:b/>
          <w:noProof/>
          <w:color w:val="4F81BD" w:themeColor="accent1"/>
          <w:sz w:val="26"/>
          <w:szCs w:val="26"/>
        </w:rPr>
      </w:pPr>
      <w:bookmarkStart w:id="11" w:name="_Toc498075885"/>
      <w:r>
        <w:rPr>
          <w:noProof/>
        </w:rPr>
        <w:t>2.2</w:t>
      </w:r>
      <w:r>
        <w:rPr>
          <w:noProof/>
        </w:rPr>
        <w:tab/>
        <w:t>Evidence from the social scoreboard</w:t>
      </w:r>
      <w:bookmarkEnd w:id="11"/>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b/>
          <w:noProof/>
          <w:sz w:val="24"/>
          <w:szCs w:val="24"/>
          <w:lang w:val="en-US"/>
        </w:rPr>
        <w:t>Action i</w:t>
      </w:r>
      <w:r>
        <w:rPr>
          <w:rFonts w:ascii="Times New Roman" w:eastAsia="MS Mincho" w:hAnsi="Times New Roman" w:cs="Times New Roman"/>
          <w:b/>
          <w:noProof/>
          <w:sz w:val="24"/>
          <w:szCs w:val="24"/>
          <w:lang w:val="en-US"/>
        </w:rPr>
        <w:t>s required to achieve convergence in 'societal progress' along the dimensions identified by the Social Pillar.</w:t>
      </w:r>
      <w:r>
        <w:rPr>
          <w:rFonts w:ascii="Times New Roman" w:eastAsia="MS Mincho" w:hAnsi="Times New Roman" w:cs="Times New Roman"/>
          <w:noProof/>
          <w:sz w:val="24"/>
          <w:szCs w:val="24"/>
          <w:lang w:val="en-US"/>
        </w:rPr>
        <w:t xml:space="preserve"> The analysis of headline indicators shows for 17 Member States at least one "critical situation".</w:t>
      </w:r>
      <w:r>
        <w:rPr>
          <w:rFonts w:ascii="Times New Roman" w:eastAsia="MS Mincho" w:hAnsi="Times New Roman" w:cs="Times New Roman"/>
          <w:b/>
          <w:noProof/>
          <w:sz w:val="24"/>
          <w:szCs w:val="24"/>
          <w:lang w:val="en-US"/>
        </w:rPr>
        <w:t xml:space="preserve"> </w:t>
      </w:r>
      <w:r>
        <w:rPr>
          <w:rFonts w:ascii="Times New Roman" w:eastAsia="MS Mincho" w:hAnsi="Times New Roman" w:cs="Times New Roman"/>
          <w:noProof/>
          <w:sz w:val="24"/>
          <w:szCs w:val="24"/>
          <w:lang w:val="en-US"/>
        </w:rPr>
        <w:t>Across the 14 domains assessed, 50 "critical si</w:t>
      </w:r>
      <w:r>
        <w:rPr>
          <w:rFonts w:ascii="Times New Roman" w:eastAsia="MS Mincho" w:hAnsi="Times New Roman" w:cs="Times New Roman"/>
          <w:noProof/>
          <w:sz w:val="24"/>
          <w:szCs w:val="24"/>
          <w:lang w:val="en-US"/>
        </w:rPr>
        <w:t xml:space="preserve">tuations" are identified, corresponding to almost 13% of the total number of assessments. Counting the three more problematic classifications, "critical situation", "to watch" and "weak but improving" brings the global count to 129 i.e. about one-third of </w:t>
      </w:r>
      <w:r>
        <w:rPr>
          <w:rFonts w:ascii="Times New Roman" w:eastAsia="MS Mincho" w:hAnsi="Times New Roman" w:cs="Times New Roman"/>
          <w:noProof/>
          <w:sz w:val="24"/>
          <w:szCs w:val="24"/>
          <w:lang w:val="en-US"/>
        </w:rPr>
        <w:t xml:space="preserve">all assessments. </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Looking at the three broad dimensions covered by the scoreboard, problematic flags appear more frequently in the area of </w:t>
      </w:r>
      <w:r>
        <w:rPr>
          <w:rFonts w:ascii="Times New Roman" w:eastAsia="MS Mincho" w:hAnsi="Times New Roman" w:cs="Times New Roman"/>
          <w:b/>
          <w:noProof/>
          <w:sz w:val="24"/>
          <w:szCs w:val="24"/>
          <w:lang w:val="en-US"/>
        </w:rPr>
        <w:t>"public support/social protection and inclusion"</w:t>
      </w:r>
      <w:r>
        <w:rPr>
          <w:rFonts w:ascii="Times New Roman" w:eastAsia="MS Mincho" w:hAnsi="Times New Roman" w:cs="Times New Roman"/>
          <w:noProof/>
          <w:sz w:val="24"/>
          <w:szCs w:val="24"/>
          <w:lang w:val="en-US"/>
        </w:rPr>
        <w:t xml:space="preserve">, with an average of 11.8 cases (of which 4.5 "critical situations") </w:t>
      </w:r>
      <w:r>
        <w:rPr>
          <w:rFonts w:ascii="Times New Roman" w:eastAsia="MS Mincho" w:hAnsi="Times New Roman" w:cs="Times New Roman"/>
          <w:noProof/>
          <w:sz w:val="24"/>
          <w:szCs w:val="24"/>
          <w:lang w:val="en-US"/>
        </w:rPr>
        <w:t xml:space="preserve">per indicator. </w:t>
      </w:r>
      <w:r>
        <w:rPr>
          <w:rFonts w:ascii="Times New Roman" w:eastAsia="MS Mincho" w:hAnsi="Times New Roman" w:cs="Times New Roman"/>
          <w:b/>
          <w:noProof/>
          <w:sz w:val="24"/>
          <w:szCs w:val="24"/>
          <w:lang w:val="en-US"/>
        </w:rPr>
        <w:t>Impact of social transfers in poverty reduction</w:t>
      </w:r>
      <w:r>
        <w:rPr>
          <w:rFonts w:ascii="Times New Roman" w:eastAsia="MS Mincho" w:hAnsi="Times New Roman" w:cs="Times New Roman"/>
          <w:noProof/>
          <w:sz w:val="24"/>
          <w:szCs w:val="24"/>
          <w:lang w:val="en-US"/>
        </w:rPr>
        <w:t xml:space="preserve"> appears the most difficult , with indicators flashing for 13 Member States (of which 5 in the bottom category). </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The dimensions of </w:t>
      </w:r>
      <w:r>
        <w:rPr>
          <w:rFonts w:ascii="Times New Roman" w:eastAsia="MS Mincho" w:hAnsi="Times New Roman" w:cs="Times New Roman"/>
          <w:b/>
          <w:noProof/>
          <w:sz w:val="24"/>
          <w:szCs w:val="24"/>
          <w:lang w:val="en-US"/>
        </w:rPr>
        <w:t>"Equal opportunities and access to the labour market"</w:t>
      </w:r>
      <w:r>
        <w:rPr>
          <w:rFonts w:ascii="Times New Roman" w:eastAsia="MS Mincho" w:hAnsi="Times New Roman" w:cs="Times New Roman"/>
          <w:noProof/>
          <w:sz w:val="24"/>
          <w:szCs w:val="24"/>
          <w:lang w:val="en-US"/>
        </w:rPr>
        <w:t xml:space="preserve"> and "</w:t>
      </w:r>
      <w:r>
        <w:rPr>
          <w:rFonts w:ascii="Times New Roman" w:eastAsia="MS Mincho" w:hAnsi="Times New Roman" w:cs="Times New Roman"/>
          <w:b/>
          <w:noProof/>
          <w:sz w:val="24"/>
          <w:szCs w:val="24"/>
          <w:lang w:val="en-US"/>
        </w:rPr>
        <w:t>dyn</w:t>
      </w:r>
      <w:r>
        <w:rPr>
          <w:rFonts w:ascii="Times New Roman" w:eastAsia="MS Mincho" w:hAnsi="Times New Roman" w:cs="Times New Roman"/>
          <w:b/>
          <w:noProof/>
          <w:sz w:val="24"/>
          <w:szCs w:val="24"/>
          <w:lang w:val="en-US"/>
        </w:rPr>
        <w:t>amic labour markets and fair working conditions"</w:t>
      </w:r>
      <w:r>
        <w:rPr>
          <w:rFonts w:ascii="Times New Roman" w:eastAsia="MS Mincho" w:hAnsi="Times New Roman" w:cs="Times New Roman"/>
          <w:noProof/>
          <w:sz w:val="24"/>
          <w:szCs w:val="24"/>
          <w:lang w:val="en-US"/>
        </w:rPr>
        <w:t xml:space="preserve"> follow, with for both an average of about 9 and 8.8 cases flagging per indicator (respectively 4 and 3 "critical situations" each). In the first domain, the most flagged indicator is the </w:t>
      </w:r>
      <w:r>
        <w:rPr>
          <w:rFonts w:ascii="Times New Roman" w:eastAsia="MS Mincho" w:hAnsi="Times New Roman" w:cs="Times New Roman"/>
          <w:b/>
          <w:noProof/>
          <w:sz w:val="24"/>
          <w:szCs w:val="24"/>
          <w:lang w:val="en-US"/>
        </w:rPr>
        <w:t>gender employment ga</w:t>
      </w:r>
      <w:r>
        <w:rPr>
          <w:rFonts w:ascii="Times New Roman" w:eastAsia="MS Mincho" w:hAnsi="Times New Roman" w:cs="Times New Roman"/>
          <w:b/>
          <w:noProof/>
          <w:sz w:val="24"/>
          <w:szCs w:val="24"/>
          <w:lang w:val="en-US"/>
        </w:rPr>
        <w:t>p</w:t>
      </w:r>
      <w:r>
        <w:rPr>
          <w:rFonts w:ascii="Times New Roman" w:eastAsia="MS Mincho" w:hAnsi="Times New Roman" w:cs="Times New Roman"/>
          <w:noProof/>
          <w:sz w:val="24"/>
          <w:szCs w:val="24"/>
          <w:lang w:val="en-US"/>
        </w:rPr>
        <w:t xml:space="preserve"> (10 times). In the latter, </w:t>
      </w:r>
      <w:r>
        <w:rPr>
          <w:rFonts w:ascii="Times New Roman" w:eastAsia="MS Mincho" w:hAnsi="Times New Roman" w:cs="Times New Roman"/>
          <w:b/>
          <w:noProof/>
          <w:sz w:val="24"/>
          <w:szCs w:val="24"/>
          <w:lang w:val="en-US"/>
        </w:rPr>
        <w:t>compensation of employees per hour worked</w:t>
      </w:r>
      <w:r>
        <w:rPr>
          <w:rFonts w:ascii="Times New Roman" w:eastAsia="MS Mincho" w:hAnsi="Times New Roman" w:cs="Times New Roman"/>
          <w:noProof/>
          <w:sz w:val="24"/>
          <w:szCs w:val="24"/>
          <w:lang w:val="en-US"/>
        </w:rPr>
        <w:t xml:space="preserve"> appears as the indicators with most numerous challenges (13 flags). </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b/>
          <w:noProof/>
          <w:sz w:val="24"/>
          <w:szCs w:val="24"/>
          <w:lang w:val="en-US"/>
        </w:rPr>
        <w:t xml:space="preserve">The Scoreboard depicts an improving labour market and social situation for the EU as a whole. </w:t>
      </w:r>
      <w:r>
        <w:rPr>
          <w:rFonts w:ascii="Times New Roman" w:eastAsia="MS Mincho" w:hAnsi="Times New Roman" w:cs="Times New Roman"/>
          <w:noProof/>
          <w:sz w:val="24"/>
          <w:szCs w:val="24"/>
          <w:lang w:val="en-US"/>
        </w:rPr>
        <w:t>On average for the EU,</w:t>
      </w:r>
      <w:r>
        <w:rPr>
          <w:rFonts w:ascii="Times New Roman" w:eastAsia="MS Mincho" w:hAnsi="Times New Roman" w:cs="Times New Roman"/>
          <w:noProof/>
          <w:sz w:val="24"/>
          <w:szCs w:val="24"/>
          <w:lang w:val="en-US"/>
        </w:rPr>
        <w:t xml:space="preserve"> 11 out of the 14 headline indicators recorded an improvement over the last available year (i.e. 2016 or 2015 depending on data availability), confiming the steady improvement in labour markets and social situation which has accompanied the economic recove</w:t>
      </w:r>
      <w:r>
        <w:rPr>
          <w:rFonts w:ascii="Times New Roman" w:eastAsia="MS Mincho" w:hAnsi="Times New Roman" w:cs="Times New Roman"/>
          <w:noProof/>
          <w:sz w:val="24"/>
          <w:szCs w:val="24"/>
          <w:lang w:val="en-US"/>
        </w:rPr>
        <w:t>ry. In particular, on the unemployment rate, 11 Member States can now be categorised as best perfomers or better than average, and only one country is in a critical situation. Twelve Member States also flag as best perfomers or better than average in terms</w:t>
      </w:r>
      <w:r>
        <w:rPr>
          <w:rFonts w:ascii="Times New Roman" w:eastAsia="MS Mincho" w:hAnsi="Times New Roman" w:cs="Times New Roman"/>
          <w:noProof/>
          <w:sz w:val="24"/>
          <w:szCs w:val="24"/>
          <w:lang w:val="en-US"/>
        </w:rPr>
        <w:t xml:space="preserve"> of the employment rate and 12 Member States when considering the share of people at risk of poverty of social exclusion. Nevertheless, two indicators (gender employment gap and compensation of employees per hour worked) remained broadly unchanged and one </w:t>
      </w:r>
      <w:r>
        <w:rPr>
          <w:rFonts w:ascii="Times New Roman" w:eastAsia="MS Mincho" w:hAnsi="Times New Roman" w:cs="Times New Roman"/>
          <w:noProof/>
          <w:sz w:val="24"/>
          <w:szCs w:val="24"/>
          <w:lang w:val="en-US"/>
        </w:rPr>
        <w:t xml:space="preserve">of them (impact of social transfers on poverty reduction) slightly deteriorated. </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b/>
          <w:noProof/>
          <w:sz w:val="24"/>
          <w:szCs w:val="24"/>
          <w:lang w:val="en-US"/>
        </w:rPr>
        <w:t>The situation of Member States remains scattered and the severity of challenges varies widely across Member States.</w:t>
      </w:r>
      <w:r>
        <w:rPr>
          <w:rFonts w:ascii="Times New Roman" w:eastAsia="MS Mincho" w:hAnsi="Times New Roman" w:cs="Times New Roman"/>
          <w:noProof/>
          <w:sz w:val="24"/>
          <w:szCs w:val="24"/>
          <w:lang w:val="en-US"/>
        </w:rPr>
        <w:t xml:space="preserve"> Most Member States are flagged at least once with a challe</w:t>
      </w:r>
      <w:r>
        <w:rPr>
          <w:rFonts w:ascii="Times New Roman" w:eastAsia="MS Mincho" w:hAnsi="Times New Roman" w:cs="Times New Roman"/>
          <w:noProof/>
          <w:sz w:val="24"/>
          <w:szCs w:val="24"/>
          <w:lang w:val="en-US"/>
        </w:rPr>
        <w:t>nge on headline indicators, except for Denmark, Germany, France, the Netherlands, Sweden and the United Kingdom. Greece, Romania, Italy and Bulgaria report "critical", "to watch", or "weak but improving" situations on ten or more indicators. In that group,</w:t>
      </w:r>
      <w:r>
        <w:rPr>
          <w:rFonts w:ascii="Times New Roman" w:eastAsia="MS Mincho" w:hAnsi="Times New Roman" w:cs="Times New Roman"/>
          <w:noProof/>
          <w:sz w:val="24"/>
          <w:szCs w:val="24"/>
          <w:lang w:val="en-US"/>
        </w:rPr>
        <w:t xml:space="preserve"> Greece and Romania  present by far the largest number of "critical situations" (i.e. indicators which are much worse than average, and either not improving sufficiently fast or deteriorating further). In the case of Greece, critical situations are spread </w:t>
      </w:r>
      <w:r>
        <w:rPr>
          <w:rFonts w:ascii="Times New Roman" w:eastAsia="MS Mincho" w:hAnsi="Times New Roman" w:cs="Times New Roman"/>
          <w:noProof/>
          <w:sz w:val="24"/>
          <w:szCs w:val="24"/>
          <w:lang w:val="en-US"/>
        </w:rPr>
        <w:t>across all the three areas (yet, a good performance is recorded on early school leaving). For Romania, they are mostly concentrated in the "equal opportunities and access to labour market" and "public support / social protection and exclusion" areas. In te</w:t>
      </w:r>
      <w:r>
        <w:rPr>
          <w:rFonts w:ascii="Times New Roman" w:eastAsia="MS Mincho" w:hAnsi="Times New Roman" w:cs="Times New Roman"/>
          <w:noProof/>
          <w:sz w:val="24"/>
          <w:szCs w:val="24"/>
          <w:lang w:val="en-US"/>
        </w:rPr>
        <w:t>rms of overall count, Cyprus (9 challenges), Spain and Croatia (8 challenges each), Latvia, Lithuania and Portugal (7 challenges each) follow. By contrast, Denmark is a best performer or better than average in all 14 headline indicators, followed by Sweden</w:t>
      </w:r>
      <w:r>
        <w:rPr>
          <w:rFonts w:ascii="Times New Roman" w:eastAsia="MS Mincho" w:hAnsi="Times New Roman" w:cs="Times New Roman"/>
          <w:noProof/>
          <w:sz w:val="24"/>
          <w:szCs w:val="24"/>
          <w:lang w:val="en-US"/>
        </w:rPr>
        <w:t xml:space="preserve"> (12 indicators), Austria (10 indicators) and the Netherlands (9 indicators). </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When looking at </w:t>
      </w:r>
      <w:r>
        <w:rPr>
          <w:rFonts w:ascii="Times New Roman" w:eastAsia="MS Mincho" w:hAnsi="Times New Roman" w:cs="Times New Roman"/>
          <w:b/>
          <w:noProof/>
          <w:sz w:val="24"/>
          <w:szCs w:val="24"/>
          <w:lang w:val="en-US"/>
        </w:rPr>
        <w:t xml:space="preserve">equal opportunities and access to the labour market, </w:t>
      </w:r>
      <w:r>
        <w:rPr>
          <w:rFonts w:ascii="Times New Roman" w:eastAsia="MS Mincho" w:hAnsi="Times New Roman" w:cs="Times New Roman"/>
          <w:noProof/>
          <w:sz w:val="24"/>
          <w:szCs w:val="24"/>
          <w:lang w:val="en-US"/>
        </w:rPr>
        <w:t>the situation improved over the last year in terms of early leavers from education and training, the risk of</w:t>
      </w:r>
      <w:r>
        <w:rPr>
          <w:rFonts w:ascii="Times New Roman" w:eastAsia="MS Mincho" w:hAnsi="Times New Roman" w:cs="Times New Roman"/>
          <w:noProof/>
          <w:sz w:val="24"/>
          <w:szCs w:val="24"/>
          <w:lang w:val="en-US"/>
        </w:rPr>
        <w:t xml:space="preserve"> poverty and social exclusion and NEETs in the EU. However, it remained broadly stable in terms of gender employment gap and income inequality (as measured by the income quintile share ratio). When looking by indicator:</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Spain, Malta, Portugal and Romania f</w:t>
      </w:r>
      <w:r>
        <w:rPr>
          <w:rFonts w:ascii="Times New Roman" w:eastAsia="MS Mincho" w:hAnsi="Times New Roman" w:cs="Times New Roman"/>
          <w:noProof/>
          <w:sz w:val="24"/>
          <w:szCs w:val="24"/>
          <w:lang w:val="en-US"/>
        </w:rPr>
        <w:t>ace a critical situation when it comes to early leavers from education and training compared to Croatia, Lithuania and Slovenia as the best performers;</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Greece, Italy, Malta and Romania score critical on the gender employment gap, compared to Latvia, Lithua</w:t>
      </w:r>
      <w:r>
        <w:rPr>
          <w:rFonts w:ascii="Times New Roman" w:eastAsia="MS Mincho" w:hAnsi="Times New Roman" w:cs="Times New Roman"/>
          <w:noProof/>
          <w:sz w:val="24"/>
          <w:szCs w:val="24"/>
          <w:lang w:val="en-US"/>
        </w:rPr>
        <w:t>nia and Sweden as best performers;</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Bulgaria, Greece, Spain and Lithuania face a critical situation in terms of income inequality compared to the good performance of the Czech Republic, Slovenia, Slovakia and Finland; </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The situation as concerns the risk of poverty or social exclusion is critical in Bulgaria, Greece and Romania, compared to the Czech Republic, Denmark, the Netherlands and Finland as best performers; </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Bulgaria, Greece, Croatia, Cyprus and Romania face a cr</w:t>
      </w:r>
      <w:r>
        <w:rPr>
          <w:rFonts w:ascii="Times New Roman" w:eastAsia="MS Mincho" w:hAnsi="Times New Roman" w:cs="Times New Roman"/>
          <w:noProof/>
          <w:sz w:val="24"/>
          <w:szCs w:val="24"/>
          <w:lang w:val="en-US"/>
        </w:rPr>
        <w:t>itical situation when looking at NEETs while Denmark, Luxembourg, the Netherlands and Sweden perform the best.</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Turning to </w:t>
      </w:r>
      <w:r>
        <w:rPr>
          <w:rFonts w:ascii="Times New Roman" w:eastAsia="MS Mincho" w:hAnsi="Times New Roman" w:cs="Times New Roman"/>
          <w:b/>
          <w:noProof/>
          <w:sz w:val="24"/>
          <w:szCs w:val="24"/>
          <w:lang w:val="en-US"/>
        </w:rPr>
        <w:t>dynamic labour markets and fair working conditions in the EU,</w:t>
      </w:r>
      <w:r>
        <w:rPr>
          <w:rFonts w:ascii="Times New Roman" w:eastAsia="MS Mincho" w:hAnsi="Times New Roman" w:cs="Times New Roman"/>
          <w:noProof/>
          <w:sz w:val="24"/>
          <w:szCs w:val="24"/>
          <w:lang w:val="en-US"/>
        </w:rPr>
        <w:t xml:space="preserve"> the situation improved over the last year in terms of employment and une</w:t>
      </w:r>
      <w:r>
        <w:rPr>
          <w:rFonts w:ascii="Times New Roman" w:eastAsia="MS Mincho" w:hAnsi="Times New Roman" w:cs="Times New Roman"/>
          <w:noProof/>
          <w:sz w:val="24"/>
          <w:szCs w:val="24"/>
          <w:lang w:val="en-US"/>
        </w:rPr>
        <w:t>mployment rates, participation in active labour market policies (ALMPs) and gross disposable household income (GDHI) per capita growth, while it was fairly stable in terms of compensation per employee. When looking by indicator:</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Greece, Croatia and Italy </w:t>
      </w:r>
      <w:r>
        <w:rPr>
          <w:rFonts w:ascii="Times New Roman" w:eastAsia="MS Mincho" w:hAnsi="Times New Roman" w:cs="Times New Roman"/>
          <w:noProof/>
          <w:sz w:val="24"/>
          <w:szCs w:val="24"/>
          <w:lang w:val="en-US"/>
        </w:rPr>
        <w:t>still face a critical situation when it comes to their employment rate, compared to Denmark, Germany, the Netherlands, Sweden and the UK as the best performers;</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Greece scores critical on the unemployment rate, compared to the Czech Republic and Germany as </w:t>
      </w:r>
      <w:r>
        <w:rPr>
          <w:rFonts w:ascii="Times New Roman" w:eastAsia="MS Mincho" w:hAnsi="Times New Roman" w:cs="Times New Roman"/>
          <w:noProof/>
          <w:sz w:val="24"/>
          <w:szCs w:val="24"/>
          <w:lang w:val="en-US"/>
        </w:rPr>
        <w:t>best performers;</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Bulgaria, Estonia, Croatia, Romania and Slovenia face a critical situation in terms of participation to ALMPs, compared to the performance of Belgium, Denmark, France, Hungary and Sweden;</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The growth in per capita GDHI is seen as a critical</w:t>
      </w:r>
      <w:r>
        <w:rPr>
          <w:rFonts w:ascii="Times New Roman" w:eastAsia="MS Mincho" w:hAnsi="Times New Roman" w:cs="Times New Roman"/>
          <w:noProof/>
          <w:sz w:val="24"/>
          <w:szCs w:val="24"/>
          <w:lang w:val="en-US"/>
        </w:rPr>
        <w:t xml:space="preserve"> situation in Greece and Cyprus, compared to Poland and Romania as best performers; </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Bulgaria, Hungary and Poland face a critical situation when looking at compensation per employee, while Belgium, Denmark, France, Luxembourg and the Netherlands perform th</w:t>
      </w:r>
      <w:r>
        <w:rPr>
          <w:rFonts w:ascii="Times New Roman" w:eastAsia="MS Mincho" w:hAnsi="Times New Roman" w:cs="Times New Roman"/>
          <w:noProof/>
          <w:sz w:val="24"/>
          <w:szCs w:val="24"/>
          <w:lang w:val="en-US"/>
        </w:rPr>
        <w:t>e best.</w:t>
      </w:r>
    </w:p>
    <w:p w:rsidR="00CB01DD" w:rsidRDefault="00D75BDB">
      <w:p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As regards </w:t>
      </w:r>
      <w:r>
        <w:rPr>
          <w:rFonts w:ascii="Times New Roman" w:eastAsia="MS Mincho" w:hAnsi="Times New Roman" w:cs="Times New Roman"/>
          <w:b/>
          <w:noProof/>
          <w:sz w:val="24"/>
          <w:szCs w:val="24"/>
          <w:lang w:val="en-US"/>
        </w:rPr>
        <w:t>public support and social protection and inclusion,</w:t>
      </w:r>
      <w:r>
        <w:rPr>
          <w:rFonts w:ascii="Times New Roman" w:eastAsia="MS Mincho" w:hAnsi="Times New Roman" w:cs="Times New Roman"/>
          <w:noProof/>
          <w:sz w:val="24"/>
          <w:szCs w:val="24"/>
          <w:lang w:val="en-US"/>
        </w:rPr>
        <w:t xml:space="preserve"> the situation improved over the last year in terms of childcare availability, self-reported unmet need for medical care and digital skills but it worsened in terms of the impact of soci</w:t>
      </w:r>
      <w:r>
        <w:rPr>
          <w:rFonts w:ascii="Times New Roman" w:eastAsia="MS Mincho" w:hAnsi="Times New Roman" w:cs="Times New Roman"/>
          <w:noProof/>
          <w:sz w:val="24"/>
          <w:szCs w:val="24"/>
          <w:lang w:val="en-US"/>
        </w:rPr>
        <w:t>al transfers on poverty reduction. When looking by indicator:</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Bulgaria, Greece, Italy, Lithuania and Romania still face a critical situation when it comes to the ability of their social transfers to reduce poverty. This compares to Denmark, Austria, Finlan</w:t>
      </w:r>
      <w:r>
        <w:rPr>
          <w:rFonts w:ascii="Times New Roman" w:eastAsia="MS Mincho" w:hAnsi="Times New Roman" w:cs="Times New Roman"/>
          <w:noProof/>
          <w:sz w:val="24"/>
          <w:szCs w:val="24"/>
          <w:lang w:val="en-US"/>
        </w:rPr>
        <w:t xml:space="preserve">d and Sweden as the best performers; </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The Czech Republic, Poland and Slovakia score critical on the availability of formal childcare, compared to Belgium, Denmark, Luxembourg, Portugal and Sweden as best performers;</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Estonia, Greece, Italy, Poland and Roman</w:t>
      </w:r>
      <w:r>
        <w:rPr>
          <w:rFonts w:ascii="Times New Roman" w:eastAsia="MS Mincho" w:hAnsi="Times New Roman" w:cs="Times New Roman"/>
          <w:noProof/>
          <w:sz w:val="24"/>
          <w:szCs w:val="24"/>
          <w:lang w:val="en-US"/>
        </w:rPr>
        <w:t>ia face a critical situation in terms of self-reported unmet need for medical care (no "best performers" identified through the methodology);</w:t>
      </w:r>
    </w:p>
    <w:p w:rsidR="00CB01DD" w:rsidRDefault="00D75BDB">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Bulgaria and Romania face a critical situation when looking at levels of digital skills, while Denmark, Luxembourg</w:t>
      </w:r>
      <w:r>
        <w:rPr>
          <w:rFonts w:ascii="Times New Roman" w:eastAsia="MS Mincho" w:hAnsi="Times New Roman" w:cs="Times New Roman"/>
          <w:noProof/>
          <w:sz w:val="24"/>
          <w:szCs w:val="24"/>
          <w:lang w:val="en-US"/>
        </w:rPr>
        <w:t>, the Netherlands and Finland perform the best.</w:t>
      </w:r>
    </w:p>
    <w:p w:rsidR="00CB01DD" w:rsidRDefault="00CB01DD">
      <w:pPr>
        <w:autoSpaceDE w:val="0"/>
        <w:autoSpaceDN w:val="0"/>
        <w:adjustRightInd w:val="0"/>
        <w:spacing w:line="360" w:lineRule="auto"/>
        <w:jc w:val="both"/>
        <w:rPr>
          <w:rFonts w:ascii="Times New Roman" w:eastAsia="MS Mincho" w:hAnsi="Times New Roman" w:cs="Times New Roman"/>
          <w:noProof/>
          <w:sz w:val="24"/>
          <w:szCs w:val="24"/>
          <w:lang w:val="en-US"/>
        </w:rPr>
        <w:sectPr w:rsidR="00CB01DD">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20"/>
          <w:docGrid w:linePitch="360"/>
        </w:sectPr>
      </w:pPr>
    </w:p>
    <w:p w:rsidR="00CB01DD" w:rsidRDefault="00D75BDB">
      <w:pPr>
        <w:autoSpaceDE w:val="0"/>
        <w:autoSpaceDN w:val="0"/>
        <w:adjustRightInd w:val="0"/>
        <w:spacing w:line="240" w:lineRule="auto"/>
        <w:jc w:val="both"/>
        <w:rPr>
          <w:rFonts w:ascii="Times New Roman" w:hAnsi="Times New Roman" w:cs="Times New Roman"/>
          <w:b/>
          <w:bCs/>
          <w:noProof/>
          <w:sz w:val="24"/>
          <w:szCs w:val="24"/>
        </w:rPr>
      </w:pPr>
      <w:r>
        <w:rPr>
          <w:rFonts w:ascii="Times New Roman" w:eastAsia="MS Mincho" w:hAnsi="Times New Roman" w:cs="Times New Roman"/>
          <w:b/>
          <w:noProof/>
          <w:sz w:val="24"/>
          <w:szCs w:val="24"/>
          <w:lang w:val="en-US"/>
        </w:rPr>
        <w:t xml:space="preserve">Table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noProof/>
          <w:sz w:val="24"/>
          <w:szCs w:val="24"/>
        </w:rPr>
        <w:fldChar w:fldCharType="end"/>
      </w:r>
      <w:r>
        <w:rPr>
          <w:rFonts w:ascii="Times New Roman" w:eastAsia="MS Mincho" w:hAnsi="Times New Roman" w:cs="Times New Roman"/>
          <w:b/>
          <w:noProof/>
          <w:sz w:val="24"/>
          <w:szCs w:val="24"/>
          <w:lang w:val="en-US"/>
        </w:rPr>
        <w:t>.</w:t>
      </w:r>
      <w:r>
        <w:rPr>
          <w:rFonts w:ascii="Times New Roman" w:eastAsia="MS Mincho" w:hAnsi="Times New Roman" w:cs="Times New Roman"/>
          <w:noProof/>
          <w:sz w:val="24"/>
          <w:szCs w:val="24"/>
          <w:lang w:val="en-US"/>
        </w:rPr>
        <w:t xml:space="preserve"> </w:t>
      </w:r>
      <w:r>
        <w:rPr>
          <w:rFonts w:ascii="Times New Roman" w:hAnsi="Times New Roman" w:cs="Times New Roman"/>
          <w:b/>
          <w:bCs/>
          <w:noProof/>
          <w:sz w:val="24"/>
          <w:szCs w:val="24"/>
        </w:rPr>
        <w:t xml:space="preserve">Summary of the headline indicators in the social scoreboard </w:t>
      </w:r>
    </w:p>
    <w:p w:rsidR="00CB01DD" w:rsidRDefault="00D75BDB">
      <w:pPr>
        <w:autoSpaceDE w:val="0"/>
        <w:autoSpaceDN w:val="0"/>
        <w:adjustRightInd w:val="0"/>
        <w:spacing w:after="0" w:line="240" w:lineRule="auto"/>
        <w:jc w:val="both"/>
        <w:rPr>
          <w:rFonts w:ascii="Times New Roman" w:hAnsi="Times New Roman" w:cs="Times New Roman"/>
          <w:b/>
          <w:bCs/>
          <w:noProof/>
          <w:sz w:val="24"/>
          <w:szCs w:val="24"/>
        </w:rPr>
      </w:pPr>
      <w:r>
        <w:rPr>
          <w:noProof/>
          <w:lang w:eastAsia="en-GB"/>
        </w:rPr>
        <w:drawing>
          <wp:inline distT="0" distB="0" distL="0" distR="0" wp14:anchorId="06F7BB2A" wp14:editId="68D3E258">
            <wp:extent cx="9448800" cy="32119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0" cy="3211930"/>
                    </a:xfrm>
                    <a:prstGeom prst="rect">
                      <a:avLst/>
                    </a:prstGeom>
                    <a:noFill/>
                    <a:ln>
                      <a:noFill/>
                    </a:ln>
                  </pic:spPr>
                </pic:pic>
              </a:graphicData>
            </a:graphic>
          </wp:inline>
        </w:drawing>
      </w:r>
    </w:p>
    <w:p w:rsidR="00CB01DD" w:rsidRDefault="00CB01DD">
      <w:pPr>
        <w:autoSpaceDE w:val="0"/>
        <w:autoSpaceDN w:val="0"/>
        <w:adjustRightInd w:val="0"/>
        <w:spacing w:after="0" w:line="240" w:lineRule="auto"/>
        <w:jc w:val="both"/>
        <w:rPr>
          <w:rFonts w:ascii="Times New Roman" w:hAnsi="Times New Roman" w:cs="Times New Roman"/>
          <w:b/>
          <w:bCs/>
          <w:noProof/>
          <w:sz w:val="24"/>
          <w:szCs w:val="24"/>
        </w:rPr>
      </w:pPr>
    </w:p>
    <w:p w:rsidR="00CB01DD" w:rsidRDefault="00D75BDB">
      <w:pPr>
        <w:spacing w:after="240" w:line="240" w:lineRule="auto"/>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Note: At 31 October 2017, participation in ALMPs not available for EL, IT, MT, UK (LU not reported for data verification issue); GDHI per capita growth not available for HR, LU and MT; income quintile ratio, at-risk-of-poverty or social exclusion rate, and</w:t>
      </w:r>
      <w:r>
        <w:rPr>
          <w:rFonts w:ascii="Times New Roman" w:hAnsi="Times New Roman" w:cs="Times New Roman"/>
          <w:noProof/>
          <w:sz w:val="20"/>
          <w:szCs w:val="20"/>
          <w:lang w:val="en-US"/>
        </w:rPr>
        <w:t xml:space="preserve"> impact of social transfers on poverty reduction not available for IE. </w:t>
      </w:r>
    </w:p>
    <w:p w:rsidR="00CB01DD" w:rsidRDefault="00CB01DD">
      <w:pPr>
        <w:rPr>
          <w:rFonts w:ascii="Times New Roman" w:hAnsi="Times New Roman" w:cs="Times New Roman"/>
          <w:noProof/>
          <w:sz w:val="20"/>
          <w:szCs w:val="20"/>
          <w:lang w:val="en-US"/>
        </w:rPr>
      </w:pPr>
    </w:p>
    <w:p w:rsidR="00CB01DD" w:rsidRDefault="00CB01DD">
      <w:pPr>
        <w:spacing w:after="240" w:line="240" w:lineRule="auto"/>
        <w:jc w:val="both"/>
        <w:rPr>
          <w:rFonts w:ascii="Times New Roman" w:hAnsi="Times New Roman" w:cs="Times New Roman"/>
          <w:noProof/>
          <w:sz w:val="20"/>
          <w:szCs w:val="20"/>
          <w:lang w:val="en-US"/>
        </w:rPr>
      </w:pPr>
    </w:p>
    <w:p w:rsidR="00CB01DD" w:rsidRDefault="00D75BDB">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br w:type="page"/>
      </w:r>
    </w:p>
    <w:p w:rsidR="00CB01DD" w:rsidRDefault="00CB01DD">
      <w:pPr>
        <w:rPr>
          <w:rFonts w:ascii="Times New Roman" w:hAnsi="Times New Roman" w:cs="Times New Roman"/>
          <w:b/>
          <w:bCs/>
          <w:noProof/>
          <w:sz w:val="24"/>
          <w:szCs w:val="24"/>
          <w:lang w:val="en-US"/>
        </w:rPr>
        <w:sectPr w:rsidR="00CB01DD">
          <w:headerReference w:type="even" r:id="rId27"/>
          <w:headerReference w:type="default" r:id="rId28"/>
          <w:footerReference w:type="even" r:id="rId29"/>
          <w:footerReference w:type="default" r:id="rId30"/>
          <w:headerReference w:type="first" r:id="rId31"/>
          <w:footerReference w:type="first" r:id="rId32"/>
          <w:pgSz w:w="16838" w:h="11906" w:orient="landscape"/>
          <w:pgMar w:top="960" w:right="878" w:bottom="1200" w:left="1080" w:header="708" w:footer="708" w:gutter="0"/>
          <w:cols w:space="708"/>
          <w:docGrid w:linePitch="360"/>
        </w:sectPr>
      </w:pPr>
    </w:p>
    <w:tbl>
      <w:tblPr>
        <w:tblStyle w:val="TableGrid"/>
        <w:tblW w:w="0" w:type="auto"/>
        <w:tblLook w:val="04A0" w:firstRow="1" w:lastRow="0" w:firstColumn="1" w:lastColumn="0" w:noHBand="0" w:noVBand="1"/>
      </w:tblPr>
      <w:tblGrid>
        <w:gridCol w:w="9288"/>
      </w:tblGrid>
      <w:tr w:rsidR="00CB01DD">
        <w:tc>
          <w:tcPr>
            <w:tcW w:w="9288" w:type="dxa"/>
          </w:tcPr>
          <w:p w:rsidR="00CB01DD" w:rsidRDefault="00D75BDB">
            <w:pPr>
              <w:spacing w:after="120"/>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Box 1. Benchmarking - state of play </w:t>
            </w:r>
          </w:p>
          <w:p w:rsidR="00CB01DD" w:rsidRDefault="00CB01DD">
            <w:pPr>
              <w:spacing w:after="120"/>
              <w:jc w:val="both"/>
              <w:rPr>
                <w:rFonts w:ascii="Times New Roman" w:hAnsi="Times New Roman" w:cs="Times New Roman"/>
                <w:b/>
                <w:noProof/>
                <w:sz w:val="24"/>
                <w:szCs w:val="24"/>
              </w:rPr>
            </w:pPr>
          </w:p>
          <w:p w:rsidR="00CB01DD" w:rsidRDefault="00D75BDB">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Communication of 26 April 2017 establishing a European Pillar of Social </w:t>
            </w:r>
            <w:r>
              <w:rPr>
                <w:rFonts w:ascii="Times New Roman" w:hAnsi="Times New Roman" w:cs="Times New Roman"/>
                <w:noProof/>
                <w:sz w:val="24"/>
                <w:szCs w:val="24"/>
              </w:rPr>
              <w:t>Rights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notes that </w:t>
            </w:r>
            <w:r>
              <w:rPr>
                <w:rFonts w:ascii="Times New Roman" w:hAnsi="Times New Roman" w:cs="Times New Roman"/>
                <w:i/>
                <w:noProof/>
                <w:sz w:val="24"/>
                <w:szCs w:val="24"/>
              </w:rPr>
              <w:t>"benchmarking and exchange of best practices will be conducted for a number of areas, such as employment protection legislation</w:t>
            </w:r>
            <w:r>
              <w:rPr>
                <w:rFonts w:ascii="Times New Roman" w:hAnsi="Times New Roman" w:cs="Times New Roman"/>
                <w:noProof/>
                <w:sz w:val="24"/>
                <w:szCs w:val="24"/>
              </w:rPr>
              <w:t xml:space="preserve">, </w:t>
            </w:r>
            <w:r>
              <w:rPr>
                <w:rFonts w:ascii="Times New Roman" w:hAnsi="Times New Roman" w:cs="Times New Roman"/>
                <w:i/>
                <w:noProof/>
                <w:sz w:val="24"/>
                <w:szCs w:val="24"/>
              </w:rPr>
              <w:t>unemployment benefits</w:t>
            </w:r>
            <w:r>
              <w:rPr>
                <w:rFonts w:ascii="Times New Roman" w:hAnsi="Times New Roman" w:cs="Times New Roman"/>
                <w:noProof/>
                <w:sz w:val="24"/>
                <w:szCs w:val="24"/>
              </w:rPr>
              <w:t xml:space="preserve">, </w:t>
            </w:r>
            <w:r>
              <w:rPr>
                <w:rFonts w:ascii="Times New Roman" w:hAnsi="Times New Roman" w:cs="Times New Roman"/>
                <w:i/>
                <w:noProof/>
                <w:sz w:val="24"/>
                <w:szCs w:val="24"/>
              </w:rPr>
              <w:t>minimum wages</w:t>
            </w:r>
            <w:r>
              <w:rPr>
                <w:rFonts w:ascii="Times New Roman" w:hAnsi="Times New Roman" w:cs="Times New Roman"/>
                <w:noProof/>
                <w:sz w:val="24"/>
                <w:szCs w:val="24"/>
              </w:rPr>
              <w:t xml:space="preserve">, </w:t>
            </w:r>
            <w:r>
              <w:rPr>
                <w:rFonts w:ascii="Times New Roman" w:hAnsi="Times New Roman" w:cs="Times New Roman"/>
                <w:i/>
                <w:noProof/>
                <w:sz w:val="24"/>
                <w:szCs w:val="24"/>
              </w:rPr>
              <w:t>minimum income and</w:t>
            </w:r>
            <w:r>
              <w:rPr>
                <w:rFonts w:ascii="Times New Roman" w:hAnsi="Times New Roman" w:cs="Times New Roman"/>
                <w:noProof/>
                <w:sz w:val="24"/>
                <w:szCs w:val="24"/>
              </w:rPr>
              <w:t xml:space="preserve"> </w:t>
            </w:r>
            <w:r>
              <w:rPr>
                <w:rFonts w:ascii="Times New Roman" w:hAnsi="Times New Roman" w:cs="Times New Roman"/>
                <w:i/>
                <w:noProof/>
                <w:sz w:val="24"/>
                <w:szCs w:val="24"/>
              </w:rPr>
              <w:t>skills"</w:t>
            </w:r>
            <w:r>
              <w:rPr>
                <w:rFonts w:ascii="Times New Roman" w:hAnsi="Times New Roman" w:cs="Times New Roman"/>
                <w:noProof/>
                <w:sz w:val="24"/>
                <w:szCs w:val="24"/>
              </w:rPr>
              <w:t xml:space="preserve">. The Commission started in 2015, following </w:t>
            </w:r>
            <w:r>
              <w:rPr>
                <w:rFonts w:ascii="Times New Roman" w:hAnsi="Times New Roman" w:cs="Times New Roman"/>
                <w:noProof/>
                <w:sz w:val="24"/>
                <w:szCs w:val="24"/>
              </w:rPr>
              <w:t>the Five Presidents' Report</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and in cooperation with Member States, benchmarking exercises in some of the areas mentioned in the Social Pillar Communication. The purpose of benchmarking is to support structural reforms and upward convergence towards best p</w:t>
            </w:r>
            <w:r>
              <w:rPr>
                <w:rFonts w:ascii="Times New Roman" w:hAnsi="Times New Roman" w:cs="Times New Roman"/>
                <w:noProof/>
                <w:sz w:val="24"/>
                <w:szCs w:val="24"/>
              </w:rPr>
              <w:t>erformers. In comparison with other cross-examination exercises, where the focus is mainly on comparing general outcomes, these benchmarking exercises focus notably also on policy levers (i.e. on specific policy parameters that can lead to better outcomes)</w:t>
            </w:r>
            <w:r>
              <w:rPr>
                <w:rFonts w:ascii="Times New Roman" w:hAnsi="Times New Roman" w:cs="Times New Roman"/>
                <w:noProof/>
                <w:sz w:val="24"/>
                <w:szCs w:val="24"/>
              </w:rPr>
              <w:t xml:space="preserve">. </w:t>
            </w:r>
          </w:p>
          <w:p w:rsidR="00CB01DD" w:rsidRDefault="00D75BDB">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Employment Committee (EMCO) and the Social Protection Committee (SPC) have agreed on a common approach relying on a three-step approach: (1) identification of key challenges and a set of high level outcome indicators</w:t>
            </w:r>
            <w:r>
              <w:rPr>
                <w:rFonts w:ascii="Times New Roman" w:eastAsia="Arial" w:hAnsi="Times New Roman" w:cs="Times New Roman"/>
                <w:noProof/>
                <w:sz w:val="24"/>
                <w:szCs w:val="24"/>
              </w:rPr>
              <w:t xml:space="preserve"> </w:t>
            </w:r>
            <w:r>
              <w:rPr>
                <w:rFonts w:ascii="Times New Roman" w:hAnsi="Times New Roman" w:cs="Times New Roman"/>
                <w:noProof/>
                <w:sz w:val="24"/>
                <w:szCs w:val="24"/>
              </w:rPr>
              <w:t>relevant for the policy area und</w:t>
            </w:r>
            <w:r>
              <w:rPr>
                <w:rFonts w:ascii="Times New Roman" w:hAnsi="Times New Roman" w:cs="Times New Roman"/>
                <w:noProof/>
                <w:sz w:val="24"/>
                <w:szCs w:val="24"/>
              </w:rPr>
              <w:t xml:space="preserve">er consideration; (2) </w:t>
            </w:r>
            <w:r>
              <w:rPr>
                <w:rFonts w:ascii="Times New Roman" w:eastAsia="Arial" w:hAnsi="Times New Roman" w:cs="Times New Roman"/>
                <w:noProof/>
                <w:sz w:val="24"/>
                <w:szCs w:val="24"/>
              </w:rPr>
              <w:t xml:space="preserve">performance indicators which allow for </w:t>
            </w:r>
            <w:r>
              <w:rPr>
                <w:rFonts w:ascii="Times New Roman" w:hAnsi="Times New Roman" w:cs="Times New Roman"/>
                <w:noProof/>
                <w:sz w:val="24"/>
                <w:szCs w:val="24"/>
              </w:rPr>
              <w:t xml:space="preserve">benchmarking the performance; (3) the identification of policy levers, which are accompanied by general principles for policy guidance and, </w:t>
            </w:r>
            <w:r>
              <w:rPr>
                <w:rFonts w:ascii="Times New Roman" w:eastAsia="Arial" w:hAnsi="Times New Roman" w:cs="Times New Roman"/>
                <w:noProof/>
                <w:sz w:val="24"/>
                <w:szCs w:val="24"/>
              </w:rPr>
              <w:t>when available,</w:t>
            </w:r>
            <w:r>
              <w:rPr>
                <w:rFonts w:ascii="Times New Roman" w:hAnsi="Times New Roman" w:cs="Times New Roman"/>
                <w:noProof/>
                <w:sz w:val="24"/>
                <w:szCs w:val="24"/>
              </w:rPr>
              <w:t xml:space="preserve"> by specific indicators. At this stage the aim is to allow for comparisons of Member States for each policy lever, rather than setting reference values. </w:t>
            </w:r>
          </w:p>
          <w:p w:rsidR="00CB01DD" w:rsidRDefault="00D75BDB">
            <w:pPr>
              <w:spacing w:after="120"/>
              <w:jc w:val="both"/>
              <w:rPr>
                <w:rFonts w:ascii="Times New Roman" w:hAnsi="Times New Roman" w:cs="Times New Roman"/>
                <w:noProof/>
                <w:sz w:val="24"/>
                <w:szCs w:val="24"/>
              </w:rPr>
            </w:pPr>
            <w:r>
              <w:rPr>
                <w:rFonts w:ascii="Times New Roman" w:hAnsi="Times New Roman" w:cs="Times New Roman"/>
                <w:noProof/>
                <w:sz w:val="24"/>
                <w:szCs w:val="24"/>
              </w:rPr>
              <w:t>Discussions in the Employment Committee on a pilot on Unemployment Benefits and Active Labour Market P</w:t>
            </w:r>
            <w:r>
              <w:rPr>
                <w:rFonts w:ascii="Times New Roman" w:hAnsi="Times New Roman" w:cs="Times New Roman"/>
                <w:noProof/>
                <w:sz w:val="24"/>
                <w:szCs w:val="24"/>
              </w:rPr>
              <w:t>olicies started in 2016 and an agreement was found in 2017. This notably concerns three outcome indicators (unemployment rate, long-term unemployment and at-risk-of-poverty rate of the unemployed), two performance indicators (share of people wanting to wor</w:t>
            </w:r>
            <w:r>
              <w:rPr>
                <w:rFonts w:ascii="Times New Roman" w:hAnsi="Times New Roman" w:cs="Times New Roman"/>
                <w:noProof/>
                <w:sz w:val="24"/>
                <w:szCs w:val="24"/>
              </w:rPr>
              <w:t>k participating in regular activation measures and coverage of unemployed with unemployment duration shorter than 12 months by unemployment benefits); and three policy lever indicators, notably in the domain of unemployment benefits (replacement rate, elig</w:t>
            </w:r>
            <w:r>
              <w:rPr>
                <w:rFonts w:ascii="Times New Roman" w:hAnsi="Times New Roman" w:cs="Times New Roman"/>
                <w:noProof/>
                <w:sz w:val="24"/>
                <w:szCs w:val="24"/>
              </w:rPr>
              <w:t xml:space="preserve">ibility conditions and benefit duration). The analysis of unemployment benefits presented in Chapter 3.3 draws on the results of the benchmarking exercise. Work is still ongoing as regards policy levers on activation policies. </w:t>
            </w:r>
          </w:p>
          <w:p w:rsidR="00CB01DD" w:rsidRDefault="00D75BDB">
            <w:pPr>
              <w:pStyle w:val="Text1"/>
              <w:spacing w:after="120"/>
              <w:ind w:left="0"/>
              <w:rPr>
                <w:noProof/>
                <w:szCs w:val="24"/>
                <w:lang w:val="en-US"/>
              </w:rPr>
            </w:pPr>
            <w:r>
              <w:rPr>
                <w:rFonts w:eastAsia="Arial"/>
                <w:noProof/>
                <w:szCs w:val="24"/>
              </w:rPr>
              <w:t xml:space="preserve">A benchmarking exercise for </w:t>
            </w:r>
            <w:r>
              <w:rPr>
                <w:rFonts w:eastAsia="Arial"/>
                <w:noProof/>
                <w:szCs w:val="24"/>
              </w:rPr>
              <w:t>minimum income schemes</w:t>
            </w:r>
            <w:r>
              <w:rPr>
                <w:rFonts w:eastAsia="Arial"/>
                <w:b/>
                <w:noProof/>
                <w:szCs w:val="24"/>
              </w:rPr>
              <w:t xml:space="preserve"> </w:t>
            </w:r>
            <w:r>
              <w:rPr>
                <w:rFonts w:eastAsia="Arial"/>
                <w:noProof/>
                <w:szCs w:val="24"/>
              </w:rPr>
              <w:t xml:space="preserve">is also being developed jointly with Member States in the Social Protection Committee. The state of play of this exercise is presented in Chapter 3.4. Work is also progressing on benchmarking skills, with a focus </w:t>
            </w:r>
            <w:r>
              <w:rPr>
                <w:noProof/>
                <w:szCs w:val="24"/>
              </w:rPr>
              <w:t>as concerns policy l</w:t>
            </w:r>
            <w:r>
              <w:rPr>
                <w:noProof/>
                <w:szCs w:val="24"/>
              </w:rPr>
              <w:t>evers</w:t>
            </w:r>
            <w:r>
              <w:rPr>
                <w:rFonts w:eastAsia="Arial"/>
                <w:noProof/>
                <w:szCs w:val="24"/>
              </w:rPr>
              <w:t xml:space="preserve"> on adult learning. </w:t>
            </w:r>
          </w:p>
          <w:p w:rsidR="00CB01DD" w:rsidRDefault="00D75BDB">
            <w:pPr>
              <w:pStyle w:val="Text1"/>
              <w:spacing w:after="120"/>
              <w:ind w:left="0"/>
              <w:rPr>
                <w:rFonts w:eastAsia="Arial"/>
                <w:noProof/>
                <w:szCs w:val="24"/>
              </w:rPr>
            </w:pPr>
            <w:r>
              <w:rPr>
                <w:rFonts w:eastAsia="Arial"/>
                <w:noProof/>
                <w:szCs w:val="24"/>
              </w:rPr>
              <w:t>Within the context of the European Pillar of Social Rights, the Commission intends to pursue a further reflection on benchmarking together with Member States. It aims at identifying Pillar principles for which benchmarking can pro</w:t>
            </w:r>
            <w:r>
              <w:rPr>
                <w:rFonts w:eastAsia="Arial"/>
                <w:noProof/>
                <w:szCs w:val="24"/>
              </w:rPr>
              <w:t>vide a positive contribution towards mutual learning and upward convergence.</w:t>
            </w:r>
          </w:p>
        </w:tc>
      </w:tr>
    </w:tbl>
    <w:p w:rsidR="00CB01DD" w:rsidRDefault="00D75BDB">
      <w:pPr>
        <w:rPr>
          <w:noProof/>
        </w:rPr>
      </w:pPr>
      <w:r>
        <w:rPr>
          <w:noProof/>
        </w:rPr>
        <w:br w:type="page"/>
      </w:r>
    </w:p>
    <w:p w:rsidR="00CB01DD" w:rsidRDefault="00D75BDB">
      <w:pPr>
        <w:pStyle w:val="Heading1"/>
        <w:ind w:left="720" w:hanging="720"/>
        <w:rPr>
          <w:noProof/>
        </w:rPr>
      </w:pPr>
      <w:bookmarkStart w:id="12" w:name="_Toc498075886"/>
      <w:r>
        <w:rPr>
          <w:noProof/>
        </w:rPr>
        <w:t xml:space="preserve">3. </w:t>
      </w:r>
      <w:r>
        <w:rPr>
          <w:noProof/>
        </w:rPr>
        <w:tab/>
        <w:t>EMPLOYMENT AND SOCIAL REFORMS – MEMBER STATES PERFORMANCE AND ACTION</w:t>
      </w:r>
      <w:bookmarkEnd w:id="12"/>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section presents an overview of recent key employment and social indicators and measures taken by </w:t>
      </w:r>
      <w:r>
        <w:rPr>
          <w:rFonts w:ascii="Times New Roman" w:hAnsi="Times New Roman" w:cs="Times New Roman"/>
          <w:noProof/>
          <w:sz w:val="24"/>
          <w:szCs w:val="24"/>
        </w:rPr>
        <w:t>the Member States in priority areas identified by the EU employment guidelines, as adopted by the Council in 2015</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For each guideline, recent developments on a selection of key indicators are presented, as well as policy measures taken by Member States. A</w:t>
      </w:r>
      <w:r>
        <w:rPr>
          <w:rFonts w:ascii="Times New Roman" w:hAnsi="Times New Roman" w:cs="Times New Roman"/>
          <w:noProof/>
          <w:sz w:val="24"/>
          <w:szCs w:val="24"/>
        </w:rPr>
        <w:t>s concerns the latter, the section draws on Member States’ National Reform Programmes 2017 and European Commission sources</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If not specified otherwise, only policy measures implemented after June 2016 are presented in the report. An in-depth analysis of r</w:t>
      </w:r>
      <w:r>
        <w:rPr>
          <w:rFonts w:ascii="Times New Roman" w:hAnsi="Times New Roman" w:cs="Times New Roman"/>
          <w:noProof/>
          <w:sz w:val="24"/>
          <w:szCs w:val="24"/>
        </w:rPr>
        <w:t>ecent labour market developments can be found in the Labour Market and Wage Developments 2017 report</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and the Employment and Social Developments in Europe Review 2017.</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w:t>
      </w:r>
    </w:p>
    <w:p w:rsidR="00CB01DD" w:rsidRDefault="00CB01DD">
      <w:pPr>
        <w:spacing w:line="360" w:lineRule="auto"/>
        <w:jc w:val="both"/>
        <w:rPr>
          <w:rFonts w:ascii="Times New Roman" w:hAnsi="Times New Roman" w:cs="Times New Roman"/>
          <w:noProof/>
          <w:sz w:val="24"/>
          <w:szCs w:val="24"/>
        </w:rPr>
      </w:pPr>
    </w:p>
    <w:p w:rsidR="00CB01DD" w:rsidRDefault="00D75BDB">
      <w:pPr>
        <w:pStyle w:val="Heading2"/>
        <w:rPr>
          <w:noProof/>
          <w:lang w:val="en-GB"/>
        </w:rPr>
      </w:pPr>
      <w:bookmarkStart w:id="13" w:name="_Toc498075887"/>
      <w:r>
        <w:rPr>
          <w:noProof/>
          <w:lang w:val="en-GB"/>
        </w:rPr>
        <w:t xml:space="preserve">3.1 </w:t>
      </w:r>
      <w:r>
        <w:rPr>
          <w:noProof/>
          <w:lang w:val="en-GB"/>
        </w:rPr>
        <w:tab/>
        <w:t>Guideline 5: Boosting demand for labour</w:t>
      </w:r>
      <w:bookmarkEnd w:id="13"/>
      <w:r>
        <w:rPr>
          <w:noProof/>
          <w:lang w:val="en-GB"/>
        </w:rPr>
        <w:t xml:space="preserve">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This section looks at the implementatio</w:t>
      </w:r>
      <w:r>
        <w:rPr>
          <w:rFonts w:ascii="Times New Roman" w:hAnsi="Times New Roman" w:cs="Times New Roman"/>
          <w:noProof/>
          <w:sz w:val="24"/>
          <w:szCs w:val="24"/>
        </w:rPr>
        <w:t>n of the employment guideline no. 5, which recommends Member States to create conditions promoting labour demand and job creation. It first presents an overview of unemployment and employment rates by Member State, complementing the analysis at EU level ma</w:t>
      </w:r>
      <w:r>
        <w:rPr>
          <w:rFonts w:ascii="Times New Roman" w:hAnsi="Times New Roman" w:cs="Times New Roman"/>
          <w:noProof/>
          <w:sz w:val="24"/>
          <w:szCs w:val="24"/>
        </w:rPr>
        <w:t>de in Chapter 1, so as to highlight the relevance of the job creation challenge across countries. It then looks at self-employment dynamics, as a proxy for entrepreneurship and as a source of employment growth per se. It finally investigates key macroecono</w:t>
      </w:r>
      <w:r>
        <w:rPr>
          <w:rFonts w:ascii="Times New Roman" w:hAnsi="Times New Roman" w:cs="Times New Roman"/>
          <w:noProof/>
          <w:sz w:val="24"/>
          <w:szCs w:val="24"/>
        </w:rPr>
        <w:t xml:space="preserve">mic determinants of hiring decisions, namely wage and tax wedge developments. Section 3.1.2 reports on policy measures implemented by Member States in these areas to promote labour demand, including hiring subsidies. </w:t>
      </w:r>
    </w:p>
    <w:p w:rsidR="00CB01DD" w:rsidRDefault="00CB01DD">
      <w:pPr>
        <w:spacing w:line="360" w:lineRule="auto"/>
        <w:jc w:val="both"/>
        <w:rPr>
          <w:rFonts w:ascii="Times New Roman" w:hAnsi="Times New Roman" w:cs="Times New Roman"/>
          <w:i/>
          <w:noProof/>
          <w:sz w:val="24"/>
          <w:szCs w:val="24"/>
        </w:rPr>
      </w:pPr>
    </w:p>
    <w:p w:rsidR="00CB01DD" w:rsidRDefault="00CB01DD">
      <w:pPr>
        <w:spacing w:line="360" w:lineRule="auto"/>
        <w:jc w:val="both"/>
        <w:rPr>
          <w:rFonts w:ascii="Times New Roman" w:hAnsi="Times New Roman" w:cs="Times New Roman"/>
          <w:i/>
          <w:noProof/>
          <w:sz w:val="24"/>
          <w:szCs w:val="24"/>
        </w:rPr>
      </w:pPr>
    </w:p>
    <w:p w:rsidR="00CB01DD" w:rsidRDefault="00D75BDB">
      <w:pPr>
        <w:pStyle w:val="Heading3"/>
        <w:rPr>
          <w:noProof/>
        </w:rPr>
      </w:pPr>
      <w:bookmarkStart w:id="14" w:name="_Toc498075888"/>
      <w:r>
        <w:rPr>
          <w:noProof/>
        </w:rPr>
        <w:t>3.1.1</w:t>
      </w:r>
      <w:r>
        <w:rPr>
          <w:noProof/>
        </w:rPr>
        <w:tab/>
        <w:t>Key indicators</w:t>
      </w:r>
      <w:bookmarkEnd w:id="14"/>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iCs/>
          <w:noProof/>
          <w:sz w:val="24"/>
          <w:szCs w:val="24"/>
        </w:rPr>
        <w:t xml:space="preserve">In almost half of the Member States the unemployment rate decreased markedly in 2016, by more than 1 percentage point. </w:t>
      </w:r>
      <w:r>
        <w:rPr>
          <w:rFonts w:ascii="Times New Roman" w:hAnsi="Times New Roman" w:cs="Times New Roman"/>
          <w:iCs/>
          <w:noProof/>
          <w:sz w:val="24"/>
          <w:szCs w:val="24"/>
        </w:rPr>
        <w:t>A</w:t>
      </w:r>
      <w:r>
        <w:rPr>
          <w:rFonts w:ascii="Times New Roman" w:hAnsi="Times New Roman" w:cs="Times New Roman"/>
          <w:noProof/>
          <w:sz w:val="24"/>
          <w:szCs w:val="24"/>
          <w:lang w:eastAsia="en-GB"/>
        </w:rPr>
        <w:t xml:space="preserve"> quicker-than-average drop occurred notably in some Member States suffering from very high unemployment rates – especially Spain, Croati</w:t>
      </w:r>
      <w:r>
        <w:rPr>
          <w:rFonts w:ascii="Times New Roman" w:hAnsi="Times New Roman" w:cs="Times New Roman"/>
          <w:noProof/>
          <w:sz w:val="24"/>
          <w:szCs w:val="24"/>
          <w:lang w:eastAsia="en-GB"/>
        </w:rPr>
        <w:t>a and Cyprus (by 2 pps or more) but also Greece and Portugal – pointing to a convergence</w:t>
      </w:r>
      <w:r>
        <w:rPr>
          <w:rStyle w:val="FootnoteReference"/>
          <w:rFonts w:ascii="Times New Roman" w:hAnsi="Times New Roman" w:cs="Times New Roman"/>
          <w:noProof/>
          <w:sz w:val="24"/>
          <w:szCs w:val="24"/>
          <w:lang w:eastAsia="en-GB"/>
        </w:rPr>
        <w:footnoteReference w:id="26"/>
      </w:r>
      <w:r>
        <w:rPr>
          <w:rFonts w:ascii="Times New Roman" w:hAnsi="Times New Roman" w:cs="Times New Roman"/>
          <w:noProof/>
          <w:sz w:val="24"/>
          <w:szCs w:val="24"/>
          <w:lang w:eastAsia="en-GB"/>
        </w:rPr>
        <w:t xml:space="preserve"> towards lower unemployment levels. However, differences remain big.</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 xml:space="preserve">As evident from </w:t>
      </w:r>
      <w:r>
        <w:rPr>
          <w:rFonts w:ascii="Times New Roman" w:hAnsi="Times New Roman"/>
          <w:noProof/>
          <w:sz w:val="24"/>
          <w:szCs w:val="24"/>
        </w:rPr>
        <w:t>Figure 5</w:t>
      </w:r>
      <w:r>
        <w:rPr>
          <w:rFonts w:ascii="Times New Roman" w:hAnsi="Times New Roman" w:cs="Times New Roman"/>
          <w:noProof/>
          <w:sz w:val="24"/>
          <w:szCs w:val="24"/>
          <w:lang w:eastAsia="en-GB"/>
        </w:rPr>
        <w:t xml:space="preserve"> (which looks jointly at levels and changes according to the agreed method</w:t>
      </w:r>
      <w:r>
        <w:rPr>
          <w:rFonts w:ascii="Times New Roman" w:hAnsi="Times New Roman" w:cs="Times New Roman"/>
          <w:noProof/>
          <w:sz w:val="24"/>
          <w:szCs w:val="24"/>
          <w:lang w:eastAsia="en-GB"/>
        </w:rPr>
        <w:t>ology for assessing headline indicators of the social scoreboard</w:t>
      </w:r>
      <w:r>
        <w:rPr>
          <w:rStyle w:val="FootnoteReference"/>
          <w:rFonts w:ascii="Times New Roman" w:hAnsi="Times New Roman" w:cs="Times New Roman"/>
          <w:iCs/>
          <w:noProof/>
          <w:sz w:val="24"/>
          <w:szCs w:val="24"/>
        </w:rPr>
        <w:footnoteReference w:id="27"/>
      </w:r>
      <w:r>
        <w:rPr>
          <w:rFonts w:ascii="Times New Roman" w:hAnsi="Times New Roman" w:cs="Times New Roman"/>
          <w:noProof/>
          <w:sz w:val="24"/>
          <w:szCs w:val="24"/>
          <w:lang w:eastAsia="en-GB"/>
        </w:rPr>
        <w:t>), the dispersion of unemployment rates remained sizeable in 2016</w:t>
      </w:r>
      <w:r>
        <w:rPr>
          <w:rStyle w:val="FootnoteReference"/>
          <w:rFonts w:ascii="Times New Roman" w:hAnsi="Times New Roman" w:cs="Times New Roman"/>
          <w:noProof/>
          <w:sz w:val="24"/>
          <w:szCs w:val="24"/>
          <w:lang w:eastAsia="en-GB"/>
        </w:rPr>
        <w:footnoteReference w:id="28"/>
      </w:r>
      <w:r>
        <w:rPr>
          <w:rFonts w:ascii="Times New Roman" w:hAnsi="Times New Roman" w:cs="Times New Roman"/>
          <w:noProof/>
          <w:sz w:val="24"/>
          <w:szCs w:val="24"/>
          <w:lang w:eastAsia="en-GB"/>
        </w:rPr>
        <w:t>, with values ranging from around 4% in the Czech Republic and Germany ("best performers") to 23.6% in Greece ("critical situ</w:t>
      </w:r>
      <w:r>
        <w:rPr>
          <w:rFonts w:ascii="Times New Roman" w:hAnsi="Times New Roman" w:cs="Times New Roman"/>
          <w:noProof/>
          <w:sz w:val="24"/>
          <w:szCs w:val="24"/>
          <w:lang w:eastAsia="en-GB"/>
        </w:rPr>
        <w:t xml:space="preserve">ation"). Although the unemployment rate decreased by 1.3 pps in Greece, the overall level remains very high. Moreover, unemployment rates also remain high in Italy, with no significant improvements in 2016 (decreasing by only 0.2 pps). Among Member States </w:t>
      </w:r>
      <w:r>
        <w:rPr>
          <w:rFonts w:ascii="Times New Roman" w:hAnsi="Times New Roman" w:cs="Times New Roman"/>
          <w:noProof/>
          <w:sz w:val="24"/>
          <w:szCs w:val="24"/>
          <w:lang w:eastAsia="en-GB"/>
        </w:rPr>
        <w:t>with lower than average unemployment rates, Estonia and Austria recorded a slight increase in 2016. In spite of the steady decrease since 2013, in most Member States the unemployment rate was still higher in 2016 than in 2008 (Figure 6). The only exception</w:t>
      </w:r>
      <w:r>
        <w:rPr>
          <w:rFonts w:ascii="Times New Roman" w:hAnsi="Times New Roman" w:cs="Times New Roman"/>
          <w:noProof/>
          <w:sz w:val="24"/>
          <w:szCs w:val="24"/>
          <w:lang w:eastAsia="en-GB"/>
        </w:rPr>
        <w:t xml:space="preserve">s are Germany, Hungary, Malta, Poland, the United Kingdom and the Czech Republic. </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rFonts w:ascii="Times New Roman" w:hAnsi="Times New Roman"/>
          <w:noProof/>
          <w:sz w:val="24"/>
          <w:szCs w:val="24"/>
        </w:rPr>
        <w:fldChar w:fldCharType="end"/>
      </w:r>
      <w:r>
        <w:rPr>
          <w:rFonts w:ascii="Times New Roman" w:hAnsi="Times New Roman"/>
          <w:noProof/>
          <w:sz w:val="24"/>
          <w:szCs w:val="24"/>
        </w:rPr>
        <w:t xml:space="preserve">: Unemployment rate (15-74) and yearly change (Social Scoreboard headline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239F2AA1" wp14:editId="2C33221B">
            <wp:extent cx="4649190" cy="355793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647" cy="3557519"/>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val="fr-BE" w:eastAsia="en-GB"/>
        </w:rPr>
        <w:t xml:space="preserve">Source: Eurostat, LFS (DG EMPL calculations). </w:t>
      </w:r>
      <w:r>
        <w:rPr>
          <w:rFonts w:ascii="Times New Roman" w:hAnsi="Times New Roman" w:cs="Times New Roman"/>
          <w:noProof/>
          <w:sz w:val="20"/>
          <w:szCs w:val="20"/>
          <w:lang w:eastAsia="en-GB"/>
        </w:rPr>
        <w:t xml:space="preserve">Period: 2016 levels and yearly changes with respect to 2015. Note: Axes are centred on the unweighted EU average. The legend is presented in the Annex. </w:t>
      </w:r>
    </w:p>
    <w:p w:rsidR="00CB01DD" w:rsidRDefault="00CB01DD">
      <w:pPr>
        <w:spacing w:line="360" w:lineRule="auto"/>
        <w:jc w:val="both"/>
        <w:rPr>
          <w:rFonts w:ascii="Times New Roman" w:hAnsi="Times New Roman" w:cs="Times New Roman"/>
          <w:b/>
          <w:iCs/>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rFonts w:ascii="Times New Roman" w:hAnsi="Times New Roman"/>
          <w:noProof/>
          <w:sz w:val="24"/>
          <w:szCs w:val="24"/>
        </w:rPr>
        <w:fldChar w:fldCharType="end"/>
      </w:r>
      <w:r>
        <w:rPr>
          <w:rFonts w:ascii="Times New Roman" w:hAnsi="Times New Roman"/>
          <w:noProof/>
          <w:sz w:val="24"/>
          <w:szCs w:val="24"/>
        </w:rPr>
        <w:t>: Unemployment rate (15-74), multiannual comparison</w:t>
      </w:r>
    </w:p>
    <w:p w:rsidR="00CB01DD" w:rsidRDefault="00D75BDB">
      <w:pPr>
        <w:spacing w:line="360" w:lineRule="auto"/>
        <w:jc w:val="both"/>
        <w:rPr>
          <w:rFonts w:ascii="Times New Roman" w:hAnsi="Times New Roman" w:cs="Times New Roman"/>
          <w:b/>
          <w:iCs/>
          <w:noProof/>
          <w:sz w:val="24"/>
          <w:szCs w:val="24"/>
        </w:rPr>
      </w:pPr>
      <w:r>
        <w:rPr>
          <w:rFonts w:ascii="Times New Roman" w:hAnsi="Times New Roman" w:cs="Times New Roman"/>
          <w:b/>
          <w:iCs/>
          <w:noProof/>
          <w:sz w:val="24"/>
          <w:szCs w:val="24"/>
          <w:lang w:eastAsia="en-GB"/>
        </w:rPr>
        <w:drawing>
          <wp:inline distT="0" distB="0" distL="0" distR="0" wp14:anchorId="40B02174" wp14:editId="40002918">
            <wp:extent cx="5764999" cy="2679590"/>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9335" cy="2681606"/>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w:t>
      </w:r>
      <w:r>
        <w:rPr>
          <w:rFonts w:ascii="Times New Roman" w:hAnsi="Times New Roman" w:cs="Times New Roman"/>
          <w:noProof/>
          <w:sz w:val="20"/>
          <w:szCs w:val="20"/>
          <w:lang w:eastAsia="en-GB"/>
        </w:rPr>
        <w:t>t, LFS.</w:t>
      </w:r>
    </w:p>
    <w:p w:rsidR="00CB01DD" w:rsidRDefault="00CB01DD">
      <w:pPr>
        <w:spacing w:line="360" w:lineRule="auto"/>
        <w:jc w:val="both"/>
        <w:rPr>
          <w:rFonts w:ascii="Times New Roman" w:hAnsi="Times New Roman" w:cs="Times New Roman"/>
          <w:b/>
          <w:iCs/>
          <w:noProof/>
          <w:sz w:val="24"/>
          <w:szCs w:val="24"/>
        </w:rPr>
      </w:pP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 xml:space="preserve">The employment rate has increased in 27 out of 28 Member States, though significant disparities remain. </w:t>
      </w:r>
      <w:r>
        <w:rPr>
          <w:rFonts w:ascii="Times New Roman" w:hAnsi="Times New Roman" w:cs="Times New Roman"/>
          <w:iCs/>
          <w:noProof/>
          <w:sz w:val="24"/>
          <w:szCs w:val="24"/>
        </w:rPr>
        <w:t xml:space="preserve">Only Luxembourg has recorded a slight decrease over the last year. As shown in </w:t>
      </w:r>
      <w:r>
        <w:rPr>
          <w:rFonts w:ascii="Times New Roman" w:hAnsi="Times New Roman"/>
          <w:noProof/>
          <w:sz w:val="24"/>
          <w:szCs w:val="24"/>
        </w:rPr>
        <w:t>Figure 7</w:t>
      </w:r>
      <w:r>
        <w:rPr>
          <w:rFonts w:ascii="Times New Roman" w:hAnsi="Times New Roman" w:cs="Times New Roman"/>
          <w:iCs/>
          <w:noProof/>
          <w:sz w:val="24"/>
          <w:szCs w:val="24"/>
        </w:rPr>
        <w:t>, employment rates are only partially converging. This i</w:t>
      </w:r>
      <w:r>
        <w:rPr>
          <w:rFonts w:ascii="Times New Roman" w:hAnsi="Times New Roman" w:cs="Times New Roman"/>
          <w:iCs/>
          <w:noProof/>
          <w:sz w:val="24"/>
          <w:szCs w:val="24"/>
        </w:rPr>
        <w:t xml:space="preserve">s reflected in the moderately negative slope of the regression line that links changes with levels in employment rates. This suggests that Member States characterised by lower employment rates are growing somewhat faster than average, and vice versa – but </w:t>
      </w:r>
      <w:r>
        <w:rPr>
          <w:rFonts w:ascii="Times New Roman" w:hAnsi="Times New Roman" w:cs="Times New Roman"/>
          <w:iCs/>
          <w:noProof/>
          <w:sz w:val="24"/>
          <w:szCs w:val="24"/>
        </w:rPr>
        <w:t>the situation remains scattered. Employment rates (age group 20-64) diverge widely, ranging from 56.2% in Greece to 81.2% in Sweden. At the lower end, the employment rate remains much below the EU average (below 65%) in Greece, Croatia, Italy (flagged as "</w:t>
      </w:r>
      <w:r>
        <w:rPr>
          <w:rFonts w:ascii="Times New Roman" w:hAnsi="Times New Roman" w:cs="Times New Roman"/>
          <w:iCs/>
          <w:noProof/>
          <w:sz w:val="24"/>
          <w:szCs w:val="24"/>
        </w:rPr>
        <w:t>critical situations"), and Spain (flagged as "weak but improving" in view of a significant improvement). It is marginally higher in Romania, Belgium and Bulgaria, though increasing at a slower than average pace. Conversely, the Netherlands, Denmark, United</w:t>
      </w:r>
      <w:r>
        <w:rPr>
          <w:rFonts w:ascii="Times New Roman" w:hAnsi="Times New Roman" w:cs="Times New Roman"/>
          <w:iCs/>
          <w:noProof/>
          <w:sz w:val="24"/>
          <w:szCs w:val="24"/>
        </w:rPr>
        <w:t xml:space="preserve"> Kingdom, Germany and Sweden are flagged as "best performers" with employment rates of 77% or higher. An expansion of employment is, according to the European Commission Autumn 2017 economic forecast, expected over 2017 and 2018 in almost all Member States</w:t>
      </w:r>
      <w:r>
        <w:rPr>
          <w:rFonts w:ascii="Times New Roman" w:hAnsi="Times New Roman" w:cs="Times New Roman"/>
          <w:iCs/>
          <w:noProof/>
          <w:sz w:val="24"/>
          <w:szCs w:val="24"/>
        </w:rPr>
        <w:t xml:space="preserve">. </w:t>
      </w:r>
    </w:p>
    <w:p w:rsidR="00CB01DD" w:rsidRDefault="00CB01DD">
      <w:pPr>
        <w:spacing w:line="240" w:lineRule="auto"/>
        <w:jc w:val="both"/>
        <w:rPr>
          <w:rFonts w:ascii="Times New Roman" w:hAnsi="Times New Roman" w:cs="Times New Roman"/>
          <w:b/>
          <w:noProof/>
          <w:sz w:val="24"/>
          <w:szCs w:val="24"/>
          <w:lang w:eastAsia="en-GB"/>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7</w:t>
      </w:r>
      <w:r>
        <w:rPr>
          <w:rFonts w:ascii="Times New Roman" w:hAnsi="Times New Roman"/>
          <w:noProof/>
          <w:sz w:val="24"/>
          <w:szCs w:val="24"/>
        </w:rPr>
        <w:fldChar w:fldCharType="end"/>
      </w:r>
      <w:r>
        <w:rPr>
          <w:rFonts w:ascii="Times New Roman" w:hAnsi="Times New Roman"/>
          <w:noProof/>
          <w:sz w:val="24"/>
          <w:szCs w:val="24"/>
        </w:rPr>
        <w:t xml:space="preserve">: Employment rate (20-64) and yearly change (Social Scoreboard headline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61356245" wp14:editId="5807E820">
            <wp:extent cx="4607626" cy="347031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7626" cy="3470317"/>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val="fr-BE" w:eastAsia="en-GB"/>
        </w:rPr>
        <w:t xml:space="preserve">Source: Eurostat, LFS (DG EMPL calculations). </w:t>
      </w:r>
      <w:r>
        <w:rPr>
          <w:rFonts w:ascii="Times New Roman" w:hAnsi="Times New Roman" w:cs="Times New Roman"/>
          <w:noProof/>
          <w:sz w:val="20"/>
          <w:szCs w:val="20"/>
          <w:lang w:eastAsia="en-GB"/>
        </w:rPr>
        <w:t xml:space="preserve">Period: 2016 levels and yearly changes with respect to 2015. Note: Axes are centred on the unweighted EU average. The legend is presented in the Annex. </w:t>
      </w:r>
    </w:p>
    <w:p w:rsidR="00CB01DD" w:rsidRDefault="00CB01DD">
      <w:pPr>
        <w:spacing w:line="360" w:lineRule="auto"/>
        <w:jc w:val="both"/>
        <w:rPr>
          <w:rFonts w:ascii="Times New Roman" w:hAnsi="Times New Roman" w:cs="Times New Roman"/>
          <w:b/>
          <w:noProof/>
          <w:sz w:val="24"/>
          <w:szCs w:val="24"/>
          <w:lang w:eastAsia="en-GB"/>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Average employment rates in the EU have been constantly rising since 2013 and are now above pre-crisis</w:t>
      </w:r>
      <w:r>
        <w:rPr>
          <w:rFonts w:ascii="Times New Roman" w:hAnsi="Times New Roman" w:cs="Times New Roman"/>
          <w:b/>
          <w:noProof/>
          <w:sz w:val="24"/>
          <w:szCs w:val="24"/>
          <w:lang w:eastAsia="en-GB"/>
        </w:rPr>
        <w:t xml:space="preserve"> levels, but disparities are still high. </w:t>
      </w:r>
      <w:r>
        <w:rPr>
          <w:rFonts w:ascii="Times New Roman" w:hAnsi="Times New Roman" w:cs="Times New Roman"/>
          <w:noProof/>
          <w:sz w:val="24"/>
          <w:szCs w:val="24"/>
          <w:lang w:eastAsia="en-GB"/>
        </w:rPr>
        <w:t>In 2016 more than half of the Member States, 17 countries, are still below the 2008 levels</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w:t>
      </w:r>
      <w:r>
        <w:rPr>
          <w:rFonts w:ascii="Times New Roman" w:hAnsi="Times New Roman"/>
          <w:noProof/>
          <w:sz w:val="24"/>
          <w:szCs w:val="24"/>
        </w:rPr>
        <w:t>Figure 8</w:t>
      </w:r>
      <w:r>
        <w:rPr>
          <w:rFonts w:ascii="Times New Roman" w:hAnsi="Times New Roman" w:cs="Times New Roman"/>
          <w:noProof/>
          <w:sz w:val="24"/>
          <w:szCs w:val="24"/>
          <w:lang w:eastAsia="en-GB"/>
        </w:rPr>
        <w:t>). This is particularly evident in those countries more affected by the crisis – notably Greece (-10.1 pps), Cyprus</w:t>
      </w:r>
      <w:r>
        <w:rPr>
          <w:rFonts w:ascii="Times New Roman" w:hAnsi="Times New Roman" w:cs="Times New Roman"/>
          <w:noProof/>
          <w:sz w:val="24"/>
          <w:szCs w:val="24"/>
          <w:lang w:eastAsia="en-GB"/>
        </w:rPr>
        <w:t xml:space="preserve"> (-7.7 pps), Spain (-4.6 pps) and Croatia (-3.5 pps). Reassuringly, the recovery has contributed to employment growth in almost all Member States compared to 2013. The largest increases in employment rates since 2008 took place in Hungary (+8.5 pps) and Li</w:t>
      </w:r>
      <w:r>
        <w:rPr>
          <w:rFonts w:ascii="Times New Roman" w:hAnsi="Times New Roman" w:cs="Times New Roman"/>
          <w:noProof/>
          <w:sz w:val="24"/>
          <w:szCs w:val="24"/>
          <w:lang w:eastAsia="en-GB"/>
        </w:rPr>
        <w:t>thuania (+5.3 pps).</w:t>
      </w:r>
    </w:p>
    <w:p w:rsidR="00CB01DD" w:rsidRDefault="00CB01DD">
      <w:pPr>
        <w:spacing w:line="360" w:lineRule="auto"/>
        <w:contextualSpacing/>
        <w:jc w:val="both"/>
        <w:rPr>
          <w:rFonts w:ascii="Times New Roman" w:hAnsi="Times New Roman" w:cs="Times New Roman"/>
          <w:iCs/>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8</w:t>
      </w:r>
      <w:r>
        <w:rPr>
          <w:rFonts w:ascii="Times New Roman" w:hAnsi="Times New Roman"/>
          <w:noProof/>
          <w:sz w:val="24"/>
          <w:szCs w:val="24"/>
        </w:rPr>
        <w:fldChar w:fldCharType="end"/>
      </w:r>
      <w:r>
        <w:rPr>
          <w:rFonts w:ascii="Times New Roman" w:hAnsi="Times New Roman"/>
          <w:noProof/>
          <w:sz w:val="24"/>
          <w:szCs w:val="24"/>
        </w:rPr>
        <w:t>: Employment rate (20-64), multiannual comparison</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42610584" wp14:editId="1F1D7664">
            <wp:extent cx="5547600" cy="2577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7600" cy="257760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CB01DD">
      <w:pPr>
        <w:spacing w:line="360" w:lineRule="auto"/>
        <w:jc w:val="both"/>
        <w:rPr>
          <w:rFonts w:ascii="Times New Roman" w:hAnsi="Times New Roman"/>
          <w:b/>
          <w:noProof/>
          <w:sz w:val="24"/>
          <w:szCs w:val="24"/>
        </w:rPr>
      </w:pPr>
    </w:p>
    <w:p w:rsidR="00CB01DD" w:rsidRDefault="00D75BDB">
      <w:pPr>
        <w:spacing w:line="360" w:lineRule="auto"/>
        <w:jc w:val="both"/>
        <w:rPr>
          <w:rFonts w:ascii="Times New Roman" w:hAnsi="Times New Roman"/>
          <w:noProof/>
          <w:sz w:val="24"/>
          <w:szCs w:val="24"/>
        </w:rPr>
      </w:pPr>
      <w:r>
        <w:rPr>
          <w:rFonts w:ascii="Times New Roman" w:hAnsi="Times New Roman"/>
          <w:b/>
          <w:noProof/>
          <w:sz w:val="24"/>
          <w:szCs w:val="24"/>
        </w:rPr>
        <w:t xml:space="preserve">In a context of sustained employment growth, trends in self-employment tend to be more stable. </w:t>
      </w:r>
      <w:r>
        <w:rPr>
          <w:rFonts w:ascii="Times New Roman" w:hAnsi="Times New Roman"/>
          <w:noProof/>
          <w:sz w:val="24"/>
          <w:szCs w:val="24"/>
        </w:rPr>
        <w:t xml:space="preserve">The average self-employment </w:t>
      </w:r>
      <w:r>
        <w:rPr>
          <w:rFonts w:ascii="Times New Roman" w:hAnsi="Times New Roman"/>
          <w:noProof/>
          <w:sz w:val="24"/>
          <w:szCs w:val="24"/>
        </w:rPr>
        <w:t>rate decreased in 2016 to 14.0%, the lowest rate since 2008, as total employment grew faster (+1.5%) than self-employment (+0.3%). However, if the primary sector (agriculture, forestry and fishing), which is affected by a structural decline, is excluded, t</w:t>
      </w:r>
      <w:r>
        <w:rPr>
          <w:rFonts w:ascii="Times New Roman" w:hAnsi="Times New Roman"/>
          <w:noProof/>
          <w:sz w:val="24"/>
          <w:szCs w:val="24"/>
        </w:rPr>
        <w:t>he number of self-employed grew almost as fast as total employment (by 1.3%). Self-employment by people with a migrant background continued its steady rise: the rate for people with a non-EU citizenship rose to 12.2% in 2016, from 11.9% in 2015 (it was onl</w:t>
      </w:r>
      <w:r>
        <w:rPr>
          <w:rFonts w:ascii="Times New Roman" w:hAnsi="Times New Roman"/>
          <w:noProof/>
          <w:sz w:val="24"/>
          <w:szCs w:val="24"/>
        </w:rPr>
        <w:t>y 10.0% in 2010). Moreover, demographic developments have led to a strong increase in the number of self-employed of 65 years and older. In 2016, their number amounted to 8% of the total number of self-employed (6% in 2006).</w:t>
      </w:r>
    </w:p>
    <w:p w:rsidR="00CB01DD" w:rsidRDefault="00D75BDB">
      <w:pPr>
        <w:spacing w:line="360" w:lineRule="auto"/>
        <w:jc w:val="both"/>
        <w:rPr>
          <w:rFonts w:ascii="Times New Roman" w:hAnsi="Times New Roman"/>
          <w:noProof/>
          <w:sz w:val="24"/>
          <w:szCs w:val="24"/>
        </w:rPr>
      </w:pPr>
      <w:r>
        <w:rPr>
          <w:rFonts w:ascii="Times New Roman" w:hAnsi="Times New Roman"/>
          <w:b/>
          <w:noProof/>
          <w:sz w:val="24"/>
          <w:szCs w:val="24"/>
        </w:rPr>
        <w:t>In absolute terms, self-employm</w:t>
      </w:r>
      <w:r>
        <w:rPr>
          <w:rFonts w:ascii="Times New Roman" w:hAnsi="Times New Roman"/>
          <w:b/>
          <w:noProof/>
          <w:sz w:val="24"/>
          <w:szCs w:val="24"/>
        </w:rPr>
        <w:t>ent rose in 2016 in a majority of Member States</w:t>
      </w:r>
      <w:r>
        <w:rPr>
          <w:rFonts w:ascii="Times New Roman" w:hAnsi="Times New Roman"/>
          <w:noProof/>
          <w:sz w:val="24"/>
          <w:szCs w:val="24"/>
        </w:rPr>
        <w:t>. Sectoral developments played a role, with decreases mainly concentrated in Member States with an above-average share of self-employed in the primary sector (Croatia, Romania, Slovenia, Bulgaria, Portugal, Fi</w:t>
      </w:r>
      <w:r>
        <w:rPr>
          <w:rFonts w:ascii="Times New Roman" w:hAnsi="Times New Roman"/>
          <w:noProof/>
          <w:sz w:val="24"/>
          <w:szCs w:val="24"/>
        </w:rPr>
        <w:t xml:space="preserve">nland and Poland). Decreases were also recorded in Cyprus, Germany, Belgium, Sweden and Italy, while self-employment went up in all other Member States (by 5% or more in Luxembourg, Slovakia and the United Kingdom). The male self-employment rate continued </w:t>
      </w:r>
      <w:r>
        <w:rPr>
          <w:rFonts w:ascii="Times New Roman" w:hAnsi="Times New Roman"/>
          <w:noProof/>
          <w:sz w:val="24"/>
          <w:szCs w:val="24"/>
        </w:rPr>
        <w:t>its steady decrease (to 17.5% in 2016; it stood above 18% up to 2014), while the female self-employment rate has remained constant at around 9.9% since 2012.</w:t>
      </w:r>
    </w:p>
    <w:p w:rsidR="00CB01DD" w:rsidRDefault="00D75BDB">
      <w:pPr>
        <w:spacing w:line="360" w:lineRule="auto"/>
        <w:jc w:val="both"/>
        <w:rPr>
          <w:rFonts w:ascii="Times New Roman" w:hAnsi="Times New Roman" w:cs="Times New Roman"/>
          <w:b/>
          <w:noProof/>
          <w:sz w:val="24"/>
          <w:szCs w:val="24"/>
          <w:u w:val="single"/>
        </w:rPr>
      </w:pPr>
      <w:r>
        <w:rPr>
          <w:rFonts w:ascii="Times New Roman" w:hAnsi="Times New Roman"/>
          <w:b/>
          <w:noProof/>
          <w:sz w:val="24"/>
          <w:szCs w:val="24"/>
        </w:rPr>
        <w:t>Self-employment without employees (so-called own-account workers) remained widespread</w:t>
      </w:r>
      <w:r>
        <w:rPr>
          <w:rFonts w:ascii="Times New Roman" w:hAnsi="Times New Roman"/>
          <w:noProof/>
          <w:sz w:val="24"/>
          <w:szCs w:val="24"/>
        </w:rPr>
        <w:t>. In 2016, th</w:t>
      </w:r>
      <w:r>
        <w:rPr>
          <w:rFonts w:ascii="Times New Roman" w:hAnsi="Times New Roman"/>
          <w:noProof/>
          <w:sz w:val="24"/>
          <w:szCs w:val="24"/>
        </w:rPr>
        <w:t>e number of own-account workers outside the primary sector rose by 1.8% (and stood 9% higher than in 2008), while the number of employers (self-employed with employees) outside the primary sector rose only by 0.3% (and stood 10% lower than in 2008). Self-e</w:t>
      </w:r>
      <w:r>
        <w:rPr>
          <w:rFonts w:ascii="Times New Roman" w:hAnsi="Times New Roman"/>
          <w:noProof/>
          <w:sz w:val="24"/>
          <w:szCs w:val="24"/>
        </w:rPr>
        <w:t>mployment without employees can hide situations of "bogus" self-employment in some circumstances; this issue will be further discussed in Section 3.3 along with labour market segmentation.</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Wage growth remains subdued in the EU, despite continued improvemen</w:t>
      </w:r>
      <w:r>
        <w:rPr>
          <w:rFonts w:ascii="Times New Roman" w:hAnsi="Times New Roman" w:cs="Times New Roman"/>
          <w:b/>
          <w:noProof/>
          <w:sz w:val="24"/>
          <w:szCs w:val="24"/>
        </w:rPr>
        <w:t>ts in the labour market</w:t>
      </w:r>
      <w:r>
        <w:rPr>
          <w:rFonts w:ascii="Times New Roman" w:hAnsi="Times New Roman" w:cs="Times New Roman"/>
          <w:noProof/>
          <w:sz w:val="24"/>
          <w:szCs w:val="24"/>
        </w:rPr>
        <w:t>. Real wages adjusted for the change in consumer prices increased in almost all Member States and grew overall by 1.3% in the EU</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Growth was lower in the euro area, where, in the low-inflation environment of 2015 and 2016, real wage</w:t>
      </w:r>
      <w:r>
        <w:rPr>
          <w:rFonts w:ascii="Times New Roman" w:hAnsi="Times New Roman" w:cs="Times New Roman"/>
          <w:noProof/>
          <w:sz w:val="24"/>
          <w:szCs w:val="24"/>
        </w:rPr>
        <w:t>s grew by slightly less than 1% in both years. Modest wage growth, coupled with a slight slowdown in productivity growth</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translated into a moderate pick-up in unit labour cost dynamics. Compensation of employees varies widely across Europe, ranging from </w:t>
      </w:r>
      <w:r>
        <w:rPr>
          <w:rFonts w:ascii="Times New Roman" w:hAnsi="Times New Roman" w:cs="Times New Roman"/>
          <w:noProof/>
          <w:sz w:val="24"/>
          <w:szCs w:val="24"/>
        </w:rPr>
        <w:t xml:space="preserve">EUR 4.6 per hour worked in Bulgaria to EUR 43.3 in Luxembourg. Moreover, </w:t>
      </w:r>
      <w:r>
        <w:rPr>
          <w:rFonts w:ascii="Times New Roman" w:hAnsi="Times New Roman"/>
          <w:noProof/>
          <w:sz w:val="24"/>
          <w:szCs w:val="24"/>
        </w:rPr>
        <w:t>Figure 9</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shows that Europe is broadly split in two groups of low-wage and high-wage countries, with only Cyprus, Slovenia, Italy and Spain being close to EU average. On the low end, </w:t>
      </w:r>
      <w:r>
        <w:rPr>
          <w:rFonts w:ascii="Times New Roman" w:hAnsi="Times New Roman" w:cs="Times New Roman"/>
          <w:noProof/>
          <w:sz w:val="24"/>
          <w:szCs w:val="24"/>
        </w:rPr>
        <w:t>in particular Bulgaria, Poland and Hungary stand out, as well as Romania which recorded a large increase in the last year. Some signs of convergence can be identified, even if the correlation between the absolute level of wages and the change in compensati</w:t>
      </w:r>
      <w:r>
        <w:rPr>
          <w:rFonts w:ascii="Times New Roman" w:hAnsi="Times New Roman" w:cs="Times New Roman"/>
          <w:noProof/>
          <w:sz w:val="24"/>
          <w:szCs w:val="24"/>
        </w:rPr>
        <w:t>ons does not seem strong.</w:t>
      </w:r>
    </w:p>
    <w:p w:rsidR="00CB01DD" w:rsidRDefault="00CB01DD">
      <w:pPr>
        <w:spacing w:line="360" w:lineRule="auto"/>
        <w:jc w:val="both"/>
        <w:rPr>
          <w:rFonts w:ascii="Times New Roman" w:hAnsi="Times New Roman" w:cs="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rFonts w:ascii="Times New Roman" w:hAnsi="Times New Roman"/>
          <w:noProof/>
          <w:sz w:val="24"/>
          <w:szCs w:val="24"/>
        </w:rPr>
        <w:fldChar w:fldCharType="end"/>
      </w:r>
      <w:r>
        <w:rPr>
          <w:rFonts w:ascii="Times New Roman" w:hAnsi="Times New Roman"/>
          <w:noProof/>
          <w:sz w:val="24"/>
          <w:szCs w:val="24"/>
        </w:rPr>
        <w:t xml:space="preserve">: Compensation of employees per hour worked and yearly change (Social Scoreboard headline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4853A136" wp14:editId="4B5C6803">
            <wp:extent cx="4863730" cy="321821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2211" cy="3217208"/>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National accounts. Period: 2016 levels and yearly changes with respect to 2015. Note: Axes are centred on the unweighted EU average. The legend is presented in the Annex. </w:t>
      </w:r>
    </w:p>
    <w:p w:rsidR="00CB01DD" w:rsidRDefault="00CB01DD">
      <w:pPr>
        <w:spacing w:line="360" w:lineRule="auto"/>
        <w:jc w:val="both"/>
        <w:rPr>
          <w:rFonts w:ascii="Times New Roman" w:hAnsi="Times New Roman" w:cs="Times New Roman"/>
          <w:noProof/>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In the period 2011 to 2016, real wage growth lagged behind averag</w:t>
      </w:r>
      <w:r>
        <w:rPr>
          <w:rFonts w:ascii="Times New Roman" w:hAnsi="Times New Roman" w:cs="Times New Roman"/>
          <w:b/>
          <w:noProof/>
          <w:sz w:val="24"/>
          <w:szCs w:val="24"/>
        </w:rPr>
        <w:t>e productivity growth in the majority of Member States (18 out of 28).</w:t>
      </w:r>
      <w:r>
        <w:rPr>
          <w:rFonts w:ascii="Times New Roman" w:hAnsi="Times New Roman" w:cs="Times New Roman"/>
          <w:noProof/>
          <w:sz w:val="24"/>
          <w:szCs w:val="24"/>
        </w:rPr>
        <w:t xml:space="preserve"> In</w:t>
      </w:r>
      <w:r>
        <w:rPr>
          <w:noProof/>
        </w:rPr>
        <w:t xml:space="preserve"> </w:t>
      </w:r>
      <w:r>
        <w:rPr>
          <w:rFonts w:ascii="Times New Roman" w:hAnsi="Times New Roman" w:cs="Times New Roman"/>
          <w:noProof/>
          <w:sz w:val="24"/>
          <w:szCs w:val="24"/>
        </w:rPr>
        <w:t>six countries (Belgium, Cyprus, Finland, Croatia, Greece, Portugal) real wage growth was negative over the period 2014-2016</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Also over the longer term, on average real wage developm</w:t>
      </w:r>
      <w:r>
        <w:rPr>
          <w:rFonts w:ascii="Times New Roman" w:hAnsi="Times New Roman" w:cs="Times New Roman"/>
          <w:noProof/>
          <w:sz w:val="24"/>
          <w:szCs w:val="24"/>
        </w:rPr>
        <w:t xml:space="preserve">ents have been trailing behind productivity (see Figure 10). </w:t>
      </w:r>
    </w:p>
    <w:p w:rsidR="00CB01DD" w:rsidRDefault="00D75BDB">
      <w:pPr>
        <w:pStyle w:val="Caption"/>
        <w:keepNext/>
        <w:spacing w:line="36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10</w:t>
      </w:r>
      <w:r>
        <w:rPr>
          <w:rFonts w:ascii="Times New Roman" w:hAnsi="Times New Roman"/>
          <w:noProof/>
          <w:sz w:val="24"/>
          <w:szCs w:val="24"/>
        </w:rPr>
        <w:fldChar w:fldCharType="end"/>
      </w:r>
      <w:r>
        <w:rPr>
          <w:rFonts w:ascii="Times New Roman" w:hAnsi="Times New Roman"/>
          <w:noProof/>
          <w:sz w:val="24"/>
          <w:szCs w:val="24"/>
        </w:rPr>
        <w:t>: Wage and productivity developments, 2000-2016 average % changes</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330F1B4D" wp14:editId="65971523">
            <wp:extent cx="4791075" cy="34698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92565" cy="3470894"/>
                    </a:xfrm>
                    <a:prstGeom prst="rect">
                      <a:avLst/>
                    </a:prstGeom>
                    <a:noFill/>
                  </pic:spPr>
                </pic:pic>
              </a:graphicData>
            </a:graphic>
          </wp:inline>
        </w:drawing>
      </w:r>
    </w:p>
    <w:p w:rsidR="00CB01DD" w:rsidRDefault="00D75BDB">
      <w:pPr>
        <w:jc w:val="both"/>
        <w:rPr>
          <w:rFonts w:ascii="Times New Roman" w:eastAsia="Calibri" w:hAnsi="Times New Roman" w:cs="Times New Roman"/>
          <w:bCs/>
          <w:noProof/>
          <w:sz w:val="20"/>
          <w:szCs w:val="20"/>
          <w:lang w:val="fr-BE"/>
        </w:rPr>
      </w:pPr>
      <w:r>
        <w:rPr>
          <w:rFonts w:ascii="Times New Roman" w:eastAsia="Calibri" w:hAnsi="Times New Roman" w:cs="Times New Roman"/>
          <w:bCs/>
          <w:noProof/>
          <w:sz w:val="20"/>
          <w:szCs w:val="20"/>
          <w:lang w:val="fr-BE"/>
        </w:rPr>
        <w:t>Source: Eurostat, National Accounts  (DG EMPL calculations).</w:t>
      </w:r>
    </w:p>
    <w:p w:rsidR="00CB01DD" w:rsidRDefault="00CB01DD">
      <w:pPr>
        <w:spacing w:line="360" w:lineRule="auto"/>
        <w:jc w:val="both"/>
        <w:rPr>
          <w:rFonts w:ascii="Times New Roman" w:eastAsia="Calibri" w:hAnsi="Times New Roman" w:cs="Times New Roman"/>
          <w:b/>
          <w:bCs/>
          <w:noProof/>
          <w:sz w:val="24"/>
          <w:szCs w:val="24"/>
          <w:lang w:val="fr-BE"/>
        </w:rPr>
      </w:pPr>
    </w:p>
    <w:p w:rsidR="00CB01DD" w:rsidRDefault="00D75BDB">
      <w:pPr>
        <w:spacing w:line="360" w:lineRule="auto"/>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 xml:space="preserve">Cost competitiveness </w:t>
      </w:r>
      <w:r>
        <w:rPr>
          <w:rFonts w:ascii="Times New Roman" w:eastAsia="Calibri" w:hAnsi="Times New Roman" w:cs="Times New Roman"/>
          <w:b/>
          <w:bCs/>
          <w:noProof/>
          <w:sz w:val="24"/>
          <w:szCs w:val="24"/>
        </w:rPr>
        <w:t>developments were supportive of rebalancing in the euro area, but progress has slowed down</w:t>
      </w:r>
      <w:r>
        <w:rPr>
          <w:rFonts w:ascii="Times New Roman" w:eastAsia="Calibri" w:hAnsi="Times New Roman" w:cs="Times New Roman"/>
          <w:bCs/>
          <w:noProof/>
          <w:sz w:val="24"/>
          <w:szCs w:val="24"/>
        </w:rPr>
        <w:t>. In the euro area, following prolonged fiscal and wage restraint, by 2015 most Member States turned to a current account surplus position. In the context of the subd</w:t>
      </w:r>
      <w:r>
        <w:rPr>
          <w:rFonts w:ascii="Times New Roman" w:eastAsia="Calibri" w:hAnsi="Times New Roman" w:cs="Times New Roman"/>
          <w:bCs/>
          <w:noProof/>
          <w:sz w:val="24"/>
          <w:szCs w:val="24"/>
        </w:rPr>
        <w:t>ued wage growth in the euro area, nominal unit labour costs have grown slightly faster in countries characterised by large and persistent current account surpluses than in net debtor countries. However, the difference narrowed somewhat in 2016, slowing dow</w:t>
      </w:r>
      <w:r>
        <w:rPr>
          <w:rFonts w:ascii="Times New Roman" w:eastAsia="Calibri" w:hAnsi="Times New Roman" w:cs="Times New Roman"/>
          <w:bCs/>
          <w:noProof/>
          <w:sz w:val="24"/>
          <w:szCs w:val="24"/>
        </w:rPr>
        <w:t>n the rebalancing</w:t>
      </w:r>
      <w:r>
        <w:rPr>
          <w:rStyle w:val="FootnoteReference"/>
          <w:rFonts w:ascii="Times New Roman" w:eastAsia="Calibri" w:hAnsi="Times New Roman" w:cs="Times New Roman"/>
          <w:bCs/>
          <w:noProof/>
          <w:sz w:val="24"/>
          <w:szCs w:val="24"/>
        </w:rPr>
        <w:footnoteReference w:id="33"/>
      </w:r>
      <w:r>
        <w:rPr>
          <w:rFonts w:ascii="Times New Roman" w:eastAsia="Calibri" w:hAnsi="Times New Roman" w:cs="Times New Roman"/>
          <w:bCs/>
          <w:noProof/>
          <w:sz w:val="24"/>
          <w:szCs w:val="24"/>
        </w:rPr>
        <w:t xml:space="preserve">.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In most Member States, wage growth in 2016 was slower or equal than predicted by the historical relationship with unemployment,</w:t>
      </w:r>
      <w:r>
        <w:rPr>
          <w:rFonts w:ascii="Times New Roman" w:hAnsi="Times New Roman" w:cs="Times New Roman"/>
          <w:noProof/>
          <w:sz w:val="24"/>
          <w:szCs w:val="24"/>
        </w:rPr>
        <w:t xml:space="preserve"> notably with wages lagging behind the drop of unemployment. Countries where wage growth remained furthest b</w:t>
      </w:r>
      <w:r>
        <w:rPr>
          <w:rFonts w:ascii="Times New Roman" w:hAnsi="Times New Roman" w:cs="Times New Roman"/>
          <w:noProof/>
          <w:sz w:val="24"/>
          <w:szCs w:val="24"/>
        </w:rPr>
        <w:t>elow the historical relationship include Belgium, Bulgaria, Finland, Slovakia and Sweden. The Phillips curve – the (normally negative) relationship between wage growth and unemployment – confirms that wages have reacted slowly to the recovery, especially i</w:t>
      </w:r>
      <w:r>
        <w:rPr>
          <w:rFonts w:ascii="Times New Roman" w:hAnsi="Times New Roman" w:cs="Times New Roman"/>
          <w:noProof/>
          <w:sz w:val="24"/>
          <w:szCs w:val="24"/>
        </w:rPr>
        <w:t>n the euro area. Figure 11 compares the annual change in nominal compensation per employee with the so-called unemployment gap, i.e. the difference between the actual unemployment rate and its trend</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Since the start of the crisis, the curve has been flatt</w:t>
      </w:r>
      <w:r>
        <w:rPr>
          <w:rFonts w:ascii="Times New Roman" w:hAnsi="Times New Roman" w:cs="Times New Roman"/>
          <w:noProof/>
          <w:sz w:val="24"/>
          <w:szCs w:val="24"/>
        </w:rPr>
        <w:t>er than previously, implying a weaker reaction of wages to falls in unemployment. Moreover, the growth rate of compensations has over the last three years been below the trend expected in the light of labour market improvement.</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The modest wage dynamics can</w:t>
      </w:r>
      <w:r>
        <w:rPr>
          <w:rFonts w:ascii="Times New Roman" w:hAnsi="Times New Roman" w:cs="Times New Roman"/>
          <w:b/>
          <w:noProof/>
          <w:sz w:val="24"/>
          <w:szCs w:val="24"/>
        </w:rPr>
        <w:t xml:space="preserve"> be explained by weak productivity developments, low inflation expectations, the effect of some labour market reforms and the remaining slack in the labour market.</w:t>
      </w:r>
      <w:r>
        <w:rPr>
          <w:rFonts w:ascii="Times New Roman" w:hAnsi="Times New Roman" w:cs="Times New Roman"/>
          <w:noProof/>
          <w:sz w:val="24"/>
          <w:szCs w:val="24"/>
        </w:rPr>
        <w:t xml:space="preserve"> In particular, the current unemployment rate may not adequately capture the effective state </w:t>
      </w:r>
      <w:r>
        <w:rPr>
          <w:rFonts w:ascii="Times New Roman" w:hAnsi="Times New Roman" w:cs="Times New Roman"/>
          <w:noProof/>
          <w:sz w:val="24"/>
          <w:szCs w:val="24"/>
        </w:rPr>
        <w:t>of resource utilisation in the labour market. In addition to those effectively looking for a job (i.e. the unemployed), discouraged workers and underemployed part-time workers may exert additional downward pressures on wages. The decline in inflation expec</w:t>
      </w:r>
      <w:r>
        <w:rPr>
          <w:rFonts w:ascii="Times New Roman" w:hAnsi="Times New Roman" w:cs="Times New Roman"/>
          <w:noProof/>
          <w:sz w:val="24"/>
          <w:szCs w:val="24"/>
        </w:rPr>
        <w:t>tations and the productivity slowdown may also affect wage negotiations, keeping wage growth down, thus undermining the sustainability of the recovery. The negotiated wages also give a clear picture of how wage pressures have not materialised, especially i</w:t>
      </w:r>
      <w:r>
        <w:rPr>
          <w:rFonts w:ascii="Times New Roman" w:hAnsi="Times New Roman" w:cs="Times New Roman"/>
          <w:noProof/>
          <w:sz w:val="24"/>
          <w:szCs w:val="24"/>
        </w:rPr>
        <w:t>n the euro area: the yearly percentage change in the first quarter of 2017 was 1.5%, about 0.5 pps lower than its pace at the early stage of the recovery.</w:t>
      </w:r>
    </w:p>
    <w:p w:rsidR="00CB01DD" w:rsidRDefault="00CB01DD">
      <w:pPr>
        <w:pStyle w:val="Caption"/>
        <w:keepNext/>
        <w:spacing w:line="240" w:lineRule="auto"/>
        <w:rPr>
          <w:rFonts w:ascii="Times New Roman" w:hAnsi="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11</w:t>
      </w:r>
      <w:r>
        <w:rPr>
          <w:rFonts w:ascii="Times New Roman" w:hAnsi="Times New Roman"/>
          <w:noProof/>
          <w:sz w:val="24"/>
          <w:szCs w:val="24"/>
        </w:rPr>
        <w:fldChar w:fldCharType="end"/>
      </w:r>
      <w:r>
        <w:rPr>
          <w:rFonts w:ascii="Times New Roman" w:hAnsi="Times New Roman"/>
          <w:noProof/>
          <w:sz w:val="24"/>
          <w:szCs w:val="24"/>
        </w:rPr>
        <w:t>: Phillips curve for the euro area 2000-2016</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7012DA72" wp14:editId="1E53357C">
            <wp:extent cx="2634908" cy="1892411"/>
            <wp:effectExtent l="0" t="0" r="0" b="0"/>
            <wp:docPr id="64" name="Picture 64" descr="&lt;nbr&gt;&lt;GETTEXTFROMWORD&gt;&lt;/nbr&gt;&#10;&lt;title&gt;&lt;GETTEXTFROMWORD&gt;&lt;/title&gt;&#10;&lt;id&gt;2fdcdeb8-3a3f-46c6-9f9e-88eae5cd0546&lt;/id&gt;&#10;&lt;srcType&gt;EXCEL&lt;/srcType&gt;&#10;&lt;srcPath&gt;G:\A3\Projects and Reports\ANNUAL REVIEW\2017\Part I. Labour market\Chapter 1\Graphs_and_tables\&lt;/srcPath&gt;&#10;&lt;srcName&gt;p1ch1_wages_and_ulc.xlsx&lt;/srcName&gt;&#10;&lt;type&gt;graph&lt;/type&gt;&#10; &lt;srcSheet&gt;negotiated&lt;/srcSheet&gt;&#10; &lt;srcChartTitle&gt;Chart 1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6-06T20:40:3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219" cy="1909872"/>
                    </a:xfrm>
                    <a:prstGeom prst="rect">
                      <a:avLst/>
                    </a:prstGeom>
                    <a:noFill/>
                    <a:ln>
                      <a:noFill/>
                    </a:ln>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DG ECFIN </w:t>
      </w:r>
      <w:r>
        <w:rPr>
          <w:rFonts w:ascii="Times New Roman" w:hAnsi="Times New Roman" w:cs="Times New Roman"/>
          <w:noProof/>
          <w:sz w:val="20"/>
          <w:szCs w:val="20"/>
          <w:lang w:eastAsia="en-GB"/>
        </w:rPr>
        <w:t>AMECO database and Eurostat, LFS</w:t>
      </w:r>
    </w:p>
    <w:p w:rsidR="00CB01DD" w:rsidRDefault="00CB01DD">
      <w:pPr>
        <w:spacing w:line="360" w:lineRule="auto"/>
        <w:jc w:val="both"/>
        <w:rPr>
          <w:rFonts w:ascii="Times New Roman" w:hAnsi="Times New Roman" w:cs="Times New Roman"/>
          <w:b/>
          <w:noProof/>
          <w:sz w:val="24"/>
          <w:szCs w:val="24"/>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tax burden on labour is broadly stable in Europe, but with significant differences across Member States. </w:t>
      </w:r>
      <w:r>
        <w:rPr>
          <w:rFonts w:ascii="Times New Roman" w:hAnsi="Times New Roman" w:cs="Times New Roman"/>
          <w:noProof/>
          <w:sz w:val="24"/>
          <w:szCs w:val="24"/>
        </w:rPr>
        <w:t>In 2016, reductions in the tax wedge</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xml:space="preserve"> for single workers earning the average wage were most significant</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xml:space="preserve"> in Austr</w:t>
      </w:r>
      <w:r>
        <w:rPr>
          <w:rFonts w:ascii="Times New Roman" w:hAnsi="Times New Roman" w:cs="Times New Roman"/>
          <w:noProof/>
          <w:sz w:val="24"/>
          <w:szCs w:val="24"/>
        </w:rPr>
        <w:t xml:space="preserve">ia (-2.4 pps), Belgium (-1.4 pps) and Italy (-1.2 pps), while it increased markedly in the Netherlands (1.3 pps), Greece (1.0 pps) and Poland (0.9 pps). As evident from </w:t>
      </w:r>
      <w:r>
        <w:rPr>
          <w:rFonts w:ascii="Times New Roman" w:hAnsi="Times New Roman"/>
          <w:noProof/>
          <w:sz w:val="24"/>
          <w:szCs w:val="24"/>
        </w:rPr>
        <w:t>Figure 12</w:t>
      </w:r>
      <w:r>
        <w:rPr>
          <w:rFonts w:ascii="Times New Roman" w:hAnsi="Times New Roman" w:cs="Times New Roman"/>
          <w:noProof/>
          <w:sz w:val="24"/>
          <w:szCs w:val="24"/>
        </w:rPr>
        <w:t>, the tax wedge ranges from less than 30% in Ireland and Malta to around 50% i</w:t>
      </w:r>
      <w:r>
        <w:rPr>
          <w:rFonts w:ascii="Times New Roman" w:hAnsi="Times New Roman" w:cs="Times New Roman"/>
          <w:noProof/>
          <w:sz w:val="24"/>
          <w:szCs w:val="24"/>
        </w:rPr>
        <w:t>n Belgium, Germany, Hungary, Italy, France and Austria. A similar dispersion can be observed for lower income workers (defined as those earning 67% of the average wage), though different country patterns emerge as concerns the progressivity of tax rates. B</w:t>
      </w:r>
      <w:r>
        <w:rPr>
          <w:rFonts w:ascii="Times New Roman" w:hAnsi="Times New Roman" w:cs="Times New Roman"/>
          <w:noProof/>
          <w:sz w:val="24"/>
          <w:szCs w:val="24"/>
        </w:rPr>
        <w:t xml:space="preserve">etween 2013 and 2016 the non-weighted average tax wedge decreased by 0.5 pps (and by 0.8 pps for low income workers), with large reductions in some of the countries experiencing the highest rates (Belgium, Austria, as well as Italy and France, but limited </w:t>
      </w:r>
      <w:r>
        <w:rPr>
          <w:rFonts w:ascii="Times New Roman" w:hAnsi="Times New Roman" w:cs="Times New Roman"/>
          <w:noProof/>
          <w:sz w:val="24"/>
          <w:szCs w:val="24"/>
        </w:rPr>
        <w:t>to low income workers), and also in Romania and Denmark. On the contrary, there were significant increases in Luxembourg and, limited to low wages, Portugal</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w:t>
      </w:r>
    </w:p>
    <w:p w:rsidR="00CB01DD" w:rsidRDefault="00CB01DD">
      <w:pPr>
        <w:spacing w:after="120" w:line="360" w:lineRule="auto"/>
        <w:jc w:val="both"/>
        <w:rPr>
          <w:rFonts w:ascii="Times New Roman" w:hAnsi="Times New Roman" w:cs="Times New Roman"/>
          <w:b/>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12</w:t>
      </w:r>
      <w:r>
        <w:rPr>
          <w:rFonts w:ascii="Times New Roman" w:hAnsi="Times New Roman"/>
          <w:noProof/>
          <w:sz w:val="24"/>
          <w:szCs w:val="24"/>
        </w:rPr>
        <w:fldChar w:fldCharType="end"/>
      </w:r>
      <w:r>
        <w:rPr>
          <w:rFonts w:ascii="Times New Roman" w:hAnsi="Times New Roman"/>
          <w:noProof/>
          <w:sz w:val="24"/>
          <w:szCs w:val="24"/>
        </w:rPr>
        <w:t>: Tax wedge on labour, level in 2016 and change 2013/2016</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7937A970" wp14:editId="676C3442">
            <wp:extent cx="5527963" cy="3615393"/>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7963" cy="3615393"/>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Tax and benefits database, European Commission/OECD. Note: data are for single earner households (no children). No recent data available for Cyprus.</w:t>
      </w:r>
    </w:p>
    <w:p w:rsidR="00CB01DD" w:rsidRDefault="00CB01DD">
      <w:pPr>
        <w:pStyle w:val="Heading3"/>
        <w:rPr>
          <w:noProof/>
        </w:rPr>
      </w:pPr>
      <w:bookmarkStart w:id="15" w:name="_Toc498075889"/>
    </w:p>
    <w:p w:rsidR="00CB01DD" w:rsidRDefault="00D75BDB">
      <w:pPr>
        <w:pStyle w:val="Heading3"/>
        <w:rPr>
          <w:noProof/>
        </w:rPr>
      </w:pPr>
      <w:r>
        <w:rPr>
          <w:noProof/>
        </w:rPr>
        <w:t>3.1.2</w:t>
      </w:r>
      <w:r>
        <w:rPr>
          <w:noProof/>
        </w:rPr>
        <w:tab/>
        <w:t>Policy response</w:t>
      </w:r>
      <w:bookmarkEnd w:id="15"/>
    </w:p>
    <w:p w:rsidR="00CB01DD" w:rsidRDefault="00D75BDB">
      <w:pPr>
        <w:spacing w:line="360" w:lineRule="auto"/>
        <w:jc w:val="both"/>
        <w:rPr>
          <w:rFonts w:ascii="Times New Roman" w:hAnsi="Times New Roman"/>
          <w:noProof/>
          <w:sz w:val="24"/>
          <w:szCs w:val="24"/>
        </w:rPr>
      </w:pPr>
      <w:r>
        <w:rPr>
          <w:rFonts w:ascii="Times New Roman" w:hAnsi="Times New Roman" w:cs="Times New Roman"/>
          <w:b/>
          <w:noProof/>
          <w:sz w:val="24"/>
          <w:szCs w:val="24"/>
        </w:rPr>
        <w:t xml:space="preserve">Member States continued to resort to employment subsidies to support labour </w:t>
      </w:r>
      <w:r>
        <w:rPr>
          <w:rFonts w:ascii="Times New Roman" w:hAnsi="Times New Roman" w:cs="Times New Roman"/>
          <w:b/>
          <w:noProof/>
          <w:sz w:val="24"/>
          <w:szCs w:val="24"/>
        </w:rPr>
        <w:t xml:space="preserve">demand and job creation. </w:t>
      </w:r>
      <w:r>
        <w:rPr>
          <w:rFonts w:ascii="Times New Roman" w:hAnsi="Times New Roman" w:cs="Times New Roman"/>
          <w:noProof/>
          <w:sz w:val="24"/>
          <w:szCs w:val="24"/>
        </w:rPr>
        <w:t>Most measures in this area are targeted to specific groups facing labour market integration problems (e.g. youth, older people, long-term unemployed, refugees, etc.) and consist of financial incentives (or tax/social security contr</w:t>
      </w:r>
      <w:r>
        <w:rPr>
          <w:rFonts w:ascii="Times New Roman" w:hAnsi="Times New Roman" w:cs="Times New Roman"/>
          <w:noProof/>
          <w:sz w:val="24"/>
          <w:szCs w:val="24"/>
        </w:rPr>
        <w:t>ibution rebates) to employers for hiring targeted workers.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Over the reference period (from the second half of 2016 onwards), targeted hiring subsidies were introduced by several Member States (more details to be found in section 3.2). A few countries also </w:t>
      </w:r>
      <w:r>
        <w:rPr>
          <w:rFonts w:ascii="Times New Roman" w:hAnsi="Times New Roman" w:cs="Times New Roman"/>
          <w:noProof/>
          <w:sz w:val="24"/>
          <w:szCs w:val="24"/>
        </w:rPr>
        <w:t>introduced (or plan to introduce) hiring subsidies for a wider public, i.e. without or with looser eligibility conditions, usually with the aim of promoting open-ended employment. Italy introduced, limited to the Southern regions, a</w:t>
      </w:r>
      <w:r>
        <w:rPr>
          <w:rFonts w:ascii="Times New Roman" w:hAnsi="Times New Roman"/>
          <w:noProof/>
          <w:sz w:val="24"/>
          <w:szCs w:val="24"/>
        </w:rPr>
        <w:t xml:space="preserve"> reduction of social sec</w:t>
      </w:r>
      <w:r>
        <w:rPr>
          <w:rFonts w:ascii="Times New Roman" w:hAnsi="Times New Roman"/>
          <w:noProof/>
          <w:sz w:val="24"/>
          <w:szCs w:val="24"/>
        </w:rPr>
        <w:t>urity contributions</w:t>
      </w:r>
      <w:r>
        <w:rPr>
          <w:noProof/>
          <w:sz w:val="24"/>
          <w:szCs w:val="24"/>
        </w:rPr>
        <w:t xml:space="preserve"> </w:t>
      </w:r>
      <w:r>
        <w:rPr>
          <w:rFonts w:ascii="Times New Roman" w:hAnsi="Times New Roman" w:cs="Times New Roman"/>
          <w:noProof/>
          <w:sz w:val="24"/>
          <w:szCs w:val="24"/>
        </w:rPr>
        <w:t>for</w:t>
      </w:r>
      <w:r>
        <w:rPr>
          <w:noProof/>
          <w:sz w:val="24"/>
          <w:szCs w:val="24"/>
        </w:rPr>
        <w:t xml:space="preserve"> </w:t>
      </w:r>
      <w:r>
        <w:rPr>
          <w:rFonts w:ascii="Times New Roman" w:hAnsi="Times New Roman"/>
          <w:noProof/>
          <w:sz w:val="24"/>
          <w:szCs w:val="24"/>
        </w:rPr>
        <w:t xml:space="preserve">employers hiring on a permanent basis (or through professional apprenticeship) people younger than 25 or unemployed from at least six months. </w:t>
      </w:r>
      <w:r>
        <w:rPr>
          <w:rFonts w:ascii="Times New Roman" w:hAnsi="Times New Roman" w:cs="Times New Roman"/>
          <w:noProof/>
          <w:sz w:val="24"/>
          <w:szCs w:val="24"/>
        </w:rPr>
        <w:t xml:space="preserve">France extended by six months (to the first semester 2017, now phasing out) the EUR 4 000 </w:t>
      </w:r>
      <w:r>
        <w:rPr>
          <w:rFonts w:ascii="Times New Roman" w:hAnsi="Times New Roman" w:cs="Times New Roman"/>
          <w:noProof/>
          <w:sz w:val="24"/>
          <w:szCs w:val="24"/>
        </w:rPr>
        <w:t>premium granted for the hire by a small or medium enterprise of an employee paid up to 1.3 times the minimum wage; c</w:t>
      </w:r>
      <w:r>
        <w:rPr>
          <w:rFonts w:ascii="Times New Roman" w:hAnsi="Times New Roman"/>
          <w:noProof/>
          <w:sz w:val="24"/>
          <w:szCs w:val="24"/>
        </w:rPr>
        <w:t>lose to 1.6 million workers benefitted from the premium. In Austria, the introduction of an employment bonus aimed at creating new jobs by r</w:t>
      </w:r>
      <w:r>
        <w:rPr>
          <w:rFonts w:ascii="Times New Roman" w:hAnsi="Times New Roman"/>
          <w:noProof/>
          <w:sz w:val="24"/>
          <w:szCs w:val="24"/>
        </w:rPr>
        <w:t>educing the wage costs for employers opening additional positions is currently under study. In other cases, hiring subsidies are targeted to several disadvantaged groups. For instance, Portugal set up financial incentives to permanent hiring, in the form o</w:t>
      </w:r>
      <w:r>
        <w:rPr>
          <w:rFonts w:ascii="Times New Roman" w:hAnsi="Times New Roman"/>
          <w:noProof/>
          <w:sz w:val="24"/>
          <w:szCs w:val="24"/>
        </w:rPr>
        <w:t xml:space="preserve">f partial exemptions of social security </w:t>
      </w:r>
      <w:r>
        <w:rPr>
          <w:rFonts w:ascii="Times New Roman" w:hAnsi="Times New Roman" w:cs="Times New Roman"/>
          <w:noProof/>
          <w:sz w:val="24"/>
          <w:szCs w:val="24"/>
        </w:rPr>
        <w:t>contributions</w:t>
      </w:r>
      <w:r>
        <w:rPr>
          <w:rFonts w:ascii="Times New Roman" w:hAnsi="Times New Roman"/>
          <w:noProof/>
          <w:sz w:val="24"/>
          <w:szCs w:val="24"/>
        </w:rPr>
        <w:t xml:space="preserve"> for certain vulnerable groups (young people, long-term unemployed, older people). Moreover, a hiring support measure, targeted to the same groups, provides incentives to convert fixed-term contracts int</w:t>
      </w:r>
      <w:r>
        <w:rPr>
          <w:rFonts w:ascii="Times New Roman" w:hAnsi="Times New Roman"/>
          <w:noProof/>
          <w:sz w:val="24"/>
          <w:szCs w:val="24"/>
        </w:rPr>
        <w:t>o permanent ones. The European Social Fund (ESF) contributes to this measure, as well as to a recent initiative aimed at promoting the transition from traineeships into permanent contracts.</w:t>
      </w:r>
      <w:r>
        <w:rPr>
          <w:rFonts w:ascii="Times New Roman" w:hAnsi="Times New Roman" w:cs="Times New Roman"/>
          <w:noProof/>
          <w:sz w:val="24"/>
          <w:szCs w:val="24"/>
        </w:rPr>
        <w:t xml:space="preserve"> </w:t>
      </w:r>
      <w:r>
        <w:rPr>
          <w:rFonts w:ascii="Times New Roman" w:hAnsi="Times New Roman"/>
          <w:noProof/>
          <w:sz w:val="24"/>
          <w:szCs w:val="24"/>
        </w:rPr>
        <w:t>Cyprus introduced</w:t>
      </w:r>
      <w:r>
        <w:rPr>
          <w:rFonts w:ascii="Times New Roman" w:hAnsi="Times New Roman"/>
          <w:i/>
          <w:noProof/>
          <w:sz w:val="24"/>
          <w:szCs w:val="24"/>
        </w:rPr>
        <w:t xml:space="preserve"> </w:t>
      </w:r>
      <w:r>
        <w:rPr>
          <w:rFonts w:ascii="Times New Roman" w:hAnsi="Times New Roman"/>
          <w:noProof/>
          <w:sz w:val="24"/>
          <w:szCs w:val="24"/>
        </w:rPr>
        <w:t xml:space="preserve">employment subsidies for hiring people who </w:t>
      </w:r>
      <w:r>
        <w:rPr>
          <w:rFonts w:ascii="Times New Roman" w:hAnsi="Times New Roman"/>
          <w:noProof/>
          <w:sz w:val="24"/>
          <w:szCs w:val="24"/>
        </w:rPr>
        <w:t>belong to vulnerable groups, including GMI recipient and persons with disabilities. In Hungary, the ESF contributes to enhancing the employment potential of social enterprises through incentives and subsidies for job creation.</w:t>
      </w:r>
      <w:r>
        <w:rPr>
          <w:noProof/>
        </w:rPr>
        <w:t xml:space="preserve">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Some Member States are takin</w:t>
      </w:r>
      <w:r>
        <w:rPr>
          <w:rFonts w:ascii="Times New Roman" w:hAnsi="Times New Roman" w:cs="Times New Roman"/>
          <w:b/>
          <w:noProof/>
          <w:sz w:val="24"/>
          <w:szCs w:val="24"/>
        </w:rPr>
        <w:t xml:space="preserve">g action to promote entrepreneurship and start-ups. </w:t>
      </w:r>
      <w:r>
        <w:rPr>
          <w:rFonts w:ascii="Times New Roman" w:hAnsi="Times New Roman" w:cs="Times New Roman"/>
          <w:noProof/>
          <w:sz w:val="24"/>
          <w:szCs w:val="24"/>
        </w:rPr>
        <w:t>For instance, Hungary is supporting young people under the age of 30 and registered job seekers over the age of 30 to become entrepreneurs in the frame of the Youth Guarantee Scheme. In Romania, the Start</w:t>
      </w:r>
      <w:r>
        <w:rPr>
          <w:rFonts w:ascii="Times New Roman" w:hAnsi="Times New Roman" w:cs="Times New Roman"/>
          <w:noProof/>
          <w:sz w:val="24"/>
          <w:szCs w:val="24"/>
        </w:rPr>
        <w:t xml:space="preserve">-up nation scheme, supported by the ESF, aims at promoting the development of new SMEs. In Finland, as of 2018, it will be possible to receive the unemployment benefit as start-up grants and while working as a part-time entrepreneur. Moreover, discussions </w:t>
      </w:r>
      <w:r>
        <w:rPr>
          <w:rFonts w:ascii="Times New Roman" w:hAnsi="Times New Roman" w:cs="Times New Roman"/>
          <w:noProof/>
          <w:sz w:val="24"/>
          <w:szCs w:val="24"/>
        </w:rPr>
        <w:t>are ongoing on how to make easier for the unemployed to set up companies. Steps have also been taken in many Member States to make sure that self-employed enjoy adequate social rights (see section 3.3 on labour market segmentation).</w:t>
      </w:r>
    </w:p>
    <w:p w:rsidR="00CB01DD" w:rsidRDefault="00D75BDB">
      <w:pPr>
        <w:spacing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Several Member States r</w:t>
      </w:r>
      <w:r>
        <w:rPr>
          <w:rFonts w:ascii="Times New Roman" w:hAnsi="Times New Roman" w:cs="Times New Roman"/>
          <w:b/>
          <w:noProof/>
          <w:sz w:val="24"/>
          <w:szCs w:val="24"/>
        </w:rPr>
        <w:t>educed labour costs by cutting the tax wedge, often targeting the lowest incomes</w:t>
      </w:r>
      <w:r>
        <w:rPr>
          <w:rFonts w:ascii="Times New Roman" w:hAnsi="Times New Roman" w:cs="Times New Roman"/>
          <w:noProof/>
          <w:sz w:val="24"/>
          <w:szCs w:val="24"/>
        </w:rPr>
        <w:t>. In recent months, the tax wedge was tackled in many countries, especially for low income earners, through reforms focused on personal income taxation, often by increasing tax</w:t>
      </w:r>
      <w:r>
        <w:rPr>
          <w:rFonts w:ascii="Times New Roman" w:hAnsi="Times New Roman" w:cs="Times New Roman"/>
          <w:noProof/>
          <w:sz w:val="24"/>
          <w:szCs w:val="24"/>
        </w:rPr>
        <w:t xml:space="preserve"> allowances (i.e. the tax-free amount of income). For instance, in Germany the Federal Government updated the income tax rate to reduce the fiscal drag and </w:t>
      </w:r>
      <w:r>
        <w:rPr>
          <w:rFonts w:ascii="Times New Roman" w:hAnsi="Times New Roman"/>
          <w:noProof/>
          <w:sz w:val="24"/>
        </w:rPr>
        <w:t>increase the Basic Personal Allowance, Child Tax Credit, Child Benefit and Child Supplement.</w:t>
      </w:r>
      <w:r>
        <w:rPr>
          <w:noProof/>
        </w:rPr>
        <w:t xml:space="preserve"> </w:t>
      </w:r>
      <w:r>
        <w:rPr>
          <w:rFonts w:ascii="Times New Roman" w:hAnsi="Times New Roman"/>
          <w:noProof/>
          <w:sz w:val="24"/>
        </w:rPr>
        <w:t>In Esto</w:t>
      </w:r>
      <w:r>
        <w:rPr>
          <w:rFonts w:ascii="Times New Roman" w:hAnsi="Times New Roman"/>
          <w:noProof/>
          <w:sz w:val="24"/>
        </w:rPr>
        <w:t>nia, the Parliament adopted the new tax-reform plan entering into force in 2018, which includes an increase in basic income tax allowance per month to EUR 500 per month (up from EUR 180 in 2017). Lithuania amended the Law on Personal Income Tax, increasing</w:t>
      </w:r>
      <w:r>
        <w:rPr>
          <w:rFonts w:ascii="Times New Roman" w:hAnsi="Times New Roman"/>
          <w:noProof/>
          <w:sz w:val="24"/>
        </w:rPr>
        <w:t xml:space="preserve"> the basic and additional tax-exempt amount of income. Hungary increased family tax allowances for earners with two children. The United Kingdom increased the personal allowance to £11,500 (approximately EUR 13,100</w:t>
      </w:r>
      <w:r>
        <w:rPr>
          <w:rStyle w:val="FootnoteReference"/>
          <w:rFonts w:ascii="Times New Roman" w:hAnsi="Times New Roman"/>
          <w:noProof/>
          <w:sz w:val="24"/>
        </w:rPr>
        <w:footnoteReference w:id="38"/>
      </w:r>
      <w:r>
        <w:rPr>
          <w:rFonts w:ascii="Times New Roman" w:hAnsi="Times New Roman"/>
          <w:noProof/>
          <w:sz w:val="24"/>
        </w:rPr>
        <w:t>) per year and the threshold for the high</w:t>
      </w:r>
      <w:r>
        <w:rPr>
          <w:rFonts w:ascii="Times New Roman" w:hAnsi="Times New Roman"/>
          <w:noProof/>
          <w:sz w:val="24"/>
        </w:rPr>
        <w:t>er rate from £43,000 to £45,000 (EUR 51,400).</w:t>
      </w:r>
      <w:r>
        <w:rPr>
          <w:rFonts w:ascii="Times New Roman" w:hAnsi="Times New Roman" w:cs="Times New Roman"/>
          <w:noProof/>
          <w:sz w:val="24"/>
          <w:szCs w:val="24"/>
        </w:rPr>
        <w:t xml:space="preserve"> </w:t>
      </w:r>
      <w:r>
        <w:rPr>
          <w:rFonts w:ascii="Times New Roman" w:hAnsi="Times New Roman"/>
          <w:noProof/>
          <w:sz w:val="24"/>
        </w:rPr>
        <w:t xml:space="preserve">France further decreased income tax for lower and middle incomes. </w:t>
      </w:r>
      <w:r>
        <w:rPr>
          <w:rFonts w:ascii="Times New Roman" w:hAnsi="Times New Roman" w:cs="Times New Roman"/>
          <w:noProof/>
          <w:sz w:val="24"/>
          <w:szCs w:val="24"/>
        </w:rPr>
        <w:t xml:space="preserve">In Belgium, </w:t>
      </w:r>
      <w:r>
        <w:rPr>
          <w:rFonts w:ascii="Times New Roman" w:hAnsi="Times New Roman"/>
          <w:noProof/>
          <w:sz w:val="24"/>
        </w:rPr>
        <w:t>the second phase of the Brussels tax reform, with additional reductions in personal income tax and a shift from taxation on labour t</w:t>
      </w:r>
      <w:r>
        <w:rPr>
          <w:rFonts w:ascii="Times New Roman" w:hAnsi="Times New Roman"/>
          <w:noProof/>
          <w:sz w:val="24"/>
        </w:rPr>
        <w:t>o real estate, entered into force on 1 January 2017. In Latvia, a major tax reform includes the replacement of a flat 23% personal income tax rate with a progressive system. Cyprus abolished the “special contribution” – a progressive tax on the gross month</w:t>
      </w:r>
      <w:r>
        <w:rPr>
          <w:rFonts w:ascii="Times New Roman" w:hAnsi="Times New Roman"/>
          <w:noProof/>
          <w:sz w:val="24"/>
        </w:rPr>
        <w:t xml:space="preserve">ly incomes emoluments of all employees, self-employed and pensioners. Slovenia amended the Personal Income Tax Act to reduce the personal income tax burden. </w:t>
      </w:r>
    </w:p>
    <w:p w:rsidR="00CB01DD" w:rsidRDefault="00D75BDB">
      <w:pPr>
        <w:spacing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Many Member States also intervened on the tax wedge through reductions in social security contribu</w:t>
      </w:r>
      <w:r>
        <w:rPr>
          <w:rFonts w:ascii="Times New Roman" w:hAnsi="Times New Roman" w:cs="Times New Roman"/>
          <w:b/>
          <w:noProof/>
          <w:sz w:val="24"/>
          <w:szCs w:val="24"/>
        </w:rPr>
        <w:t>tions</w:t>
      </w:r>
      <w:r>
        <w:rPr>
          <w:rFonts w:ascii="Times New Roman" w:hAnsi="Times New Roman" w:cs="Times New Roman"/>
          <w:noProof/>
          <w:sz w:val="24"/>
          <w:szCs w:val="24"/>
        </w:rPr>
        <w:t>. In France, employers' contributions were cut, partially counterbalanced by increases on the employees’ side. In other countries, reductions in social security contributions were rather aimed at supporting the employment of specific target groups, su</w:t>
      </w:r>
      <w:r>
        <w:rPr>
          <w:rFonts w:ascii="Times New Roman" w:hAnsi="Times New Roman" w:cs="Times New Roman"/>
          <w:noProof/>
          <w:sz w:val="24"/>
          <w:szCs w:val="24"/>
        </w:rPr>
        <w:t>ch as the young and older workers (Belgium and Italy), the disabled (Malta), new hires on permanent contracts (Italy) or new hires by the self-employed (Sweden). Hungary decreased the social contribution tax, with an impact on tax wedge for low-wage earner</w:t>
      </w:r>
      <w:r>
        <w:rPr>
          <w:rFonts w:ascii="Times New Roman" w:hAnsi="Times New Roman" w:cs="Times New Roman"/>
          <w:noProof/>
          <w:sz w:val="24"/>
          <w:szCs w:val="24"/>
        </w:rPr>
        <w:t>s. At the same time, several countries (Greece, Lithuania, Latvia, Croatia) introduced or increased social security contributions for the self-employed or for those employed under atypical work arrangements. Finally, as of 2018 Latvia will generally increa</w:t>
      </w:r>
      <w:r>
        <w:rPr>
          <w:rFonts w:ascii="Times New Roman" w:hAnsi="Times New Roman" w:cs="Times New Roman"/>
          <w:noProof/>
          <w:sz w:val="24"/>
          <w:szCs w:val="24"/>
        </w:rPr>
        <w:t>se social contributions for both employers and employees to finance health care.</w:t>
      </w:r>
    </w:p>
    <w:p w:rsidR="00CB01DD" w:rsidRDefault="00D75BDB">
      <w:pPr>
        <w:spacing w:line="360" w:lineRule="auto"/>
        <w:jc w:val="both"/>
        <w:rPr>
          <w:rFonts w:ascii="Times New Roman" w:hAnsi="Times New Roman"/>
          <w:noProof/>
          <w:sz w:val="24"/>
          <w:szCs w:val="24"/>
        </w:rPr>
      </w:pPr>
      <w:r>
        <w:rPr>
          <w:rFonts w:ascii="Times New Roman" w:hAnsi="Times New Roman"/>
          <w:b/>
          <w:noProof/>
          <w:sz w:val="24"/>
        </w:rPr>
        <w:t xml:space="preserve">Building on major reforms over the past years, some Member States are introducing further changes in their wage setting systems. </w:t>
      </w:r>
      <w:r>
        <w:rPr>
          <w:rFonts w:ascii="Times New Roman" w:hAnsi="Times New Roman"/>
          <w:noProof/>
          <w:sz w:val="24"/>
        </w:rPr>
        <w:t>Belgium completed, after consultation with soc</w:t>
      </w:r>
      <w:r>
        <w:rPr>
          <w:rFonts w:ascii="Times New Roman" w:hAnsi="Times New Roman"/>
          <w:noProof/>
          <w:sz w:val="24"/>
        </w:rPr>
        <w:t>ial partners, the revision of the 1996 Law on wage setting, establishing an automatic correction mechanism, introducing a safety margin and strengthening the legal basis of the wage norm, so as to prevent loss of cost competitiveness. The federal governmen</w:t>
      </w:r>
      <w:r>
        <w:rPr>
          <w:rFonts w:ascii="Times New Roman" w:hAnsi="Times New Roman"/>
          <w:noProof/>
          <w:sz w:val="24"/>
        </w:rPr>
        <w:t>t also announced in July 2017 its intention to simplify and promote the participation of employees in the benefits of their enterprises. Croatia made t</w:t>
      </w:r>
      <w:r>
        <w:rPr>
          <w:rFonts w:ascii="Times New Roman" w:hAnsi="Times New Roman"/>
          <w:noProof/>
          <w:sz w:val="24"/>
          <w:szCs w:val="24"/>
        </w:rPr>
        <w:t xml:space="preserve">he process of collective bargaining </w:t>
      </w:r>
      <w:r>
        <w:rPr>
          <w:rFonts w:ascii="Times New Roman" w:hAnsi="Times New Roman"/>
          <w:noProof/>
          <w:sz w:val="24"/>
        </w:rPr>
        <w:t xml:space="preserve">more effective </w:t>
      </w:r>
      <w:r>
        <w:rPr>
          <w:rFonts w:ascii="Times New Roman" w:hAnsi="Times New Roman"/>
          <w:noProof/>
          <w:sz w:val="24"/>
          <w:szCs w:val="24"/>
        </w:rPr>
        <w:t>on the conclusion of collective agreements binding for</w:t>
      </w:r>
      <w:r>
        <w:rPr>
          <w:rFonts w:ascii="Times New Roman" w:hAnsi="Times New Roman"/>
          <w:noProof/>
          <w:sz w:val="24"/>
          <w:szCs w:val="24"/>
        </w:rPr>
        <w:t xml:space="preserve"> the government, ensuring equal access to negotiating committees, enhancing financial management of funds from the state budget and ensuring the sustainability of the payroll system. Portugal temporarily suspended the automatic expiry of collective agreeme</w:t>
      </w:r>
      <w:r>
        <w:rPr>
          <w:rFonts w:ascii="Times New Roman" w:hAnsi="Times New Roman"/>
          <w:noProof/>
          <w:sz w:val="24"/>
          <w:szCs w:val="24"/>
        </w:rPr>
        <w:t>nts, for a period of 18 months until July 2018, due to the low number of new signed collective agreements. Moreover, following the publication of the green paper on labour relations, and as part of the tripartite agreement with social partners, the governm</w:t>
      </w:r>
      <w:r>
        <w:rPr>
          <w:rFonts w:ascii="Times New Roman" w:hAnsi="Times New Roman"/>
          <w:noProof/>
          <w:sz w:val="24"/>
          <w:szCs w:val="24"/>
        </w:rPr>
        <w:t>ent is planning measures to foster collective bargaining. In Slovenia, public sector trade unions and the government continued negotiations on how to loosen several temporary austerity measures enacted by the Fiscal Balance Act of 2012, on issues such as r</w:t>
      </w:r>
      <w:r>
        <w:rPr>
          <w:rFonts w:ascii="Times New Roman" w:hAnsi="Times New Roman"/>
          <w:noProof/>
          <w:sz w:val="24"/>
          <w:szCs w:val="24"/>
        </w:rPr>
        <w:t xml:space="preserve">emuneration for job performance linked to increased work load, wage increase for promotion, reimbursement for annual leave and termination of the employment contract of persons fulfilling pensionable conditions. </w:t>
      </w:r>
      <w:r>
        <w:rPr>
          <w:rFonts w:ascii="Times New Roman" w:hAnsi="Times New Roman" w:cs="Times New Roman"/>
          <w:noProof/>
          <w:sz w:val="24"/>
          <w:szCs w:val="24"/>
        </w:rPr>
        <w:t>In France, a new reform of the Labour Law wa</w:t>
      </w:r>
      <w:r>
        <w:rPr>
          <w:rFonts w:ascii="Times New Roman" w:hAnsi="Times New Roman" w:cs="Times New Roman"/>
          <w:noProof/>
          <w:sz w:val="24"/>
          <w:szCs w:val="24"/>
        </w:rPr>
        <w:t xml:space="preserve">s adopted following consultation with social partners, further expanding the perimeter where company-level agreements prevail, while defining where branch-level agreements should remain decisive. </w:t>
      </w:r>
    </w:p>
    <w:p w:rsidR="00CB01DD" w:rsidRDefault="00D75BDB">
      <w:pPr>
        <w:spacing w:line="360" w:lineRule="auto"/>
        <w:jc w:val="both"/>
        <w:rPr>
          <w:rFonts w:ascii="Times New Roman" w:hAnsi="Times New Roman"/>
          <w:noProof/>
          <w:sz w:val="24"/>
        </w:rPr>
      </w:pPr>
      <w:r>
        <w:rPr>
          <w:rFonts w:ascii="Times New Roman" w:hAnsi="Times New Roman"/>
          <w:b/>
          <w:noProof/>
          <w:sz w:val="24"/>
        </w:rPr>
        <w:t>Some Member States adjusted their minimum wages or took ste</w:t>
      </w:r>
      <w:r>
        <w:rPr>
          <w:rFonts w:ascii="Times New Roman" w:hAnsi="Times New Roman"/>
          <w:b/>
          <w:noProof/>
          <w:sz w:val="24"/>
        </w:rPr>
        <w:t>ps to make minimum wage setting frameworks more predictable, with the involvement of social partners</w:t>
      </w:r>
      <w:r>
        <w:rPr>
          <w:rFonts w:ascii="Times New Roman" w:hAnsi="Times New Roman"/>
          <w:noProof/>
          <w:sz w:val="24"/>
        </w:rPr>
        <w:t>. In Bulgaria, the government has tabled a draft minimum wage setting mechanism with three scenarios and an impact analysis component, pending agreement wit</w:t>
      </w:r>
      <w:r>
        <w:rPr>
          <w:rFonts w:ascii="Times New Roman" w:hAnsi="Times New Roman"/>
          <w:noProof/>
          <w:sz w:val="24"/>
        </w:rPr>
        <w:t>h the social partners. The government plans to incrementally increase the minimum wage from its current level of EUR 230 per month to EUR 305 in 2020. Romania has set the level of minimum wages until 2020 in its government programme. The minimum wage has m</w:t>
      </w:r>
      <w:r>
        <w:rPr>
          <w:rFonts w:ascii="Times New Roman" w:hAnsi="Times New Roman"/>
          <w:noProof/>
          <w:sz w:val="24"/>
        </w:rPr>
        <w:t>ore than doubled since 2010 and is set increase from EUR 315 per month to EUR 380 in 2020. In Ireland, the minimum wage was increased from EUR 9.15 per hour in 2016 to EUR 9.25 in 2017 based on recommendations from the Low Pay Commission, which also assess</w:t>
      </w:r>
      <w:r>
        <w:rPr>
          <w:rFonts w:ascii="Times New Roman" w:hAnsi="Times New Roman"/>
          <w:noProof/>
          <w:sz w:val="24"/>
        </w:rPr>
        <w:t>es the social impact of minimum wage adjustments. The Irish Government recently announced a further increase of the minimum wage up to EUR 9.55 per hour from January 2018. Latvia established a mi</w:t>
      </w:r>
      <w:r>
        <w:rPr>
          <w:rFonts w:ascii="Times New Roman" w:hAnsi="Times New Roman"/>
          <w:noProof/>
          <w:sz w:val="24"/>
          <w:szCs w:val="24"/>
        </w:rPr>
        <w:t>nimum wage increase to EUR 430 per month, up from EUR 380, as</w:t>
      </w:r>
      <w:r>
        <w:rPr>
          <w:rFonts w:ascii="Times New Roman" w:hAnsi="Times New Roman"/>
          <w:noProof/>
          <w:sz w:val="24"/>
          <w:szCs w:val="24"/>
        </w:rPr>
        <w:t xml:space="preserve"> of 1 January 2018. Poland increased the monthly minimum wage to 2000 PLN and introduced minimum hourly remuneration for those working on civil law contract (13 PLN per hour, i.e. around EUR 3). In Portugal, following a tripartite agreement with social par</w:t>
      </w:r>
      <w:r>
        <w:rPr>
          <w:rFonts w:ascii="Times New Roman" w:hAnsi="Times New Roman"/>
          <w:noProof/>
          <w:sz w:val="24"/>
          <w:szCs w:val="24"/>
        </w:rPr>
        <w:t>tners, the Government increased the statutory minimum wage on 1 January 2017 from EUR 530 to EUR 557 a month. The increase was accompanied by a temporary reduction in employer's social security contribution for workers receiving the minimum wage. The UK go</w:t>
      </w:r>
      <w:r>
        <w:rPr>
          <w:rFonts w:ascii="Times New Roman" w:hAnsi="Times New Roman"/>
          <w:noProof/>
          <w:sz w:val="24"/>
          <w:szCs w:val="24"/>
        </w:rPr>
        <w:t xml:space="preserve">vernment aims at increasing the national minimum wage for those over 25 up to 60% of median earnings by 2020 (around £9 per hour, approximately EUR 10.3). The annual uprating in April 2017 moved the national living wage to £7.50 per hour (EUR 8.6) and the </w:t>
      </w:r>
      <w:r>
        <w:rPr>
          <w:rFonts w:ascii="Times New Roman" w:hAnsi="Times New Roman"/>
          <w:noProof/>
          <w:sz w:val="24"/>
          <w:szCs w:val="24"/>
        </w:rPr>
        <w:t>national minimum wage will also increase for young workers and apprentices.</w:t>
      </w:r>
      <w:r>
        <w:rPr>
          <w:rFonts w:ascii="Times New Roman" w:hAnsi="Times New Roman" w:cs="Times New Roman"/>
          <w:noProof/>
          <w:sz w:val="24"/>
          <w:szCs w:val="24"/>
        </w:rPr>
        <w:t xml:space="preserve"> In Germany, the Federal Government followed the recommendation of the permanent Minimum Wage Commission of the social partners, increasing the general minimum wage from EUR 8.50 to</w:t>
      </w:r>
      <w:r>
        <w:rPr>
          <w:rFonts w:ascii="Times New Roman" w:hAnsi="Times New Roman" w:cs="Times New Roman"/>
          <w:noProof/>
          <w:sz w:val="24"/>
          <w:szCs w:val="24"/>
        </w:rPr>
        <w:t xml:space="preserve"> 8.84 per hour as from 1 January 2017. </w:t>
      </w:r>
    </w:p>
    <w:p w:rsidR="00CB01DD" w:rsidRDefault="00D75BDB">
      <w:pPr>
        <w:rPr>
          <w:noProof/>
        </w:rPr>
      </w:pPr>
      <w:r>
        <w:rPr>
          <w:noProof/>
        </w:rPr>
        <w:br w:type="page"/>
      </w:r>
    </w:p>
    <w:p w:rsidR="00CB01DD" w:rsidRDefault="00D75BDB">
      <w:pPr>
        <w:pStyle w:val="Heading2"/>
        <w:rPr>
          <w:noProof/>
          <w:lang w:val="en-GB"/>
        </w:rPr>
      </w:pPr>
      <w:bookmarkStart w:id="16" w:name="_Toc498075890"/>
      <w:r>
        <w:rPr>
          <w:noProof/>
          <w:lang w:val="en-GB"/>
        </w:rPr>
        <w:t xml:space="preserve">3.2 </w:t>
      </w:r>
      <w:r>
        <w:rPr>
          <w:noProof/>
          <w:lang w:val="en-GB"/>
        </w:rPr>
        <w:tab/>
        <w:t>Guideline 6: Enhancing labour supply, skills and competences</w:t>
      </w:r>
      <w:bookmarkEnd w:id="16"/>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This section looks at the implementation of the employment guideline no. 6, which recommends to Member States to create conditions to promote labour</w:t>
      </w:r>
      <w:r>
        <w:rPr>
          <w:rFonts w:ascii="Times New Roman" w:hAnsi="Times New Roman" w:cs="Times New Roman"/>
          <w:noProof/>
          <w:sz w:val="24"/>
          <w:szCs w:val="24"/>
        </w:rPr>
        <w:t xml:space="preserve"> supply, skills and competences. It presents indicators about the impact of the education and training system on the employability of the workforce (basic skills proficiency, participation in lifelong learning, and school-to-work transitions for different </w:t>
      </w:r>
      <w:r>
        <w:rPr>
          <w:rFonts w:ascii="Times New Roman" w:hAnsi="Times New Roman" w:cs="Times New Roman"/>
          <w:noProof/>
          <w:sz w:val="24"/>
          <w:szCs w:val="24"/>
        </w:rPr>
        <w:t>types of curricula) before going through labour market outcomes for various groups underrepresented in the labour market (e.g. young people, older workers, people with a migrant background and women). Section 3.2.2 reports on policy measures of Member Stat</w:t>
      </w:r>
      <w:r>
        <w:rPr>
          <w:rFonts w:ascii="Times New Roman" w:hAnsi="Times New Roman" w:cs="Times New Roman"/>
          <w:noProof/>
          <w:sz w:val="24"/>
          <w:szCs w:val="24"/>
        </w:rPr>
        <w:t>es in these areas and measures targeted at those disadvantaged groups.</w:t>
      </w:r>
    </w:p>
    <w:p w:rsidR="00CB01DD" w:rsidRDefault="00CB01DD">
      <w:pPr>
        <w:spacing w:line="360" w:lineRule="auto"/>
        <w:jc w:val="both"/>
        <w:rPr>
          <w:rFonts w:ascii="Times New Roman" w:hAnsi="Times New Roman" w:cs="Times New Roman"/>
          <w:b/>
          <w:noProof/>
          <w:sz w:val="24"/>
          <w:szCs w:val="24"/>
        </w:rPr>
      </w:pPr>
    </w:p>
    <w:p w:rsidR="00CB01DD" w:rsidRDefault="00D75BDB">
      <w:pPr>
        <w:pStyle w:val="Heading3"/>
        <w:rPr>
          <w:noProof/>
        </w:rPr>
      </w:pPr>
      <w:bookmarkStart w:id="17" w:name="_Toc498075891"/>
      <w:r>
        <w:rPr>
          <w:noProof/>
        </w:rPr>
        <w:t>3.2.1</w:t>
      </w:r>
      <w:r>
        <w:rPr>
          <w:noProof/>
        </w:rPr>
        <w:tab/>
        <w:t>Key indicators</w:t>
      </w:r>
      <w:bookmarkEnd w:id="17"/>
    </w:p>
    <w:p w:rsidR="00CB01DD" w:rsidRDefault="00D75BDB">
      <w:pPr>
        <w:spacing w:before="12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In 2016, the early school leaving rate (ESL) further decreased in the EU.</w:t>
      </w:r>
      <w:r>
        <w:rPr>
          <w:rFonts w:ascii="Times New Roman" w:eastAsia="Calibri" w:hAnsi="Times New Roman" w:cs="Times New Roman"/>
          <w:noProof/>
          <w:sz w:val="24"/>
          <w:szCs w:val="24"/>
        </w:rPr>
        <w:t xml:space="preserve"> It stood at 10.7%, down 0.3 pps from 2015. Seventeen Member States recorded rates below the EU target value of 10%. At the same time, the rate was close to 20% in Malta, Spain and Romania (which together with Portugal are flagged as "critical situations")</w:t>
      </w:r>
      <w:r>
        <w:rPr>
          <w:rFonts w:ascii="Times New Roman" w:eastAsia="Calibri" w:hAnsi="Times New Roman" w:cs="Times New Roman"/>
          <w:noProof/>
          <w:sz w:val="24"/>
          <w:szCs w:val="24"/>
        </w:rPr>
        <w:t xml:space="preserve">, while it was below 5% in Croatia, Lithuania and Slovenia ("best performers"). In the past year the ESL rate remained stable in the large majority of Member States (as shown in </w:t>
      </w:r>
      <w:r>
        <w:rPr>
          <w:rFonts w:ascii="Times New Roman" w:hAnsi="Times New Roman" w:cs="Times New Roman"/>
          <w:noProof/>
          <w:sz w:val="24"/>
          <w:szCs w:val="24"/>
        </w:rPr>
        <w:t xml:space="preserve">Figure </w:t>
      </w:r>
      <w:r>
        <w:rPr>
          <w:rFonts w:ascii="Times New Roman" w:hAnsi="Times New Roman"/>
          <w:noProof/>
          <w:sz w:val="24"/>
          <w:szCs w:val="24"/>
        </w:rPr>
        <w:t>13</w:t>
      </w:r>
      <w:r>
        <w:rPr>
          <w:rFonts w:ascii="Times New Roman" w:eastAsia="Calibri" w:hAnsi="Times New Roman" w:cs="Times New Roman"/>
          <w:noProof/>
          <w:sz w:val="24"/>
          <w:szCs w:val="24"/>
        </w:rPr>
        <w:t>),  decreased the most in Luxembourg (by 3.5 pps) and Greece (1.4 pps</w:t>
      </w:r>
      <w:r>
        <w:rPr>
          <w:rFonts w:ascii="Times New Roman" w:eastAsia="Calibri" w:hAnsi="Times New Roman" w:cs="Times New Roman"/>
          <w:noProof/>
          <w:sz w:val="24"/>
          <w:szCs w:val="24"/>
        </w:rPr>
        <w:t xml:space="preserve">), but showed a substantial increase in Cyprus (by 2.8 pps, although for the level is still below the EU average). There is no evidence of convergence across Member States in 2016, as evidenced by the almost horizontal regression line which relates yearly </w:t>
      </w:r>
      <w:r>
        <w:rPr>
          <w:rFonts w:ascii="Times New Roman" w:eastAsia="Calibri" w:hAnsi="Times New Roman" w:cs="Times New Roman"/>
          <w:noProof/>
          <w:sz w:val="24"/>
          <w:szCs w:val="24"/>
        </w:rPr>
        <w:t>changes to levels in the ESL rate. Compared to 2008 (</w:t>
      </w:r>
      <w:r>
        <w:rPr>
          <w:rFonts w:ascii="Times New Roman" w:hAnsi="Times New Roman" w:cs="Times New Roman"/>
          <w:noProof/>
          <w:sz w:val="24"/>
          <w:szCs w:val="24"/>
        </w:rPr>
        <w:t xml:space="preserve">Figure </w:t>
      </w:r>
      <w:r>
        <w:rPr>
          <w:rFonts w:ascii="Times New Roman" w:hAnsi="Times New Roman"/>
          <w:noProof/>
          <w:sz w:val="24"/>
          <w:szCs w:val="24"/>
        </w:rPr>
        <w:t>14</w:t>
      </w:r>
      <w:r>
        <w:rPr>
          <w:rFonts w:ascii="Times New Roman" w:eastAsia="Calibri" w:hAnsi="Times New Roman" w:cs="Times New Roman"/>
          <w:noProof/>
          <w:sz w:val="24"/>
          <w:szCs w:val="24"/>
        </w:rPr>
        <w:t>), however, the ESL rate declined across almost all Member States, by 4 pps on average; it dropped the most in Portugal, Spain, Greece and Luxemburg, while it went up in Hungary, the Czech Repub</w:t>
      </w:r>
      <w:r>
        <w:rPr>
          <w:rFonts w:ascii="Times New Roman" w:eastAsia="Calibri" w:hAnsi="Times New Roman" w:cs="Times New Roman"/>
          <w:noProof/>
          <w:sz w:val="24"/>
          <w:szCs w:val="24"/>
        </w:rPr>
        <w:t>lic, Slovakia, and Romania. The difference in the early school leaving rate between men and women in 2016 has shrunk to 3 pps from 3.9 pps in 2008, with women being less likely to leave school early than men.</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rFonts w:ascii="Times New Roman" w:hAnsi="Times New Roman"/>
          <w:noProof/>
          <w:sz w:val="24"/>
          <w:szCs w:val="24"/>
        </w:rPr>
        <w:fldChar w:fldCharType="end"/>
      </w:r>
      <w:r>
        <w:rPr>
          <w:rFonts w:ascii="Times New Roman" w:hAnsi="Times New Roman"/>
          <w:noProof/>
          <w:sz w:val="24"/>
          <w:szCs w:val="24"/>
        </w:rPr>
        <w:t>: Early leave</w:t>
      </w:r>
      <w:r>
        <w:rPr>
          <w:rFonts w:ascii="Times New Roman" w:hAnsi="Times New Roman"/>
          <w:noProof/>
          <w:sz w:val="24"/>
          <w:szCs w:val="24"/>
        </w:rPr>
        <w:t xml:space="preserve">rs from education and training (% of population aged 18-24) and yearly change (Social Scoreboard headline indicator) </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3D1DAA82" wp14:editId="36231199">
            <wp:extent cx="4643252" cy="3543262"/>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2249" cy="3542496"/>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Period: 2016 levels and yearly changes with respect to 2015. Note: Axes are centred on the unweighted EU average. The legend is presented in the Annex. </w:t>
      </w:r>
    </w:p>
    <w:p w:rsidR="00CB01DD" w:rsidRDefault="00CB01DD">
      <w:pPr>
        <w:pStyle w:val="Caption"/>
        <w:keepNext/>
        <w:spacing w:line="240" w:lineRule="auto"/>
        <w:rPr>
          <w:rFonts w:ascii="Times New Roman" w:hAnsi="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14</w:t>
      </w:r>
      <w:r>
        <w:rPr>
          <w:rFonts w:ascii="Times New Roman" w:hAnsi="Times New Roman"/>
          <w:noProof/>
          <w:sz w:val="24"/>
          <w:szCs w:val="24"/>
        </w:rPr>
        <w:fldChar w:fldCharType="end"/>
      </w:r>
      <w:r>
        <w:rPr>
          <w:rFonts w:ascii="Times New Roman" w:hAnsi="Times New Roman"/>
          <w:noProof/>
          <w:sz w:val="24"/>
          <w:szCs w:val="24"/>
        </w:rPr>
        <w:t>: Early leavers from education and training, 2008-</w:t>
      </w:r>
      <w:r>
        <w:rPr>
          <w:rFonts w:ascii="Times New Roman" w:hAnsi="Times New Roman"/>
          <w:noProof/>
          <w:sz w:val="24"/>
          <w:szCs w:val="24"/>
        </w:rPr>
        <w:t xml:space="preserve">2016 </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7A66E249" wp14:editId="58040434">
            <wp:extent cx="5432221" cy="292726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5460" cy="2929012"/>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val="fr-BE" w:eastAsia="en-GB"/>
        </w:rPr>
      </w:pPr>
      <w:r>
        <w:rPr>
          <w:rFonts w:ascii="Times New Roman" w:hAnsi="Times New Roman" w:cs="Times New Roman"/>
          <w:noProof/>
          <w:sz w:val="20"/>
          <w:szCs w:val="20"/>
          <w:lang w:val="fr-BE" w:eastAsia="en-GB"/>
        </w:rPr>
        <w:t>Source: Eurostat (LFS). Online data code: edat_lfse_14.</w:t>
      </w:r>
    </w:p>
    <w:p w:rsidR="00CB01DD" w:rsidRDefault="00CB01DD">
      <w:pPr>
        <w:spacing w:before="120" w:after="120" w:line="360" w:lineRule="auto"/>
        <w:jc w:val="both"/>
        <w:rPr>
          <w:rFonts w:ascii="Times New Roman" w:eastAsia="Calibri" w:hAnsi="Times New Roman" w:cs="Times New Roman"/>
          <w:b/>
          <w:noProof/>
          <w:sz w:val="24"/>
          <w:szCs w:val="24"/>
          <w:lang w:val="fr-BE"/>
        </w:rPr>
      </w:pPr>
    </w:p>
    <w:p w:rsidR="00CB01DD" w:rsidRDefault="00D75BDB">
      <w:pPr>
        <w:spacing w:before="12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The long-term decline of early school leaving in Europe is a positive trend that largely stems from structural reforms in education and training systems and targeted policy measures.</w:t>
      </w:r>
      <w:r>
        <w:rPr>
          <w:rFonts w:ascii="Times New Roman" w:eastAsia="Calibri" w:hAnsi="Times New Roman" w:cs="Times New Roman"/>
          <w:noProof/>
          <w:sz w:val="24"/>
          <w:szCs w:val="24"/>
        </w:rPr>
        <w:t xml:space="preserve"> Yet, in the aftermath of the crisis, it may in part be related to the persistent difficult access to the labour market of countries with high levels of youth unemployment, where young people have decided to remain longer in education. Moreover, early scho</w:t>
      </w:r>
      <w:r>
        <w:rPr>
          <w:rFonts w:ascii="Times New Roman" w:eastAsia="Calibri" w:hAnsi="Times New Roman" w:cs="Times New Roman"/>
          <w:noProof/>
          <w:sz w:val="24"/>
          <w:szCs w:val="24"/>
        </w:rPr>
        <w:t>ol leaving is strongly linked to social disadvantage and low education backgrounds of parents. Pupils with a migrant background, particularly foreign-born pupils, have higher drop-out rates</w:t>
      </w:r>
      <w:r>
        <w:rPr>
          <w:rStyle w:val="FootnoteReference"/>
          <w:rFonts w:ascii="Times New Roman" w:eastAsia="Calibri" w:hAnsi="Times New Roman" w:cs="Times New Roman"/>
          <w:noProof/>
          <w:sz w:val="24"/>
          <w:szCs w:val="24"/>
        </w:rPr>
        <w:footnoteReference w:id="39"/>
      </w:r>
      <w:r>
        <w:rPr>
          <w:rFonts w:ascii="Times New Roman" w:eastAsia="Calibri" w:hAnsi="Times New Roman" w:cs="Times New Roman"/>
          <w:noProof/>
          <w:sz w:val="24"/>
          <w:szCs w:val="24"/>
        </w:rPr>
        <w:t>. Pupils with disabilities are also more disadvantaged with a 10.3</w:t>
      </w:r>
      <w:r>
        <w:rPr>
          <w:rFonts w:ascii="Times New Roman" w:eastAsia="Calibri" w:hAnsi="Times New Roman" w:cs="Times New Roman"/>
          <w:noProof/>
          <w:sz w:val="24"/>
          <w:szCs w:val="24"/>
        </w:rPr>
        <w:t xml:space="preserve"> pps gap compared to pupils without disabilities in 2015</w:t>
      </w:r>
      <w:r>
        <w:rPr>
          <w:rStyle w:val="FootnoteReference"/>
          <w:rFonts w:ascii="Times New Roman" w:eastAsia="Calibri" w:hAnsi="Times New Roman" w:cs="Times New Roman"/>
          <w:noProof/>
          <w:sz w:val="24"/>
          <w:szCs w:val="24"/>
        </w:rPr>
        <w:footnoteReference w:id="40"/>
      </w:r>
      <w:r>
        <w:rPr>
          <w:rFonts w:ascii="Times New Roman" w:eastAsia="Calibri" w:hAnsi="Times New Roman" w:cs="Times New Roman"/>
          <w:noProof/>
          <w:sz w:val="24"/>
          <w:szCs w:val="24"/>
        </w:rPr>
        <w:t>.</w:t>
      </w:r>
    </w:p>
    <w:p w:rsidR="00CB01DD" w:rsidRDefault="00D75BDB">
      <w:pPr>
        <w:spacing w:before="120" w:after="120" w:line="360" w:lineRule="auto"/>
        <w:jc w:val="both"/>
        <w:rPr>
          <w:rFonts w:ascii="Times New Roman" w:hAnsi="Times New Roman" w:cs="Times New Roman"/>
          <w:noProof/>
          <w:sz w:val="24"/>
          <w:szCs w:val="24"/>
        </w:rPr>
      </w:pPr>
      <w:r>
        <w:rPr>
          <w:rFonts w:ascii="Times New Roman" w:eastAsia="Calibri" w:hAnsi="Times New Roman" w:cs="Times New Roman"/>
          <w:b/>
          <w:noProof/>
          <w:sz w:val="24"/>
          <w:szCs w:val="24"/>
        </w:rPr>
        <w:t>An important indicator of the quality of initial education and training systems is the proficiency of students in basic competences such as reading, mathematics and science</w:t>
      </w:r>
      <w:r>
        <w:rPr>
          <w:rFonts w:ascii="Times New Roman" w:hAnsi="Times New Roman" w:cs="Times New Roman"/>
          <w:noProof/>
          <w:color w:val="000000"/>
          <w:sz w:val="24"/>
          <w:szCs w:val="24"/>
        </w:rPr>
        <w:t>. The OECD's Programme fo</w:t>
      </w:r>
      <w:r>
        <w:rPr>
          <w:rFonts w:ascii="Times New Roman" w:hAnsi="Times New Roman" w:cs="Times New Roman"/>
          <w:noProof/>
          <w:color w:val="000000"/>
          <w:sz w:val="24"/>
          <w:szCs w:val="24"/>
        </w:rPr>
        <w:t>r International Student Assessment (PISA) 2015 survey of basic competences gained in primary and lower-secondary education shows that 19.7% of European students, at the age of 15, were low achievers in reading, 22.2% in maths and 20.6% in science. Compared</w:t>
      </w:r>
      <w:r>
        <w:rPr>
          <w:rFonts w:ascii="Times New Roman" w:hAnsi="Times New Roman" w:cs="Times New Roman"/>
          <w:noProof/>
          <w:color w:val="000000"/>
          <w:sz w:val="24"/>
          <w:szCs w:val="24"/>
        </w:rPr>
        <w:t xml:space="preserve"> with the previous survey of 2012, performance has deteriorated across all domains on average in the EU and in most EU countries, although a </w:t>
      </w:r>
      <w:r>
        <w:rPr>
          <w:rFonts w:ascii="Times New Roman" w:hAnsi="Times New Roman" w:cs="Times New Roman"/>
          <w:noProof/>
          <w:sz w:val="24"/>
          <w:szCs w:val="24"/>
        </w:rPr>
        <w:t>large variation among Member States in the acquisition of basic skills persists. This means that EU countries are f</w:t>
      </w:r>
      <w:r>
        <w:rPr>
          <w:rFonts w:ascii="Times New Roman" w:hAnsi="Times New Roman" w:cs="Times New Roman"/>
          <w:noProof/>
          <w:sz w:val="24"/>
          <w:szCs w:val="24"/>
        </w:rPr>
        <w:t>urther away from the goal to reduce underachievement in reading, maths and science to below 15% by 2020.</w:t>
      </w:r>
    </w:p>
    <w:p w:rsidR="00CB01DD" w:rsidRDefault="00D75BDB">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A disadvantaged socio-economic background is the most significant factor associated with low educational achievement.</w:t>
      </w:r>
      <w:r>
        <w:rPr>
          <w:rFonts w:ascii="Times New Roman" w:hAnsi="Times New Roman" w:cs="Times New Roman"/>
          <w:noProof/>
          <w:sz w:val="24"/>
          <w:szCs w:val="24"/>
        </w:rPr>
        <w:t xml:space="preserve"> There is also an overlap between </w:t>
      </w:r>
      <w:r>
        <w:rPr>
          <w:rFonts w:ascii="Times New Roman" w:hAnsi="Times New Roman" w:cs="Times New Roman"/>
          <w:noProof/>
          <w:sz w:val="24"/>
          <w:szCs w:val="24"/>
        </w:rPr>
        <w:t>low achieving students and students with special educational needs and/or with a migrant background.</w:t>
      </w:r>
      <w:r>
        <w:rPr>
          <w:rFonts w:ascii="Times New Roman" w:hAnsi="Times New Roman" w:cs="Times New Roman"/>
          <w:noProof/>
          <w:color w:val="000000"/>
          <w:sz w:val="24"/>
          <w:szCs w:val="24"/>
        </w:rPr>
        <w:t xml:space="preserve"> The EU average proportion of low achievers in science within the bottom socio-economic quartile of the 2015 PISA student population is around 34%, 26 pps m</w:t>
      </w:r>
      <w:r>
        <w:rPr>
          <w:rFonts w:ascii="Times New Roman" w:hAnsi="Times New Roman" w:cs="Times New Roman"/>
          <w:noProof/>
          <w:color w:val="000000"/>
          <w:sz w:val="24"/>
          <w:szCs w:val="24"/>
        </w:rPr>
        <w:t>ore than in the top socio-economic quartile (</w:t>
      </w:r>
      <w:r>
        <w:rPr>
          <w:rFonts w:ascii="Times New Roman" w:hAnsi="Times New Roman" w:cs="Times New Roman"/>
          <w:noProof/>
          <w:sz w:val="24"/>
          <w:szCs w:val="24"/>
        </w:rPr>
        <w:t>Figure 15</w:t>
      </w:r>
      <w:r>
        <w:rPr>
          <w:rFonts w:ascii="Times New Roman" w:hAnsi="Times New Roman" w:cs="Times New Roman"/>
          <w:noProof/>
          <w:color w:val="000000"/>
          <w:sz w:val="24"/>
          <w:szCs w:val="24"/>
        </w:rPr>
        <w:t>). Member States with substantial shares of students with a migrant background</w:t>
      </w:r>
      <w:r>
        <w:rPr>
          <w:rStyle w:val="FootnoteReference"/>
          <w:rFonts w:ascii="Times New Roman" w:hAnsi="Times New Roman"/>
          <w:noProof/>
          <w:color w:val="000000"/>
          <w:sz w:val="24"/>
          <w:szCs w:val="24"/>
        </w:rPr>
        <w:footnoteReference w:id="41"/>
      </w:r>
      <w:r>
        <w:rPr>
          <w:rFonts w:ascii="Times New Roman" w:hAnsi="Times New Roman" w:cs="Times New Roman"/>
          <w:noProof/>
          <w:color w:val="000000"/>
          <w:sz w:val="24"/>
          <w:szCs w:val="24"/>
        </w:rPr>
        <w:t xml:space="preserve"> have generally higher-than-average shares of low-achievers in basic skills</w:t>
      </w:r>
      <w:r>
        <w:rPr>
          <w:rStyle w:val="FootnoteReference"/>
          <w:rFonts w:ascii="Times New Roman" w:hAnsi="Times New Roman" w:cs="Times New Roman"/>
          <w:noProof/>
          <w:color w:val="000000"/>
          <w:sz w:val="24"/>
          <w:szCs w:val="24"/>
        </w:rPr>
        <w:footnoteReference w:id="42"/>
      </w:r>
      <w:r>
        <w:rPr>
          <w:rFonts w:ascii="Times New Roman" w:hAnsi="Times New Roman" w:cs="Times New Roman"/>
          <w:noProof/>
          <w:color w:val="000000"/>
          <w:sz w:val="24"/>
          <w:szCs w:val="24"/>
        </w:rPr>
        <w:t>, and students' performance is usually strongly</w:t>
      </w:r>
      <w:r>
        <w:rPr>
          <w:rFonts w:ascii="Times New Roman" w:hAnsi="Times New Roman" w:cs="Times New Roman"/>
          <w:noProof/>
          <w:color w:val="000000"/>
          <w:sz w:val="24"/>
          <w:szCs w:val="24"/>
        </w:rPr>
        <w:t xml:space="preserve"> correlated with their socio-economic status</w:t>
      </w:r>
      <w:r>
        <w:rPr>
          <w:rStyle w:val="FootnoteReference"/>
          <w:rFonts w:ascii="Times New Roman" w:hAnsi="Times New Roman" w:cs="Times New Roman"/>
          <w:noProof/>
          <w:color w:val="000000"/>
          <w:sz w:val="24"/>
          <w:szCs w:val="24"/>
        </w:rPr>
        <w:footnoteReference w:id="43"/>
      </w:r>
      <w:r>
        <w:rPr>
          <w:rFonts w:ascii="Times New Roman" w:hAnsi="Times New Roman" w:cs="Times New Roman"/>
          <w:noProof/>
          <w:color w:val="000000"/>
          <w:sz w:val="24"/>
          <w:szCs w:val="24"/>
        </w:rPr>
        <w:t>.</w:t>
      </w:r>
      <w:r>
        <w:rPr>
          <w:rFonts w:ascii="Times New Roman" w:hAnsi="Times New Roman" w:cs="Times New Roman"/>
          <w:noProof/>
          <w:sz w:val="24"/>
          <w:szCs w:val="24"/>
        </w:rPr>
        <w:t xml:space="preserve"> Additionally, as has been previously discussed in the 2017 Joint Employment Report, </w:t>
      </w:r>
      <w:r>
        <w:rPr>
          <w:rFonts w:ascii="Times New Roman" w:eastAsia="Calibri" w:hAnsi="Times New Roman" w:cs="Times New Roman"/>
          <w:noProof/>
          <w:sz w:val="24"/>
          <w:szCs w:val="24"/>
        </w:rPr>
        <w:t>the recent migration surge into the EU has highlighted the role of education and training systems in helping many thousands o</w:t>
      </w:r>
      <w:r>
        <w:rPr>
          <w:rFonts w:ascii="Times New Roman" w:eastAsia="Calibri" w:hAnsi="Times New Roman" w:cs="Times New Roman"/>
          <w:noProof/>
          <w:sz w:val="24"/>
          <w:szCs w:val="24"/>
        </w:rPr>
        <w:t xml:space="preserve">f incoming young people to develop their full potential and foster their integration in European societies. </w:t>
      </w:r>
    </w:p>
    <w:p w:rsidR="00CB01DD" w:rsidRDefault="00CB01DD">
      <w:pPr>
        <w:pStyle w:val="Caption"/>
        <w:keepNext/>
        <w:spacing w:line="240" w:lineRule="auto"/>
        <w:rPr>
          <w:rFonts w:ascii="Times New Roman" w:hAnsi="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15</w:t>
      </w:r>
      <w:r>
        <w:rPr>
          <w:rFonts w:ascii="Times New Roman" w:hAnsi="Times New Roman"/>
          <w:noProof/>
          <w:sz w:val="24"/>
          <w:szCs w:val="24"/>
        </w:rPr>
        <w:fldChar w:fldCharType="end"/>
      </w:r>
      <w:r>
        <w:rPr>
          <w:rFonts w:ascii="Times New Roman" w:hAnsi="Times New Roman"/>
          <w:noProof/>
          <w:sz w:val="24"/>
          <w:szCs w:val="24"/>
        </w:rPr>
        <w:t xml:space="preserve">: Low achievers in science at the age of 15 by economic, social and cultural status (ESCS) in PISA 2015 </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2D221822" wp14:editId="100490A5">
            <wp:extent cx="5793475" cy="2586251"/>
            <wp:effectExtent l="0" t="0" r="0" b="508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European Commission (2016), PISA 2015: EU performance and initial conclusions regarding education policies in Europe.</w:t>
      </w:r>
    </w:p>
    <w:p w:rsidR="00CB01DD" w:rsidRDefault="00CB01DD">
      <w:pPr>
        <w:spacing w:before="120" w:after="120" w:line="360" w:lineRule="auto"/>
        <w:jc w:val="both"/>
        <w:rPr>
          <w:rFonts w:ascii="Times New Roman" w:eastAsia="Calibri" w:hAnsi="Times New Roman" w:cs="Times New Roman"/>
          <w:noProof/>
          <w:sz w:val="24"/>
          <w:szCs w:val="24"/>
        </w:rPr>
      </w:pPr>
    </w:p>
    <w:p w:rsidR="00CB01DD" w:rsidRDefault="00D75BDB">
      <w:pPr>
        <w:spacing w:before="12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The EU rate of tertiary education attainment among those aged 30-34 has been constantly and visibly increasing for more than a de</w:t>
      </w:r>
      <w:r>
        <w:rPr>
          <w:rFonts w:ascii="Times New Roman" w:eastAsia="Calibri" w:hAnsi="Times New Roman" w:cs="Times New Roman"/>
          <w:b/>
          <w:noProof/>
          <w:sz w:val="24"/>
          <w:szCs w:val="24"/>
        </w:rPr>
        <w:t>cade.</w:t>
      </w:r>
      <w:r>
        <w:rPr>
          <w:rFonts w:ascii="Times New Roman" w:eastAsia="Calibri" w:hAnsi="Times New Roman" w:cs="Times New Roman"/>
          <w:noProof/>
          <w:sz w:val="24"/>
          <w:szCs w:val="24"/>
        </w:rPr>
        <w:t xml:space="preserve"> The rate currently stands at 39.1%, up 0.4 pps in the past year alone. Eighteen Member States have attainment rates above the Europe 2020 headline target of 40%. Since 2008, the EU average tertiary attainment rate rose by 8 pps (</w:t>
      </w:r>
      <w:r>
        <w:rPr>
          <w:rFonts w:ascii="Times New Roman" w:hAnsi="Times New Roman" w:cs="Times New Roman"/>
          <w:noProof/>
          <w:sz w:val="24"/>
          <w:szCs w:val="24"/>
        </w:rPr>
        <w:t>Figure 16</w:t>
      </w:r>
      <w:r>
        <w:rPr>
          <w:rFonts w:ascii="Times New Roman" w:eastAsia="Calibri" w:hAnsi="Times New Roman" w:cs="Times New Roman"/>
          <w:noProof/>
          <w:sz w:val="24"/>
          <w:szCs w:val="24"/>
        </w:rPr>
        <w:t>). Despite s</w:t>
      </w:r>
      <w:r>
        <w:rPr>
          <w:rFonts w:ascii="Times New Roman" w:eastAsia="Calibri" w:hAnsi="Times New Roman" w:cs="Times New Roman"/>
          <w:noProof/>
          <w:sz w:val="24"/>
          <w:szCs w:val="24"/>
        </w:rPr>
        <w:t>ignificant progress over the years, Member States lagging behind still have around half the attainment rate of the leading countries.</w:t>
      </w:r>
    </w:p>
    <w:p w:rsidR="00CB01DD" w:rsidRDefault="00D75BDB">
      <w:pPr>
        <w:spacing w:before="12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Considerable differences in tertiary education attainment persist between genders,</w:t>
      </w:r>
      <w:r>
        <w:rPr>
          <w:rFonts w:ascii="Times New Roman" w:eastAsia="Calibri" w:hAnsi="Times New Roman" w:cs="Times New Roman"/>
          <w:noProof/>
          <w:sz w:val="24"/>
          <w:szCs w:val="24"/>
        </w:rPr>
        <w:t xml:space="preserve"> with women performing better than men i</w:t>
      </w:r>
      <w:r>
        <w:rPr>
          <w:rFonts w:ascii="Times New Roman" w:eastAsia="Calibri" w:hAnsi="Times New Roman" w:cs="Times New Roman"/>
          <w:noProof/>
          <w:sz w:val="24"/>
          <w:szCs w:val="24"/>
        </w:rPr>
        <w:t xml:space="preserve">n all Member States but Germany and an EU average difference in tertiary attainment between men and women of nearly 10 pps. Parental background still influences tertiary attainment with about 5 pps lower average attainment for people born abroad, although </w:t>
      </w:r>
      <w:r>
        <w:rPr>
          <w:rFonts w:ascii="Times New Roman" w:eastAsia="Calibri" w:hAnsi="Times New Roman" w:cs="Times New Roman"/>
          <w:noProof/>
          <w:sz w:val="24"/>
          <w:szCs w:val="24"/>
        </w:rPr>
        <w:t>the opposite is observed in Denmark, Ireland, Luxembourg, Latvia, and the United Kingdom. Furthermore, the young people who migrated in the middle or at the end of their compulsory school age face greater difficulties than those who migrated at a younger a</w:t>
      </w:r>
      <w:r>
        <w:rPr>
          <w:rFonts w:ascii="Times New Roman" w:eastAsia="Calibri" w:hAnsi="Times New Roman" w:cs="Times New Roman"/>
          <w:noProof/>
          <w:sz w:val="24"/>
          <w:szCs w:val="24"/>
        </w:rPr>
        <w:t>ge, and they require non-traditional pathways to access higher education that recognise the skills they might have picked up outside traditional upper secondary education</w:t>
      </w:r>
      <w:r>
        <w:rPr>
          <w:rStyle w:val="FootnoteReference"/>
          <w:rFonts w:ascii="Times New Roman" w:eastAsia="Calibri" w:hAnsi="Times New Roman"/>
          <w:noProof/>
          <w:sz w:val="24"/>
          <w:szCs w:val="24"/>
        </w:rPr>
        <w:footnoteReference w:id="44"/>
      </w:r>
      <w:r>
        <w:rPr>
          <w:rFonts w:ascii="Times New Roman" w:eastAsia="Calibri" w:hAnsi="Times New Roman" w:cs="Times New Roman"/>
          <w:noProof/>
          <w:sz w:val="24"/>
          <w:szCs w:val="24"/>
        </w:rPr>
        <w:t>. People with disabilities also have consistently lower tertiary education attainment</w:t>
      </w:r>
      <w:r>
        <w:rPr>
          <w:rFonts w:ascii="Times New Roman" w:eastAsia="Calibri" w:hAnsi="Times New Roman" w:cs="Times New Roman"/>
          <w:noProof/>
          <w:sz w:val="24"/>
          <w:szCs w:val="24"/>
        </w:rPr>
        <w:t>, with a gap of 13.6 pps in 2015</w:t>
      </w:r>
      <w:r>
        <w:rPr>
          <w:rStyle w:val="FootnoteReference"/>
          <w:rFonts w:ascii="Times New Roman" w:eastAsia="Calibri" w:hAnsi="Times New Roman" w:cs="Times New Roman"/>
          <w:noProof/>
          <w:sz w:val="24"/>
          <w:szCs w:val="24"/>
        </w:rPr>
        <w:footnoteReference w:id="45"/>
      </w:r>
      <w:r>
        <w:rPr>
          <w:rFonts w:ascii="Times New Roman" w:eastAsia="Calibri" w:hAnsi="Times New Roman" w:cs="Times New Roman"/>
          <w:noProof/>
          <w:sz w:val="24"/>
          <w:szCs w:val="24"/>
        </w:rPr>
        <w:t>.</w:t>
      </w:r>
    </w:p>
    <w:p w:rsidR="00CB01DD" w:rsidRDefault="00CB01DD">
      <w:pPr>
        <w:spacing w:before="120" w:after="120" w:line="360" w:lineRule="auto"/>
        <w:jc w:val="both"/>
        <w:rPr>
          <w:rFonts w:ascii="Times New Roman" w:eastAsia="Calibri" w:hAnsi="Times New Roman" w:cs="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16</w:t>
      </w:r>
      <w:r>
        <w:rPr>
          <w:rFonts w:ascii="Times New Roman" w:hAnsi="Times New Roman"/>
          <w:noProof/>
          <w:sz w:val="24"/>
          <w:szCs w:val="24"/>
        </w:rPr>
        <w:fldChar w:fldCharType="end"/>
      </w:r>
      <w:r>
        <w:rPr>
          <w:rFonts w:ascii="Times New Roman" w:hAnsi="Times New Roman"/>
          <w:noProof/>
          <w:sz w:val="24"/>
          <w:szCs w:val="24"/>
        </w:rPr>
        <w:t xml:space="preserve">: Tertiary education attainment among those aged 30-34, 2008-2016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1A2DB793" wp14:editId="66E84DA1">
            <wp:extent cx="5064826" cy="2642667"/>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4083" cy="2642279"/>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val="fr-BE" w:eastAsia="en-GB"/>
        </w:rPr>
      </w:pPr>
      <w:r>
        <w:rPr>
          <w:rFonts w:ascii="Times New Roman" w:hAnsi="Times New Roman" w:cs="Times New Roman"/>
          <w:noProof/>
          <w:sz w:val="20"/>
          <w:szCs w:val="20"/>
          <w:lang w:val="fr-BE" w:eastAsia="en-GB"/>
        </w:rPr>
        <w:t xml:space="preserve">Source: Eurostat (LFS). Online data code edat_lfse_03. </w:t>
      </w:r>
    </w:p>
    <w:p w:rsidR="00CB01DD" w:rsidRDefault="00CB01DD">
      <w:pPr>
        <w:spacing w:before="120" w:after="120" w:line="360" w:lineRule="auto"/>
        <w:jc w:val="both"/>
        <w:rPr>
          <w:rFonts w:ascii="Times New Roman" w:eastAsia="Calibri" w:hAnsi="Times New Roman" w:cs="Times New Roman"/>
          <w:b/>
          <w:noProof/>
          <w:sz w:val="24"/>
          <w:szCs w:val="24"/>
          <w:lang w:val="fr-BE"/>
        </w:rPr>
      </w:pPr>
    </w:p>
    <w:p w:rsidR="00CB01DD" w:rsidRDefault="00D75BDB">
      <w:pPr>
        <w:spacing w:before="12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The labour-market relevance of education is a crucial </w:t>
      </w:r>
      <w:r>
        <w:rPr>
          <w:rFonts w:ascii="Times New Roman" w:eastAsia="Calibri" w:hAnsi="Times New Roman" w:cs="Times New Roman"/>
          <w:b/>
          <w:noProof/>
          <w:sz w:val="24"/>
          <w:szCs w:val="24"/>
        </w:rPr>
        <w:t>determinant of young people's ability to find work and contribute effectively to economic growth.</w:t>
      </w:r>
      <w:r>
        <w:rPr>
          <w:rFonts w:ascii="Times New Roman" w:eastAsia="Calibri" w:hAnsi="Times New Roman" w:cs="Times New Roman"/>
          <w:noProof/>
          <w:sz w:val="24"/>
          <w:szCs w:val="24"/>
        </w:rPr>
        <w:t xml:space="preserve"> On average, the employment rate of recent graduates from higher education (aged 20-34) is 82.8% in the EU, whereas for those with upper secondary education the employment rate is 72.6% (reaching 75% for those with vocational pathway). The gap is greater i</w:t>
      </w:r>
      <w:r>
        <w:rPr>
          <w:rFonts w:ascii="Times New Roman" w:eastAsia="Calibri" w:hAnsi="Times New Roman" w:cs="Times New Roman"/>
          <w:noProof/>
          <w:sz w:val="24"/>
          <w:szCs w:val="24"/>
        </w:rPr>
        <w:t xml:space="preserve">n Member States with lower overall youth employment rates. </w:t>
      </w:r>
    </w:p>
    <w:p w:rsidR="00CB01DD" w:rsidRDefault="00D75BDB">
      <w:pPr>
        <w:spacing w:before="12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The gap in employment and/or unemployment rates across skills levels to a certain extent provides an indication of a skills mismatch</w:t>
      </w:r>
      <w:r>
        <w:rPr>
          <w:rFonts w:ascii="Times New Roman" w:eastAsia="Calibri" w:hAnsi="Times New Roman" w:cs="Times New Roman"/>
          <w:noProof/>
          <w:sz w:val="24"/>
          <w:szCs w:val="24"/>
        </w:rPr>
        <w:t>, as an equivalent match of labour supply and demand by level of</w:t>
      </w:r>
      <w:r>
        <w:rPr>
          <w:rFonts w:ascii="Times New Roman" w:eastAsia="Calibri" w:hAnsi="Times New Roman" w:cs="Times New Roman"/>
          <w:noProof/>
          <w:sz w:val="24"/>
          <w:szCs w:val="24"/>
        </w:rPr>
        <w:t xml:space="preserve"> education would imply identic employment rates across skill groups. In 2016, the highest dispersion of employment rates by education levels (less than upper secondary, upper and post-secondary, and tertiary education) was observed in Bulgaria, the Czech R</w:t>
      </w:r>
      <w:r>
        <w:rPr>
          <w:rFonts w:ascii="Times New Roman" w:eastAsia="Calibri" w:hAnsi="Times New Roman" w:cs="Times New Roman"/>
          <w:noProof/>
          <w:sz w:val="24"/>
          <w:szCs w:val="24"/>
        </w:rPr>
        <w:t xml:space="preserve">epublic, Croatia, Lithuania, Poland, Slovenia and Slovakia.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Despite relatively good labour market outcomes of Vocational Education and Training (VET), the number of students enrolling in initial VET in the EU has in most countries been steadily falling si</w:t>
      </w:r>
      <w:r>
        <w:rPr>
          <w:rFonts w:ascii="Times New Roman" w:hAnsi="Times New Roman" w:cs="Times New Roman"/>
          <w:b/>
          <w:noProof/>
          <w:sz w:val="24"/>
          <w:szCs w:val="24"/>
        </w:rPr>
        <w:t>nce 2013.</w:t>
      </w:r>
      <w:r>
        <w:rPr>
          <w:rFonts w:ascii="Times New Roman" w:hAnsi="Times New Roman" w:cs="Times New Roman"/>
          <w:noProof/>
          <w:sz w:val="24"/>
          <w:szCs w:val="24"/>
        </w:rPr>
        <w:t xml:space="preserve"> The overall number of initial VET students at the upper-secondary level in the EU dropped since 2013 by around 500 000 (4.7 %), to 10.3 million in 2015. The United Kingdom registered the most notable fall in absolute numbers of initial VET studen</w:t>
      </w:r>
      <w:r>
        <w:rPr>
          <w:rFonts w:ascii="Times New Roman" w:hAnsi="Times New Roman" w:cs="Times New Roman"/>
          <w:noProof/>
          <w:sz w:val="24"/>
          <w:szCs w:val="24"/>
        </w:rPr>
        <w:t xml:space="preserve">t population – by almost 200 000. At the same time, enrolment in general education stayed at the same level. Therefore, the share of VET students in the total student population enrolled at upper secondary level has decreased from 48.9 % in 2013 to 47.3 % </w:t>
      </w:r>
      <w:r>
        <w:rPr>
          <w:rFonts w:ascii="Times New Roman" w:hAnsi="Times New Roman" w:cs="Times New Roman"/>
          <w:noProof/>
          <w:sz w:val="24"/>
          <w:szCs w:val="24"/>
        </w:rPr>
        <w:t xml:space="preserve">in 2015.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VET students who enter the labour market directly after attaining their upper-secondary level qualification enjoy in most countries relatively high employment rates.</w:t>
      </w:r>
      <w:r>
        <w:rPr>
          <w:rFonts w:ascii="Times New Roman" w:hAnsi="Times New Roman" w:cs="Times New Roman"/>
          <w:noProof/>
          <w:sz w:val="24"/>
          <w:szCs w:val="24"/>
        </w:rPr>
        <w:t xml:space="preserve"> This is evident in countries having well-functioning VET systems, including stro</w:t>
      </w:r>
      <w:r>
        <w:rPr>
          <w:rFonts w:ascii="Times New Roman" w:hAnsi="Times New Roman" w:cs="Times New Roman"/>
          <w:noProof/>
          <w:sz w:val="24"/>
          <w:szCs w:val="24"/>
        </w:rPr>
        <w:t>ng permeability and school-to-work transition systems, such as Malta, the United Kingdom, Germany, the Netherlands, Sweden, Austria and Denmark (except for health and welfare VET graduates). However in other countries, VET graduates from some fields seem t</w:t>
      </w:r>
      <w:r>
        <w:rPr>
          <w:rFonts w:ascii="Times New Roman" w:hAnsi="Times New Roman" w:cs="Times New Roman"/>
          <w:noProof/>
          <w:sz w:val="24"/>
          <w:szCs w:val="24"/>
        </w:rPr>
        <w:t xml:space="preserve">o be under-performing (particularly in the field of business, administration and law) as, for example, in Hungary, Lithuania, Slovenia, Poland, France, Bulgaria and Romania. In Italy and Greece, within the generally not very well performing labour market, </w:t>
      </w:r>
      <w:r>
        <w:rPr>
          <w:rFonts w:ascii="Times New Roman" w:hAnsi="Times New Roman" w:cs="Times New Roman"/>
          <w:noProof/>
          <w:sz w:val="24"/>
          <w:szCs w:val="24"/>
        </w:rPr>
        <w:t>there are particularly large differences in employment rates depending on field of study.</w:t>
      </w:r>
    </w:p>
    <w:p w:rsidR="00CB01DD" w:rsidRDefault="00D75BDB">
      <w:pPr>
        <w:spacing w:line="360" w:lineRule="auto"/>
        <w:jc w:val="both"/>
        <w:rPr>
          <w:rFonts w:ascii="Times New Roman" w:hAnsi="Times New Roman" w:cs="Times New Roman"/>
          <w:noProof/>
          <w:sz w:val="24"/>
          <w:szCs w:val="24"/>
          <w:highlight w:val="magenta"/>
        </w:rPr>
      </w:pPr>
      <w:r>
        <w:rPr>
          <w:rFonts w:ascii="Times New Roman" w:hAnsi="Times New Roman" w:cs="Times New Roman"/>
          <w:b/>
          <w:noProof/>
          <w:sz w:val="24"/>
          <w:szCs w:val="24"/>
        </w:rPr>
        <w:t>Besides employability, expected wages is another important factor indicating the attractiveness of different educational pathways.</w:t>
      </w:r>
      <w:r>
        <w:rPr>
          <w:rFonts w:ascii="Times New Roman" w:hAnsi="Times New Roman" w:cs="Times New Roman"/>
          <w:noProof/>
          <w:sz w:val="24"/>
          <w:szCs w:val="24"/>
        </w:rPr>
        <w:t xml:space="preserve"> The wage premium for those with a m</w:t>
      </w:r>
      <w:r>
        <w:rPr>
          <w:rFonts w:ascii="Times New Roman" w:hAnsi="Times New Roman" w:cs="Times New Roman"/>
          <w:noProof/>
          <w:sz w:val="24"/>
          <w:szCs w:val="24"/>
        </w:rPr>
        <w:t>edium-level vocational qualification as compared to those with medium level general qualification varies from 60% in Germany to a wage penalty of around -25% in the Czech Republic (though it is a special case since the majority of VET graduates continue in</w:t>
      </w:r>
      <w:r>
        <w:rPr>
          <w:rFonts w:ascii="Times New Roman" w:hAnsi="Times New Roman" w:cs="Times New Roman"/>
          <w:noProof/>
          <w:sz w:val="24"/>
          <w:szCs w:val="24"/>
        </w:rPr>
        <w:t>to higher education)</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Overall in the EU, young people with a vocational qualification earn around 25% more than those with only a low level of education (ISCED 0-2), 17% more than those with a medium level qualification with a general orientation, and 40%</w:t>
      </w:r>
      <w:r>
        <w:rPr>
          <w:rFonts w:ascii="Times New Roman" w:hAnsi="Times New Roman" w:cs="Times New Roman"/>
          <w:noProof/>
          <w:sz w:val="24"/>
          <w:szCs w:val="24"/>
        </w:rPr>
        <w:t xml:space="preserve"> less compared to those with a high level of education</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One of the key characteristics of VET systems that facilitate a smooth transition to and success on the labour market is the integration of work-based learning in VET programmes.</w:t>
      </w:r>
      <w:r>
        <w:rPr>
          <w:rFonts w:ascii="Times New Roman" w:hAnsi="Times New Roman" w:cs="Times New Roman"/>
          <w:noProof/>
          <w:sz w:val="24"/>
          <w:szCs w:val="24"/>
        </w:rPr>
        <w:t xml:space="preserve"> According to the 201</w:t>
      </w:r>
      <w:r>
        <w:rPr>
          <w:rFonts w:ascii="Times New Roman" w:hAnsi="Times New Roman" w:cs="Times New Roman"/>
          <w:noProof/>
          <w:sz w:val="24"/>
          <w:szCs w:val="24"/>
        </w:rPr>
        <w:t>6 Education and Training Monitor, in 2015, there were around 2.8 million students enrolled in combined work- and school-based programmes (who spend at least 25% of the programme duration learning in a real work environment in a company) in the EU. However,</w:t>
      </w:r>
      <w:r>
        <w:rPr>
          <w:rFonts w:ascii="Times New Roman" w:hAnsi="Times New Roman" w:cs="Times New Roman"/>
          <w:noProof/>
          <w:sz w:val="24"/>
          <w:szCs w:val="24"/>
        </w:rPr>
        <w:t xml:space="preserve"> the availability of programmes with a substantial element of work-based learning is still limited in most EU countries and the situation is not improving. Between 2013 and 2015, there was little change in the prevalence of combined work- and school-based </w:t>
      </w:r>
      <w:r>
        <w:rPr>
          <w:rFonts w:ascii="Times New Roman" w:hAnsi="Times New Roman" w:cs="Times New Roman"/>
          <w:noProof/>
          <w:sz w:val="24"/>
          <w:szCs w:val="24"/>
        </w:rPr>
        <w:t>programmes in the EU. In a number of countries the share of students attending such programmes fell – for example in the United Kingdom, Austria, France, Luxembourg and Finland. A noticeable increase was observed only in Slovakia and Hungary, in the latter</w:t>
      </w:r>
      <w:r>
        <w:rPr>
          <w:rFonts w:ascii="Times New Roman" w:hAnsi="Times New Roman" w:cs="Times New Roman"/>
          <w:noProof/>
          <w:sz w:val="24"/>
          <w:szCs w:val="24"/>
        </w:rPr>
        <w:t xml:space="preserve"> case potentially due to changes in the classification of certain programmes as including a sufficient amount of work-based learning.</w:t>
      </w:r>
    </w:p>
    <w:p w:rsidR="00CB01DD" w:rsidRDefault="00D75BDB">
      <w:pPr>
        <w:spacing w:line="360" w:lineRule="auto"/>
        <w:contextualSpacing/>
        <w:jc w:val="both"/>
        <w:rPr>
          <w:rFonts w:ascii="Times New Roman" w:hAnsi="Times New Roman" w:cs="Times New Roman"/>
          <w:noProof/>
          <w:sz w:val="24"/>
          <w:szCs w:val="24"/>
        </w:rPr>
      </w:pPr>
      <w:r>
        <w:rPr>
          <w:rFonts w:ascii="Times New Roman" w:hAnsi="Times New Roman" w:cs="Times New Roman"/>
          <w:b/>
          <w:noProof/>
          <w:sz w:val="24"/>
          <w:szCs w:val="24"/>
        </w:rPr>
        <w:t>The overall rate of adult participation in learning in the EU has changed little since 2013</w:t>
      </w:r>
      <w:r>
        <w:rPr>
          <w:rFonts w:ascii="Times New Roman" w:hAnsi="Times New Roman" w:cs="Times New Roman"/>
          <w:noProof/>
          <w:sz w:val="24"/>
          <w:szCs w:val="24"/>
        </w:rPr>
        <w:t xml:space="preserve"> </w:t>
      </w:r>
      <w:r>
        <w:rPr>
          <w:rFonts w:ascii="Times New Roman" w:hAnsi="Times New Roman" w:cs="Times New Roman"/>
          <w:b/>
          <w:noProof/>
          <w:sz w:val="24"/>
          <w:szCs w:val="24"/>
        </w:rPr>
        <w:t>(</w:t>
      </w:r>
      <w:r>
        <w:rPr>
          <w:rFonts w:ascii="Times New Roman" w:hAnsi="Times New Roman"/>
          <w:b/>
          <w:noProof/>
          <w:sz w:val="24"/>
          <w:szCs w:val="24"/>
        </w:rPr>
        <w:t>Figure 17</w:t>
      </w:r>
      <w:r>
        <w:rPr>
          <w:rFonts w:ascii="Times New Roman" w:hAnsi="Times New Roman" w:cs="Times New Roman"/>
          <w:b/>
          <w:noProof/>
          <w:sz w:val="24"/>
          <w:szCs w:val="24"/>
        </w:rPr>
        <w:softHyphen/>
        <w:t>).</w:t>
      </w:r>
      <w:r>
        <w:rPr>
          <w:rFonts w:ascii="Times New Roman" w:hAnsi="Times New Roman" w:cs="Times New Roman"/>
          <w:noProof/>
          <w:sz w:val="24"/>
          <w:szCs w:val="24"/>
        </w:rPr>
        <w:t xml:space="preserve"> In all countries</w:t>
      </w:r>
      <w:r>
        <w:rPr>
          <w:rFonts w:ascii="Times New Roman" w:hAnsi="Times New Roman" w:cs="Times New Roman"/>
          <w:noProof/>
          <w:sz w:val="24"/>
          <w:szCs w:val="24"/>
        </w:rPr>
        <w:t>, the majority of adult learning is of a non-formal nature, usually work-related and provided as well as financed by employers or individuals themselves. Such learning often targets those employees who already have the highest levels of skills and are perf</w:t>
      </w:r>
      <w:r>
        <w:rPr>
          <w:rFonts w:ascii="Times New Roman" w:hAnsi="Times New Roman" w:cs="Times New Roman"/>
          <w:noProof/>
          <w:sz w:val="24"/>
          <w:szCs w:val="24"/>
        </w:rPr>
        <w:t>orming the most complex jobs, while for the rest of employees, opportunities to access training are often much more limited. The fact that most learning is of a non-formal nature also implies that it is often of only short duration and aims to develop comp</w:t>
      </w:r>
      <w:r>
        <w:rPr>
          <w:rFonts w:ascii="Times New Roman" w:hAnsi="Times New Roman" w:cs="Times New Roman"/>
          <w:noProof/>
          <w:sz w:val="24"/>
          <w:szCs w:val="24"/>
        </w:rPr>
        <w:t>any-specific skills. This results in a situation where most adult learning is not able to help adults develop skills that are more transferable across companies including the basic skills – literacy, numeracy or ICT.</w:t>
      </w:r>
    </w:p>
    <w:p w:rsidR="00CB01DD" w:rsidRDefault="00CB01DD">
      <w:pPr>
        <w:contextualSpacing/>
        <w:jc w:val="both"/>
        <w:rPr>
          <w:rFonts w:ascii="Times New Roman" w:hAnsi="Times New Roman" w:cs="Times New Roman"/>
          <w:noProof/>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17</w:t>
      </w:r>
      <w:r>
        <w:rPr>
          <w:rFonts w:ascii="Times New Roman" w:hAnsi="Times New Roman"/>
          <w:noProof/>
          <w:sz w:val="24"/>
          <w:szCs w:val="24"/>
        </w:rPr>
        <w:fldChar w:fldCharType="end"/>
      </w:r>
      <w:r>
        <w:rPr>
          <w:rFonts w:ascii="Times New Roman" w:hAnsi="Times New Roman"/>
          <w:noProof/>
          <w:sz w:val="24"/>
          <w:szCs w:val="24"/>
        </w:rPr>
        <w:t xml:space="preserve">: </w:t>
      </w:r>
      <w:r>
        <w:rPr>
          <w:rFonts w:ascii="Times New Roman" w:hAnsi="Times New Roman"/>
          <w:noProof/>
          <w:sz w:val="24"/>
          <w:szCs w:val="24"/>
        </w:rPr>
        <w:t>Participation in adult learning by different types of learning (2016)</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78F70169" wp14:editId="36FE16E0">
            <wp:extent cx="5892229" cy="2949934"/>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0582" cy="2949109"/>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val="fr-BE" w:eastAsia="en-GB"/>
        </w:rPr>
        <w:t xml:space="preserve">Source: Eurostat (EU-LFS, special extraction, 2016). </w:t>
      </w:r>
      <w:r>
        <w:rPr>
          <w:rFonts w:ascii="Times New Roman" w:hAnsi="Times New Roman" w:cs="Times New Roman"/>
          <w:noProof/>
          <w:sz w:val="20"/>
          <w:szCs w:val="20"/>
          <w:lang w:eastAsia="en-GB"/>
        </w:rPr>
        <w:t>Note: the indicator captures the participation rate in formal and non-formal education and training (last four weeks) of 25 to 64 y</w:t>
      </w:r>
      <w:r>
        <w:rPr>
          <w:rFonts w:ascii="Times New Roman" w:hAnsi="Times New Roman" w:cs="Times New Roman"/>
          <w:noProof/>
          <w:sz w:val="20"/>
          <w:szCs w:val="20"/>
          <w:lang w:eastAsia="en-GB"/>
        </w:rPr>
        <w:t>ear-olds. Data category “both” indicates the share of persons who participated during the reference period of 4 weeks in both formal and non-formal learning activities. Data in HR, HU and LV for those participating in “both” forms of learning is unreliable</w:t>
      </w:r>
      <w:r>
        <w:rPr>
          <w:rFonts w:ascii="Times New Roman" w:hAnsi="Times New Roman" w:cs="Times New Roman"/>
          <w:noProof/>
          <w:sz w:val="20"/>
          <w:szCs w:val="20"/>
          <w:lang w:eastAsia="en-GB"/>
        </w:rPr>
        <w:t xml:space="preserve"> and in CY, LT, SK, BG and RO is unavailable. </w:t>
      </w:r>
    </w:p>
    <w:p w:rsidR="00CB01DD" w:rsidRDefault="00CB01DD">
      <w:pPr>
        <w:spacing w:line="360" w:lineRule="auto"/>
        <w:jc w:val="both"/>
        <w:rPr>
          <w:rFonts w:ascii="Times New Roman" w:eastAsia="Calibri" w:hAnsi="Times New Roman" w:cs="Times New Roman"/>
          <w:b/>
          <w:bCs/>
          <w:noProof/>
          <w:sz w:val="24"/>
          <w:szCs w:val="24"/>
        </w:rPr>
      </w:pPr>
    </w:p>
    <w:p w:rsidR="00CB01DD" w:rsidRDefault="00D75BDB">
      <w:pPr>
        <w:spacing w:line="360" w:lineRule="auto"/>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The level of digital skills is increasing, although very slowly, leaving parts of the population unable to benefit from the digital transformation</w:t>
      </w:r>
      <w:r>
        <w:rPr>
          <w:rFonts w:ascii="Times New Roman" w:eastAsia="Calibri" w:hAnsi="Times New Roman" w:cs="Times New Roman"/>
          <w:bCs/>
          <w:noProof/>
          <w:sz w:val="24"/>
          <w:szCs w:val="24"/>
        </w:rPr>
        <w:t>. This has an impact on innovation, productivity and eventuall</w:t>
      </w:r>
      <w:r>
        <w:rPr>
          <w:rFonts w:ascii="Times New Roman" w:eastAsia="Calibri" w:hAnsi="Times New Roman" w:cs="Times New Roman"/>
          <w:bCs/>
          <w:noProof/>
          <w:sz w:val="24"/>
          <w:szCs w:val="24"/>
        </w:rPr>
        <w:t>y growth.</w:t>
      </w:r>
      <w:r>
        <w:rPr>
          <w:rFonts w:ascii="Times New Roman" w:eastAsia="Calibri" w:hAnsi="Times New Roman" w:cs="Times New Roman"/>
          <w:b/>
          <w:bCs/>
          <w:noProof/>
          <w:sz w:val="24"/>
          <w:szCs w:val="24"/>
        </w:rPr>
        <w:t xml:space="preserve"> </w:t>
      </w:r>
      <w:r>
        <w:rPr>
          <w:rFonts w:ascii="Times New Roman" w:eastAsia="Calibri" w:hAnsi="Times New Roman" w:cs="Times New Roman"/>
          <w:bCs/>
          <w:noProof/>
          <w:sz w:val="24"/>
          <w:szCs w:val="24"/>
        </w:rPr>
        <w:t>In 2016, 44% of the EU population aged 16 to 74 did not have the basic digital skills to meet current needs, while 19% had none at all (in 2015, the figures stood at 45% and 21% respectively)</w:t>
      </w:r>
      <w:r>
        <w:rPr>
          <w:rStyle w:val="FootnoteReference"/>
          <w:rFonts w:ascii="Times New Roman" w:eastAsia="Calibri" w:hAnsi="Times New Roman"/>
          <w:bCs/>
          <w:noProof/>
          <w:sz w:val="24"/>
          <w:szCs w:val="24"/>
        </w:rPr>
        <w:footnoteReference w:id="48"/>
      </w:r>
      <w:r>
        <w:rPr>
          <w:rFonts w:ascii="Times New Roman" w:eastAsia="Calibri" w:hAnsi="Times New Roman" w:cs="Times New Roman"/>
          <w:bCs/>
          <w:noProof/>
          <w:sz w:val="24"/>
          <w:szCs w:val="24"/>
        </w:rPr>
        <w:t xml:space="preserve">. The variation across Member States is substantial, </w:t>
      </w:r>
      <w:r>
        <w:rPr>
          <w:rFonts w:ascii="Times New Roman" w:eastAsia="Calibri" w:hAnsi="Times New Roman" w:cs="Times New Roman"/>
          <w:bCs/>
          <w:noProof/>
          <w:sz w:val="24"/>
          <w:szCs w:val="24"/>
        </w:rPr>
        <w:t>with ten Member States (Portugal, Poland, Slovenia, Croatia, Lithuania, Italy, Greece, Cyprus, Bulgaria and Romania) where at least one quarter of the population had no digital skills in 2016. The level is particularly low in Bulgaria and Romania ("critica</w:t>
      </w:r>
      <w:r>
        <w:rPr>
          <w:rFonts w:ascii="Times New Roman" w:eastAsia="Calibri" w:hAnsi="Times New Roman" w:cs="Times New Roman"/>
          <w:bCs/>
          <w:noProof/>
          <w:sz w:val="24"/>
          <w:szCs w:val="24"/>
        </w:rPr>
        <w:t>l situations") whilst in Finland, the Netherlands, Denmark, and Luxembourg ("best performers") it is much higher than average. There is evidence of divergence on this indicator across the EU – as the level of digital skills is improving comparatively faste</w:t>
      </w:r>
      <w:r>
        <w:rPr>
          <w:rFonts w:ascii="Times New Roman" w:eastAsia="Calibri" w:hAnsi="Times New Roman" w:cs="Times New Roman"/>
          <w:bCs/>
          <w:noProof/>
          <w:sz w:val="24"/>
          <w:szCs w:val="24"/>
        </w:rPr>
        <w:t>r, on average, in best performing countries.</w:t>
      </w:r>
    </w:p>
    <w:p w:rsidR="00CB01DD" w:rsidRDefault="00CB01DD">
      <w:pPr>
        <w:jc w:val="both"/>
        <w:rPr>
          <w:rFonts w:ascii="Times New Roman" w:eastAsia="Calibri" w:hAnsi="Times New Roman" w:cs="Times New Roman"/>
          <w:b/>
          <w:bCs/>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18</w:t>
      </w:r>
      <w:r>
        <w:rPr>
          <w:rFonts w:ascii="Times New Roman" w:hAnsi="Times New Roman"/>
          <w:noProof/>
          <w:sz w:val="24"/>
          <w:szCs w:val="24"/>
        </w:rPr>
        <w:fldChar w:fldCharType="end"/>
      </w:r>
      <w:r>
        <w:rPr>
          <w:rFonts w:ascii="Times New Roman" w:hAnsi="Times New Roman"/>
          <w:noProof/>
          <w:sz w:val="24"/>
          <w:szCs w:val="24"/>
        </w:rPr>
        <w:t xml:space="preserve">: Share of population with basic overall digital skills or above and yearly change (Social Scoreboard headline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4CC06145" wp14:editId="0B60825D">
            <wp:extent cx="4102924" cy="313988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4018" cy="3140725"/>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Period: 2016 levels and yearly changes with respect to 2015. Note: Axes are centred on the unweighted EU average. The legend is presented in the Annex. </w:t>
      </w:r>
    </w:p>
    <w:p w:rsidR="00CB01DD" w:rsidRDefault="00CB01DD">
      <w:pPr>
        <w:spacing w:line="360" w:lineRule="auto"/>
        <w:jc w:val="both"/>
        <w:rPr>
          <w:rFonts w:ascii="Times New Roman" w:hAnsi="Times New Roman"/>
          <w:b/>
          <w:noProof/>
          <w:sz w:val="24"/>
        </w:rPr>
      </w:pPr>
    </w:p>
    <w:p w:rsidR="00CB01DD" w:rsidRDefault="00D75BDB">
      <w:pPr>
        <w:spacing w:line="360" w:lineRule="auto"/>
        <w:jc w:val="both"/>
        <w:rPr>
          <w:rFonts w:ascii="Times New Roman" w:hAnsi="Times New Roman"/>
          <w:noProof/>
          <w:sz w:val="24"/>
        </w:rPr>
      </w:pPr>
      <w:r>
        <w:rPr>
          <w:rFonts w:ascii="Times New Roman" w:hAnsi="Times New Roman"/>
          <w:b/>
          <w:noProof/>
          <w:sz w:val="24"/>
        </w:rPr>
        <w:t>The labour market situation of young people continues to improve, in line with the s</w:t>
      </w:r>
      <w:r>
        <w:rPr>
          <w:rFonts w:ascii="Times New Roman" w:hAnsi="Times New Roman"/>
          <w:b/>
          <w:noProof/>
          <w:sz w:val="24"/>
        </w:rPr>
        <w:t xml:space="preserve">trengthening of the economy. </w:t>
      </w:r>
      <w:r>
        <w:rPr>
          <w:rFonts w:ascii="Times New Roman" w:hAnsi="Times New Roman"/>
          <w:noProof/>
          <w:sz w:val="24"/>
        </w:rPr>
        <w:t>In the EU, the youth unemployment rate decreased by 5 pps from a peak of 23.7% in 2013 to 18.7% in 2016, and further to 17% in Q2-2017. However, it is still 1.4 pps above the level observed in Q2-2008. The dispersion of youth unemployment is high, with som</w:t>
      </w:r>
      <w:r>
        <w:rPr>
          <w:rFonts w:ascii="Times New Roman" w:hAnsi="Times New Roman"/>
          <w:noProof/>
          <w:sz w:val="24"/>
        </w:rPr>
        <w:t xml:space="preserve">e Member States recording levels close to or above 40% (Italy, Spain, Greece), but it is decreasing over time (see </w:t>
      </w:r>
      <w:r>
        <w:rPr>
          <w:rFonts w:ascii="Times New Roman" w:hAnsi="Times New Roman"/>
          <w:noProof/>
          <w:sz w:val="24"/>
          <w:szCs w:val="24"/>
        </w:rPr>
        <w:t>Figure 19</w:t>
      </w:r>
      <w:r>
        <w:rPr>
          <w:rFonts w:ascii="Times New Roman" w:hAnsi="Times New Roman"/>
          <w:noProof/>
          <w:sz w:val="24"/>
        </w:rPr>
        <w:t xml:space="preserve">). Young women experience lower unemployment rates than men (17.9% versus 19.4% in 2016). This may be related to better educational </w:t>
      </w:r>
      <w:r>
        <w:rPr>
          <w:rFonts w:ascii="Times New Roman" w:hAnsi="Times New Roman"/>
          <w:noProof/>
          <w:sz w:val="24"/>
        </w:rPr>
        <w:t>achievements, but also to lower activity rates. In spite of improving labour market prospects, young people are more often employed under non-standard and atypical forms of employment, including temporary jobs, involuntary part-time work and lower wage job</w:t>
      </w:r>
      <w:r>
        <w:rPr>
          <w:rFonts w:ascii="Times New Roman" w:hAnsi="Times New Roman"/>
          <w:noProof/>
          <w:sz w:val="24"/>
        </w:rPr>
        <w:t xml:space="preserve">s (in 2016, 43.8% of young workers – and more than 70% in Slovenia, Spain and Poland – work under a temporary contract, compared to 13.1% of workers aged 25-49); as shown in section 3.4, these contracts not always evolve towards more stable patterns. </w:t>
      </w:r>
    </w:p>
    <w:p w:rsidR="00CB01DD" w:rsidRDefault="00CB01DD">
      <w:pPr>
        <w:spacing w:line="360" w:lineRule="auto"/>
        <w:jc w:val="both"/>
        <w:rPr>
          <w:rFonts w:ascii="Times New Roman" w:hAnsi="Times New Roman"/>
          <w:noProof/>
          <w:sz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Fig</w:t>
      </w:r>
      <w:r>
        <w:rPr>
          <w:rFonts w:ascii="Times New Roman" w:hAnsi="Times New Roman"/>
          <w:noProof/>
          <w:sz w:val="24"/>
          <w:szCs w:val="24"/>
        </w:rPr>
        <w:t xml:space="preserve">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19</w:t>
      </w:r>
      <w:r>
        <w:rPr>
          <w:rFonts w:ascii="Times New Roman" w:hAnsi="Times New Roman"/>
          <w:noProof/>
          <w:sz w:val="24"/>
          <w:szCs w:val="24"/>
        </w:rPr>
        <w:fldChar w:fldCharType="end"/>
      </w:r>
      <w:r>
        <w:rPr>
          <w:rFonts w:ascii="Times New Roman" w:hAnsi="Times New Roman"/>
          <w:noProof/>
          <w:sz w:val="24"/>
          <w:szCs w:val="24"/>
        </w:rPr>
        <w:t>: Youth unemployment rate (15-24), multiannual comparison</w:t>
      </w:r>
    </w:p>
    <w:p w:rsidR="00CB01DD" w:rsidRDefault="00D75BDB">
      <w:pPr>
        <w:keepNext/>
        <w:spacing w:line="240" w:lineRule="auto"/>
        <w:rPr>
          <w:rFonts w:ascii="Times New Roman" w:hAnsi="Times New Roman"/>
          <w:noProof/>
          <w:sz w:val="24"/>
        </w:rPr>
      </w:pPr>
      <w:r>
        <w:rPr>
          <w:rFonts w:ascii="Times New Roman" w:hAnsi="Times New Roman"/>
          <w:noProof/>
          <w:sz w:val="24"/>
          <w:lang w:eastAsia="en-GB"/>
        </w:rPr>
        <w:drawing>
          <wp:inline distT="0" distB="0" distL="0" distR="0" wp14:anchorId="1075EBA6" wp14:editId="16DE0C2F">
            <wp:extent cx="5764696" cy="2679449"/>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4097" cy="267917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CB01DD">
      <w:pPr>
        <w:spacing w:line="360" w:lineRule="auto"/>
        <w:jc w:val="both"/>
        <w:rPr>
          <w:rFonts w:ascii="Times New Roman" w:hAnsi="Times New Roman"/>
          <w:noProof/>
          <w:sz w:val="24"/>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In addition to those working or seeking a job, a considerable part of the young people aged 15-24 in the EU are economically inactive.</w:t>
      </w:r>
      <w:r>
        <w:rPr>
          <w:rFonts w:ascii="Times New Roman" w:hAnsi="Times New Roman" w:cs="Times New Roman"/>
          <w:noProof/>
          <w:sz w:val="24"/>
          <w:szCs w:val="24"/>
        </w:rPr>
        <w:t xml:space="preserve"> In tot</w:t>
      </w:r>
      <w:r>
        <w:rPr>
          <w:rFonts w:ascii="Times New Roman" w:hAnsi="Times New Roman" w:cs="Times New Roman"/>
          <w:noProof/>
          <w:sz w:val="24"/>
          <w:szCs w:val="24"/>
        </w:rPr>
        <w:t>al in the EU, in 2016 more than 6 million people aged 15-24 were neither in employment, education or training (NEET). This amounts to 11.5% of population in that age class, down from a peak of 13.2% in 2012 but still above 2008 level (10.9%). This reductio</w:t>
      </w:r>
      <w:r>
        <w:rPr>
          <w:rFonts w:ascii="Times New Roman" w:hAnsi="Times New Roman" w:cs="Times New Roman"/>
          <w:noProof/>
          <w:sz w:val="24"/>
          <w:szCs w:val="24"/>
        </w:rPr>
        <w:t xml:space="preserve">n was mainly due to unemployed NEETs moving into work. As shown in </w:t>
      </w:r>
      <w:r>
        <w:rPr>
          <w:rFonts w:ascii="Times New Roman" w:hAnsi="Times New Roman"/>
          <w:noProof/>
          <w:sz w:val="24"/>
          <w:szCs w:val="24"/>
        </w:rPr>
        <w:t>Figure 20</w:t>
      </w:r>
      <w:r>
        <w:rPr>
          <w:rFonts w:ascii="Times New Roman" w:hAnsi="Times New Roman" w:cs="Times New Roman"/>
          <w:noProof/>
          <w:sz w:val="24"/>
          <w:szCs w:val="24"/>
        </w:rPr>
        <w:t>, NEET rates above 15% are still recorded in several countries (Bulgaria, Romania, Croatia, Cyprus and Greece, all flagged as "critical situations") and Italy, where the level drop</w:t>
      </w:r>
      <w:r>
        <w:rPr>
          <w:rFonts w:ascii="Times New Roman" w:hAnsi="Times New Roman" w:cs="Times New Roman"/>
          <w:noProof/>
          <w:sz w:val="24"/>
          <w:szCs w:val="24"/>
        </w:rPr>
        <w:t>ped by 1.5 pps in 2016 ("weak but improving"). Conversely, the Netherlands, Luxembourg, Denmark and Sweden are "best performers". The number of NEETs is increasing in Germany, Austria, Lithuania, Latvia and, more worryingly, in Cyprus (starting from an alr</w:t>
      </w:r>
      <w:r>
        <w:rPr>
          <w:rFonts w:ascii="Times New Roman" w:hAnsi="Times New Roman" w:cs="Times New Roman"/>
          <w:noProof/>
          <w:sz w:val="24"/>
          <w:szCs w:val="24"/>
        </w:rPr>
        <w:t>eady high rate). Fast reductions can be observed in Belgium, Malta, Estonia and Slovenia. The negative slope of the regression line relating yearly changes to levels suggests ongoing convergence across Member States. In the EU, NEETs are equally divided be</w:t>
      </w:r>
      <w:r>
        <w:rPr>
          <w:rFonts w:ascii="Times New Roman" w:hAnsi="Times New Roman" w:cs="Times New Roman"/>
          <w:noProof/>
          <w:sz w:val="24"/>
          <w:szCs w:val="24"/>
        </w:rPr>
        <w:t>tween unemployed and inactive, but with substantial differences among Member States (with the highest share of inactive in Bulgaria and Romania and the highest share of unemployed in Croatia and Spain). Having only a low-level education is the main risk fa</w:t>
      </w:r>
      <w:r>
        <w:rPr>
          <w:rFonts w:ascii="Times New Roman" w:hAnsi="Times New Roman" w:cs="Times New Roman"/>
          <w:noProof/>
          <w:sz w:val="24"/>
          <w:szCs w:val="24"/>
        </w:rPr>
        <w:t>ctor for being NEET</w:t>
      </w:r>
      <w:r>
        <w:rPr>
          <w:rStyle w:val="FootnoteReference"/>
          <w:rFonts w:ascii="Times New Roman" w:hAnsi="Times New Roman"/>
          <w:noProof/>
          <w:sz w:val="24"/>
          <w:szCs w:val="24"/>
        </w:rPr>
        <w:footnoteReference w:id="49"/>
      </w:r>
      <w:r>
        <w:rPr>
          <w:rFonts w:ascii="Times New Roman" w:hAnsi="Times New Roman" w:cs="Times New Roman"/>
          <w:noProof/>
          <w:sz w:val="24"/>
          <w:szCs w:val="24"/>
        </w:rPr>
        <w:t>. Among female NEETs, inactivity is more frequent than unemployment, while the opposite holds for men.</w:t>
      </w:r>
    </w:p>
    <w:p w:rsidR="00CB01DD" w:rsidRDefault="00CB01DD">
      <w:pPr>
        <w:spacing w:line="360" w:lineRule="auto"/>
        <w:jc w:val="both"/>
        <w:rPr>
          <w:rFonts w:ascii="Times New Roman" w:hAnsi="Times New Roman" w:cs="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20</w:t>
      </w:r>
      <w:r>
        <w:rPr>
          <w:rFonts w:ascii="Times New Roman" w:hAnsi="Times New Roman"/>
          <w:noProof/>
          <w:sz w:val="24"/>
          <w:szCs w:val="24"/>
        </w:rPr>
        <w:fldChar w:fldCharType="end"/>
      </w:r>
      <w:r>
        <w:rPr>
          <w:rFonts w:ascii="Times New Roman" w:hAnsi="Times New Roman"/>
          <w:noProof/>
          <w:sz w:val="24"/>
          <w:szCs w:val="24"/>
        </w:rPr>
        <w:t xml:space="preserve">: NEET rate (15-24) and yearly change (Social Scoreboard headline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5F86287C" wp14:editId="38CC0CD7">
            <wp:extent cx="4569874" cy="3515096"/>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8409" cy="3513969"/>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Period: 2016 levels and yearly changes with respect to 2015. Note: Axes are centred on the unweighted EU average. The legend is presented in the Annex. </w:t>
      </w:r>
    </w:p>
    <w:p w:rsidR="00CB01DD" w:rsidRDefault="00CB01DD">
      <w:pPr>
        <w:spacing w:line="360" w:lineRule="auto"/>
        <w:jc w:val="both"/>
        <w:rPr>
          <w:rFonts w:ascii="Times New Roman" w:hAnsi="Times New Roman" w:cs="Times New Roman"/>
          <w:b/>
          <w:noProof/>
          <w:sz w:val="24"/>
          <w:szCs w:val="24"/>
        </w:rPr>
      </w:pPr>
    </w:p>
    <w:p w:rsidR="00CB01DD" w:rsidRDefault="00D75BDB">
      <w:pPr>
        <w:spacing w:line="360" w:lineRule="auto"/>
        <w:jc w:val="both"/>
        <w:rPr>
          <w:rFonts w:ascii="Times New Roman" w:hAnsi="Times New Roman"/>
          <w:noProof/>
          <w:sz w:val="24"/>
        </w:rPr>
      </w:pPr>
      <w:r>
        <w:rPr>
          <w:rFonts w:ascii="Times New Roman" w:hAnsi="Times New Roman"/>
          <w:b/>
          <w:noProof/>
          <w:sz w:val="24"/>
        </w:rPr>
        <w:t>The employment rate of older workers has grown substantially over the last decade.</w:t>
      </w:r>
      <w:r>
        <w:rPr>
          <w:rFonts w:ascii="Times New Roman" w:hAnsi="Times New Roman"/>
          <w:noProof/>
          <w:sz w:val="24"/>
        </w:rPr>
        <w:t xml:space="preserve"> O</w:t>
      </w:r>
      <w:r>
        <w:rPr>
          <w:rFonts w:ascii="Times New Roman" w:hAnsi="Times New Roman"/>
          <w:noProof/>
          <w:sz w:val="24"/>
        </w:rPr>
        <w:t>lder workers have weathered the crisis relatively better than other age groups. In fact, as already shown in Chapter 1, age group 55-64 is the main driver of the overall increase in employment rate over the last ten years. In 2016, the employment rate of p</w:t>
      </w:r>
      <w:r>
        <w:rPr>
          <w:rFonts w:ascii="Times New Roman" w:hAnsi="Times New Roman"/>
          <w:noProof/>
          <w:sz w:val="24"/>
        </w:rPr>
        <w:t>eople aged 55-64 was 55.3%, 2 pps higher than in the previous year, and the steady increase is projected to continue against the background of demographic change. Employment rates of older workers vary widely across Member States, ranging from 75.5% in Swe</w:t>
      </w:r>
      <w:r>
        <w:rPr>
          <w:rFonts w:ascii="Times New Roman" w:hAnsi="Times New Roman"/>
          <w:noProof/>
          <w:sz w:val="24"/>
        </w:rPr>
        <w:t>den to 36.3% in Greece. The employment rate of women aged 55-64 is also catching up, and stood at 48.9% in 2016. The gender gap in the duration of working lives is declining but still significant, with women participating in the labour market on average 4.</w:t>
      </w:r>
      <w:r>
        <w:rPr>
          <w:rFonts w:ascii="Times New Roman" w:hAnsi="Times New Roman"/>
          <w:noProof/>
          <w:sz w:val="24"/>
        </w:rPr>
        <w:t>9 years less than men (33.1 vs 38.0 years in 2016). This average is the result of major variations across Member States and is driven by multiple factors, such as insufficient access to care services as well as lower pensionable ages for women in some Memb</w:t>
      </w:r>
      <w:r>
        <w:rPr>
          <w:rFonts w:ascii="Times New Roman" w:hAnsi="Times New Roman"/>
          <w:noProof/>
          <w:sz w:val="24"/>
        </w:rPr>
        <w:t xml:space="preserve">er States, reflecting into shorter duration of working life (see </w:t>
      </w:r>
      <w:r>
        <w:rPr>
          <w:rFonts w:ascii="Times New Roman" w:hAnsi="Times New Roman"/>
          <w:noProof/>
          <w:sz w:val="24"/>
          <w:szCs w:val="24"/>
        </w:rPr>
        <w:t>Figure 21</w:t>
      </w:r>
      <w:r>
        <w:rPr>
          <w:rFonts w:ascii="Times New Roman" w:hAnsi="Times New Roman"/>
          <w:noProof/>
          <w:sz w:val="24"/>
        </w:rPr>
        <w:t>). Finally, older workers are more likely to have part-time contracts than prime age workers, but they are less likely to work part-time than younger workers. Similarly, they are mor</w:t>
      </w:r>
      <w:r>
        <w:rPr>
          <w:rFonts w:ascii="Times New Roman" w:hAnsi="Times New Roman"/>
          <w:noProof/>
          <w:sz w:val="24"/>
        </w:rPr>
        <w:t>e likely to have permanent jobs (only 5.3 % of older workers aged 55-64 had temporary contracts).</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21</w:t>
      </w:r>
      <w:r>
        <w:rPr>
          <w:rFonts w:ascii="Times New Roman" w:hAnsi="Times New Roman"/>
          <w:noProof/>
          <w:sz w:val="24"/>
          <w:szCs w:val="24"/>
        </w:rPr>
        <w:fldChar w:fldCharType="end"/>
      </w:r>
      <w:r>
        <w:rPr>
          <w:rFonts w:ascii="Times New Roman" w:hAnsi="Times New Roman"/>
          <w:noProof/>
          <w:sz w:val="24"/>
          <w:szCs w:val="24"/>
        </w:rPr>
        <w:t>: Average duration of working life, 2016</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07156E3F" wp14:editId="5C332E11">
            <wp:extent cx="5724939" cy="3236730"/>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7116" cy="3237961"/>
                    </a:xfrm>
                    <a:prstGeom prst="rect">
                      <a:avLst/>
                    </a:prstGeom>
                    <a:noFill/>
                  </pic:spPr>
                </pic:pic>
              </a:graphicData>
            </a:graphic>
          </wp:inline>
        </w:drawing>
      </w:r>
    </w:p>
    <w:p w:rsidR="00CB01DD" w:rsidRDefault="00D75BDB">
      <w:pPr>
        <w:spacing w:line="240" w:lineRule="auto"/>
        <w:jc w:val="both"/>
        <w:rPr>
          <w:rFonts w:ascii="Times New Roman" w:hAnsi="Times New Roman"/>
          <w:noProof/>
          <w:sz w:val="20"/>
          <w:szCs w:val="20"/>
        </w:rPr>
      </w:pPr>
      <w:r>
        <w:rPr>
          <w:rFonts w:ascii="Times New Roman" w:hAnsi="Times New Roman"/>
          <w:noProof/>
          <w:sz w:val="20"/>
          <w:szCs w:val="20"/>
        </w:rPr>
        <w:t>Source, Eurostat, LFS.</w:t>
      </w:r>
    </w:p>
    <w:p w:rsidR="00CB01DD" w:rsidRDefault="00CB01DD">
      <w:pPr>
        <w:spacing w:line="360" w:lineRule="auto"/>
        <w:jc w:val="both"/>
        <w:rPr>
          <w:rFonts w:ascii="Times New Roman" w:hAnsi="Times New Roman"/>
          <w:b/>
          <w:noProof/>
          <w:sz w:val="24"/>
          <w:highlight w:val="green"/>
          <w:u w:val="single"/>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In all Member States, women are underrepresented in the </w:t>
      </w:r>
      <w:r>
        <w:rPr>
          <w:rFonts w:ascii="Times New Roman" w:hAnsi="Times New Roman" w:cs="Times New Roman"/>
          <w:b/>
          <w:noProof/>
          <w:sz w:val="24"/>
          <w:szCs w:val="24"/>
          <w:lang w:eastAsia="en-GB"/>
        </w:rPr>
        <w:t>labour market.</w:t>
      </w:r>
      <w:r>
        <w:rPr>
          <w:rFonts w:ascii="Times New Roman" w:hAnsi="Times New Roman" w:cs="Times New Roman"/>
          <w:noProof/>
          <w:sz w:val="24"/>
          <w:szCs w:val="24"/>
          <w:lang w:eastAsia="en-GB"/>
        </w:rPr>
        <w:t xml:space="preserve"> The Social Scoreboard headline indicator in the area of gender equality in the labour market is the gender employment gap, which is the difference between the employment rates for men and women. In 2016, the gender employment gap amounted to</w:t>
      </w:r>
      <w:r>
        <w:rPr>
          <w:rFonts w:ascii="Times New Roman" w:hAnsi="Times New Roman" w:cs="Times New Roman"/>
          <w:noProof/>
          <w:sz w:val="24"/>
          <w:szCs w:val="24"/>
          <w:lang w:eastAsia="en-GB"/>
        </w:rPr>
        <w:t xml:space="preserve"> 11.6 percentage points for the EU, with a 76.9% employment rate for men and 65.3% for women (</w:t>
      </w:r>
      <w:r>
        <w:rPr>
          <w:rFonts w:ascii="Times New Roman" w:hAnsi="Times New Roman"/>
          <w:noProof/>
          <w:sz w:val="24"/>
          <w:szCs w:val="24"/>
        </w:rPr>
        <w:t>Figure 22</w:t>
      </w:r>
      <w:r>
        <w:rPr>
          <w:rFonts w:ascii="Times New Roman" w:hAnsi="Times New Roman" w:cs="Times New Roman"/>
          <w:noProof/>
          <w:sz w:val="24"/>
          <w:szCs w:val="24"/>
          <w:lang w:eastAsia="en-GB"/>
        </w:rPr>
        <w:t>). The gap is particularly high for non-EU born and Roma women. Overall, it remained stable compared to 2015, as shown in Chapter 1. However, in a longer</w:t>
      </w:r>
      <w:r>
        <w:rPr>
          <w:rFonts w:ascii="Times New Roman" w:hAnsi="Times New Roman" w:cs="Times New Roman"/>
          <w:noProof/>
          <w:sz w:val="24"/>
          <w:szCs w:val="24"/>
          <w:lang w:eastAsia="en-GB"/>
        </w:rPr>
        <w:t>-term perspective, it is substantially lower than in 2008, when the gender employment gap was 15.0 percentage points. This long-term improvement was mainly driven by an increase in the female employment rate. Still, in 2016 six Member States had a female e</w:t>
      </w:r>
      <w:r>
        <w:rPr>
          <w:rFonts w:ascii="Times New Roman" w:hAnsi="Times New Roman" w:cs="Times New Roman"/>
          <w:noProof/>
          <w:sz w:val="24"/>
          <w:szCs w:val="24"/>
          <w:lang w:eastAsia="en-GB"/>
        </w:rPr>
        <w:t>mployment rate below 60%, together with a high employment gender gap (highest values recorded for Malta, Italy, Greece and Romania, flagged as "critical situations"). The gap is also increasing in a number of Member States, significantly faster than averag</w:t>
      </w:r>
      <w:r>
        <w:rPr>
          <w:rFonts w:ascii="Times New Roman" w:hAnsi="Times New Roman" w:cs="Times New Roman"/>
          <w:noProof/>
          <w:sz w:val="24"/>
          <w:szCs w:val="24"/>
          <w:lang w:eastAsia="en-GB"/>
        </w:rPr>
        <w:t>e in Finland, Belgium, Cyprus and Greece (in these countries, employment rate increased for both genders, but faster for men than for women). Lithuania, Latvia and Sweden are assessed as "best performers". The positive slope of the regression line relating</w:t>
      </w:r>
      <w:r>
        <w:rPr>
          <w:rFonts w:ascii="Times New Roman" w:hAnsi="Times New Roman" w:cs="Times New Roman"/>
          <w:noProof/>
          <w:sz w:val="24"/>
          <w:szCs w:val="24"/>
          <w:lang w:eastAsia="en-GB"/>
        </w:rPr>
        <w:t xml:space="preserve"> changes to levels of gender employment gap in </w:t>
      </w:r>
      <w:r>
        <w:rPr>
          <w:rFonts w:ascii="Times New Roman" w:hAnsi="Times New Roman"/>
          <w:noProof/>
          <w:sz w:val="24"/>
          <w:szCs w:val="24"/>
        </w:rPr>
        <w:t>Figure 22</w:t>
      </w:r>
      <w:r>
        <w:rPr>
          <w:rFonts w:ascii="Times New Roman" w:hAnsi="Times New Roman" w:cs="Times New Roman"/>
          <w:noProof/>
          <w:sz w:val="24"/>
          <w:szCs w:val="24"/>
          <w:lang w:eastAsia="en-GB"/>
        </w:rPr>
        <w:t xml:space="preserve"> suggests that, on average, Member States' performances are slightly diverging as regards this indicator.</w:t>
      </w:r>
    </w:p>
    <w:p w:rsidR="00CB01DD" w:rsidRDefault="00CB01DD">
      <w:pPr>
        <w:spacing w:line="360" w:lineRule="auto"/>
        <w:jc w:val="both"/>
        <w:rPr>
          <w:rFonts w:ascii="Times New Roman" w:hAnsi="Times New Roman" w:cs="Times New Roman"/>
          <w:noProof/>
          <w:sz w:val="24"/>
          <w:szCs w:val="24"/>
          <w:lang w:eastAsia="en-GB"/>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22</w:t>
      </w:r>
      <w:r>
        <w:rPr>
          <w:rFonts w:ascii="Times New Roman" w:hAnsi="Times New Roman"/>
          <w:noProof/>
          <w:sz w:val="24"/>
          <w:szCs w:val="24"/>
        </w:rPr>
        <w:fldChar w:fldCharType="end"/>
      </w:r>
      <w:r>
        <w:rPr>
          <w:rFonts w:ascii="Times New Roman" w:hAnsi="Times New Roman"/>
          <w:noProof/>
          <w:sz w:val="24"/>
          <w:szCs w:val="24"/>
        </w:rPr>
        <w:t>: Gender employment gap and yearly change (Social Scoreboar</w:t>
      </w:r>
      <w:r>
        <w:rPr>
          <w:rFonts w:ascii="Times New Roman" w:hAnsi="Times New Roman"/>
          <w:noProof/>
          <w:sz w:val="24"/>
          <w:szCs w:val="24"/>
        </w:rPr>
        <w:t>d headline indicator)</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t xml:space="preserve"> </w:t>
      </w:r>
      <w:r>
        <w:rPr>
          <w:rFonts w:ascii="Times New Roman" w:hAnsi="Times New Roman" w:cs="Times New Roman"/>
          <w:b/>
          <w:iCs/>
          <w:noProof/>
          <w:sz w:val="24"/>
          <w:szCs w:val="24"/>
          <w:lang w:eastAsia="en-GB"/>
        </w:rPr>
        <w:drawing>
          <wp:inline distT="0" distB="0" distL="0" distR="0" wp14:anchorId="327B3172" wp14:editId="3B24B223">
            <wp:extent cx="4376057" cy="3369793"/>
            <wp:effectExtent l="0" t="0" r="571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72404" cy="336698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LFS. Period: 2016 levels and yearly changes with respect to 2015. Note: Axes are centred on the unweighted EU average. The legend is presented in the Annex. </w:t>
      </w:r>
    </w:p>
    <w:p w:rsidR="00CB01DD" w:rsidRDefault="00CB01DD">
      <w:pPr>
        <w:spacing w:line="360" w:lineRule="auto"/>
        <w:jc w:val="both"/>
        <w:rPr>
          <w:rFonts w:ascii="Times New Roman" w:hAnsi="Times New Roman" w:cs="Times New Roman"/>
          <w:b/>
          <w:noProof/>
          <w:sz w:val="24"/>
          <w:szCs w:val="24"/>
          <w:lang w:eastAsia="en-GB"/>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Unequal participation in the labour market by gender is also reflected by the large gender gap in part-time employment, </w:t>
      </w:r>
      <w:r>
        <w:rPr>
          <w:rFonts w:ascii="Times New Roman" w:hAnsi="Times New Roman" w:cs="Times New Roman"/>
          <w:noProof/>
          <w:sz w:val="24"/>
          <w:szCs w:val="24"/>
          <w:lang w:eastAsia="en-GB"/>
        </w:rPr>
        <w:t>which</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amounted to 23.0 pps in 2016 in the EU (slightly down from 23.2 pps in 2015). There is large variation between countries. While th</w:t>
      </w:r>
      <w:r>
        <w:rPr>
          <w:rFonts w:ascii="Times New Roman" w:hAnsi="Times New Roman" w:cs="Times New Roman"/>
          <w:noProof/>
          <w:sz w:val="24"/>
          <w:szCs w:val="24"/>
          <w:lang w:eastAsia="en-GB"/>
        </w:rPr>
        <w:t>e gap is low in most Central and Eastern European Member States, it exceeds 30 percentage points in four Member States, reaching a high of 52.7 percentage points in the Netherlands (</w:t>
      </w:r>
      <w:r>
        <w:rPr>
          <w:rFonts w:ascii="Times New Roman" w:hAnsi="Times New Roman"/>
          <w:noProof/>
          <w:sz w:val="24"/>
          <w:szCs w:val="24"/>
        </w:rPr>
        <w:t>Figure 23</w:t>
      </w:r>
      <w:r>
        <w:rPr>
          <w:rFonts w:ascii="Times New Roman" w:hAnsi="Times New Roman" w:cs="Times New Roman"/>
          <w:noProof/>
          <w:sz w:val="24"/>
          <w:szCs w:val="24"/>
          <w:lang w:eastAsia="en-GB"/>
        </w:rPr>
        <w:t>). Moreover, 23.5% of female part-time employment was involuntary</w:t>
      </w:r>
      <w:r>
        <w:rPr>
          <w:rFonts w:ascii="Times New Roman" w:hAnsi="Times New Roman" w:cs="Times New Roman"/>
          <w:noProof/>
          <w:sz w:val="24"/>
          <w:szCs w:val="24"/>
          <w:lang w:eastAsia="en-GB"/>
        </w:rPr>
        <w:t xml:space="preserve"> in 2016.</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23</w:t>
      </w:r>
      <w:r>
        <w:rPr>
          <w:rFonts w:ascii="Times New Roman" w:hAnsi="Times New Roman"/>
          <w:noProof/>
          <w:sz w:val="24"/>
          <w:szCs w:val="24"/>
        </w:rPr>
        <w:fldChar w:fldCharType="end"/>
      </w:r>
      <w:r>
        <w:rPr>
          <w:rFonts w:ascii="Times New Roman" w:hAnsi="Times New Roman"/>
          <w:noProof/>
          <w:sz w:val="24"/>
          <w:szCs w:val="24"/>
        </w:rPr>
        <w:t xml:space="preserve">: Part-time rates and gender gap, 2016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09D2CCBF" wp14:editId="770581AB">
            <wp:extent cx="5336218" cy="260663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3233" cy="2605176"/>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CB01DD">
      <w:pPr>
        <w:autoSpaceDE w:val="0"/>
        <w:autoSpaceDN w:val="0"/>
        <w:adjustRightInd w:val="0"/>
        <w:spacing w:line="360" w:lineRule="auto"/>
        <w:jc w:val="both"/>
        <w:rPr>
          <w:rFonts w:ascii="Times New Roman" w:hAnsi="Times New Roman"/>
          <w:b/>
          <w:noProof/>
          <w:sz w:val="24"/>
        </w:rPr>
      </w:pPr>
    </w:p>
    <w:p w:rsidR="00CB01DD" w:rsidRDefault="00D75BDB">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 xml:space="preserve">Gender gaps in employment are particularly acute for those with caring responsibilities, </w:t>
      </w:r>
      <w:r>
        <w:rPr>
          <w:rFonts w:ascii="Times New Roman" w:hAnsi="Times New Roman"/>
          <w:b/>
          <w:noProof/>
          <w:sz w:val="24"/>
          <w:szCs w:val="24"/>
        </w:rPr>
        <w:t>with</w:t>
      </w:r>
      <w:r>
        <w:rPr>
          <w:rFonts w:ascii="Times New Roman" w:hAnsi="Times New Roman"/>
          <w:b/>
          <w:noProof/>
          <w:sz w:val="24"/>
        </w:rPr>
        <w:t xml:space="preserve"> women still more likely than men to carry these responsibilities</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On average, the employment rate of women with at least one child under the age of 6 is 9 pps less than the employment rate of women without children (with a stronger effect for low-skilled </w:t>
      </w:r>
      <w:r>
        <w:rPr>
          <w:rFonts w:ascii="Times New Roman" w:hAnsi="Times New Roman"/>
          <w:noProof/>
          <w:sz w:val="24"/>
          <w:szCs w:val="24"/>
        </w:rPr>
        <w:t xml:space="preserve">mothers </w:t>
      </w:r>
      <w:r>
        <w:rPr>
          <w:rFonts w:ascii="Times New Roman" w:hAnsi="Times New Roman"/>
          <w:noProof/>
          <w:sz w:val="24"/>
        </w:rPr>
        <w:t>as well as single parents), and in some countries this difference is over 30 pps (Slovakia, the Czech Republic, Hungary). Conversely, parenthood has the opposite effect on the employment rates of men, as fathers are more likely to be employed (</w:t>
      </w:r>
      <w:r>
        <w:rPr>
          <w:rFonts w:ascii="Times New Roman" w:hAnsi="Times New Roman"/>
          <w:noProof/>
          <w:sz w:val="24"/>
          <w:szCs w:val="24"/>
        </w:rPr>
        <w:t>Figu</w:t>
      </w:r>
      <w:r>
        <w:rPr>
          <w:rFonts w:ascii="Times New Roman" w:hAnsi="Times New Roman"/>
          <w:noProof/>
          <w:sz w:val="24"/>
          <w:szCs w:val="24"/>
        </w:rPr>
        <w:t>re 24</w:t>
      </w:r>
      <w:r>
        <w:rPr>
          <w:rFonts w:ascii="Times New Roman" w:hAnsi="Times New Roman"/>
          <w:noProof/>
          <w:sz w:val="24"/>
        </w:rPr>
        <w:t xml:space="preserve">). Women are also more likely than men to assume long-term care responsibilities. More than 19% of the EU potential female workforce in 2016 was inactive because of looking after children or incapacitated adults. This figure exceeded 28% in the Czech </w:t>
      </w:r>
      <w:r>
        <w:rPr>
          <w:rFonts w:ascii="Times New Roman" w:hAnsi="Times New Roman"/>
          <w:noProof/>
          <w:sz w:val="24"/>
        </w:rPr>
        <w:t>Republic, Estonia, Ireland, Hungary, Slovakia, and the United Kingdom. Female employment rates appear to be higher than average in countries with well-designed gender-balanced work-life balance measures (notably Sweden and Denmark).</w:t>
      </w:r>
    </w:p>
    <w:p w:rsidR="00CB01DD" w:rsidRDefault="00CB01DD">
      <w:pPr>
        <w:autoSpaceDE w:val="0"/>
        <w:autoSpaceDN w:val="0"/>
        <w:adjustRightInd w:val="0"/>
        <w:spacing w:line="360" w:lineRule="auto"/>
        <w:jc w:val="both"/>
        <w:rPr>
          <w:rFonts w:ascii="Times New Roman" w:hAnsi="Times New Roman"/>
          <w:noProof/>
          <w:sz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w:instrText>
      </w:r>
      <w:r>
        <w:rPr>
          <w:rFonts w:ascii="Times New Roman" w:hAnsi="Times New Roman"/>
          <w:noProof/>
          <w:sz w:val="24"/>
          <w:szCs w:val="24"/>
        </w:rPr>
        <w:instrText xml:space="preserve">ARABIC </w:instrText>
      </w:r>
      <w:r>
        <w:rPr>
          <w:rFonts w:ascii="Times New Roman" w:hAnsi="Times New Roman"/>
          <w:noProof/>
          <w:sz w:val="24"/>
          <w:szCs w:val="24"/>
        </w:rPr>
        <w:fldChar w:fldCharType="separate"/>
      </w:r>
      <w:r>
        <w:rPr>
          <w:rFonts w:ascii="Times New Roman" w:hAnsi="Times New Roman"/>
          <w:noProof/>
          <w:sz w:val="24"/>
          <w:szCs w:val="24"/>
        </w:rPr>
        <w:t>24</w:t>
      </w:r>
      <w:r>
        <w:rPr>
          <w:rFonts w:ascii="Times New Roman" w:hAnsi="Times New Roman"/>
          <w:noProof/>
          <w:sz w:val="24"/>
          <w:szCs w:val="24"/>
        </w:rPr>
        <w:fldChar w:fldCharType="end"/>
      </w:r>
      <w:r>
        <w:rPr>
          <w:rFonts w:ascii="Times New Roman" w:hAnsi="Times New Roman"/>
          <w:noProof/>
          <w:sz w:val="24"/>
          <w:szCs w:val="24"/>
        </w:rPr>
        <w:t>: Employment impact of parenthood for men and women (age 20-49) in 2016</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294C657F" wp14:editId="72DE9406">
            <wp:extent cx="4593600" cy="2404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3600" cy="240480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Note: the employment impact of parenthood is measured as the difference of the employment rate of women (men) with at least one child under the age of 6</w:t>
      </w:r>
      <w:r>
        <w:rPr>
          <w:rFonts w:ascii="Times New Roman" w:hAnsi="Times New Roman" w:cs="Times New Roman"/>
          <w:noProof/>
          <w:sz w:val="20"/>
          <w:szCs w:val="20"/>
          <w:lang w:eastAsia="en-GB"/>
        </w:rPr>
        <w:t xml:space="preserve"> and the employment rate of women (men) with no children. </w:t>
      </w:r>
    </w:p>
    <w:p w:rsidR="00CB01DD" w:rsidRDefault="00CB01DD">
      <w:pPr>
        <w:autoSpaceDE w:val="0"/>
        <w:autoSpaceDN w:val="0"/>
        <w:adjustRightInd w:val="0"/>
        <w:spacing w:line="360" w:lineRule="auto"/>
        <w:jc w:val="both"/>
        <w:rPr>
          <w:rFonts w:ascii="Times New Roman" w:hAnsi="Times New Roman"/>
          <w:b/>
          <w:noProof/>
          <w:sz w:val="24"/>
        </w:rPr>
      </w:pPr>
    </w:p>
    <w:p w:rsidR="00CB01DD" w:rsidRDefault="00D75BDB">
      <w:pPr>
        <w:autoSpaceDE w:val="0"/>
        <w:autoSpaceDN w:val="0"/>
        <w:adjustRightInd w:val="0"/>
        <w:spacing w:line="360" w:lineRule="auto"/>
        <w:jc w:val="both"/>
        <w:rPr>
          <w:rFonts w:ascii="Times New Roman" w:hAnsi="Times New Roman"/>
          <w:noProof/>
          <w:sz w:val="24"/>
          <w:szCs w:val="24"/>
          <w:lang w:eastAsia="en-GB"/>
        </w:rPr>
      </w:pPr>
      <w:r>
        <w:rPr>
          <w:rFonts w:ascii="Times New Roman" w:hAnsi="Times New Roman"/>
          <w:b/>
          <w:noProof/>
          <w:sz w:val="24"/>
        </w:rPr>
        <w:t>The lack of available, accessible and quality formal care services, especially for children, is one of the factors hampering women's participation in the labour market</w:t>
      </w:r>
      <w:r>
        <w:rPr>
          <w:rFonts w:ascii="Times New Roman" w:hAnsi="Times New Roman"/>
          <w:noProof/>
          <w:sz w:val="24"/>
        </w:rPr>
        <w:t xml:space="preserve">. </w:t>
      </w:r>
      <w:r>
        <w:rPr>
          <w:rFonts w:ascii="Times New Roman" w:hAnsi="Times New Roman"/>
          <w:noProof/>
          <w:sz w:val="24"/>
          <w:szCs w:val="24"/>
          <w:lang w:eastAsia="en-GB"/>
        </w:rPr>
        <w:t xml:space="preserve">As shown by the Social </w:t>
      </w:r>
      <w:r>
        <w:rPr>
          <w:rFonts w:ascii="Times New Roman" w:hAnsi="Times New Roman"/>
          <w:noProof/>
          <w:sz w:val="24"/>
          <w:szCs w:val="24"/>
          <w:lang w:eastAsia="en-GB"/>
        </w:rPr>
        <w:t>Scoreboard headline indicator on participation in early childhood education and care, in 2015 only 30.5% of children aged 0-3 years old were cared for in formal education and care services, up from 28.5% in 2014 and 28.0% in 2008. There is a large variatio</w:t>
      </w:r>
      <w:r>
        <w:rPr>
          <w:rFonts w:ascii="Times New Roman" w:hAnsi="Times New Roman"/>
          <w:noProof/>
          <w:sz w:val="24"/>
          <w:szCs w:val="24"/>
          <w:lang w:eastAsia="en-GB"/>
        </w:rPr>
        <w:t>n across Member States: while in Denmark and Sweden more than 60% of the children were in formal childcare, this share was below 10% in Slovakia, the Czech Republic and Poland ("critical situations"), as well as in Bulgaria, Romania and Lithuania. Along wi</w:t>
      </w:r>
      <w:r>
        <w:rPr>
          <w:rFonts w:ascii="Times New Roman" w:hAnsi="Times New Roman"/>
          <w:noProof/>
          <w:sz w:val="24"/>
          <w:szCs w:val="24"/>
          <w:lang w:eastAsia="en-GB"/>
        </w:rPr>
        <w:t>th Denmark and Sweden, Luxembourg, Belgium and Portugal are assessed as "best performers". This variation is to some extent related to differences in family leave arrangements across countries. Member States' performances on this indicator are actually div</w:t>
      </w:r>
      <w:r>
        <w:rPr>
          <w:rFonts w:ascii="Times New Roman" w:hAnsi="Times New Roman"/>
          <w:noProof/>
          <w:sz w:val="24"/>
          <w:szCs w:val="24"/>
          <w:lang w:eastAsia="en-GB"/>
        </w:rPr>
        <w:t>erging, as shown by the positive slope of the regression line relating yearly changes to levels – best performing countries are improving faster.</w:t>
      </w:r>
    </w:p>
    <w:p w:rsidR="00CB01DD" w:rsidRDefault="00CB01DD">
      <w:pPr>
        <w:autoSpaceDE w:val="0"/>
        <w:autoSpaceDN w:val="0"/>
        <w:adjustRightInd w:val="0"/>
        <w:spacing w:line="360" w:lineRule="auto"/>
        <w:jc w:val="both"/>
        <w:rPr>
          <w:rFonts w:ascii="Times New Roman" w:hAnsi="Times New Roman"/>
          <w:noProof/>
          <w:sz w:val="24"/>
          <w:szCs w:val="24"/>
          <w:lang w:eastAsia="en-GB"/>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25</w:t>
      </w:r>
      <w:r>
        <w:rPr>
          <w:rFonts w:ascii="Times New Roman" w:hAnsi="Times New Roman"/>
          <w:noProof/>
          <w:sz w:val="24"/>
          <w:szCs w:val="24"/>
        </w:rPr>
        <w:fldChar w:fldCharType="end"/>
      </w:r>
      <w:r>
        <w:rPr>
          <w:rFonts w:ascii="Times New Roman" w:hAnsi="Times New Roman"/>
          <w:noProof/>
          <w:sz w:val="24"/>
          <w:szCs w:val="24"/>
        </w:rPr>
        <w:t>: Children in formal childcare 0-3 and yearly change (Social Scoreboard hea</w:t>
      </w:r>
      <w:r>
        <w:rPr>
          <w:rFonts w:ascii="Times New Roman" w:hAnsi="Times New Roman"/>
          <w:noProof/>
          <w:sz w:val="24"/>
          <w:szCs w:val="24"/>
        </w:rPr>
        <w:t xml:space="preserve">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5FE190AE" wp14:editId="6B784FA1">
            <wp:extent cx="4251366" cy="34373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53880" cy="343943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LFS. Period: 2015 levels and yearly changes with respect to 2014. Note: Axes are centred on the unweighted EU average. The legend is presented in the Annex. </w:t>
      </w:r>
    </w:p>
    <w:p w:rsidR="00CB01DD" w:rsidRDefault="00CB01DD">
      <w:pPr>
        <w:spacing w:after="240" w:line="360" w:lineRule="auto"/>
        <w:jc w:val="both"/>
        <w:rPr>
          <w:rFonts w:ascii="Times New Roman" w:hAnsi="Times New Roman" w:cs="Times New Roman"/>
          <w:b/>
          <w:noProof/>
          <w:sz w:val="24"/>
          <w:szCs w:val="24"/>
        </w:rPr>
      </w:pPr>
    </w:p>
    <w:p w:rsidR="00CB01DD" w:rsidRDefault="00D75BDB">
      <w:pPr>
        <w:spacing w:after="24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Moreover, the sufficient provision of formal accessible, </w:t>
      </w:r>
      <w:r>
        <w:rPr>
          <w:rFonts w:ascii="Times New Roman" w:hAnsi="Times New Roman" w:cs="Times New Roman"/>
          <w:b/>
          <w:noProof/>
          <w:sz w:val="24"/>
          <w:szCs w:val="24"/>
        </w:rPr>
        <w:t>high-quality and sustainable long-term care services remains a challenge in several Member States.</w:t>
      </w:r>
      <w:r>
        <w:rPr>
          <w:rFonts w:ascii="Times New Roman" w:hAnsi="Times New Roman" w:cs="Times New Roman"/>
          <w:noProof/>
          <w:sz w:val="24"/>
          <w:szCs w:val="24"/>
        </w:rPr>
        <w:t xml:space="preserve"> </w:t>
      </w:r>
      <w:r>
        <w:rPr>
          <w:rFonts w:ascii="Times New Roman" w:hAnsi="Times New Roman"/>
          <w:noProof/>
          <w:sz w:val="24"/>
          <w:szCs w:val="24"/>
          <w:lang w:eastAsia="en-GB"/>
        </w:rPr>
        <w:t xml:space="preserve">Their underdevelopment can be a major impediment for women to stay in employment, as informal care is often the only option for many families. </w:t>
      </w:r>
      <w:r>
        <w:rPr>
          <w:rFonts w:ascii="Times New Roman" w:hAnsi="Times New Roman" w:cs="Times New Roman"/>
          <w:noProof/>
          <w:sz w:val="24"/>
          <w:szCs w:val="24"/>
        </w:rPr>
        <w:t>It is estimate</w:t>
      </w:r>
      <w:r>
        <w:rPr>
          <w:rFonts w:ascii="Times New Roman" w:hAnsi="Times New Roman" w:cs="Times New Roman"/>
          <w:noProof/>
          <w:sz w:val="24"/>
          <w:szCs w:val="24"/>
        </w:rPr>
        <w:t>d that the number of dependent elderly will rise by 12 million (from 40 to 52 between 2013-2060)</w:t>
      </w:r>
      <w:r>
        <w:rPr>
          <w:rFonts w:ascii="Times New Roman" w:hAnsi="Times New Roman" w:cs="Times New Roman"/>
          <w:noProof/>
          <w:sz w:val="24"/>
          <w:szCs w:val="24"/>
          <w:vertAlign w:val="superscript"/>
        </w:rPr>
        <w:footnoteReference w:id="50"/>
      </w:r>
      <w:r>
        <w:rPr>
          <w:rFonts w:ascii="Times New Roman" w:hAnsi="Times New Roman" w:cs="Times New Roman"/>
          <w:noProof/>
          <w:sz w:val="24"/>
          <w:szCs w:val="24"/>
        </w:rPr>
        <w:t xml:space="preserve">. </w:t>
      </w:r>
    </w:p>
    <w:p w:rsidR="00CB01DD" w:rsidRDefault="00D75BDB">
      <w:pPr>
        <w:spacing w:after="24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In addition to lower full-time equivalent employment rates, women also tend to suffer from a significant pay gap. </w:t>
      </w:r>
      <w:r>
        <w:rPr>
          <w:rFonts w:ascii="Times New Roman" w:hAnsi="Times New Roman" w:cs="Times New Roman"/>
          <w:noProof/>
          <w:sz w:val="24"/>
          <w:szCs w:val="24"/>
        </w:rPr>
        <w:t>This gap stood at 16.3% in 2015 in the EU,</w:t>
      </w:r>
      <w:r>
        <w:rPr>
          <w:rFonts w:ascii="Times New Roman" w:hAnsi="Times New Roman" w:cs="Times New Roman"/>
          <w:noProof/>
          <w:sz w:val="24"/>
          <w:szCs w:val="24"/>
        </w:rPr>
        <w:t xml:space="preserve"> slowly declining compared to 2014 (16.7%)</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There are, however, large variations across Member States, with pay gaps ranging from 26.9% in Estonia to 5.5% in Italy and Luxemburg. Over the last two years with available data, the highest increase was regist</w:t>
      </w:r>
      <w:r>
        <w:rPr>
          <w:rFonts w:ascii="Times New Roman" w:hAnsi="Times New Roman" w:cs="Times New Roman"/>
          <w:noProof/>
          <w:sz w:val="24"/>
          <w:szCs w:val="24"/>
        </w:rPr>
        <w:t>ered in Portugal (+4.5 pps), while fast reductions were recorded in Hungary (-4.4 pps) and Estonia (-2.9 pps) and Spain (-2.9 pps). Potential reasons behind the gender pay gap include differences in work experience, working time, type of job or sector of e</w:t>
      </w:r>
      <w:r>
        <w:rPr>
          <w:rFonts w:ascii="Times New Roman" w:hAnsi="Times New Roman" w:cs="Times New Roman"/>
          <w:noProof/>
          <w:sz w:val="24"/>
          <w:szCs w:val="24"/>
        </w:rPr>
        <w:t>mployment, due to some extent to discrimination in the labour market. This also risks to translate into a gender gap in pensions, which stood at 38.3% in 2015</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w:t>
      </w:r>
    </w:p>
    <w:p w:rsidR="00CB01DD" w:rsidRDefault="00CB01DD">
      <w:pPr>
        <w:spacing w:after="240" w:line="360" w:lineRule="auto"/>
        <w:jc w:val="both"/>
        <w:rPr>
          <w:rFonts w:ascii="Times New Roman" w:hAnsi="Times New Roman" w:cs="Times New Roman"/>
          <w:b/>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26</w:t>
      </w:r>
      <w:r>
        <w:rPr>
          <w:rFonts w:ascii="Times New Roman" w:hAnsi="Times New Roman"/>
          <w:noProof/>
          <w:sz w:val="24"/>
          <w:szCs w:val="24"/>
        </w:rPr>
        <w:fldChar w:fldCharType="end"/>
      </w:r>
      <w:r>
        <w:rPr>
          <w:rFonts w:ascii="Times New Roman" w:hAnsi="Times New Roman"/>
          <w:noProof/>
          <w:sz w:val="24"/>
          <w:szCs w:val="24"/>
        </w:rPr>
        <w:t xml:space="preserve">: Unadjusted gender pay gap in 2013 and 2015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0193CD53" wp14:editId="1E38A9F8">
            <wp:extent cx="4669200" cy="2620800"/>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9200" cy="2620800"/>
                    </a:xfrm>
                    <a:prstGeom prst="rect">
                      <a:avLst/>
                    </a:prstGeom>
                    <a:noFill/>
                    <a:ln>
                      <a:noFill/>
                    </a:ln>
                  </pic:spPr>
                </pic:pic>
              </a:graphicData>
            </a:graphic>
          </wp:inline>
        </w:drawing>
      </w:r>
    </w:p>
    <w:p w:rsidR="00CB01DD" w:rsidRDefault="00D75BDB">
      <w:pPr>
        <w:spacing w:after="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w:t>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Note: the unadjusted Gender Pay Gap (GPG) is measured as the difference between average gross hourly earnings of male paid employees and of female paid employees as a percentage of average gross hourly earnings of male paid employees. No</w:t>
      </w:r>
      <w:r>
        <w:rPr>
          <w:rFonts w:ascii="Times New Roman" w:hAnsi="Times New Roman" w:cs="Times New Roman"/>
          <w:noProof/>
          <w:sz w:val="20"/>
          <w:szCs w:val="20"/>
          <w:lang w:eastAsia="en-GB"/>
        </w:rPr>
        <w:t xml:space="preserve"> data available for Greece. For Croatia, Malta and Ireland, 2014 figures instead of 2015.</w:t>
      </w:r>
    </w:p>
    <w:p w:rsidR="00CB01DD" w:rsidRDefault="00CB01DD">
      <w:pPr>
        <w:spacing w:line="360" w:lineRule="auto"/>
        <w:jc w:val="both"/>
        <w:rPr>
          <w:rFonts w:ascii="Times New Roman" w:hAnsi="Times New Roman"/>
          <w:b/>
          <w:noProof/>
          <w:sz w:val="24"/>
          <w:highlight w:val="green"/>
          <w:u w:val="single"/>
        </w:rPr>
      </w:pPr>
    </w:p>
    <w:p w:rsidR="00CB01DD" w:rsidRDefault="00D75BDB">
      <w:pPr>
        <w:spacing w:line="360" w:lineRule="auto"/>
        <w:jc w:val="both"/>
        <w:rPr>
          <w:rFonts w:ascii="Times New Roman" w:hAnsi="Times New Roman"/>
          <w:noProof/>
          <w:sz w:val="24"/>
        </w:rPr>
      </w:pPr>
      <w:r>
        <w:rPr>
          <w:rFonts w:ascii="Times New Roman" w:hAnsi="Times New Roman"/>
          <w:b/>
          <w:noProof/>
          <w:sz w:val="24"/>
        </w:rPr>
        <w:t>The labour market potential of migrants is strongly underutilised</w:t>
      </w:r>
      <w:r>
        <w:rPr>
          <w:rFonts w:ascii="Times New Roman" w:hAnsi="Times New Roman"/>
          <w:noProof/>
          <w:sz w:val="24"/>
        </w:rPr>
        <w:t>. Whereas non-EU born people make up an increasing share of population in the EU (6.6% in 2014, 6.9%</w:t>
      </w:r>
      <w:r>
        <w:rPr>
          <w:rFonts w:ascii="Times New Roman" w:hAnsi="Times New Roman"/>
          <w:noProof/>
          <w:sz w:val="24"/>
        </w:rPr>
        <w:t xml:space="preserve"> in 2016), they are less likely to participate in the labour market than native born. The integration challenge has increased with the impact of the economic crisis and with the recent increased inflows of refugees, whose labour market integration is more </w:t>
      </w:r>
      <w:r>
        <w:rPr>
          <w:rFonts w:ascii="Times New Roman" w:hAnsi="Times New Roman"/>
          <w:noProof/>
          <w:sz w:val="24"/>
        </w:rPr>
        <w:t>difficult than other groups</w:t>
      </w:r>
      <w:r>
        <w:rPr>
          <w:rStyle w:val="FootnoteReference"/>
          <w:rFonts w:ascii="Times New Roman" w:hAnsi="Times New Roman"/>
          <w:noProof/>
          <w:sz w:val="24"/>
        </w:rPr>
        <w:footnoteReference w:id="53"/>
      </w:r>
      <w:r>
        <w:rPr>
          <w:rFonts w:ascii="Times New Roman" w:hAnsi="Times New Roman"/>
          <w:noProof/>
          <w:sz w:val="24"/>
        </w:rPr>
        <w:t>. While in 2008 non-EU born people experienced activity rates and employment rates respectively 1.0 pps and 4.6 pps lower than native born, by 2016 these gaps had widened to 4.8 pps and 10.6 pps (age class 20-64). In seven EU co</w:t>
      </w:r>
      <w:r>
        <w:rPr>
          <w:rFonts w:ascii="Times New Roman" w:hAnsi="Times New Roman"/>
          <w:noProof/>
          <w:sz w:val="24"/>
        </w:rPr>
        <w:t xml:space="preserve">untries (Belgium, Finland, the Netherlands, Sweden, France, Austria and Denmark) the employment gaps exceeds 15 pps. Inactivity of non-EU born women is particularly high, 9.1 pps below that of native born women. </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27</w:t>
      </w:r>
      <w:r>
        <w:rPr>
          <w:rFonts w:ascii="Times New Roman" w:hAnsi="Times New Roman"/>
          <w:noProof/>
          <w:sz w:val="24"/>
          <w:szCs w:val="24"/>
        </w:rPr>
        <w:fldChar w:fldCharType="end"/>
      </w:r>
      <w:r>
        <w:rPr>
          <w:rFonts w:ascii="Times New Roman" w:hAnsi="Times New Roman"/>
          <w:noProof/>
          <w:sz w:val="24"/>
          <w:szCs w:val="24"/>
        </w:rPr>
        <w:t>: Employm</w:t>
      </w:r>
      <w:r>
        <w:rPr>
          <w:rFonts w:ascii="Times New Roman" w:hAnsi="Times New Roman"/>
          <w:noProof/>
          <w:sz w:val="24"/>
          <w:szCs w:val="24"/>
        </w:rPr>
        <w:t>ent rate by country of birth, age 20-64, 2016</w:t>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b/>
          <w:iCs/>
          <w:noProof/>
          <w:sz w:val="24"/>
          <w:szCs w:val="24"/>
          <w:lang w:eastAsia="en-GB"/>
        </w:rPr>
        <w:drawing>
          <wp:inline distT="0" distB="0" distL="0" distR="0" wp14:anchorId="7EDD4723" wp14:editId="09FF1054">
            <wp:extent cx="5708308" cy="2587925"/>
            <wp:effectExtent l="0" t="0" r="698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709285" cy="25883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i/>
          <w:noProof/>
          <w:sz w:val="24"/>
          <w:u w:val="single"/>
        </w:rPr>
        <w:t xml:space="preserve"> </w:t>
      </w:r>
      <w:r>
        <w:rPr>
          <w:rFonts w:ascii="Times New Roman" w:hAnsi="Times New Roman" w:cs="Times New Roman"/>
          <w:noProof/>
          <w:sz w:val="20"/>
          <w:szCs w:val="20"/>
          <w:lang w:eastAsia="en-GB"/>
        </w:rPr>
        <w:t xml:space="preserve">Source: Eurostat [lfsa_ergacob]. Note: For DE there is no breakdown available for non-EU born (the gap between host country nationals and third country nationals is 26.5 pps, the sixth highest in the EU). </w:t>
      </w:r>
    </w:p>
    <w:p w:rsidR="00CB01DD" w:rsidRDefault="00CB01DD">
      <w:pPr>
        <w:spacing w:line="360" w:lineRule="auto"/>
        <w:jc w:val="both"/>
        <w:rPr>
          <w:rFonts w:ascii="Times New Roman" w:hAnsi="Times New Roman"/>
          <w:noProof/>
          <w:sz w:val="24"/>
        </w:rPr>
      </w:pPr>
    </w:p>
    <w:p w:rsidR="00CB01DD" w:rsidRDefault="00D75BDB">
      <w:pPr>
        <w:spacing w:line="360" w:lineRule="auto"/>
        <w:jc w:val="both"/>
        <w:rPr>
          <w:rFonts w:ascii="Times New Roman" w:hAnsi="Times New Roman"/>
          <w:noProof/>
          <w:sz w:val="24"/>
        </w:rPr>
      </w:pPr>
      <w:r>
        <w:rPr>
          <w:rFonts w:ascii="Times New Roman" w:hAnsi="Times New Roman"/>
          <w:b/>
          <w:noProof/>
          <w:sz w:val="24"/>
        </w:rPr>
        <w:t>L</w:t>
      </w:r>
      <w:r>
        <w:rPr>
          <w:rFonts w:ascii="Times New Roman" w:hAnsi="Times New Roman"/>
          <w:b/>
          <w:noProof/>
          <w:sz w:val="24"/>
        </w:rPr>
        <w:t>abour market outcomes differ markedly by reason of migration.</w:t>
      </w:r>
      <w:r>
        <w:rPr>
          <w:rFonts w:ascii="Times New Roman" w:hAnsi="Times New Roman"/>
          <w:noProof/>
          <w:sz w:val="24"/>
        </w:rPr>
        <w:t xml:space="preserve"> The employment rate of non-EU born people is higher for those arrived for study or employment reasons (71% in 2014, even higher than for natives) and lower for those arrived for family reasons a</w:t>
      </w:r>
      <w:r>
        <w:rPr>
          <w:rFonts w:ascii="Times New Roman" w:hAnsi="Times New Roman"/>
          <w:noProof/>
          <w:sz w:val="24"/>
        </w:rPr>
        <w:t>nd for refugees</w:t>
      </w:r>
      <w:r>
        <w:rPr>
          <w:rStyle w:val="FootnoteReference"/>
          <w:rFonts w:ascii="Times New Roman" w:hAnsi="Times New Roman"/>
          <w:noProof/>
          <w:sz w:val="24"/>
        </w:rPr>
        <w:footnoteReference w:id="54"/>
      </w:r>
      <w:r>
        <w:rPr>
          <w:rFonts w:ascii="Times New Roman" w:hAnsi="Times New Roman"/>
          <w:noProof/>
          <w:sz w:val="24"/>
        </w:rPr>
        <w:t>. While the lower employment rates of migrants are partly driven by a higher share of persons with low level of education, a rising level of education</w:t>
      </w:r>
      <w:r>
        <w:rPr>
          <w:rStyle w:val="FootnoteReference"/>
          <w:rFonts w:ascii="Times New Roman" w:hAnsi="Times New Roman"/>
          <w:noProof/>
          <w:sz w:val="24"/>
        </w:rPr>
        <w:footnoteReference w:id="55"/>
      </w:r>
      <w:r>
        <w:rPr>
          <w:rFonts w:ascii="Times New Roman" w:hAnsi="Times New Roman"/>
          <w:noProof/>
          <w:sz w:val="24"/>
        </w:rPr>
        <w:t xml:space="preserve"> does not translate into better employment outcomes and there is a significant under-use </w:t>
      </w:r>
      <w:r>
        <w:rPr>
          <w:rFonts w:ascii="Times New Roman" w:hAnsi="Times New Roman"/>
          <w:noProof/>
          <w:sz w:val="24"/>
        </w:rPr>
        <w:t>of migrants' skills and qualifications</w:t>
      </w:r>
      <w:r>
        <w:rPr>
          <w:rStyle w:val="FootnoteReference"/>
          <w:rFonts w:ascii="Times New Roman" w:hAnsi="Times New Roman"/>
          <w:noProof/>
          <w:sz w:val="24"/>
        </w:rPr>
        <w:footnoteReference w:id="56"/>
      </w:r>
      <w:r>
        <w:rPr>
          <w:rFonts w:ascii="Times New Roman" w:hAnsi="Times New Roman"/>
          <w:noProof/>
          <w:sz w:val="24"/>
        </w:rPr>
        <w:t>. Social challenges have a tendency of being passed over generations. This risk is particularly relevant in view of the high and increasing share of people with a migrant background among young people</w:t>
      </w:r>
      <w:r>
        <w:rPr>
          <w:rFonts w:ascii="Times New Roman" w:hAnsi="Times New Roman"/>
          <w:noProof/>
          <w:sz w:val="24"/>
          <w:vertAlign w:val="superscript"/>
        </w:rPr>
        <w:footnoteReference w:id="57"/>
      </w:r>
      <w:r>
        <w:rPr>
          <w:rFonts w:ascii="Times New Roman" w:hAnsi="Times New Roman"/>
          <w:noProof/>
          <w:sz w:val="24"/>
        </w:rPr>
        <w:t xml:space="preserve"> in some Member States. </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As labour markets recover, persons with disabilities risk being left behind.</w:t>
      </w:r>
      <w:r>
        <w:rPr>
          <w:rFonts w:ascii="Times New Roman" w:hAnsi="Times New Roman" w:cs="Times New Roman"/>
          <w:noProof/>
          <w:sz w:val="24"/>
          <w:szCs w:val="24"/>
          <w:lang w:eastAsia="en-GB"/>
        </w:rPr>
        <w:t xml:space="preserve"> A high gap persists in the employment (and activity)</w:t>
      </w:r>
      <w:r>
        <w:rPr>
          <w:rStyle w:val="FootnoteReference"/>
          <w:rFonts w:ascii="Times New Roman" w:hAnsi="Times New Roman"/>
          <w:noProof/>
          <w:sz w:val="24"/>
          <w:szCs w:val="24"/>
          <w:lang w:eastAsia="en-GB"/>
        </w:rPr>
        <w:footnoteReference w:id="58"/>
      </w:r>
      <w:r>
        <w:rPr>
          <w:rFonts w:ascii="Times New Roman" w:hAnsi="Times New Roman" w:cs="Times New Roman"/>
          <w:noProof/>
          <w:sz w:val="24"/>
          <w:szCs w:val="24"/>
          <w:lang w:eastAsia="en-GB"/>
        </w:rPr>
        <w:t xml:space="preserve"> rates between people with and without disabilities, amounting to 25.7 percentage points (47.4% versu</w:t>
      </w:r>
      <w:r>
        <w:rPr>
          <w:rFonts w:ascii="Times New Roman" w:hAnsi="Times New Roman" w:cs="Times New Roman"/>
          <w:noProof/>
          <w:sz w:val="24"/>
          <w:szCs w:val="24"/>
          <w:lang w:eastAsia="en-GB"/>
        </w:rPr>
        <w:t>s 73.1%) in 2015. This gap is increasing (it was 22.9 pps in 2012), as those without disabilities have higher chances to return to work. In particular, in Ireland and Malta it was more than 40 pps and in 7 countries it was higher than 30 pps. The lowest ga</w:t>
      </w:r>
      <w:r>
        <w:rPr>
          <w:rFonts w:ascii="Times New Roman" w:hAnsi="Times New Roman" w:cs="Times New Roman"/>
          <w:noProof/>
          <w:sz w:val="24"/>
          <w:szCs w:val="24"/>
          <w:lang w:eastAsia="en-GB"/>
        </w:rPr>
        <w:t xml:space="preserve">ps were observed in Italy (13.8 pps) and Slovenia (16 pps). </w:t>
      </w:r>
    </w:p>
    <w:p w:rsidR="00CB01DD" w:rsidRDefault="00CB01DD">
      <w:pPr>
        <w:spacing w:line="360" w:lineRule="auto"/>
        <w:rPr>
          <w:rFonts w:ascii="Times New Roman" w:hAnsi="Times New Roman" w:cs="Times New Roman"/>
          <w:b/>
          <w:noProof/>
          <w:sz w:val="24"/>
          <w:szCs w:val="24"/>
        </w:rPr>
      </w:pPr>
    </w:p>
    <w:p w:rsidR="00CB01DD" w:rsidRDefault="00D75BDB">
      <w:pPr>
        <w:pStyle w:val="Heading3"/>
        <w:rPr>
          <w:noProof/>
        </w:rPr>
      </w:pPr>
      <w:bookmarkStart w:id="18" w:name="_Toc498075892"/>
      <w:r>
        <w:rPr>
          <w:noProof/>
        </w:rPr>
        <w:t>3.2.2</w:t>
      </w:r>
      <w:r>
        <w:rPr>
          <w:noProof/>
        </w:rPr>
        <w:tab/>
        <w:t>Policy response</w:t>
      </w:r>
      <w:bookmarkEnd w:id="18"/>
    </w:p>
    <w:p w:rsidR="00CB01DD" w:rsidRDefault="00D75BDB">
      <w:pPr>
        <w:spacing w:before="24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Policy work has led to the identification of key aspects to improve the inclusiveness, relevance and quality of education, notably to tackle early school leaving.</w:t>
      </w:r>
      <w:r>
        <w:rPr>
          <w:rFonts w:ascii="Times New Roman" w:eastAsia="Calibri" w:hAnsi="Times New Roman" w:cs="Times New Roman"/>
          <w:noProof/>
          <w:sz w:val="24"/>
          <w:szCs w:val="24"/>
        </w:rPr>
        <w:t xml:space="preserve"> In May 20</w:t>
      </w:r>
      <w:r>
        <w:rPr>
          <w:rFonts w:ascii="Times New Roman" w:eastAsia="Calibri" w:hAnsi="Times New Roman" w:cs="Times New Roman"/>
          <w:noProof/>
          <w:sz w:val="24"/>
          <w:szCs w:val="24"/>
        </w:rPr>
        <w:t>17, two Commission Communications</w:t>
      </w:r>
      <w:r>
        <w:rPr>
          <w:rStyle w:val="FootnoteReference"/>
          <w:rFonts w:ascii="Times New Roman" w:eastAsia="Calibri" w:hAnsi="Times New Roman" w:cs="Times New Roman"/>
          <w:noProof/>
          <w:sz w:val="24"/>
          <w:szCs w:val="24"/>
        </w:rPr>
        <w:footnoteReference w:id="59"/>
      </w:r>
      <w:r>
        <w:rPr>
          <w:rFonts w:ascii="Times New Roman" w:eastAsia="Calibri" w:hAnsi="Times New Roman" w:cs="Times New Roman"/>
          <w:noProof/>
          <w:sz w:val="24"/>
          <w:szCs w:val="24"/>
        </w:rPr>
        <w:t xml:space="preserve"> outlined how EU action can support Member States and education providers in meeting these objectives. In addition, the 2015 Council Conclusions on reducing early school leaving and promoting success in school</w:t>
      </w:r>
      <w:r>
        <w:rPr>
          <w:rStyle w:val="FootnoteReference"/>
          <w:rFonts w:ascii="Times New Roman" w:eastAsia="Calibri" w:hAnsi="Times New Roman"/>
          <w:noProof/>
          <w:sz w:val="24"/>
          <w:szCs w:val="24"/>
        </w:rPr>
        <w:footnoteReference w:id="60"/>
      </w:r>
      <w:r>
        <w:rPr>
          <w:rFonts w:ascii="Times New Roman" w:eastAsia="Calibri" w:hAnsi="Times New Roman" w:cs="Times New Roman"/>
          <w:noProof/>
          <w:sz w:val="24"/>
          <w:szCs w:val="24"/>
        </w:rPr>
        <w:t xml:space="preserve"> invited Mem</w:t>
      </w:r>
      <w:r>
        <w:rPr>
          <w:rFonts w:ascii="Times New Roman" w:eastAsia="Calibri" w:hAnsi="Times New Roman" w:cs="Times New Roman"/>
          <w:noProof/>
          <w:sz w:val="24"/>
          <w:szCs w:val="24"/>
        </w:rPr>
        <w:t xml:space="preserve">ber States to develop and implement comprehensive strategies against early school leaving </w:t>
      </w:r>
      <w:r>
        <w:rPr>
          <w:rFonts w:ascii="Times New Roman" w:eastAsia="SimSun" w:hAnsi="Times New Roman" w:cs="Times New Roman"/>
          <w:noProof/>
          <w:sz w:val="24"/>
          <w:szCs w:val="24"/>
        </w:rPr>
        <w:t>(ESL)</w:t>
      </w:r>
      <w:r>
        <w:rPr>
          <w:rFonts w:ascii="Times New Roman" w:eastAsia="Calibri" w:hAnsi="Times New Roman" w:cs="Times New Roman"/>
          <w:noProof/>
          <w:sz w:val="24"/>
          <w:szCs w:val="24"/>
        </w:rPr>
        <w:t xml:space="preserve">, along with a number of specific measures. Several Member States are taking action in this area. </w:t>
      </w:r>
      <w:r>
        <w:rPr>
          <w:rFonts w:ascii="Times New Roman" w:eastAsia="SimSun" w:hAnsi="Times New Roman" w:cs="Times New Roman"/>
          <w:noProof/>
          <w:sz w:val="24"/>
          <w:szCs w:val="24"/>
        </w:rPr>
        <w:t>In 2016, the Flemish community in Belgium approved a discussion</w:t>
      </w:r>
      <w:r>
        <w:rPr>
          <w:rFonts w:ascii="Times New Roman" w:eastAsia="SimSun" w:hAnsi="Times New Roman" w:cs="Times New Roman"/>
          <w:noProof/>
          <w:sz w:val="24"/>
          <w:szCs w:val="24"/>
        </w:rPr>
        <w:t xml:space="preserve"> paper on a policy related to study entitlement, truancy and school drop-out that will replace the current action plans. In the</w:t>
      </w:r>
      <w:r>
        <w:rPr>
          <w:rFonts w:ascii="Times New Roman" w:hAnsi="Times New Roman" w:cs="Times New Roman"/>
          <w:noProof/>
          <w:sz w:val="24"/>
          <w:szCs w:val="24"/>
        </w:rPr>
        <w:t xml:space="preserve"> French-speaking</w:t>
      </w:r>
      <w:r>
        <w:rPr>
          <w:rFonts w:ascii="Times New Roman" w:eastAsia="SimSun" w:hAnsi="Times New Roman" w:cs="Times New Roman"/>
          <w:noProof/>
          <w:sz w:val="24"/>
          <w:szCs w:val="24"/>
        </w:rPr>
        <w:t xml:space="preserve"> community in Belgium, reducing ESL is a major element of the ongoing school reform which focuses on improving eq</w:t>
      </w:r>
      <w:r>
        <w:rPr>
          <w:rFonts w:ascii="Times New Roman" w:eastAsia="SimSun" w:hAnsi="Times New Roman" w:cs="Times New Roman"/>
          <w:noProof/>
          <w:sz w:val="24"/>
          <w:szCs w:val="24"/>
        </w:rPr>
        <w:t xml:space="preserve">uity, effectiveness and efficiency. </w:t>
      </w:r>
      <w:r>
        <w:rPr>
          <w:rFonts w:ascii="Times New Roman" w:hAnsi="Times New Roman" w:cs="Times New Roman"/>
          <w:noProof/>
          <w:sz w:val="24"/>
          <w:szCs w:val="24"/>
        </w:rPr>
        <w:t xml:space="preserve">Bulgaria is implementing an inter-institutional cooperation mechanism to improve school enrolment and retention, with local teams deployed on the ground to identify out-of-school children or students at risk of dropout, </w:t>
      </w:r>
      <w:r>
        <w:rPr>
          <w:rFonts w:ascii="Times New Roman" w:hAnsi="Times New Roman" w:cs="Times New Roman"/>
          <w:noProof/>
          <w:sz w:val="24"/>
          <w:szCs w:val="24"/>
        </w:rPr>
        <w:t>improve the information exchange between relevant institutions, and improve data collection.  In Estonia, career counselling and increasing the attractiveness of VET to tackle drop-out is being pursued. France has taken steps to ensure that young adults ag</w:t>
      </w:r>
      <w:r>
        <w:rPr>
          <w:rFonts w:ascii="Times New Roman" w:hAnsi="Times New Roman" w:cs="Times New Roman"/>
          <w:noProof/>
          <w:sz w:val="24"/>
          <w:szCs w:val="24"/>
        </w:rPr>
        <w:t>ed 16-25 who left school without a certificate or a qualification have the right to return to education or training. In November 2016, Hungary adopted an action plan to reduce ESL and introduced mandatory data collection on pupils’ school progress. Romania</w:t>
      </w:r>
      <w:r>
        <w:rPr>
          <w:rFonts w:ascii="Times New Roman" w:hAnsi="Times New Roman" w:cs="Times New Roman"/>
          <w:noProof/>
          <w:sz w:val="24"/>
          <w:szCs w:val="24"/>
        </w:rPr>
        <w:t xml:space="preserve"> is developing an early warning mechanism and is planning ESF-funded second chance programmes and after-school activities. </w:t>
      </w:r>
    </w:p>
    <w:p w:rsidR="00CB01DD" w:rsidRDefault="00D75BDB">
      <w:pPr>
        <w:spacing w:before="240" w:after="120" w:line="36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Across the EU, policies to effectively tackle low proficiency in basic skills are increasingly combined with efforts to promote incl</w:t>
      </w:r>
      <w:r>
        <w:rPr>
          <w:rFonts w:ascii="Times New Roman" w:eastAsia="Calibri" w:hAnsi="Times New Roman" w:cs="Times New Roman"/>
          <w:b/>
          <w:noProof/>
          <w:sz w:val="24"/>
          <w:szCs w:val="24"/>
        </w:rPr>
        <w:t xml:space="preserve">usive education. </w:t>
      </w:r>
      <w:r>
        <w:rPr>
          <w:rFonts w:ascii="Times New Roman" w:eastAsia="Calibri" w:hAnsi="Times New Roman" w:cs="Times New Roman"/>
          <w:noProof/>
          <w:sz w:val="24"/>
          <w:szCs w:val="24"/>
        </w:rPr>
        <w:t xml:space="preserve">The aim is </w:t>
      </w:r>
      <w:r>
        <w:rPr>
          <w:rFonts w:ascii="Times New Roman" w:hAnsi="Times New Roman" w:cs="Times New Roman"/>
          <w:noProof/>
          <w:sz w:val="24"/>
          <w:szCs w:val="24"/>
        </w:rPr>
        <w:t xml:space="preserve">reducing the impact of socio-economic status on students' performance, </w:t>
      </w:r>
      <w:r>
        <w:rPr>
          <w:rFonts w:ascii="Times New Roman" w:eastAsia="Calibri" w:hAnsi="Times New Roman" w:cs="Times New Roman"/>
          <w:noProof/>
          <w:sz w:val="24"/>
          <w:szCs w:val="24"/>
        </w:rPr>
        <w:t xml:space="preserve">closing the educational gap of disadvantaged learners </w:t>
      </w:r>
      <w:r>
        <w:rPr>
          <w:rFonts w:ascii="Times New Roman" w:hAnsi="Times New Roman" w:cs="Times New Roman"/>
          <w:noProof/>
          <w:sz w:val="24"/>
          <w:szCs w:val="24"/>
        </w:rPr>
        <w:t>and fostering excellence in education</w:t>
      </w:r>
      <w:r>
        <w:rPr>
          <w:rFonts w:ascii="Times New Roman" w:eastAsia="Calibri" w:hAnsi="Times New Roman" w:cs="Times New Roman"/>
          <w:noProof/>
          <w:sz w:val="24"/>
          <w:szCs w:val="24"/>
        </w:rPr>
        <w:t xml:space="preserve">. </w:t>
      </w:r>
      <w:r>
        <w:rPr>
          <w:rFonts w:ascii="Times New Roman" w:eastAsia="SimSun" w:hAnsi="Times New Roman" w:cs="Times New Roman"/>
          <w:noProof/>
          <w:sz w:val="24"/>
          <w:szCs w:val="24"/>
        </w:rPr>
        <w:t>In Portugal, local administrations and school clusters cooperate</w:t>
      </w:r>
      <w:r>
        <w:rPr>
          <w:rFonts w:ascii="Times New Roman" w:eastAsia="SimSun" w:hAnsi="Times New Roman" w:cs="Times New Roman"/>
          <w:noProof/>
          <w:sz w:val="24"/>
          <w:szCs w:val="24"/>
        </w:rPr>
        <w:t xml:space="preserve"> in the implementation of the National plan to Promote Success in School,</w:t>
      </w:r>
      <w:r>
        <w:rPr>
          <w:rFonts w:ascii="Times New Roman" w:hAnsi="Times New Roman" w:cs="Times New Roman"/>
          <w:i/>
          <w:noProof/>
          <w:sz w:val="24"/>
          <w:szCs w:val="24"/>
        </w:rPr>
        <w:t xml:space="preserve"> </w:t>
      </w:r>
      <w:r>
        <w:rPr>
          <w:rFonts w:ascii="Times New Roman" w:hAnsi="Times New Roman" w:cs="Times New Roman"/>
          <w:noProof/>
          <w:sz w:val="24"/>
          <w:szCs w:val="24"/>
        </w:rPr>
        <w:t>the</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Government’s flagship initiative to prevent school failure and reduce grade repetition. In 2017, Ireland set for the first time specific targets for literacy and numeracy within </w:t>
      </w:r>
      <w:r>
        <w:rPr>
          <w:rFonts w:ascii="Times New Roman" w:hAnsi="Times New Roman" w:cs="Times New Roman"/>
          <w:noProof/>
          <w:sz w:val="24"/>
          <w:szCs w:val="24"/>
        </w:rPr>
        <w:t>disadvantaged schools; it also set a</w:t>
      </w:r>
      <w:r>
        <w:rPr>
          <w:rFonts w:ascii="Times New Roman" w:eastAsia="SimSun" w:hAnsi="Times New Roman" w:cs="Times New Roman"/>
          <w:noProof/>
          <w:sz w:val="24"/>
          <w:szCs w:val="24"/>
        </w:rPr>
        <w:t xml:space="preserve"> relatively ambitious target to maintain the proportion of low-achievers below 10%, while increasing the proportion of top performers by 2025. </w:t>
      </w:r>
      <w:r>
        <w:rPr>
          <w:rFonts w:ascii="Times New Roman" w:hAnsi="Times New Roman" w:cs="Times New Roman"/>
          <w:noProof/>
          <w:sz w:val="24"/>
          <w:szCs w:val="24"/>
        </w:rPr>
        <w:t>The Czech Republic is implementing ESF-funded projects</w:t>
      </w:r>
      <w:r>
        <w:rPr>
          <w:rFonts w:ascii="Times New Roman" w:hAnsi="Times New Roman" w:cs="Times New Roman"/>
          <w:noProof/>
          <w:sz w:val="24"/>
          <w:szCs w:val="24"/>
          <w:lang w:eastAsia="zh-CN"/>
        </w:rPr>
        <w:t>, which focus on suppor</w:t>
      </w:r>
      <w:r>
        <w:rPr>
          <w:rFonts w:ascii="Times New Roman" w:hAnsi="Times New Roman" w:cs="Times New Roman"/>
          <w:noProof/>
          <w:sz w:val="24"/>
          <w:szCs w:val="24"/>
          <w:lang w:eastAsia="zh-CN"/>
        </w:rPr>
        <w:t xml:space="preserve">ting nursery, primary and secondary schools by introducing and implementing individual inclusion. </w:t>
      </w:r>
      <w:r>
        <w:rPr>
          <w:rFonts w:ascii="Times New Roman" w:hAnsi="Times New Roman" w:cs="Times New Roman"/>
          <w:noProof/>
          <w:sz w:val="24"/>
          <w:szCs w:val="24"/>
        </w:rPr>
        <w:t xml:space="preserve">In Sweden, the </w:t>
      </w:r>
      <w:r>
        <w:rPr>
          <w:rFonts w:ascii="Times New Roman" w:hAnsi="Times New Roman" w:cs="Times New Roman"/>
          <w:bCs/>
          <w:noProof/>
          <w:sz w:val="24"/>
          <w:szCs w:val="24"/>
        </w:rPr>
        <w:t>government boosted resources to tackle inequalities and announced a long-term investment plan (2017-2025) to support municipalities and indepen</w:t>
      </w:r>
      <w:r>
        <w:rPr>
          <w:rFonts w:ascii="Times New Roman" w:hAnsi="Times New Roman" w:cs="Times New Roman"/>
          <w:bCs/>
          <w:noProof/>
          <w:sz w:val="24"/>
          <w:szCs w:val="24"/>
        </w:rPr>
        <w:t>dent school providers in offering high quality education to newly arrived students. In Germany, the federal government and states joined forces to increase the quality of teacher training as well as to raise mobility of teacher students and teachers. Final</w:t>
      </w:r>
      <w:r>
        <w:rPr>
          <w:rFonts w:ascii="Times New Roman" w:hAnsi="Times New Roman" w:cs="Times New Roman"/>
          <w:bCs/>
          <w:noProof/>
          <w:sz w:val="24"/>
          <w:szCs w:val="24"/>
        </w:rPr>
        <w:t>ly, Bulgaria is devoting more attention to inclusive education and the Netherlands plan additional investments to increase equity in education.</w:t>
      </w:r>
    </w:p>
    <w:p w:rsidR="00CB01DD" w:rsidRDefault="00D75BDB">
      <w:pPr>
        <w:spacing w:after="120" w:line="360" w:lineRule="auto"/>
        <w:jc w:val="both"/>
        <w:rPr>
          <w:rFonts w:ascii="Times New Roman" w:hAnsi="Times New Roman" w:cs="Times New Roman"/>
          <w:noProof/>
          <w:sz w:val="24"/>
          <w:szCs w:val="24"/>
        </w:rPr>
      </w:pPr>
      <w:r>
        <w:rPr>
          <w:rFonts w:ascii="Times New Roman" w:hAnsi="Times New Roman" w:cs="Times New Roman"/>
          <w:b/>
          <w:noProof/>
          <w:color w:val="000000"/>
          <w:sz w:val="24"/>
          <w:szCs w:val="24"/>
        </w:rPr>
        <w:t xml:space="preserve">Roma inclusion in education is a challenge, due to several factors, including school segregation, non-inclusive </w:t>
      </w:r>
      <w:r>
        <w:rPr>
          <w:rFonts w:ascii="Times New Roman" w:hAnsi="Times New Roman" w:cs="Times New Roman"/>
          <w:b/>
          <w:noProof/>
          <w:color w:val="000000"/>
          <w:sz w:val="24"/>
          <w:szCs w:val="24"/>
        </w:rPr>
        <w:t>teaching and barriers induced by severe poverty</w:t>
      </w:r>
      <w:r>
        <w:rPr>
          <w:rFonts w:ascii="Times New Roman" w:hAnsi="Times New Roman" w:cs="Times New Roman"/>
          <w:noProof/>
          <w:color w:val="000000"/>
          <w:sz w:val="24"/>
          <w:szCs w:val="24"/>
        </w:rPr>
        <w:t>.</w:t>
      </w:r>
      <w:r>
        <w:rPr>
          <w:rFonts w:ascii="Times New Roman" w:hAnsi="Times New Roman" w:cs="Times New Roman"/>
          <w:b/>
          <w:noProof/>
          <w:color w:val="000000"/>
          <w:sz w:val="24"/>
          <w:szCs w:val="24"/>
        </w:rPr>
        <w:t xml:space="preserve"> </w:t>
      </w:r>
      <w:r>
        <w:rPr>
          <w:rFonts w:ascii="Times New Roman" w:hAnsi="Times New Roman" w:cs="Times New Roman"/>
          <w:noProof/>
          <w:color w:val="000000"/>
          <w:sz w:val="24"/>
          <w:szCs w:val="24"/>
        </w:rPr>
        <w:t>Enforcement of legislative changes remains important. Bulgaria introduced a ban on the formation of separate classes based on ethnicity. The measures currently in place for Roma students include scholarships</w:t>
      </w:r>
      <w:r>
        <w:rPr>
          <w:rFonts w:ascii="Times New Roman" w:hAnsi="Times New Roman" w:cs="Times New Roman"/>
          <w:noProof/>
          <w:color w:val="000000"/>
          <w:sz w:val="24"/>
          <w:szCs w:val="24"/>
        </w:rPr>
        <w:t xml:space="preserve"> and extracurricular activities, additional Bulgarian language classes and activities with parents. In the Czech Republic, a new reform package on individual support measures for children with special educational needs - including for socioeconomic reasons</w:t>
      </w:r>
      <w:r>
        <w:rPr>
          <w:rFonts w:ascii="Times New Roman" w:hAnsi="Times New Roman" w:cs="Times New Roman"/>
          <w:noProof/>
          <w:color w:val="000000"/>
          <w:sz w:val="24"/>
          <w:szCs w:val="24"/>
        </w:rPr>
        <w:t xml:space="preserve"> - entered into force in September 2016. In 2017, Hungary amended its Equal Treatment and Public Education Act to ensure prohibition of segregation. Also, schools with a high drop-out rate will be selected in 2017 to receive training and development suppor</w:t>
      </w:r>
      <w:r>
        <w:rPr>
          <w:rFonts w:ascii="Times New Roman" w:hAnsi="Times New Roman" w:cs="Times New Roman"/>
          <w:noProof/>
          <w:color w:val="000000"/>
          <w:sz w:val="24"/>
          <w:szCs w:val="24"/>
        </w:rPr>
        <w:t>t to implement differentiated teaching methods. In Romania, segregation in pre-university systems was prohibited and projects targeting Roma students and communities were prioritised under ESF. In February 2017, Slovakia approved revised Action Plans in su</w:t>
      </w:r>
      <w:r>
        <w:rPr>
          <w:rFonts w:ascii="Times New Roman" w:hAnsi="Times New Roman" w:cs="Times New Roman"/>
          <w:noProof/>
          <w:color w:val="000000"/>
          <w:sz w:val="24"/>
          <w:szCs w:val="24"/>
        </w:rPr>
        <w:t>pport of the implementation of the National Strategy for Roma Integration up to 2020, with the goal of reducing the differences between the education level of Roma and the population average, by improving education of children from marginalised communities</w:t>
      </w:r>
      <w:r>
        <w:rPr>
          <w:rFonts w:ascii="Times New Roman" w:hAnsi="Times New Roman" w:cs="Times New Roman"/>
          <w:noProof/>
          <w:color w:val="000000"/>
          <w:sz w:val="24"/>
          <w:szCs w:val="24"/>
        </w:rPr>
        <w:t xml:space="preserve">. Greece </w:t>
      </w:r>
      <w:r>
        <w:rPr>
          <w:rFonts w:ascii="Times New Roman" w:hAnsi="Times New Roman" w:cs="Times New Roman"/>
          <w:noProof/>
          <w:sz w:val="24"/>
          <w:szCs w:val="24"/>
        </w:rPr>
        <w:t>launched</w:t>
      </w:r>
      <w:r>
        <w:rPr>
          <w:rFonts w:ascii="Times New Roman" w:hAnsi="Times New Roman" w:cs="Times New Roman"/>
          <w:noProof/>
          <w:color w:val="000000"/>
          <w:sz w:val="24"/>
          <w:szCs w:val="24"/>
        </w:rPr>
        <w:t xml:space="preserve"> a p</w:t>
      </w:r>
      <w:r>
        <w:rPr>
          <w:rFonts w:ascii="Times New Roman" w:hAnsi="Times New Roman" w:cs="Times New Roman"/>
          <w:noProof/>
          <w:sz w:val="24"/>
          <w:szCs w:val="24"/>
        </w:rPr>
        <w:t>rogramme for the integration and education of Roma children, co-funded by EU structural and investment funds.</w:t>
      </w:r>
    </w:p>
    <w:p w:rsidR="00CB01DD" w:rsidRDefault="00D75BDB">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Member States are developing policies to encourage the integration of migrants into education.</w:t>
      </w:r>
      <w:r>
        <w:rPr>
          <w:rFonts w:ascii="Times New Roman" w:hAnsi="Times New Roman" w:cs="Times New Roman"/>
          <w:noProof/>
          <w:sz w:val="24"/>
          <w:szCs w:val="24"/>
        </w:rPr>
        <w:t xml:space="preserve"> In Belgium, all communities have increased the capacity of reception classes, number of language teachers and support budgets for new migrant pupils. Denmark slightly increased the number of reception classes and increased the maximum number of refugees p</w:t>
      </w:r>
      <w:r>
        <w:rPr>
          <w:rFonts w:ascii="Times New Roman" w:hAnsi="Times New Roman" w:cs="Times New Roman"/>
          <w:noProof/>
          <w:sz w:val="24"/>
          <w:szCs w:val="24"/>
        </w:rPr>
        <w:t>er class from 12 to 15; it also allowed the integration of foreign-born young people into compulsory schooling up to the age of 25. In Finland a new training module combining language and vocational studies was created in mid-2017, engaging adult education</w:t>
      </w:r>
      <w:r>
        <w:rPr>
          <w:rFonts w:ascii="Times New Roman" w:hAnsi="Times New Roman" w:cs="Times New Roman"/>
          <w:noProof/>
          <w:sz w:val="24"/>
          <w:szCs w:val="24"/>
        </w:rPr>
        <w:t xml:space="preserve"> institutions and broadening the scope and reach of available training. In Sweden, a Tuition for Immigrants course is offered to newly arrived adults with vocational education or other studies. Greece has opened first reception structures for the education</w:t>
      </w:r>
      <w:r>
        <w:rPr>
          <w:rFonts w:ascii="Times New Roman" w:hAnsi="Times New Roman" w:cs="Times New Roman"/>
          <w:noProof/>
          <w:sz w:val="24"/>
          <w:szCs w:val="24"/>
        </w:rPr>
        <w:t xml:space="preserve"> of children of asylum seekers which operate in after-school hours, but aims to integrate children eventually into mainstream education. Cyprus</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is rolling out an action plan also covering the teaching of Greek as a second language, measures for reception, </w:t>
      </w:r>
      <w:r>
        <w:rPr>
          <w:rFonts w:ascii="Times New Roman" w:hAnsi="Times New Roman" w:cs="Times New Roman"/>
          <w:noProof/>
          <w:sz w:val="24"/>
          <w:szCs w:val="24"/>
        </w:rPr>
        <w:t>transition and inclusion of migrants, teacher training and anti-discrimination. In addition, t</w:t>
      </w:r>
      <w:r>
        <w:rPr>
          <w:rFonts w:ascii="Times New Roman" w:eastAsia="Calibri" w:hAnsi="Times New Roman" w:cs="Times New Roman"/>
          <w:bCs/>
          <w:noProof/>
          <w:sz w:val="24"/>
          <w:szCs w:val="24"/>
        </w:rPr>
        <w:t>o respond to the influx of refugees and facilitate their integration (as well as for other third-country nationals in need), the European Commission developed the</w:t>
      </w:r>
      <w:r>
        <w:rPr>
          <w:rFonts w:ascii="Times New Roman" w:eastAsia="Calibri" w:hAnsi="Times New Roman" w:cs="Times New Roman"/>
          <w:bCs/>
          <w:noProof/>
          <w:sz w:val="24"/>
          <w:szCs w:val="24"/>
        </w:rPr>
        <w:t xml:space="preserve"> EU Skills Profile Tool for Third Country Nationals in 2017 to help them make their skills and qualifications visible across different Member States.</w:t>
      </w:r>
    </w:p>
    <w:p w:rsidR="00CB01DD" w:rsidRDefault="00D75BDB">
      <w:pPr>
        <w:autoSpaceDE w:val="0"/>
        <w:autoSpaceDN w:val="0"/>
        <w:adjustRightInd w:val="0"/>
        <w:spacing w:before="240" w:after="120" w:line="360" w:lineRule="auto"/>
        <w:jc w:val="both"/>
        <w:rPr>
          <w:rFonts w:ascii="Times New Roman" w:hAnsi="Times New Roman" w:cs="Times New Roman"/>
          <w:noProof/>
          <w:sz w:val="24"/>
          <w:szCs w:val="24"/>
        </w:rPr>
      </w:pPr>
      <w:r>
        <w:rPr>
          <w:rFonts w:ascii="Times New Roman" w:eastAsia="Calibri" w:hAnsi="Times New Roman" w:cs="Times New Roman"/>
          <w:b/>
          <w:noProof/>
          <w:sz w:val="24"/>
          <w:szCs w:val="24"/>
        </w:rPr>
        <w:t xml:space="preserve">Policies to raise tertiary education attainment focus on access and participation, as well as on reducing </w:t>
      </w:r>
      <w:r>
        <w:rPr>
          <w:rFonts w:ascii="Times New Roman" w:eastAsia="Calibri" w:hAnsi="Times New Roman" w:cs="Times New Roman"/>
          <w:b/>
          <w:noProof/>
          <w:sz w:val="24"/>
          <w:szCs w:val="24"/>
        </w:rPr>
        <w:t xml:space="preserve">drop-out rates. </w:t>
      </w:r>
      <w:r>
        <w:rPr>
          <w:rFonts w:ascii="Times New Roman" w:eastAsia="Calibri" w:hAnsi="Times New Roman" w:cs="Times New Roman"/>
          <w:noProof/>
          <w:sz w:val="24"/>
          <w:szCs w:val="24"/>
        </w:rPr>
        <w:t>As underlined in the Commission Communication on a renewed EU agenda for higher education</w:t>
      </w:r>
      <w:r>
        <w:rPr>
          <w:rStyle w:val="FootnoteReference"/>
          <w:rFonts w:ascii="Times New Roman" w:eastAsia="Calibri" w:hAnsi="Times New Roman"/>
          <w:noProof/>
          <w:sz w:val="24"/>
          <w:szCs w:val="24"/>
        </w:rPr>
        <w:footnoteReference w:id="61"/>
      </w:r>
      <w:r>
        <w:rPr>
          <w:rFonts w:ascii="Times New Roman" w:eastAsia="Calibri" w:hAnsi="Times New Roman" w:cs="Times New Roman"/>
          <w:noProof/>
          <w:sz w:val="24"/>
          <w:szCs w:val="24"/>
        </w:rPr>
        <w:t>, this can be achieved by providing students from disadvantaged backgrounds with more transparent information on educational opportunities and outcome</w:t>
      </w:r>
      <w:r>
        <w:rPr>
          <w:rFonts w:ascii="Times New Roman" w:eastAsia="Calibri" w:hAnsi="Times New Roman" w:cs="Times New Roman"/>
          <w:noProof/>
          <w:sz w:val="24"/>
          <w:szCs w:val="24"/>
        </w:rPr>
        <w:t xml:space="preserve">s, tailored guidance and financial support. </w:t>
      </w:r>
      <w:r>
        <w:rPr>
          <w:rFonts w:ascii="Times New Roman" w:hAnsi="Times New Roman" w:cs="Times New Roman"/>
          <w:noProof/>
          <w:sz w:val="24"/>
          <w:szCs w:val="24"/>
        </w:rPr>
        <w:t xml:space="preserve">The Czech Republic increased grants to students in need as well as the number of profession-oriented programmes to promote a stronger social diversity of tertiary education students. In 2017, Estonia revised its </w:t>
      </w:r>
      <w:r>
        <w:rPr>
          <w:rFonts w:ascii="Times New Roman" w:hAnsi="Times New Roman" w:cs="Times New Roman"/>
          <w:noProof/>
          <w:sz w:val="24"/>
          <w:szCs w:val="24"/>
        </w:rPr>
        <w:t xml:space="preserve">funding system in higher education to incentivise completion of studies in nominal time. Sweden launched an inquiry into the governance and financing of higher education, in view of increasing the participation of students from disadvantaged backgrounds. </w:t>
      </w:r>
      <w:r>
        <w:rPr>
          <w:rFonts w:ascii="Times New Roman" w:hAnsi="Times New Roman" w:cs="Times New Roman"/>
          <w:bCs/>
          <w:noProof/>
          <w:sz w:val="24"/>
          <w:szCs w:val="24"/>
        </w:rPr>
        <w:t>C</w:t>
      </w:r>
      <w:r>
        <w:rPr>
          <w:rFonts w:ascii="Times New Roman" w:hAnsi="Times New Roman" w:cs="Times New Roman"/>
          <w:bCs/>
          <w:noProof/>
          <w:sz w:val="24"/>
          <w:szCs w:val="24"/>
        </w:rPr>
        <w:t xml:space="preserve">roatia is using ESF to provide support to students from disadvantaged backgrounds. </w:t>
      </w:r>
    </w:p>
    <w:p w:rsidR="00CB01DD" w:rsidRDefault="00D75BDB">
      <w:pPr>
        <w:spacing w:after="120" w:line="360" w:lineRule="auto"/>
        <w:jc w:val="both"/>
        <w:rPr>
          <w:rFonts w:ascii="Times New Roman" w:hAnsi="Times New Roman" w:cs="Times New Roman"/>
          <w:noProof/>
          <w:sz w:val="24"/>
          <w:szCs w:val="24"/>
        </w:rPr>
      </w:pPr>
      <w:r>
        <w:rPr>
          <w:rFonts w:ascii="Times New Roman" w:eastAsia="Calibri" w:hAnsi="Times New Roman" w:cs="Times New Roman"/>
          <w:b/>
          <w:noProof/>
          <w:sz w:val="24"/>
          <w:szCs w:val="24"/>
        </w:rPr>
        <w:t xml:space="preserve">Improving the relevance of higher education is also crucial. </w:t>
      </w:r>
      <w:r>
        <w:rPr>
          <w:rFonts w:ascii="Times New Roman" w:eastAsia="Calibri" w:hAnsi="Times New Roman" w:cs="Times New Roman"/>
          <w:noProof/>
          <w:sz w:val="24"/>
          <w:szCs w:val="24"/>
        </w:rPr>
        <w:t>To achieve this purpose, key aspects are a greater variety of study modes (part-time, distance, etc.), the incr</w:t>
      </w:r>
      <w:r>
        <w:rPr>
          <w:rFonts w:ascii="Times New Roman" w:eastAsia="Calibri" w:hAnsi="Times New Roman" w:cs="Times New Roman"/>
          <w:noProof/>
          <w:sz w:val="24"/>
          <w:szCs w:val="24"/>
        </w:rPr>
        <w:t>eased use of skills projections and graduate employment data in strategic planning, the involvement of employers in curriculum design, and further developing higher vocational education and professional higher education.</w:t>
      </w:r>
      <w:r>
        <w:rPr>
          <w:rFonts w:ascii="Times New Roman" w:hAnsi="Times New Roman" w:cs="Times New Roman"/>
          <w:noProof/>
          <w:sz w:val="24"/>
          <w:szCs w:val="24"/>
        </w:rPr>
        <w:t xml:space="preserve"> Bulgaria is implementing performanc</w:t>
      </w:r>
      <w:r>
        <w:rPr>
          <w:rFonts w:ascii="Times New Roman" w:hAnsi="Times New Roman" w:cs="Times New Roman"/>
          <w:noProof/>
          <w:sz w:val="24"/>
          <w:szCs w:val="24"/>
        </w:rPr>
        <w:t>e-based funding and focusing efforts on increasing participation in science, technology, engineering and mathematics (STEM) related fields. In Malta, several initiatives aim to increase the number of graduates in science-related subjects. The Flemish commu</w:t>
      </w:r>
      <w:r>
        <w:rPr>
          <w:rFonts w:ascii="Times New Roman" w:hAnsi="Times New Roman" w:cs="Times New Roman"/>
          <w:noProof/>
          <w:sz w:val="24"/>
          <w:szCs w:val="24"/>
        </w:rPr>
        <w:t>nity in Belgium has developed a STEM action plan involving all educational levels and the French-speaking community in Belgium is focusing on dual learning in sectors where skill shortages are identified or expected. ESF-funded scholarships for students in</w:t>
      </w:r>
      <w:r>
        <w:rPr>
          <w:rFonts w:ascii="Times New Roman" w:hAnsi="Times New Roman" w:cs="Times New Roman"/>
          <w:noProof/>
          <w:sz w:val="24"/>
          <w:szCs w:val="24"/>
        </w:rPr>
        <w:t xml:space="preserve"> </w:t>
      </w:r>
      <w:r>
        <w:rPr>
          <w:rFonts w:ascii="Times New Roman" w:hAnsi="Times New Roman" w:cs="Times New Roman"/>
          <w:bCs/>
          <w:noProof/>
          <w:sz w:val="24"/>
          <w:szCs w:val="24"/>
        </w:rPr>
        <w:t>STEM are provided in Croatia.</w:t>
      </w:r>
      <w:r>
        <w:rPr>
          <w:rFonts w:ascii="Times New Roman" w:hAnsi="Times New Roman" w:cs="Times New Roman"/>
          <w:noProof/>
          <w:sz w:val="24"/>
          <w:szCs w:val="24"/>
        </w:rPr>
        <w:t xml:space="preserve"> Estonia set up a forecasting tool to anticipate labour market and skills needs, with recommendations for forward planning in education and training. In 2017, Poland introduced a national system of graduate tracking to address</w:t>
      </w:r>
      <w:r>
        <w:rPr>
          <w:rFonts w:ascii="Times New Roman" w:hAnsi="Times New Roman" w:cs="Times New Roman"/>
          <w:noProof/>
          <w:sz w:val="24"/>
          <w:szCs w:val="24"/>
        </w:rPr>
        <w:t xml:space="preserve"> the need for better information on labour market outcomes. Cyprus, Portugal, Slovakia and Sweden have recently taken measures to strengthen quality assurance in higher education.</w:t>
      </w:r>
    </w:p>
    <w:p w:rsidR="00CB01DD" w:rsidRDefault="00D75BDB">
      <w:pPr>
        <w:spacing w:line="360" w:lineRule="auto"/>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Member States continue to work towards more transparency of skills and quali</w:t>
      </w:r>
      <w:r>
        <w:rPr>
          <w:rFonts w:ascii="Times New Roman" w:eastAsia="Calibri" w:hAnsi="Times New Roman" w:cs="Times New Roman"/>
          <w:b/>
          <w:bCs/>
          <w:noProof/>
          <w:sz w:val="24"/>
          <w:szCs w:val="24"/>
        </w:rPr>
        <w:t xml:space="preserve">fications. </w:t>
      </w:r>
      <w:r>
        <w:rPr>
          <w:rFonts w:ascii="Times New Roman" w:eastAsia="Calibri" w:hAnsi="Times New Roman" w:cs="Times New Roman"/>
          <w:bCs/>
          <w:noProof/>
          <w:sz w:val="24"/>
          <w:szCs w:val="24"/>
        </w:rPr>
        <w:t>Twenty-four Member States have already finalised the process of referencing their national qualifications levels to the European Qualifications Framework (EQF), signalling commitment to its overall objective of transparency and comparability. Ro</w:t>
      </w:r>
      <w:r>
        <w:rPr>
          <w:rFonts w:ascii="Times New Roman" w:eastAsia="Calibri" w:hAnsi="Times New Roman" w:cs="Times New Roman"/>
          <w:bCs/>
          <w:noProof/>
          <w:sz w:val="24"/>
          <w:szCs w:val="24"/>
        </w:rPr>
        <w:t>mania and Slovakia have presented their initial referencing reports, while Finland and Spain are planning to reference in 2017-2018. Another milestone – i.e. putting EQF levels on certificates and diplomas – has been met by 16 Member States (Belgium, the C</w:t>
      </w:r>
      <w:r>
        <w:rPr>
          <w:rFonts w:ascii="Times New Roman" w:eastAsia="Calibri" w:hAnsi="Times New Roman" w:cs="Times New Roman"/>
          <w:bCs/>
          <w:noProof/>
          <w:sz w:val="24"/>
          <w:szCs w:val="24"/>
        </w:rPr>
        <w:t>zech Republic, Denmark, Germany, Estonia, France, Ireland, Italy, Latvia, Lithuania, Hungary, Malta, the Netherlands, Portugal, Slovenia and the United Kingdom) and a further increase is expected by the end of 2017.</w:t>
      </w:r>
    </w:p>
    <w:p w:rsidR="00CB01DD" w:rsidRDefault="00D75BDB">
      <w:pPr>
        <w:spacing w:line="360" w:lineRule="auto"/>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The need to develop digital skills is in</w:t>
      </w:r>
      <w:r>
        <w:rPr>
          <w:rFonts w:ascii="Times New Roman" w:eastAsia="Calibri" w:hAnsi="Times New Roman" w:cs="Times New Roman"/>
          <w:b/>
          <w:bCs/>
          <w:noProof/>
          <w:sz w:val="24"/>
          <w:szCs w:val="24"/>
        </w:rPr>
        <w:t xml:space="preserve">creasingly high on Member States' agendas. </w:t>
      </w:r>
      <w:r>
        <w:rPr>
          <w:rFonts w:ascii="Times New Roman" w:eastAsia="Calibri" w:hAnsi="Times New Roman" w:cs="Times New Roman"/>
          <w:bCs/>
          <w:noProof/>
          <w:sz w:val="24"/>
          <w:szCs w:val="24"/>
        </w:rPr>
        <w:t xml:space="preserve">In line with one of the key actions of the New Skills Agenda for Europe – the Digital Skills and Jobs Coalition – National Coalitions for Digital Skills and Jobs seeking to facilitate high-impact actions at local </w:t>
      </w:r>
      <w:r>
        <w:rPr>
          <w:rFonts w:ascii="Times New Roman" w:eastAsia="Calibri" w:hAnsi="Times New Roman" w:cs="Times New Roman"/>
          <w:bCs/>
          <w:noProof/>
          <w:sz w:val="24"/>
          <w:szCs w:val="24"/>
        </w:rPr>
        <w:t>level have been launched in 17 Member States and more are under development. Concrete measures to boost digital skills planned / adopted by Member States include the introduction of basic digital training from primary level and reinforcing digital training</w:t>
      </w:r>
      <w:r>
        <w:rPr>
          <w:rFonts w:ascii="Times New Roman" w:eastAsia="Calibri" w:hAnsi="Times New Roman" w:cs="Times New Roman"/>
          <w:bCs/>
          <w:noProof/>
          <w:sz w:val="24"/>
          <w:szCs w:val="24"/>
        </w:rPr>
        <w:t xml:space="preserve"> throughout school curricula (Austria, Germany), stepping up training on coding (Poland, Belgium, Romania, Sweden), digital skills training for teachers (Austria, Bulgaria, Germany), the increase of STEM places in higher education (Austria, Poland), certif</w:t>
      </w:r>
      <w:r>
        <w:rPr>
          <w:rFonts w:ascii="Times New Roman" w:eastAsia="Calibri" w:hAnsi="Times New Roman" w:cs="Times New Roman"/>
          <w:bCs/>
          <w:noProof/>
          <w:sz w:val="24"/>
          <w:szCs w:val="24"/>
        </w:rPr>
        <w:t>ication of European Computer Driving Licence (ECDL) on a voluntary basis to secondary students (Cyprus), and one-off initiatives, such as the IT Academy in Slovakia.</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To promote the responsiveness of vocational education and training programmes to labour ma</w:t>
      </w:r>
      <w:r>
        <w:rPr>
          <w:rFonts w:ascii="Times New Roman" w:hAnsi="Times New Roman" w:cs="Times New Roman"/>
          <w:b/>
          <w:noProof/>
          <w:sz w:val="24"/>
          <w:szCs w:val="24"/>
        </w:rPr>
        <w:t>rket needs the EU supports a wide range of policy initiatives.</w:t>
      </w:r>
      <w:r>
        <w:rPr>
          <w:rFonts w:ascii="Times New Roman" w:hAnsi="Times New Roman" w:cs="Times New Roman"/>
          <w:noProof/>
          <w:sz w:val="24"/>
          <w:szCs w:val="24"/>
        </w:rPr>
        <w:t xml:space="preserve"> In October 2017 the Commission adopted a proposal for a Council Recommendation on a European Framework for Quality and Effective Apprenticeships. The Framework sets out 14 criteria to define qu</w:t>
      </w:r>
      <w:r>
        <w:rPr>
          <w:rFonts w:ascii="Times New Roman" w:hAnsi="Times New Roman" w:cs="Times New Roman"/>
          <w:noProof/>
          <w:sz w:val="24"/>
          <w:szCs w:val="24"/>
        </w:rPr>
        <w:t>ality and effective apprenticeships,</w:t>
      </w:r>
      <w:r>
        <w:rPr>
          <w:rFonts w:ascii="Times New Roman" w:hAnsi="Times New Roman" w:cs="Times New Roman"/>
          <w:noProof/>
          <w:sz w:val="24"/>
          <w:szCs w:val="24"/>
          <w:lang w:bidi="en-US"/>
        </w:rPr>
        <w:t xml:space="preserve"> ensuring both the development of job-related skills and the personal development of apprentices. </w:t>
      </w:r>
      <w:r>
        <w:rPr>
          <w:rFonts w:ascii="Times New Roman" w:hAnsi="Times New Roman" w:cs="Times New Roman"/>
          <w:noProof/>
          <w:sz w:val="24"/>
          <w:szCs w:val="24"/>
        </w:rPr>
        <w:t>To increase the numbers of vocational learners benefitting from longer work placements abroad, the ErasmusPro activity has been introduced in Erasmus+ to become operational as of October 2017. Towards supporting the work-based learning, the European Allian</w:t>
      </w:r>
      <w:r>
        <w:rPr>
          <w:rFonts w:ascii="Times New Roman" w:hAnsi="Times New Roman" w:cs="Times New Roman"/>
          <w:noProof/>
          <w:sz w:val="24"/>
          <w:szCs w:val="24"/>
        </w:rPr>
        <w:t>ce for Apprenticeships was launched in 2013 as a multi-stakeholder platform at EU level.  It is aimed at improving the quality, supply and image of apprenticeships, as well as more recently also mobility.  The Commission also supports the European Pact for</w:t>
      </w:r>
      <w:r>
        <w:rPr>
          <w:rFonts w:ascii="Times New Roman" w:hAnsi="Times New Roman" w:cs="Times New Roman"/>
          <w:noProof/>
          <w:sz w:val="24"/>
          <w:szCs w:val="24"/>
        </w:rPr>
        <w:t xml:space="preserve"> Youth initiated by CSR Europe (the European Business Network for Corporate Social Responsibility), bringing together business and their stakeholders to work for employment for young people through the creation of apprenticeships, traineeships, internships</w:t>
      </w:r>
      <w:r>
        <w:rPr>
          <w:rFonts w:ascii="Times New Roman" w:hAnsi="Times New Roman" w:cs="Times New Roman"/>
          <w:noProof/>
          <w:sz w:val="24"/>
          <w:szCs w:val="24"/>
        </w:rPr>
        <w:t xml:space="preserve"> and entry-level jobs. </w:t>
      </w:r>
      <w:r>
        <w:rPr>
          <w:rFonts w:ascii="Times New Roman" w:hAnsi="Times New Roman" w:cs="Times New Roman"/>
          <w:noProof/>
          <w:sz w:val="24"/>
          <w:szCs w:val="24"/>
          <w:lang w:eastAsia="en-GB"/>
        </w:rPr>
        <w:t>The attractiveness and labour market relevance of initial VET programmes could still be improved. In 2015, Member States agreed to further strengthen key competences in VET curricula and provide more effective opportunities to acquir</w:t>
      </w:r>
      <w:r>
        <w:rPr>
          <w:rFonts w:ascii="Times New Roman" w:hAnsi="Times New Roman" w:cs="Times New Roman"/>
          <w:noProof/>
          <w:sz w:val="24"/>
          <w:szCs w:val="24"/>
          <w:lang w:eastAsia="en-GB"/>
        </w:rPr>
        <w:t>e or develop those skills</w:t>
      </w:r>
      <w:r>
        <w:rPr>
          <w:rStyle w:val="FootnoteReference"/>
          <w:rFonts w:ascii="Times New Roman" w:hAnsi="Times New Roman" w:cs="Times New Roman"/>
          <w:noProof/>
          <w:sz w:val="24"/>
          <w:szCs w:val="24"/>
          <w:lang w:eastAsia="en-GB"/>
        </w:rPr>
        <w:footnoteReference w:id="62"/>
      </w:r>
      <w:r>
        <w:rPr>
          <w:rFonts w:ascii="Times New Roman" w:hAnsi="Times New Roman" w:cs="Times New Roman"/>
          <w:noProof/>
          <w:sz w:val="24"/>
          <w:szCs w:val="24"/>
          <w:lang w:eastAsia="en-GB"/>
        </w:rPr>
        <w:t>.</w:t>
      </w:r>
      <w:r>
        <w:rPr>
          <w:rFonts w:ascii="Times New Roman" w:hAnsi="Times New Roman" w:cs="Times New Roman"/>
          <w:noProof/>
          <w:sz w:val="24"/>
          <w:szCs w:val="24"/>
        </w:rPr>
        <w:t xml:space="preserve">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Employment challenges of low-skilled adults requires policy attention, particularly in the context of evolving skills needs linked to technological change. </w:t>
      </w:r>
      <w:r>
        <w:rPr>
          <w:rFonts w:ascii="Times New Roman" w:hAnsi="Times New Roman" w:cs="Times New Roman"/>
          <w:noProof/>
          <w:sz w:val="24"/>
          <w:szCs w:val="24"/>
        </w:rPr>
        <w:t>To address the persistent employment gap and low rates of participation</w:t>
      </w:r>
      <w:r>
        <w:rPr>
          <w:rFonts w:ascii="Times New Roman" w:hAnsi="Times New Roman" w:cs="Times New Roman"/>
          <w:noProof/>
          <w:sz w:val="24"/>
          <w:szCs w:val="24"/>
        </w:rPr>
        <w:t xml:space="preserve"> in adult learning by low-skilled and low-qualified adults (who are also more likely to be older, live in rural areas and face other disadvantages), the European Union at the end of 2016 adopted a recommendation on Upskilling Pathways: New Opportunities fo</w:t>
      </w:r>
      <w:r>
        <w:rPr>
          <w:rFonts w:ascii="Times New Roman" w:hAnsi="Times New Roman" w:cs="Times New Roman"/>
          <w:noProof/>
          <w:sz w:val="24"/>
          <w:szCs w:val="24"/>
        </w:rPr>
        <w:t>r Adults, to provide the low-skilled and low-qualified adults with support in enhancing their skills and progressing towards higher qualifications (see Box 2).</w:t>
      </w:r>
    </w:p>
    <w:tbl>
      <w:tblPr>
        <w:tblStyle w:val="TableGrid"/>
        <w:tblW w:w="0" w:type="auto"/>
        <w:tblLook w:val="04A0" w:firstRow="1" w:lastRow="0" w:firstColumn="1" w:lastColumn="0" w:noHBand="0" w:noVBand="1"/>
      </w:tblPr>
      <w:tblGrid>
        <w:gridCol w:w="9288"/>
      </w:tblGrid>
      <w:tr w:rsidR="00CB01DD">
        <w:trPr>
          <w:cantSplit/>
        </w:trPr>
        <w:tc>
          <w:tcPr>
            <w:tcW w:w="9288" w:type="dxa"/>
          </w:tcPr>
          <w:p w:rsidR="00CB01DD" w:rsidRDefault="00D75BDB">
            <w:pPr>
              <w:jc w:val="both"/>
              <w:rPr>
                <w:rFonts w:ascii="Times New Roman" w:eastAsia="Times New Roman" w:hAnsi="Times New Roman" w:cs="Times New Roman"/>
                <w:b/>
                <w:bCs/>
                <w:noProof/>
                <w:color w:val="000000" w:themeColor="text1"/>
                <w:sz w:val="24"/>
                <w:szCs w:val="24"/>
                <w:lang w:eastAsia="zh-CN"/>
              </w:rPr>
            </w:pPr>
            <w:r>
              <w:rPr>
                <w:rFonts w:ascii="Times New Roman" w:eastAsia="Times New Roman" w:hAnsi="Times New Roman" w:cs="Times New Roman"/>
                <w:b/>
                <w:bCs/>
                <w:noProof/>
                <w:color w:val="000000" w:themeColor="text1"/>
                <w:sz w:val="24"/>
                <w:szCs w:val="24"/>
                <w:lang w:eastAsia="zh-CN"/>
              </w:rPr>
              <w:t>Box 2. Upskilling Pathways: new opportunities for adults</w:t>
            </w:r>
          </w:p>
          <w:p w:rsidR="00CB01DD" w:rsidRDefault="00CB01DD">
            <w:pPr>
              <w:jc w:val="both"/>
              <w:rPr>
                <w:rFonts w:ascii="Times New Roman" w:eastAsia="Times New Roman" w:hAnsi="Times New Roman" w:cs="Times New Roman"/>
                <w:b/>
                <w:bCs/>
                <w:noProof/>
                <w:color w:val="000000" w:themeColor="text1"/>
                <w:sz w:val="24"/>
                <w:szCs w:val="24"/>
                <w:lang w:eastAsia="zh-CN"/>
              </w:rPr>
            </w:pPr>
          </w:p>
          <w:tbl>
            <w:tblPr>
              <w:tblStyle w:val="TableGrid"/>
              <w:tblW w:w="0" w:type="auto"/>
              <w:tblLook w:val="04A0" w:firstRow="1" w:lastRow="0" w:firstColumn="1" w:lastColumn="0" w:noHBand="0" w:noVBand="1"/>
            </w:tblPr>
            <w:tblGrid>
              <w:gridCol w:w="9005"/>
            </w:tblGrid>
            <w:tr w:rsidR="00CB01DD">
              <w:trPr>
                <w:trHeight w:val="5181"/>
              </w:trPr>
              <w:tc>
                <w:tcPr>
                  <w:tcW w:w="9005" w:type="dxa"/>
                  <w:tcBorders>
                    <w:top w:val="nil"/>
                    <w:left w:val="nil"/>
                    <w:bottom w:val="nil"/>
                    <w:right w:val="nil"/>
                  </w:tcBorders>
                </w:tcPr>
                <w:p w:rsidR="00CB01DD" w:rsidRDefault="00D75BDB">
                  <w:pPr>
                    <w:ind w:left="-108"/>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The "Upskilling Pathways Recommendatio</w:t>
                  </w:r>
                  <w:r>
                    <w:rPr>
                      <w:rFonts w:ascii="Times New Roman" w:hAnsi="Times New Roman"/>
                      <w:noProof/>
                      <w:color w:val="000000" w:themeColor="text1"/>
                      <w:sz w:val="24"/>
                      <w:szCs w:val="24"/>
                    </w:rPr>
                    <w:t>n", adopted by the Council in December 2016</w:t>
                  </w:r>
                  <w:r>
                    <w:rPr>
                      <w:rFonts w:ascii="Times New Roman" w:hAnsi="Times New Roman"/>
                      <w:b/>
                      <w:noProof/>
                      <w:color w:val="000000" w:themeColor="text1"/>
                      <w:sz w:val="24"/>
                      <w:szCs w:val="24"/>
                      <w:vertAlign w:val="superscript"/>
                    </w:rPr>
                    <w:footnoteReference w:id="63"/>
                  </w:r>
                  <w:r>
                    <w:rPr>
                      <w:rFonts w:ascii="Times New Roman" w:hAnsi="Times New Roman"/>
                      <w:noProof/>
                      <w:color w:val="000000" w:themeColor="text1"/>
                      <w:sz w:val="24"/>
                      <w:szCs w:val="24"/>
                    </w:rPr>
                    <w:t>, calls on Member States to develop a linked series of targeted interventions, establishing a 'pathway' of support to low skilled / low qualified adults, of which there were 63 million in the EU in 2016.</w:t>
                  </w:r>
                </w:p>
                <w:p w:rsidR="00CB01DD" w:rsidRDefault="00CB01DD">
                  <w:pPr>
                    <w:ind w:left="-108"/>
                    <w:jc w:val="both"/>
                    <w:rPr>
                      <w:rFonts w:ascii="Times New Roman" w:hAnsi="Times New Roman"/>
                      <w:noProof/>
                      <w:color w:val="000000" w:themeColor="text1"/>
                      <w:sz w:val="24"/>
                      <w:szCs w:val="24"/>
                    </w:rPr>
                  </w:pPr>
                </w:p>
                <w:p w:rsidR="00CB01DD" w:rsidRDefault="00D75BDB">
                  <w:pPr>
                    <w:ind w:left="-108"/>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It aims</w:t>
                  </w:r>
                  <w:r>
                    <w:rPr>
                      <w:rFonts w:ascii="Times New Roman" w:hAnsi="Times New Roman"/>
                      <w:noProof/>
                      <w:color w:val="000000" w:themeColor="text1"/>
                      <w:sz w:val="24"/>
                      <w:szCs w:val="24"/>
                    </w:rPr>
                    <w:t xml:space="preserve"> at supporting these adults to enhance their literacy, numeracy and digital skills and/or to acquire a broader set of skills by progressing towards higher qualifications. Each beneficiary would be offered:</w:t>
                  </w:r>
                </w:p>
                <w:p w:rsidR="00CB01DD" w:rsidRDefault="00D75BDB">
                  <w:pPr>
                    <w:pStyle w:val="ListParagraph"/>
                    <w:numPr>
                      <w:ilvl w:val="0"/>
                      <w:numId w:val="7"/>
                    </w:numPr>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a skills assessment, to identify existing skills a</w:t>
                  </w:r>
                  <w:r>
                    <w:rPr>
                      <w:rFonts w:ascii="Times New Roman" w:hAnsi="Times New Roman"/>
                      <w:noProof/>
                      <w:color w:val="000000" w:themeColor="text1"/>
                      <w:sz w:val="24"/>
                      <w:szCs w:val="24"/>
                    </w:rPr>
                    <w:t>nd upskilling needs</w:t>
                  </w:r>
                </w:p>
                <w:p w:rsidR="00CB01DD" w:rsidRDefault="00D75BDB">
                  <w:pPr>
                    <w:pStyle w:val="ListParagraph"/>
                    <w:numPr>
                      <w:ilvl w:val="0"/>
                      <w:numId w:val="7"/>
                    </w:numPr>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an offer of education / training designed around this assessment, and</w:t>
                  </w:r>
                </w:p>
                <w:p w:rsidR="00CB01DD" w:rsidRDefault="00D75BDB">
                  <w:pPr>
                    <w:pStyle w:val="ListParagraph"/>
                    <w:numPr>
                      <w:ilvl w:val="0"/>
                      <w:numId w:val="7"/>
                    </w:numPr>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opportunities to have the skills so acquired validated and recognised.</w:t>
                  </w:r>
                </w:p>
                <w:p w:rsidR="00CB01DD" w:rsidRDefault="00D75BDB">
                  <w:pPr>
                    <w:ind w:left="-108"/>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These three steps will be accompanied by outreach, guidance and support measures.</w:t>
                  </w:r>
                </w:p>
                <w:p w:rsidR="00CB01DD" w:rsidRDefault="00CB01DD">
                  <w:pPr>
                    <w:ind w:left="-108"/>
                    <w:jc w:val="both"/>
                    <w:rPr>
                      <w:rFonts w:ascii="Times New Roman" w:hAnsi="Times New Roman"/>
                      <w:noProof/>
                      <w:color w:val="000000" w:themeColor="text1"/>
                      <w:sz w:val="24"/>
                      <w:szCs w:val="24"/>
                    </w:rPr>
                  </w:pPr>
                </w:p>
                <w:p w:rsidR="00CB01DD" w:rsidRDefault="00D75BDB">
                  <w:pPr>
                    <w:ind w:left="-108"/>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The overall </w:t>
                  </w:r>
                  <w:r>
                    <w:rPr>
                      <w:rFonts w:ascii="Times New Roman" w:hAnsi="Times New Roman"/>
                      <w:noProof/>
                      <w:color w:val="000000" w:themeColor="text1"/>
                      <w:sz w:val="24"/>
                      <w:szCs w:val="24"/>
                    </w:rPr>
                    <w:t>policy objectives of the initiative are to:</w:t>
                  </w:r>
                </w:p>
                <w:p w:rsidR="00CB01DD" w:rsidRDefault="00D75BDB">
                  <w:pPr>
                    <w:pStyle w:val="ListParagraph"/>
                    <w:numPr>
                      <w:ilvl w:val="0"/>
                      <w:numId w:val="8"/>
                    </w:numPr>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improve the employment opportunities and overall life chances of adults with low   levels of skills (e.g. adults without upper secondary education) in Europe;</w:t>
                  </w:r>
                </w:p>
                <w:p w:rsidR="00CB01DD" w:rsidRDefault="00D75BDB">
                  <w:pPr>
                    <w:pStyle w:val="ListParagraph"/>
                    <w:numPr>
                      <w:ilvl w:val="0"/>
                      <w:numId w:val="8"/>
                    </w:numPr>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contribute towards up- / re-skilling the whole workfo</w:t>
                  </w:r>
                  <w:r>
                    <w:rPr>
                      <w:rFonts w:ascii="Times New Roman" w:hAnsi="Times New Roman"/>
                      <w:noProof/>
                      <w:color w:val="000000" w:themeColor="text1"/>
                      <w:sz w:val="24"/>
                      <w:szCs w:val="24"/>
                    </w:rPr>
                    <w:t>rce; and</w:t>
                  </w:r>
                </w:p>
                <w:p w:rsidR="00CB01DD" w:rsidRDefault="00D75BDB">
                  <w:pPr>
                    <w:pStyle w:val="ListParagraph"/>
                    <w:numPr>
                      <w:ilvl w:val="0"/>
                      <w:numId w:val="8"/>
                    </w:numPr>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enhance social inclusion and cohesion for adults struggling with basic skills.</w:t>
                  </w:r>
                </w:p>
                <w:p w:rsidR="00CB01DD" w:rsidRDefault="00D75BDB">
                  <w:pPr>
                    <w:tabs>
                      <w:tab w:val="left" w:pos="7421"/>
                    </w:tabs>
                    <w:ind w:left="-108"/>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ab/>
                  </w:r>
                </w:p>
                <w:p w:rsidR="00CB01DD" w:rsidRDefault="00D75BDB">
                  <w:pPr>
                    <w:ind w:left="-108"/>
                    <w:jc w:val="both"/>
                    <w:rPr>
                      <w:rFonts w:ascii="Times New Roman" w:hAnsi="Times New Roman"/>
                      <w:b/>
                      <w:noProof/>
                      <w:color w:val="000000" w:themeColor="text1"/>
                      <w:sz w:val="24"/>
                      <w:szCs w:val="24"/>
                    </w:rPr>
                  </w:pPr>
                  <w:r>
                    <w:rPr>
                      <w:rFonts w:ascii="Times New Roman" w:hAnsi="Times New Roman"/>
                      <w:noProof/>
                      <w:color w:val="000000" w:themeColor="text1"/>
                      <w:sz w:val="24"/>
                      <w:szCs w:val="24"/>
                    </w:rPr>
                    <w:t>Implementation by Member States can be supported by funding from ESF, Erasmus+ and other sources. By mid-2018, Member States should outline the measures they will tak</w:t>
                  </w:r>
                  <w:r>
                    <w:rPr>
                      <w:rFonts w:ascii="Times New Roman" w:hAnsi="Times New Roman"/>
                      <w:noProof/>
                      <w:color w:val="000000" w:themeColor="text1"/>
                      <w:sz w:val="24"/>
                      <w:szCs w:val="24"/>
                    </w:rPr>
                    <w:t>e to implement this Recommendation, including to which groups of low-skilled adults they will give priority.</w:t>
                  </w:r>
                </w:p>
              </w:tc>
            </w:tr>
          </w:tbl>
          <w:p w:rsidR="00CB01DD" w:rsidRDefault="00CB01DD">
            <w:pPr>
              <w:spacing w:line="360" w:lineRule="auto"/>
              <w:jc w:val="both"/>
              <w:rPr>
                <w:rFonts w:ascii="Times New Roman" w:hAnsi="Times New Roman" w:cs="Times New Roman"/>
                <w:noProof/>
                <w:sz w:val="24"/>
                <w:szCs w:val="24"/>
              </w:rPr>
            </w:pPr>
          </w:p>
        </w:tc>
      </w:tr>
    </w:tbl>
    <w:p w:rsidR="00CB01DD" w:rsidRDefault="00CB01DD">
      <w:pPr>
        <w:spacing w:line="360" w:lineRule="auto"/>
        <w:jc w:val="both"/>
        <w:rPr>
          <w:rFonts w:ascii="Times New Roman" w:hAnsi="Times New Roman" w:cs="Times New Roman"/>
          <w:noProof/>
          <w:sz w:val="24"/>
          <w:szCs w:val="24"/>
        </w:rPr>
      </w:pPr>
    </w:p>
    <w:p w:rsidR="00CB01DD" w:rsidRDefault="00D75BDB">
      <w:pPr>
        <w:spacing w:line="360" w:lineRule="auto"/>
        <w:jc w:val="both"/>
        <w:rPr>
          <w:rFonts w:ascii="Times New Roman" w:hAnsi="Times New Roman"/>
          <w:b/>
          <w:bCs/>
          <w:noProof/>
          <w:sz w:val="24"/>
          <w:szCs w:val="24"/>
        </w:rPr>
      </w:pPr>
      <w:r>
        <w:rPr>
          <w:rFonts w:ascii="Times New Roman" w:hAnsi="Times New Roman"/>
          <w:b/>
          <w:bCs/>
          <w:noProof/>
          <w:sz w:val="24"/>
          <w:szCs w:val="24"/>
        </w:rPr>
        <w:t xml:space="preserve">In the field of adult education, some Member states undertook measures to encourage more active participation in adult learning, especially towards improving basic skills. </w:t>
      </w:r>
      <w:r>
        <w:rPr>
          <w:rFonts w:ascii="Times New Roman" w:hAnsi="Times New Roman"/>
          <w:noProof/>
          <w:sz w:val="24"/>
          <w:szCs w:val="24"/>
        </w:rPr>
        <w:t>Bulgaria introduced a measure for better providing of competences for basic educatio</w:t>
      </w:r>
      <w:r>
        <w:rPr>
          <w:rFonts w:ascii="Times New Roman" w:hAnsi="Times New Roman"/>
          <w:noProof/>
          <w:sz w:val="24"/>
          <w:szCs w:val="24"/>
        </w:rPr>
        <w:t>nal level for illiterate or poorly literate persons over 16 years old. Croatia has announced a plan to ensure that the educational activities contribute to better employability of unemployed persons in areas with the greatest shortage of skilled workers. C</w:t>
      </w:r>
      <w:r>
        <w:rPr>
          <w:rFonts w:ascii="Times New Roman" w:hAnsi="Times New Roman"/>
          <w:noProof/>
          <w:sz w:val="24"/>
          <w:szCs w:val="24"/>
        </w:rPr>
        <w:t>yprus introduced changes in financial support to enterprises that invest in life-long learning to encourage more participation of adults with lower educational attainment in adult education. Portugal has presented a comprehensive programme (the 'Qualifica'</w:t>
      </w:r>
      <w:r>
        <w:rPr>
          <w:rFonts w:ascii="Times New Roman" w:hAnsi="Times New Roman"/>
          <w:noProof/>
          <w:sz w:val="24"/>
          <w:szCs w:val="24"/>
        </w:rPr>
        <w:t xml:space="preserve"> programme) aimed at providing adults with qualifications based on skills acquired by experience and complementing them with further modular training.</w:t>
      </w:r>
    </w:p>
    <w:p w:rsidR="00CB01DD" w:rsidRDefault="00D75BDB">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Member States have taken steps to facilitate social dialogue on the issues of vocational education and tr</w:t>
      </w:r>
      <w:r>
        <w:rPr>
          <w:rFonts w:ascii="Times New Roman" w:hAnsi="Times New Roman" w:cs="Times New Roman"/>
          <w:b/>
          <w:noProof/>
          <w:sz w:val="24"/>
          <w:szCs w:val="24"/>
        </w:rPr>
        <w:t>aining.</w:t>
      </w:r>
      <w:r>
        <w:rPr>
          <w:rFonts w:ascii="Times New Roman" w:hAnsi="Times New Roman" w:cs="Times New Roman"/>
          <w:noProof/>
          <w:sz w:val="24"/>
          <w:szCs w:val="24"/>
        </w:rPr>
        <w:t xml:space="preserve"> In Spain, the Government recently set up national discussion tables with the social partners to discuss a range of issues on employment, among which the quality of vocational training. In Greece, pilot tenders will be launched in 2017 for a series </w:t>
      </w:r>
      <w:r>
        <w:rPr>
          <w:rFonts w:ascii="Times New Roman" w:hAnsi="Times New Roman" w:cs="Times New Roman"/>
          <w:noProof/>
          <w:sz w:val="24"/>
          <w:szCs w:val="24"/>
        </w:rPr>
        <w:t>of business community-led partnerships for vocational education and training, involving sectoral and local employer representative bodies and social partners. In Latvia, the social partners, especially employers, have been involved in many aspects of the V</w:t>
      </w:r>
      <w:r>
        <w:rPr>
          <w:rFonts w:ascii="Times New Roman" w:hAnsi="Times New Roman" w:cs="Times New Roman"/>
          <w:noProof/>
          <w:sz w:val="24"/>
          <w:szCs w:val="24"/>
        </w:rPr>
        <w:t>ET reforms. In 2016, secondary legislation to create sectoral expert councils and procedures for updating curricula was passed amending to the Vocational Education Law adopted in 2015. Moreover, in the frame of the implementation plan 2016-2020 of the Adul</w:t>
      </w:r>
      <w:r>
        <w:rPr>
          <w:rFonts w:ascii="Times New Roman" w:hAnsi="Times New Roman" w:cs="Times New Roman"/>
          <w:noProof/>
          <w:sz w:val="24"/>
          <w:szCs w:val="24"/>
        </w:rPr>
        <w:t xml:space="preserve">t Education Governance Model, the Adult Education Governing Board was established that involves ministries, </w:t>
      </w:r>
      <w:r>
        <w:rPr>
          <w:rFonts w:ascii="Times New Roman" w:hAnsi="Times New Roman" w:cs="Times New Roman"/>
          <w:bCs/>
          <w:noProof/>
          <w:sz w:val="24"/>
          <w:szCs w:val="24"/>
        </w:rPr>
        <w:t>social partners,</w:t>
      </w:r>
      <w:r>
        <w:rPr>
          <w:rFonts w:ascii="Times New Roman" w:hAnsi="Times New Roman" w:cs="Times New Roman"/>
          <w:noProof/>
          <w:sz w:val="24"/>
          <w:szCs w:val="24"/>
        </w:rPr>
        <w:t xml:space="preserve"> municipalities, adult education association and other stakeholders. The Board, taking into account the labour market situation, reviews and approves priorities for the adult education and ensures regular assessment of adult education results (including su</w:t>
      </w:r>
      <w:r>
        <w:rPr>
          <w:rFonts w:ascii="Times New Roman" w:hAnsi="Times New Roman" w:cs="Times New Roman"/>
          <w:noProof/>
          <w:sz w:val="24"/>
          <w:szCs w:val="24"/>
        </w:rPr>
        <w:t>pply and demand of education programmes).</w:t>
      </w:r>
    </w:p>
    <w:p w:rsidR="00CB01DD" w:rsidRDefault="00D75BDB">
      <w:pPr>
        <w:spacing w:line="360" w:lineRule="auto"/>
        <w:jc w:val="both"/>
        <w:rPr>
          <w:rFonts w:ascii="Times New Roman" w:hAnsi="Times New Roman" w:cs="Times New Roman"/>
          <w:noProof/>
          <w:sz w:val="24"/>
          <w:szCs w:val="24"/>
        </w:rPr>
      </w:pPr>
      <w:r>
        <w:rPr>
          <w:rFonts w:ascii="Times New Roman" w:eastAsia="Calibri" w:hAnsi="Times New Roman" w:cs="Times New Roman"/>
          <w:b/>
          <w:bCs/>
          <w:noProof/>
          <w:sz w:val="24"/>
          <w:szCs w:val="24"/>
        </w:rPr>
        <w:t xml:space="preserve">Validation of skills acquired outside of the formal education and training system is particularly relevant. </w:t>
      </w:r>
      <w:r>
        <w:rPr>
          <w:rFonts w:ascii="Times New Roman" w:eastAsia="Calibri" w:hAnsi="Times New Roman" w:cs="Times New Roman"/>
          <w:bCs/>
          <w:noProof/>
          <w:sz w:val="24"/>
          <w:szCs w:val="24"/>
        </w:rPr>
        <w:t>It</w:t>
      </w:r>
      <w:r>
        <w:rPr>
          <w:rFonts w:ascii="Times New Roman" w:eastAsia="Calibri" w:hAnsi="Times New Roman" w:cs="Times New Roman"/>
          <w:b/>
          <w:bCs/>
          <w:noProof/>
          <w:sz w:val="24"/>
          <w:szCs w:val="24"/>
        </w:rPr>
        <w:t xml:space="preserve"> </w:t>
      </w:r>
      <w:r>
        <w:rPr>
          <w:rFonts w:ascii="Times New Roman" w:eastAsia="Calibri" w:hAnsi="Times New Roman" w:cs="Times New Roman"/>
          <w:bCs/>
          <w:noProof/>
          <w:sz w:val="24"/>
          <w:szCs w:val="24"/>
        </w:rPr>
        <w:t>is particularly so for people with lower qualifications, unemployed or at risk of unemployment, migrant</w:t>
      </w:r>
      <w:r>
        <w:rPr>
          <w:rFonts w:ascii="Times New Roman" w:eastAsia="Calibri" w:hAnsi="Times New Roman" w:cs="Times New Roman"/>
          <w:bCs/>
          <w:noProof/>
          <w:sz w:val="24"/>
          <w:szCs w:val="24"/>
        </w:rPr>
        <w:t>s, and for those seeking to change their career paths. Although national approaches vary, validation arrangements are planned or in place in all Member States. National mechanisms to coordinate validation arrangements across sectors of education, labour ma</w:t>
      </w:r>
      <w:r>
        <w:rPr>
          <w:rFonts w:ascii="Times New Roman" w:eastAsia="Calibri" w:hAnsi="Times New Roman" w:cs="Times New Roman"/>
          <w:bCs/>
          <w:noProof/>
          <w:sz w:val="24"/>
          <w:szCs w:val="24"/>
        </w:rPr>
        <w:t>rket and the third sector have been established by 15 Member States (Belgium, Denmark, France, Greece, Ireland, Italy, Latvia, Malta, the Netherlands, Poland, Portugal, Romania, Spain and Sweden).</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National Skills Strategies can play an important role in ad</w:t>
      </w:r>
      <w:r>
        <w:rPr>
          <w:rFonts w:ascii="Times New Roman" w:hAnsi="Times New Roman" w:cs="Times New Roman"/>
          <w:b/>
          <w:noProof/>
          <w:sz w:val="24"/>
          <w:szCs w:val="24"/>
        </w:rPr>
        <w:t xml:space="preserve">dressing the fragmentation of skills polices </w:t>
      </w:r>
      <w:r>
        <w:rPr>
          <w:rFonts w:ascii="Times New Roman" w:hAnsi="Times New Roman" w:cs="Times New Roman"/>
          <w:noProof/>
          <w:sz w:val="24"/>
          <w:szCs w:val="24"/>
        </w:rPr>
        <w:t>in many countries and providing coherence between the various strands of policy, the various financial resources supporting skills and all the actors concerned. They can provide a strategic assessment of a count</w:t>
      </w:r>
      <w:r>
        <w:rPr>
          <w:rFonts w:ascii="Times New Roman" w:hAnsi="Times New Roman" w:cs="Times New Roman"/>
          <w:noProof/>
          <w:sz w:val="24"/>
          <w:szCs w:val="24"/>
        </w:rPr>
        <w:t xml:space="preserve">ry's skills system, identify the main skills challenges and lead to an action plan to address these. With the technical help of the OECD, the Commission is supporting the development of skills strategies in Italy, Portugal, and Slovenia (and previously in </w:t>
      </w:r>
      <w:r>
        <w:rPr>
          <w:rFonts w:ascii="Times New Roman" w:hAnsi="Times New Roman" w:cs="Times New Roman"/>
          <w:noProof/>
          <w:sz w:val="24"/>
          <w:szCs w:val="24"/>
        </w:rPr>
        <w:t>Spain). The Netherlands and Austria also embarked on National Skills Strategy projects using national funding alone.</w:t>
      </w:r>
    </w:p>
    <w:p w:rsidR="00CB01DD" w:rsidRDefault="00D75BDB">
      <w:pPr>
        <w:spacing w:line="360" w:lineRule="auto"/>
        <w:jc w:val="both"/>
        <w:rPr>
          <w:rFonts w:ascii="Times New Roman" w:hAnsi="Times New Roman" w:cs="Times New Roman"/>
          <w:noProof/>
          <w:sz w:val="24"/>
          <w:szCs w:val="24"/>
        </w:rPr>
      </w:pPr>
      <w:r>
        <w:rPr>
          <w:rFonts w:ascii="Times New Roman" w:eastAsia="Calibri" w:hAnsi="Times New Roman" w:cs="Times New Roman"/>
          <w:b/>
          <w:bCs/>
          <w:noProof/>
          <w:sz w:val="24"/>
          <w:szCs w:val="24"/>
        </w:rPr>
        <w:t>Knowing what skills are and will be needed in future can help Member States adjust their policies to better address any skills imbalances o</w:t>
      </w:r>
      <w:r>
        <w:rPr>
          <w:rFonts w:ascii="Times New Roman" w:eastAsia="Calibri" w:hAnsi="Times New Roman" w:cs="Times New Roman"/>
          <w:b/>
          <w:bCs/>
          <w:noProof/>
          <w:sz w:val="24"/>
          <w:szCs w:val="24"/>
        </w:rPr>
        <w:t xml:space="preserve">n their labour markets. </w:t>
      </w:r>
      <w:r>
        <w:rPr>
          <w:rFonts w:ascii="Times New Roman" w:eastAsia="Calibri" w:hAnsi="Times New Roman" w:cs="Times New Roman"/>
          <w:bCs/>
          <w:noProof/>
          <w:sz w:val="24"/>
          <w:szCs w:val="24"/>
        </w:rPr>
        <w:t xml:space="preserve">The need to align skills to the labour market needs has already triggered a number of actions across Member States. To attract more ICT workers and entrepreneurs, Estonia has modified the Aliens Act by </w:t>
      </w:r>
      <w:r>
        <w:rPr>
          <w:rFonts w:ascii="Times New Roman" w:eastAsia="Calibri" w:hAnsi="Times New Roman" w:cs="Times New Roman"/>
          <w:bCs/>
          <w:i/>
          <w:noProof/>
          <w:sz w:val="24"/>
          <w:szCs w:val="24"/>
        </w:rPr>
        <w:t>inter alia</w:t>
      </w:r>
      <w:r>
        <w:rPr>
          <w:rFonts w:ascii="Times New Roman" w:eastAsia="Calibri" w:hAnsi="Times New Roman" w:cs="Times New Roman"/>
          <w:bCs/>
          <w:noProof/>
          <w:sz w:val="24"/>
          <w:szCs w:val="24"/>
        </w:rPr>
        <w:t xml:space="preserve"> changing the requir</w:t>
      </w:r>
      <w:r>
        <w:rPr>
          <w:rFonts w:ascii="Times New Roman" w:eastAsia="Calibri" w:hAnsi="Times New Roman" w:cs="Times New Roman"/>
          <w:bCs/>
          <w:noProof/>
          <w:sz w:val="24"/>
          <w:szCs w:val="24"/>
        </w:rPr>
        <w:t>ement of permanent residence in Estonia and exempting major investors, ICT workers and start-up entrepreneurs from the immigration quota. France is opening 500 new specific training pathways in line with the identified future labour market needs (such as I</w:t>
      </w:r>
      <w:r>
        <w:rPr>
          <w:rFonts w:ascii="Times New Roman" w:eastAsia="Calibri" w:hAnsi="Times New Roman" w:cs="Times New Roman"/>
          <w:bCs/>
          <w:noProof/>
          <w:sz w:val="24"/>
          <w:szCs w:val="24"/>
        </w:rPr>
        <w:t>CT, green economy) or in recruiting sectors (industry, security, catering, etc.) adjusted to local / regional profiles. Ireland has launched the National Skills Council and nine regional skills fora to help anticipate and respond to the rapidly changing sk</w:t>
      </w:r>
      <w:r>
        <w:rPr>
          <w:rFonts w:ascii="Times New Roman" w:eastAsia="Calibri" w:hAnsi="Times New Roman" w:cs="Times New Roman"/>
          <w:bCs/>
          <w:noProof/>
          <w:sz w:val="24"/>
          <w:szCs w:val="24"/>
        </w:rPr>
        <w:t xml:space="preserve">ills needs across all sectors. In Hungary the ESF co-financed projects help unemployed acquire the skills and work experience necessary for occupations experiencing labour shortages. </w:t>
      </w:r>
    </w:p>
    <w:p w:rsidR="00CB01DD" w:rsidRDefault="00D75BDB">
      <w:pPr>
        <w:spacing w:line="360" w:lineRule="auto"/>
        <w:jc w:val="both"/>
        <w:rPr>
          <w:rFonts w:ascii="Times New Roman" w:hAnsi="Times New Roman" w:cs="Times New Roman"/>
          <w:noProof/>
          <w:sz w:val="24"/>
          <w:szCs w:val="24"/>
        </w:rPr>
      </w:pPr>
      <w:r>
        <w:rPr>
          <w:rFonts w:ascii="Times New Roman" w:eastAsia="Calibri" w:hAnsi="Times New Roman" w:cs="Times New Roman"/>
          <w:b/>
          <w:bCs/>
          <w:noProof/>
          <w:sz w:val="24"/>
          <w:szCs w:val="24"/>
        </w:rPr>
        <w:t>Member States are stepping up efforts to expand and develop their career</w:t>
      </w:r>
      <w:r>
        <w:rPr>
          <w:rFonts w:ascii="Times New Roman" w:eastAsia="Calibri" w:hAnsi="Times New Roman" w:cs="Times New Roman"/>
          <w:b/>
          <w:bCs/>
          <w:noProof/>
          <w:sz w:val="24"/>
          <w:szCs w:val="24"/>
        </w:rPr>
        <w:t xml:space="preserve"> guidance services.</w:t>
      </w:r>
      <w:r>
        <w:rPr>
          <w:rFonts w:ascii="Times New Roman" w:eastAsia="Calibri" w:hAnsi="Times New Roman" w:cs="Times New Roman"/>
          <w:bCs/>
          <w:noProof/>
          <w:sz w:val="24"/>
          <w:szCs w:val="24"/>
        </w:rPr>
        <w:t xml:space="preserve"> In Cyprus free career counselling services are offered to young soldiers and a project financed by the European Social Fund and the Youth Employment Initiative is under way to expand the outreach of counselling services to those not in </w:t>
      </w:r>
      <w:r>
        <w:rPr>
          <w:rFonts w:ascii="Times New Roman" w:eastAsia="Calibri" w:hAnsi="Times New Roman" w:cs="Times New Roman"/>
          <w:bCs/>
          <w:noProof/>
          <w:sz w:val="24"/>
          <w:szCs w:val="24"/>
        </w:rPr>
        <w:t>education, employment or training (NEETs). In Malta, starting from the academic year 2017-2018, career guidance programmes will be launched in all state colleges to encourage post-secondary education or employment.</w:t>
      </w:r>
    </w:p>
    <w:p w:rsidR="00CB01DD" w:rsidRDefault="00D75BDB">
      <w:pPr>
        <w:spacing w:line="360" w:lineRule="auto"/>
        <w:jc w:val="both"/>
        <w:rPr>
          <w:rFonts w:ascii="Times New Roman" w:hAnsi="Times New Roman" w:cs="Times New Roman"/>
          <w:noProof/>
          <w:sz w:val="24"/>
          <w:szCs w:val="24"/>
        </w:rPr>
      </w:pPr>
      <w:r>
        <w:rPr>
          <w:rFonts w:ascii="Times New Roman" w:hAnsi="Times New Roman"/>
          <w:b/>
          <w:noProof/>
          <w:sz w:val="24"/>
        </w:rPr>
        <w:t>Young people’s labour market situation ha</w:t>
      </w:r>
      <w:r>
        <w:rPr>
          <w:rFonts w:ascii="Times New Roman" w:hAnsi="Times New Roman"/>
          <w:b/>
          <w:noProof/>
          <w:sz w:val="24"/>
        </w:rPr>
        <w:t>s improved significantly, also thanks to structural reforms supported by the Youth Guarantee</w:t>
      </w:r>
      <w:r>
        <w:rPr>
          <w:rFonts w:ascii="Times New Roman" w:hAnsi="Times New Roman"/>
          <w:noProof/>
          <w:sz w:val="24"/>
        </w:rPr>
        <w:t>. Youth Guarantee schemes are consolidating, though additional efforts are needed in most countries to increase their coverage and impact, as well as ensure sustain</w:t>
      </w:r>
      <w:r>
        <w:rPr>
          <w:rFonts w:ascii="Times New Roman" w:hAnsi="Times New Roman"/>
          <w:noProof/>
          <w:sz w:val="24"/>
        </w:rPr>
        <w:t xml:space="preserve">able implementation. In 2015 alone, 5.5 million young people entered Youth Guarantee schemes and 3.5 million took up an offer of employment, apprenticeship, traineeship or continued education. Almost half of all NEETs aged 15-24 were enrolled in the Youth </w:t>
      </w:r>
      <w:r>
        <w:rPr>
          <w:rFonts w:ascii="Times New Roman" w:hAnsi="Times New Roman"/>
          <w:noProof/>
          <w:sz w:val="24"/>
        </w:rPr>
        <w:t xml:space="preserve">Guarantee in 2015.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b/>
          <w:noProof/>
          <w:sz w:val="24"/>
        </w:rPr>
        <w:t>Reaching out to young people, encouraging them to register with Public Employment Services and receive adequate support is an important priority</w:t>
      </w:r>
      <w:r>
        <w:rPr>
          <w:rFonts w:ascii="Times New Roman" w:hAnsi="Times New Roman"/>
          <w:noProof/>
          <w:sz w:val="24"/>
        </w:rPr>
        <w:t>, in particular in Member States with high rates of inactive and non-registered NEETs. In Sp</w:t>
      </w:r>
      <w:r>
        <w:rPr>
          <w:rFonts w:ascii="Times New Roman" w:hAnsi="Times New Roman"/>
          <w:noProof/>
          <w:sz w:val="24"/>
        </w:rPr>
        <w:t xml:space="preserve">ain, a Royal Decree-law was adopted in December 2016 that simplifies and promotes young job-seekers’ registration to the Youth Guarantee National System. Portugal presented in June 2017 a new national strategy for NEET outreach and registration which aims </w:t>
      </w:r>
      <w:r>
        <w:rPr>
          <w:rFonts w:ascii="Times New Roman" w:hAnsi="Times New Roman"/>
          <w:noProof/>
          <w:sz w:val="24"/>
        </w:rPr>
        <w:t>at registering at least 30 000 more NEETs and enlarging the national network of Youth Guarantee partners. Romania is launching new outreach measures  to increase the number of young NEETs registered with the PES by 200 000 via preventive identification, an</w:t>
      </w:r>
      <w:r>
        <w:rPr>
          <w:rFonts w:ascii="Times New Roman" w:hAnsi="Times New Roman"/>
          <w:noProof/>
          <w:sz w:val="24"/>
        </w:rPr>
        <w:t xml:space="preserve"> information and awareness campaign, support networks, and intervention teams involving the PES, social assistants and education advisers. The Bulgarian authorities are initiating new outreach measures targeting the activation and integration into employme</w:t>
      </w:r>
      <w:r>
        <w:rPr>
          <w:rFonts w:ascii="Times New Roman" w:hAnsi="Times New Roman"/>
          <w:noProof/>
          <w:sz w:val="24"/>
        </w:rPr>
        <w:t xml:space="preserve">nt of unregistered NEETs under the age of 29.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b/>
          <w:noProof/>
          <w:sz w:val="24"/>
        </w:rPr>
        <w:t>Better supporting young people facing multiple barriers remains a challenge in this context</w:t>
      </w:r>
      <w:r>
        <w:rPr>
          <w:rFonts w:ascii="Times New Roman" w:hAnsi="Times New Roman"/>
          <w:noProof/>
          <w:sz w:val="24"/>
        </w:rPr>
        <w:t>. In France, the "Garantie jeunes" launched in October 2013 as an experiment has been extended in 2017 to all NEETs ag</w:t>
      </w:r>
      <w:r>
        <w:rPr>
          <w:rFonts w:ascii="Times New Roman" w:hAnsi="Times New Roman"/>
          <w:noProof/>
          <w:sz w:val="24"/>
        </w:rPr>
        <w:t>ed between 16 and 25 at risk of social exclusion and with an income lower than the minimum income. It provides an intensified path to the labour market, combining intensive counselling measures and work experience. In Slovakia, the National project “Restar</w:t>
      </w:r>
      <w:r>
        <w:rPr>
          <w:rFonts w:ascii="Times New Roman" w:hAnsi="Times New Roman"/>
          <w:noProof/>
          <w:sz w:val="24"/>
        </w:rPr>
        <w:t xml:space="preserve">t for young jobseekers - Creation of jobs for young long term unemployed” launched in July 2017 aims at motivating young jobseekers to find employment through 30 hours of counselling combined with a financial incentive for those who find employment.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b/>
          <w:noProof/>
          <w:sz w:val="24"/>
        </w:rPr>
        <w:t>A smo</w:t>
      </w:r>
      <w:r>
        <w:rPr>
          <w:rFonts w:ascii="Times New Roman" w:hAnsi="Times New Roman"/>
          <w:b/>
          <w:noProof/>
          <w:sz w:val="24"/>
        </w:rPr>
        <w:t>oth coordination among employment, education and youth policies is essential to better support young people’s transition from education and unemployment to work.</w:t>
      </w:r>
      <w:r>
        <w:rPr>
          <w:rFonts w:ascii="Times New Roman" w:hAnsi="Times New Roman"/>
          <w:noProof/>
          <w:sz w:val="24"/>
        </w:rPr>
        <w:t xml:space="preserve"> New partnerships are being set up. In Cyprus</w:t>
      </w:r>
      <w:r>
        <w:rPr>
          <w:rFonts w:ascii="Times New Roman" w:hAnsi="Times New Roman"/>
          <w:b/>
          <w:noProof/>
          <w:sz w:val="24"/>
        </w:rPr>
        <w:t>,</w:t>
      </w:r>
      <w:r>
        <w:rPr>
          <w:rFonts w:ascii="Times New Roman" w:hAnsi="Times New Roman"/>
          <w:noProof/>
          <w:sz w:val="24"/>
        </w:rPr>
        <w:t xml:space="preserve"> the Career Counselling and Education Services in</w:t>
      </w:r>
      <w:r>
        <w:rPr>
          <w:rFonts w:ascii="Times New Roman" w:hAnsi="Times New Roman"/>
          <w:noProof/>
          <w:sz w:val="24"/>
        </w:rPr>
        <w:t xml:space="preserve"> Secondary Education will be enhanced to offer more targeted guidance and counselling services to young people aged 15 to 24. In addition, the Youth Board of Cyprus’ Youth Information Centres offer specialised studying and career counselling services to st</w:t>
      </w:r>
      <w:r>
        <w:rPr>
          <w:rFonts w:ascii="Times New Roman" w:hAnsi="Times New Roman"/>
          <w:noProof/>
          <w:sz w:val="24"/>
        </w:rPr>
        <w:t>udents as well as young NEETs. In Lithuania, a pilot mentoring programme has been implemented nationwide in 2016, whereby the PES cooperates with a network of psychologists and academic training institutions to better support youth (as well as long term un</w:t>
      </w:r>
      <w:r>
        <w:rPr>
          <w:rFonts w:ascii="Times New Roman" w:hAnsi="Times New Roman"/>
          <w:noProof/>
          <w:sz w:val="24"/>
        </w:rPr>
        <w:t>employed and older workers).</w:t>
      </w:r>
    </w:p>
    <w:p w:rsidR="00CB01DD" w:rsidRDefault="00D75BDB">
      <w:pPr>
        <w:spacing w:line="360" w:lineRule="auto"/>
        <w:jc w:val="both"/>
        <w:rPr>
          <w:rFonts w:ascii="Times New Roman" w:hAnsi="Times New Roman" w:cs="Times New Roman"/>
          <w:noProof/>
          <w:sz w:val="24"/>
          <w:szCs w:val="24"/>
        </w:rPr>
      </w:pPr>
      <w:r>
        <w:rPr>
          <w:rFonts w:ascii="Times New Roman" w:hAnsi="Times New Roman"/>
          <w:b/>
          <w:noProof/>
          <w:sz w:val="24"/>
        </w:rPr>
        <w:t>Member States are investing in re-skilling and up-skilling young people to enhance their employability.</w:t>
      </w:r>
      <w:r>
        <w:rPr>
          <w:rFonts w:ascii="Times New Roman" w:hAnsi="Times New Roman"/>
          <w:noProof/>
          <w:sz w:val="24"/>
        </w:rPr>
        <w:t xml:space="preserve"> In Slovakia, a national project is investing EUR 30.9 million to support the employability of young jobseekers through retr</w:t>
      </w:r>
      <w:r>
        <w:rPr>
          <w:rFonts w:ascii="Times New Roman" w:hAnsi="Times New Roman"/>
          <w:noProof/>
          <w:sz w:val="24"/>
        </w:rPr>
        <w:t>aining, strengthening of key competences, or training and education for the labour market on their own initiative. In Spain, since February 2017 an example of good practice is represented by a digital skills training programme offering training oriented to</w:t>
      </w:r>
      <w:r>
        <w:rPr>
          <w:rFonts w:ascii="Times New Roman" w:hAnsi="Times New Roman"/>
          <w:noProof/>
          <w:sz w:val="24"/>
        </w:rPr>
        <w:t xml:space="preserve"> the digital industry and new business models. In Sweden, the measure 'Start Studying Support' (Studiestartsstödet) adopted in July 2017 is expected to make approx. 15,000-20,000 low-skilled people with serious educational needs (including newly arrived mi</w:t>
      </w:r>
      <w:r>
        <w:rPr>
          <w:rFonts w:ascii="Times New Roman" w:hAnsi="Times New Roman"/>
          <w:noProof/>
          <w:sz w:val="24"/>
        </w:rPr>
        <w:t xml:space="preserve">grants with limited education) engage in studies at primary and secondary level each year. </w:t>
      </w:r>
    </w:p>
    <w:p w:rsidR="00CB01DD" w:rsidRDefault="00D75BDB">
      <w:pPr>
        <w:spacing w:line="360" w:lineRule="auto"/>
        <w:jc w:val="both"/>
        <w:rPr>
          <w:rFonts w:ascii="Times New Roman" w:hAnsi="Times New Roman"/>
          <w:noProof/>
          <w:sz w:val="24"/>
        </w:rPr>
      </w:pPr>
      <w:r>
        <w:rPr>
          <w:rFonts w:ascii="Times New Roman" w:hAnsi="Times New Roman"/>
          <w:b/>
          <w:noProof/>
          <w:sz w:val="24"/>
        </w:rPr>
        <w:t>In a still challenging macro-economic context, a large number of Member States are supporting labour market demand for young people</w:t>
      </w:r>
      <w:r>
        <w:rPr>
          <w:rFonts w:ascii="Times New Roman" w:hAnsi="Times New Roman"/>
          <w:noProof/>
          <w:sz w:val="24"/>
        </w:rPr>
        <w:t xml:space="preserve"> </w:t>
      </w:r>
      <w:r>
        <w:rPr>
          <w:rFonts w:ascii="Times New Roman" w:hAnsi="Times New Roman"/>
          <w:b/>
          <w:noProof/>
          <w:sz w:val="24"/>
        </w:rPr>
        <w:t>through wage and recruitment sub</w:t>
      </w:r>
      <w:r>
        <w:rPr>
          <w:rFonts w:ascii="Times New Roman" w:hAnsi="Times New Roman"/>
          <w:b/>
          <w:noProof/>
          <w:sz w:val="24"/>
        </w:rPr>
        <w:t xml:space="preserve">sidies. </w:t>
      </w:r>
      <w:r>
        <w:rPr>
          <w:rFonts w:ascii="Times New Roman" w:hAnsi="Times New Roman"/>
          <w:noProof/>
          <w:sz w:val="24"/>
        </w:rPr>
        <w:t>They are</w:t>
      </w:r>
      <w:r>
        <w:rPr>
          <w:rFonts w:ascii="Times New Roman" w:hAnsi="Times New Roman"/>
          <w:b/>
          <w:noProof/>
          <w:sz w:val="24"/>
        </w:rPr>
        <w:t xml:space="preserve"> </w:t>
      </w:r>
      <w:r>
        <w:rPr>
          <w:rFonts w:ascii="Times New Roman" w:hAnsi="Times New Roman"/>
          <w:noProof/>
          <w:sz w:val="24"/>
        </w:rPr>
        <w:t>often funded with support from the European Social Fund and the Youth Employment Initiative. Such schemes are usually targeted at young people further from the labour market (e.g. long-term unemployed, low qualified or without any work exp</w:t>
      </w:r>
      <w:r>
        <w:rPr>
          <w:rFonts w:ascii="Times New Roman" w:hAnsi="Times New Roman"/>
          <w:noProof/>
          <w:sz w:val="24"/>
        </w:rPr>
        <w:t xml:space="preserve">erience) to avoid deadweight and substitution effects. Besides, a strong training component and follow-up of beneficiaries contribute to maximising </w:t>
      </w:r>
      <w:r>
        <w:rPr>
          <w:rFonts w:ascii="Times New Roman" w:hAnsi="Times New Roman" w:cs="Times New Roman"/>
          <w:noProof/>
          <w:sz w:val="24"/>
          <w:szCs w:val="24"/>
        </w:rPr>
        <w:t>their</w:t>
      </w:r>
      <w:r>
        <w:rPr>
          <w:rFonts w:ascii="Times New Roman" w:hAnsi="Times New Roman"/>
          <w:noProof/>
          <w:sz w:val="24"/>
        </w:rPr>
        <w:t xml:space="preserve"> impact. In Belgium, the federal government announced in July 2017 a reduction of employers' social sec</w:t>
      </w:r>
      <w:r>
        <w:rPr>
          <w:rFonts w:ascii="Times New Roman" w:hAnsi="Times New Roman"/>
          <w:noProof/>
          <w:sz w:val="24"/>
        </w:rPr>
        <w:t>urity contributions for the recruitment of young people from 18 to 21 years old. In Cyprus, the Scheme for Job Placement of Young Unemployed Graduates in place since November 2016 supports 6 months job placements in enterprises/organisations to young unemp</w:t>
      </w:r>
      <w:r>
        <w:rPr>
          <w:rFonts w:ascii="Times New Roman" w:hAnsi="Times New Roman"/>
          <w:noProof/>
          <w:sz w:val="24"/>
        </w:rPr>
        <w:t>loyed graduates with limited work experience. 1 in 3 participants were employed 4 months after their participation. In June 2017, Estonia</w:t>
      </w:r>
      <w:r>
        <w:rPr>
          <w:rFonts w:ascii="Times New Roman" w:hAnsi="Times New Roman"/>
          <w:b/>
          <w:noProof/>
          <w:sz w:val="24"/>
        </w:rPr>
        <w:t xml:space="preserve"> </w:t>
      </w:r>
      <w:r>
        <w:rPr>
          <w:rFonts w:ascii="Times New Roman" w:hAnsi="Times New Roman"/>
          <w:noProof/>
          <w:sz w:val="24"/>
        </w:rPr>
        <w:t>amended the “My First Job” scheme to broaden support to youth aged 16-29</w:t>
      </w:r>
      <w:r>
        <w:rPr>
          <w:rFonts w:ascii="Times New Roman" w:hAnsi="Times New Roman"/>
          <w:noProof/>
          <w:sz w:val="24"/>
          <w:lang w:val="et-EE"/>
        </w:rPr>
        <w:t xml:space="preserve">, </w:t>
      </w:r>
      <w:r>
        <w:rPr>
          <w:rFonts w:ascii="Times New Roman" w:hAnsi="Times New Roman"/>
          <w:noProof/>
          <w:sz w:val="24"/>
        </w:rPr>
        <w:t xml:space="preserve">making conditions more flexible and </w:t>
      </w:r>
      <w:r>
        <w:rPr>
          <w:rFonts w:ascii="Times New Roman" w:hAnsi="Times New Roman"/>
          <w:noProof/>
          <w:sz w:val="24"/>
        </w:rPr>
        <w:t>increasing possibilities for training. Within this scheme, employers receive a compensation for work-related training to a value of up to 2,500 euros.</w:t>
      </w:r>
      <w:r>
        <w:rPr>
          <w:rFonts w:ascii="Times New Roman" w:hAnsi="Times New Roman"/>
          <w:noProof/>
          <w:sz w:val="24"/>
          <w:lang w:val="et-EE"/>
        </w:rPr>
        <w:t xml:space="preserve"> </w:t>
      </w:r>
      <w:r>
        <w:rPr>
          <w:rFonts w:ascii="Times New Roman" w:hAnsi="Times New Roman"/>
          <w:noProof/>
          <w:sz w:val="24"/>
        </w:rPr>
        <w:t>In Italy, the 2017 budget law introduced three new types of social security reductions for hiring young p</w:t>
      </w:r>
      <w:r>
        <w:rPr>
          <w:rFonts w:ascii="Times New Roman" w:hAnsi="Times New Roman"/>
          <w:noProof/>
          <w:sz w:val="24"/>
        </w:rPr>
        <w:t>eople under open ended contracts or through professional apprenticeships. In Portugal, a combined support to the recruitment of a young person and older worker ("</w:t>
      </w:r>
      <w:r>
        <w:rPr>
          <w:rFonts w:ascii="Times New Roman" w:hAnsi="Times New Roman"/>
          <w:i/>
          <w:noProof/>
          <w:sz w:val="24"/>
        </w:rPr>
        <w:t>Contrato-Geracao</w:t>
      </w:r>
      <w:r>
        <w:rPr>
          <w:rFonts w:ascii="Times New Roman" w:hAnsi="Times New Roman"/>
          <w:noProof/>
          <w:sz w:val="24"/>
        </w:rPr>
        <w:t>") is being developed to provide support to companies that hire simultaneously</w:t>
      </w:r>
      <w:r>
        <w:rPr>
          <w:rFonts w:ascii="Times New Roman" w:hAnsi="Times New Roman"/>
          <w:noProof/>
          <w:sz w:val="24"/>
        </w:rPr>
        <w:t xml:space="preserve"> a young unemployed person (or a young person looking for a first job) and a long-term unemployed older person.</w:t>
      </w:r>
    </w:p>
    <w:p w:rsidR="00CB01DD" w:rsidRDefault="00D75BDB">
      <w:pPr>
        <w:spacing w:line="360" w:lineRule="auto"/>
        <w:jc w:val="both"/>
        <w:rPr>
          <w:rFonts w:ascii="Times New Roman" w:hAnsi="Times New Roman"/>
          <w:noProof/>
          <w:sz w:val="24"/>
        </w:rPr>
      </w:pPr>
      <w:r>
        <w:rPr>
          <w:rFonts w:ascii="Times New Roman" w:hAnsi="Times New Roman"/>
          <w:b/>
          <w:bCs/>
          <w:noProof/>
          <w:sz w:val="24"/>
        </w:rPr>
        <w:t>Member States continued to adapt their traineeship legislation to the Quality Framework for Traineeships</w:t>
      </w:r>
      <w:r>
        <w:rPr>
          <w:rFonts w:ascii="Times New Roman" w:hAnsi="Times New Roman"/>
          <w:b/>
          <w:bCs/>
          <w:noProof/>
          <w:sz w:val="24"/>
          <w:vertAlign w:val="superscript"/>
        </w:rPr>
        <w:footnoteReference w:id="64"/>
      </w:r>
      <w:r>
        <w:rPr>
          <w:rFonts w:ascii="Times New Roman" w:hAnsi="Times New Roman"/>
          <w:b/>
          <w:bCs/>
          <w:noProof/>
          <w:sz w:val="24"/>
        </w:rPr>
        <w:t xml:space="preserve">. </w:t>
      </w:r>
      <w:r>
        <w:rPr>
          <w:rFonts w:ascii="Times New Roman" w:hAnsi="Times New Roman"/>
          <w:bCs/>
          <w:noProof/>
          <w:sz w:val="24"/>
        </w:rPr>
        <w:t>These traineeship reforms have helped</w:t>
      </w:r>
      <w:r>
        <w:rPr>
          <w:rFonts w:ascii="Times New Roman" w:hAnsi="Times New Roman"/>
          <w:bCs/>
          <w:noProof/>
          <w:sz w:val="24"/>
        </w:rPr>
        <w:t xml:space="preserve"> better prepare young people for labour market needs </w:t>
      </w:r>
      <w:r>
        <w:rPr>
          <w:rFonts w:ascii="Times New Roman" w:hAnsi="Times New Roman"/>
          <w:noProof/>
          <w:sz w:val="24"/>
        </w:rPr>
        <w:t>and build relevant skills, but have also helped strengthen business community engagement.</w:t>
      </w:r>
      <w:r>
        <w:rPr>
          <w:rFonts w:ascii="Times New Roman" w:hAnsi="Times New Roman"/>
          <w:bCs/>
          <w:noProof/>
          <w:sz w:val="24"/>
        </w:rPr>
        <w:t xml:space="preserve"> In Poland social partners have agreed in June 2017 on a national quality framework for traineeships. The </w:t>
      </w:r>
      <w:r>
        <w:rPr>
          <w:rFonts w:ascii="Times New Roman" w:hAnsi="Times New Roman"/>
          <w:noProof/>
          <w:sz w:val="24"/>
        </w:rPr>
        <w:t>Romanian</w:t>
      </w:r>
      <w:r>
        <w:rPr>
          <w:rFonts w:ascii="Times New Roman" w:hAnsi="Times New Roman"/>
          <w:noProof/>
          <w:sz w:val="24"/>
        </w:rPr>
        <w:t xml:space="preserve"> authorities have adopted in July 2017 an update to the apprenticeship and traineeship law to make it more attractive for employers (increasing incentives for them and align the levels of the subsidies in national budget with those from the ESF, thus bette</w:t>
      </w:r>
      <w:r>
        <w:rPr>
          <w:rFonts w:ascii="Times New Roman" w:hAnsi="Times New Roman"/>
          <w:noProof/>
          <w:sz w:val="24"/>
        </w:rPr>
        <w:t>r integrating the budgets).</w:t>
      </w:r>
    </w:p>
    <w:p w:rsidR="00CB01DD" w:rsidRDefault="00CB01DD">
      <w:pPr>
        <w:spacing w:line="360" w:lineRule="auto"/>
        <w:jc w:val="both"/>
        <w:rPr>
          <w:rFonts w:ascii="Times New Roman" w:hAnsi="Times New Roman"/>
          <w:noProof/>
          <w:sz w:val="24"/>
        </w:rPr>
      </w:pPr>
    </w:p>
    <w:p w:rsidR="00CB01DD" w:rsidRDefault="00D75BDB">
      <w:pPr>
        <w:pBdr>
          <w:top w:val="single" w:sz="4" w:space="1" w:color="auto"/>
          <w:left w:val="single" w:sz="4" w:space="4" w:color="auto"/>
          <w:bottom w:val="single" w:sz="4" w:space="1" w:color="auto"/>
          <w:right w:val="single" w:sz="4" w:space="4" w:color="auto"/>
        </w:pBdr>
        <w:jc w:val="both"/>
        <w:rPr>
          <w:rFonts w:ascii="Times New Roman" w:hAnsi="Times New Roman"/>
          <w:b/>
          <w:i/>
          <w:noProof/>
          <w:sz w:val="24"/>
        </w:rPr>
      </w:pPr>
      <w:r>
        <w:rPr>
          <w:rFonts w:ascii="Times New Roman" w:hAnsi="Times New Roman"/>
          <w:b/>
          <w:i/>
          <w:noProof/>
          <w:sz w:val="24"/>
        </w:rPr>
        <w:t>Box 3. Making full use of the European Social Fund (ESF) and the Youth Employment Initiative</w:t>
      </w:r>
    </w:p>
    <w:p w:rsidR="00CB01DD" w:rsidRDefault="00D75BDB">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 xml:space="preserve">With a budget of 86.4 billion EUR for 2014-2020, the European Social Fund (ESF) is one the key EU instruments to address the </w:t>
      </w:r>
      <w:r>
        <w:rPr>
          <w:rFonts w:ascii="Times New Roman" w:hAnsi="Times New Roman"/>
          <w:noProof/>
          <w:sz w:val="24"/>
        </w:rPr>
        <w:t>challenges identified in the country-specific recommendations (CSRs). The operational programmes adopted in 2014 and 2015 have been designed in a way that ensures close their alignment with the CSRs. Moreover, the Regulations provide for the possibility to</w:t>
      </w:r>
      <w:r>
        <w:rPr>
          <w:rFonts w:ascii="Times New Roman" w:hAnsi="Times New Roman"/>
          <w:noProof/>
          <w:sz w:val="24"/>
        </w:rPr>
        <w:t xml:space="preserve"> re-programme to align with emerging challenges.</w:t>
      </w:r>
    </w:p>
    <w:p w:rsidR="00CB01DD" w:rsidRDefault="00D75BDB">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A key policy priority for the ESF 2014-20 is youth employment, tackled through both the ESF own resources (6.3 billion EUR) and the Youth Employment Initiative (3.2 billion EUR of YEI resources with a ESF ma</w:t>
      </w:r>
      <w:r>
        <w:rPr>
          <w:rFonts w:ascii="Times New Roman" w:hAnsi="Times New Roman"/>
          <w:noProof/>
          <w:sz w:val="24"/>
        </w:rPr>
        <w:t>tching allocation of 3.2 billion EUR).  The YEI has as targets young people who are not in employment, education or training (NEET) in the regions with the highest youth unemployment rates in 2012. The initiative is progressing well. By the end of 2016, ab</w:t>
      </w:r>
      <w:r>
        <w:rPr>
          <w:rFonts w:ascii="Times New Roman" w:hAnsi="Times New Roman"/>
          <w:noProof/>
          <w:sz w:val="24"/>
        </w:rPr>
        <w:t>out 8 million participants had benefitted from European funding supported projects – notably job placements, apprenticeships, traineeships, self-employment measures and continued education and training. 39% of beneficiaries are under 25 years old.</w:t>
      </w:r>
    </w:p>
    <w:p w:rsidR="00CB01DD" w:rsidRDefault="00D75BDB">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In the m</w:t>
      </w:r>
      <w:r>
        <w:rPr>
          <w:rFonts w:ascii="Times New Roman" w:hAnsi="Times New Roman"/>
          <w:noProof/>
          <w:sz w:val="24"/>
        </w:rPr>
        <w:t xml:space="preserve">ajority of Member States the YEI is seen as a key tool for the coverage and design of the respective employment policies. In many Member States, the YEI funds the vast majority of Youth Guarantee measures. </w:t>
      </w:r>
    </w:p>
    <w:p w:rsidR="00CB01DD" w:rsidRDefault="00D75BDB">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The EUR 1.2 billion budget increase of the YEI fo</w:t>
      </w:r>
      <w:r>
        <w:rPr>
          <w:rFonts w:ascii="Times New Roman" w:hAnsi="Times New Roman"/>
          <w:noProof/>
          <w:sz w:val="24"/>
        </w:rPr>
        <w:t>r 2017-2020 approved by the Council and European Parliament should help Member States continue to support unemployed and inactive young people.</w:t>
      </w:r>
    </w:p>
    <w:p w:rsidR="00CB01DD" w:rsidRDefault="00D75BDB">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 xml:space="preserve">The ESF is also a tool for Member States to implement the European Pillar of Social Rights. Interventions under </w:t>
      </w:r>
      <w:r>
        <w:rPr>
          <w:rFonts w:ascii="Times New Roman" w:hAnsi="Times New Roman"/>
          <w:noProof/>
          <w:sz w:val="24"/>
        </w:rPr>
        <w:t>ESF that support the Pillar amount to EUR 27.5 billion for labour market access and EUR 21.2 billion for social inclusion. Each year some 15 million European citizens benefit directly from participating in ESF co-funded projects.</w:t>
      </w:r>
    </w:p>
    <w:p w:rsidR="00CB01DD" w:rsidRDefault="00CB01DD">
      <w:pPr>
        <w:spacing w:line="360" w:lineRule="auto"/>
        <w:jc w:val="both"/>
        <w:rPr>
          <w:rFonts w:ascii="Times New Roman" w:hAnsi="Times New Roman"/>
          <w:b/>
          <w:noProof/>
          <w:sz w:val="24"/>
        </w:rPr>
      </w:pP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In order to support femal</w:t>
      </w:r>
      <w:r>
        <w:rPr>
          <w:rFonts w:ascii="Times New Roman" w:hAnsi="Times New Roman" w:cs="Times New Roman"/>
          <w:b/>
          <w:iCs/>
          <w:noProof/>
          <w:sz w:val="24"/>
          <w:szCs w:val="24"/>
        </w:rPr>
        <w:t xml:space="preserve">e employment, Member States adopted gender-balanced policies supporting workers in reconciling their professional and caring responsibilities. </w:t>
      </w:r>
      <w:r>
        <w:rPr>
          <w:rFonts w:ascii="Times New Roman" w:hAnsi="Times New Roman" w:cs="Times New Roman"/>
          <w:iCs/>
          <w:noProof/>
          <w:sz w:val="24"/>
          <w:szCs w:val="24"/>
        </w:rPr>
        <w:t>Giving both parents adequate leave entitlements and supporting a better sharing of caring responsibilities betwee</w:t>
      </w:r>
      <w:r>
        <w:rPr>
          <w:rFonts w:ascii="Times New Roman" w:hAnsi="Times New Roman" w:cs="Times New Roman"/>
          <w:iCs/>
          <w:noProof/>
          <w:sz w:val="24"/>
          <w:szCs w:val="24"/>
        </w:rPr>
        <w:t>n women and men can enable women to re-enter employment faster and limit the negative impacts of their caring burden on their career progressions. In 2017, the Czech Republic and Cyprus both introduced a new entitlement to paternity leave (respectively 1 a</w:t>
      </w:r>
      <w:r>
        <w:rPr>
          <w:rFonts w:ascii="Times New Roman" w:hAnsi="Times New Roman" w:cs="Times New Roman"/>
          <w:iCs/>
          <w:noProof/>
          <w:sz w:val="24"/>
          <w:szCs w:val="24"/>
        </w:rPr>
        <w:t>nd 2 weeks) and Portugal extended the leave period from 20 to 25 days, 15 of which are mandatory (previously 10). Luxembourg adopted in 2016 a reform of its parental leave system to make it more flexible and better compensated. Germany and Austria recently</w:t>
      </w:r>
      <w:r>
        <w:rPr>
          <w:rFonts w:ascii="Times New Roman" w:hAnsi="Times New Roman" w:cs="Times New Roman"/>
          <w:iCs/>
          <w:noProof/>
          <w:sz w:val="24"/>
          <w:szCs w:val="24"/>
        </w:rPr>
        <w:t xml:space="preserve"> introduced a financial bonus in case both parents take part of the parental leave. In 2017, specific measures to cover self-employed parents were introduced in Denmark and Italy. Spain expanded in January 2017 the right to paternity leave (for birth, adop</w:t>
      </w:r>
      <w:r>
        <w:rPr>
          <w:rFonts w:ascii="Times New Roman" w:hAnsi="Times New Roman" w:cs="Times New Roman"/>
          <w:iCs/>
          <w:noProof/>
          <w:sz w:val="24"/>
          <w:szCs w:val="24"/>
        </w:rPr>
        <w:t>tion or foster care of a child) from two to four weeks for employed fathers.</w:t>
      </w:r>
      <w:r>
        <w:rPr>
          <w:noProof/>
        </w:rPr>
        <w:t xml:space="preserve"> </w:t>
      </w:r>
      <w:r>
        <w:rPr>
          <w:rFonts w:ascii="Times New Roman" w:hAnsi="Times New Roman" w:cs="Times New Roman"/>
          <w:iCs/>
          <w:noProof/>
          <w:sz w:val="24"/>
          <w:szCs w:val="24"/>
        </w:rPr>
        <w:t>Croatia has recently increased the maximum allowance for the second half of the year-long maternity leave for both employed and unemployed parents.</w:t>
      </w:r>
      <w:r>
        <w:rPr>
          <w:noProof/>
        </w:rPr>
        <w:t xml:space="preserve"> </w:t>
      </w:r>
      <w:r>
        <w:rPr>
          <w:rFonts w:ascii="Times New Roman" w:hAnsi="Times New Roman" w:cs="Times New Roman"/>
          <w:iCs/>
          <w:noProof/>
          <w:sz w:val="24"/>
          <w:szCs w:val="24"/>
        </w:rPr>
        <w:t xml:space="preserve">Slovakia increased the </w:t>
      </w:r>
      <w:r>
        <w:rPr>
          <w:rFonts w:ascii="Times New Roman" w:hAnsi="Times New Roman" w:cs="Times New Roman"/>
          <w:iCs/>
          <w:noProof/>
          <w:sz w:val="24"/>
          <w:szCs w:val="24"/>
        </w:rPr>
        <w:t xml:space="preserve">maternity benefit from 70 to 75% of the daily assessment base and extended the list of social services to include childcare facility for children less than three years. In the Netherlands, the Flexible Working Act entered into force in 2016, instating the </w:t>
      </w:r>
      <w:r>
        <w:rPr>
          <w:rFonts w:ascii="Times New Roman" w:hAnsi="Times New Roman" w:cs="Times New Roman"/>
          <w:iCs/>
          <w:noProof/>
          <w:sz w:val="24"/>
          <w:szCs w:val="24"/>
        </w:rPr>
        <w:t>right for employees to request a permanent or temporary change in working hours, a change in the scheduling of working hours, and a change in place of work.</w:t>
      </w: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Women are also most often those caring for dependent and elderly relatives</w:t>
      </w:r>
      <w:r>
        <w:rPr>
          <w:rFonts w:ascii="Times New Roman" w:hAnsi="Times New Roman" w:cs="Times New Roman"/>
          <w:iCs/>
          <w:noProof/>
          <w:sz w:val="24"/>
          <w:szCs w:val="24"/>
        </w:rPr>
        <w:t>. Introducing or strength</w:t>
      </w:r>
      <w:r>
        <w:rPr>
          <w:rFonts w:ascii="Times New Roman" w:hAnsi="Times New Roman" w:cs="Times New Roman"/>
          <w:iCs/>
          <w:noProof/>
          <w:sz w:val="24"/>
          <w:szCs w:val="24"/>
        </w:rPr>
        <w:t xml:space="preserve">ening carers' leave entitlements, as the Czech Republic did in July 2017, can enable women to reconcile their caring and professional responsibilities. In addition to family-related leaves, flexible working arrangements have strong positive impacts female </w:t>
      </w:r>
      <w:r>
        <w:rPr>
          <w:rFonts w:ascii="Times New Roman" w:hAnsi="Times New Roman" w:cs="Times New Roman"/>
          <w:iCs/>
          <w:noProof/>
          <w:sz w:val="24"/>
          <w:szCs w:val="24"/>
        </w:rPr>
        <w:t>employment. In 2016-2017 Belgium, the Czech Republic and Italy introduced measures to facilitate more flexibility with regard to the organisation of work and Romania has launched a public consultation on a proposal on teleworking. Furthermore, several Memb</w:t>
      </w:r>
      <w:r>
        <w:rPr>
          <w:rFonts w:ascii="Times New Roman" w:hAnsi="Times New Roman" w:cs="Times New Roman"/>
          <w:iCs/>
          <w:noProof/>
          <w:sz w:val="24"/>
          <w:szCs w:val="24"/>
        </w:rPr>
        <w:t>er States improved the financial support for carers. In Romania, the government approved the financial centralization of the salary costs of personal assistants for severely disabled. In Malta, carers' pensions and carers' allowances were reformed and incr</w:t>
      </w:r>
      <w:r>
        <w:rPr>
          <w:rFonts w:ascii="Times New Roman" w:hAnsi="Times New Roman" w:cs="Times New Roman"/>
          <w:iCs/>
          <w:noProof/>
          <w:sz w:val="24"/>
          <w:szCs w:val="24"/>
        </w:rPr>
        <w:t>eased. The amounts were raised also in Hungary and the Czech Republic.</w:t>
      </w:r>
      <w:r>
        <w:rPr>
          <w:rFonts w:ascii="Times New Roman" w:hAnsi="Times New Roman"/>
          <w:noProof/>
          <w:sz w:val="24"/>
        </w:rPr>
        <w:t xml:space="preserve"> </w:t>
      </w:r>
      <w:r>
        <w:rPr>
          <w:rFonts w:ascii="Times New Roman" w:hAnsi="Times New Roman" w:cs="Times New Roman"/>
          <w:iCs/>
          <w:noProof/>
          <w:sz w:val="24"/>
          <w:szCs w:val="24"/>
        </w:rPr>
        <w:t>Estonia plans to change the Gender Equality Act to give the Labour Inspectorate the task of monitoring gender equality in the private sector more closely, including by collecting gender</w:t>
      </w:r>
      <w:r>
        <w:rPr>
          <w:rFonts w:ascii="Times New Roman" w:hAnsi="Times New Roman" w:cs="Times New Roman"/>
          <w:iCs/>
          <w:noProof/>
          <w:sz w:val="24"/>
          <w:szCs w:val="24"/>
        </w:rPr>
        <w:t>-disaggregated wage data, by offering training on how to address the gender pay gap and disseminating wage gap information.</w:t>
      </w: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Enhancing access to formal childcare services is an effective tool to tackle obstacles to female employment</w:t>
      </w:r>
      <w:r>
        <w:rPr>
          <w:rFonts w:ascii="Times New Roman" w:hAnsi="Times New Roman" w:cs="Times New Roman"/>
          <w:iCs/>
          <w:noProof/>
          <w:sz w:val="24"/>
          <w:szCs w:val="24"/>
        </w:rPr>
        <w:t>.</w:t>
      </w:r>
      <w:r>
        <w:rPr>
          <w:noProof/>
        </w:rPr>
        <w:t xml:space="preserve"> </w:t>
      </w:r>
      <w:r>
        <w:rPr>
          <w:rFonts w:ascii="Times New Roman" w:hAnsi="Times New Roman" w:cs="Times New Roman"/>
          <w:iCs/>
          <w:noProof/>
          <w:sz w:val="24"/>
          <w:szCs w:val="24"/>
        </w:rPr>
        <w:t xml:space="preserve">The Czech Republic set </w:t>
      </w:r>
      <w:r>
        <w:rPr>
          <w:rFonts w:ascii="Times New Roman" w:hAnsi="Times New Roman" w:cs="Times New Roman"/>
          <w:iCs/>
          <w:noProof/>
          <w:sz w:val="24"/>
          <w:szCs w:val="24"/>
        </w:rPr>
        <w:t>a right of all children to attend pre-school preparatory classes, introducing a compulsory year of preschool education and subsequently guaranteeing places in kindergartens and strengthening support for children with special education needs. Moreover, an E</w:t>
      </w:r>
      <w:r>
        <w:rPr>
          <w:rFonts w:ascii="Times New Roman" w:hAnsi="Times New Roman" w:cs="Times New Roman"/>
          <w:iCs/>
          <w:noProof/>
          <w:sz w:val="24"/>
          <w:szCs w:val="24"/>
        </w:rPr>
        <w:t>SF-piloted project is ongoing for micro-nurseries for children from 6 months to 4 years of age.</w:t>
      </w:r>
      <w:r>
        <w:rPr>
          <w:rFonts w:ascii="Times New Roman" w:hAnsi="Times New Roman"/>
          <w:noProof/>
          <w:sz w:val="24"/>
          <w:szCs w:val="24"/>
        </w:rPr>
        <w:t xml:space="preserve"> The United Kingdom is now fully implementing the Childcare Act 2016, which provided for an additional 15 hours of free childcare for certain working parents of </w:t>
      </w:r>
      <w:r>
        <w:rPr>
          <w:rFonts w:ascii="Times New Roman" w:hAnsi="Times New Roman"/>
          <w:noProof/>
          <w:sz w:val="24"/>
          <w:szCs w:val="24"/>
        </w:rPr>
        <w:t xml:space="preserve">3 and 4 year old children in England, on top of the existing universal provision of 15 hours of free childcare for that same age group. </w:t>
      </w:r>
      <w:r>
        <w:rPr>
          <w:rFonts w:ascii="Times New Roman" w:hAnsi="Times New Roman" w:cs="Times New Roman"/>
          <w:bCs/>
          <w:noProof/>
          <w:sz w:val="24"/>
          <w:szCs w:val="24"/>
        </w:rPr>
        <w:t xml:space="preserve">Luxembourg launched an ambitious reform in 2016 to improve access and quality in early childhood education and care. </w:t>
      </w:r>
      <w:r>
        <w:rPr>
          <w:rFonts w:ascii="Times New Roman" w:hAnsi="Times New Roman"/>
          <w:noProof/>
          <w:sz w:val="24"/>
          <w:szCs w:val="24"/>
        </w:rPr>
        <w:t xml:space="preserve">In </w:t>
      </w:r>
      <w:r>
        <w:rPr>
          <w:rFonts w:ascii="Times New Roman" w:hAnsi="Times New Roman"/>
          <w:noProof/>
          <w:sz w:val="24"/>
          <w:szCs w:val="24"/>
        </w:rPr>
        <w:t>Slovakia, investments in infrastructures are planned to increase the capacity of childcare. In April 2017, the Finnish government proposed to extend free/low-cost childcare to a wider group of low and middle income families. In 2017, some Member States als</w:t>
      </w:r>
      <w:r>
        <w:rPr>
          <w:rFonts w:ascii="Times New Roman" w:hAnsi="Times New Roman"/>
          <w:noProof/>
          <w:sz w:val="24"/>
          <w:szCs w:val="24"/>
        </w:rPr>
        <w:t>o introduced measures to develop services for children in disadvantaged settlements (Hungary) and job-seekers' children (France).</w:t>
      </w:r>
    </w:p>
    <w:p w:rsidR="00CB01DD" w:rsidRDefault="00D75BDB">
      <w:pPr>
        <w:spacing w:line="36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Some Member States also introduced targeted measures in order to encourage women to re-enter the labour market</w:t>
      </w:r>
      <w:r>
        <w:rPr>
          <w:rFonts w:ascii="Times New Roman" w:hAnsi="Times New Roman" w:cs="Times New Roman"/>
          <w:iCs/>
          <w:noProof/>
          <w:sz w:val="24"/>
          <w:szCs w:val="24"/>
        </w:rPr>
        <w:t xml:space="preserve"> </w:t>
      </w:r>
      <w:r>
        <w:rPr>
          <w:rFonts w:ascii="Times New Roman" w:hAnsi="Times New Roman" w:cs="Times New Roman"/>
          <w:b/>
          <w:iCs/>
          <w:noProof/>
          <w:sz w:val="24"/>
          <w:szCs w:val="24"/>
        </w:rPr>
        <w:t>while their chi</w:t>
      </w:r>
      <w:r>
        <w:rPr>
          <w:rFonts w:ascii="Times New Roman" w:hAnsi="Times New Roman" w:cs="Times New Roman"/>
          <w:b/>
          <w:iCs/>
          <w:noProof/>
          <w:sz w:val="24"/>
          <w:szCs w:val="24"/>
        </w:rPr>
        <w:t>ld is still very young.</w:t>
      </w:r>
      <w:r>
        <w:rPr>
          <w:rFonts w:ascii="Times New Roman" w:hAnsi="Times New Roman" w:cs="Times New Roman"/>
          <w:iCs/>
          <w:noProof/>
          <w:sz w:val="24"/>
          <w:szCs w:val="24"/>
        </w:rPr>
        <w:t xml:space="preserve"> For instance, in June 2017 Bulgaria adopted a measure to grant to mothers with children under 1 year of age who return to employment 50% of the childcare benefit on top of their salary. Similarly in Romania, the employment insertion</w:t>
      </w:r>
      <w:r>
        <w:rPr>
          <w:rFonts w:ascii="Times New Roman" w:hAnsi="Times New Roman" w:cs="Times New Roman"/>
          <w:iCs/>
          <w:noProof/>
          <w:sz w:val="24"/>
          <w:szCs w:val="24"/>
        </w:rPr>
        <w:t xml:space="preserve"> stimulus for parents who benefited of a child raising leave increased in April 2017. Other Member States have developed schemes targeted to women who have already taken lengthy career breaks. It is the case of the 'Returnships' scheme for which the United</w:t>
      </w:r>
      <w:r>
        <w:rPr>
          <w:rFonts w:ascii="Times New Roman" w:hAnsi="Times New Roman" w:cs="Times New Roman"/>
          <w:iCs/>
          <w:noProof/>
          <w:sz w:val="24"/>
          <w:szCs w:val="24"/>
        </w:rPr>
        <w:t xml:space="preserve"> Kingdom Spring 2017 budget allocated £5 million (around EUR 5.6 million). Luxembourg passed a law to strengthen the principle of equal pay for women and men and supported awareness raising campaigns and actions to eliminate barriers to female employment. </w:t>
      </w:r>
      <w:r>
        <w:rPr>
          <w:rFonts w:ascii="Times New Roman" w:hAnsi="Times New Roman" w:cs="Times New Roman"/>
          <w:iCs/>
          <w:noProof/>
          <w:sz w:val="24"/>
          <w:szCs w:val="24"/>
        </w:rPr>
        <w:t xml:space="preserve">In order to tackle the negative consequences of women's underrepresentation in the labour market, Sweden is about to submit a proposal to promote more gender equality in pensions. </w:t>
      </w:r>
      <w:r>
        <w:rPr>
          <w:rFonts w:ascii="Times New Roman" w:hAnsi="Times New Roman"/>
          <w:noProof/>
          <w:sz w:val="24"/>
          <w:szCs w:val="24"/>
        </w:rPr>
        <w:t>The Estonian Government has approved a draft act that will modify the parent</w:t>
      </w:r>
      <w:r>
        <w:rPr>
          <w:rFonts w:ascii="Times New Roman" w:hAnsi="Times New Roman"/>
          <w:noProof/>
          <w:sz w:val="24"/>
          <w:szCs w:val="24"/>
        </w:rPr>
        <w:t>al leave and parental benefits scheme by introducing an additional month for fathers, extending the period during which parental benefit can be claimed and raising the employment-related income threshold during parental leave</w:t>
      </w:r>
      <w:r>
        <w:rPr>
          <w:rFonts w:ascii="Times New Roman" w:hAnsi="Times New Roman" w:cs="Times New Roman"/>
          <w:iCs/>
          <w:noProof/>
          <w:sz w:val="24"/>
          <w:szCs w:val="24"/>
        </w:rPr>
        <w:t>. In Malta, free childcare is p</w:t>
      </w:r>
      <w:r>
        <w:rPr>
          <w:rFonts w:ascii="Times New Roman" w:hAnsi="Times New Roman" w:cs="Times New Roman"/>
          <w:iCs/>
          <w:noProof/>
          <w:sz w:val="24"/>
          <w:szCs w:val="24"/>
        </w:rPr>
        <w:t>rovided when both parents are in employment or in education.</w:t>
      </w:r>
    </w:p>
    <w:p w:rsidR="00CB01DD" w:rsidRDefault="00D75BDB">
      <w:pPr>
        <w:spacing w:line="360" w:lineRule="auto"/>
        <w:jc w:val="both"/>
        <w:rPr>
          <w:rFonts w:ascii="Times New Roman" w:hAnsi="Times New Roman"/>
          <w:noProof/>
          <w:sz w:val="24"/>
          <w:szCs w:val="24"/>
        </w:rPr>
      </w:pPr>
      <w:r>
        <w:rPr>
          <w:rFonts w:ascii="Times New Roman" w:hAnsi="Times New Roman"/>
          <w:b/>
          <w:noProof/>
          <w:sz w:val="24"/>
        </w:rPr>
        <w:t>Several Member States took action to promote labour market integration of older workers</w:t>
      </w:r>
      <w:r>
        <w:rPr>
          <w:rFonts w:ascii="Times New Roman" w:hAnsi="Times New Roman"/>
          <w:noProof/>
          <w:sz w:val="24"/>
        </w:rPr>
        <w:t>. Germany adopted a law on facilitating the transition of older workers into retirement (‘Flexi-Rente’), aim</w:t>
      </w:r>
      <w:r>
        <w:rPr>
          <w:rFonts w:ascii="Times New Roman" w:hAnsi="Times New Roman"/>
          <w:noProof/>
          <w:sz w:val="24"/>
        </w:rPr>
        <w:t>ing at making the transition into retirement more flexible. In particular, the reform promotes the combination of early retirement and part-time work by reducing pension deductions in the event of extra income. It also incentivises employment above retirem</w:t>
      </w:r>
      <w:r>
        <w:rPr>
          <w:rFonts w:ascii="Times New Roman" w:hAnsi="Times New Roman"/>
          <w:noProof/>
          <w:sz w:val="24"/>
        </w:rPr>
        <w:t>ent age by enabling employees to acquire additional pension entitlements and releasing employers from the obligation to pay unemployment insurance contributions</w:t>
      </w:r>
      <w:r>
        <w:rPr>
          <w:rFonts w:ascii="Times New Roman" w:hAnsi="Times New Roman"/>
          <w:noProof/>
          <w:sz w:val="24"/>
          <w:szCs w:val="24"/>
        </w:rPr>
        <w:t>. Greece launched in February 2017 two new programmes of hiring subsidies for the age group over</w:t>
      </w:r>
      <w:r>
        <w:rPr>
          <w:rFonts w:ascii="Times New Roman" w:hAnsi="Times New Roman"/>
          <w:noProof/>
          <w:sz w:val="24"/>
          <w:szCs w:val="24"/>
        </w:rPr>
        <w:t xml:space="preserve"> 50. </w:t>
      </w:r>
      <w:r>
        <w:rPr>
          <w:rFonts w:ascii="Times New Roman" w:hAnsi="Times New Roman"/>
          <w:noProof/>
          <w:sz w:val="24"/>
          <w:szCs w:val="24"/>
          <w:lang w:val="en"/>
        </w:rPr>
        <w:t>Cyprus established a scheme</w:t>
      </w:r>
      <w:r>
        <w:rPr>
          <w:rFonts w:ascii="Times New Roman" w:hAnsi="Times New Roman" w:cs="Times New Roman"/>
          <w:iCs/>
          <w:noProof/>
          <w:sz w:val="24"/>
          <w:szCs w:val="24"/>
        </w:rPr>
        <w:t xml:space="preserve"> providing incentives for the employment of unemployed people over 50 years old, aiming at</w:t>
      </w:r>
      <w:r>
        <w:rPr>
          <w:rFonts w:ascii="Times New Roman" w:hAnsi="Times New Roman"/>
          <w:noProof/>
          <w:sz w:val="24"/>
          <w:szCs w:val="24"/>
          <w:lang w:val="en"/>
        </w:rPr>
        <w:t xml:space="preserve"> encouraging employers to hire unemployed people over 50 years old interested in full time employment. </w:t>
      </w:r>
      <w:r>
        <w:rPr>
          <w:rFonts w:ascii="Times New Roman" w:hAnsi="Times New Roman"/>
          <w:bCs/>
          <w:noProof/>
          <w:sz w:val="24"/>
          <w:szCs w:val="24"/>
          <w:lang w:val="en"/>
        </w:rPr>
        <w:t>In the Netherlands, a</w:t>
      </w:r>
      <w:r>
        <w:rPr>
          <w:rFonts w:ascii="Times New Roman" w:hAnsi="Times New Roman"/>
          <w:bCs/>
          <w:noProof/>
          <w:sz w:val="24"/>
          <w:szCs w:val="24"/>
        </w:rPr>
        <w:t xml:space="preserve"> draft bil</w:t>
      </w:r>
      <w:r>
        <w:rPr>
          <w:rFonts w:ascii="Times New Roman" w:hAnsi="Times New Roman"/>
          <w:bCs/>
          <w:noProof/>
          <w:sz w:val="24"/>
          <w:szCs w:val="24"/>
        </w:rPr>
        <w:t>l, in the frame of the action plan 'Perspective for 50+'foresees, a compensation for employers (no-risk premium) in case older workers (over 56 years old) which have been unemployed for more than 1 year and receive an unemployment benefit fall ill.</w:t>
      </w:r>
      <w:r>
        <w:rPr>
          <w:rFonts w:ascii="Times New Roman" w:hAnsi="Times New Roman"/>
          <w:noProof/>
          <w:sz w:val="24"/>
          <w:szCs w:val="24"/>
        </w:rPr>
        <w:t xml:space="preserve"> In Austria, the employment campaign</w:t>
      </w:r>
      <w:r>
        <w:rPr>
          <w:rFonts w:ascii="Times New Roman" w:hAnsi="Times New Roman"/>
          <w:i/>
          <w:noProof/>
          <w:sz w:val="24"/>
          <w:szCs w:val="24"/>
        </w:rPr>
        <w:t xml:space="preserve"> "20.000" </w:t>
      </w:r>
      <w:r>
        <w:rPr>
          <w:rFonts w:ascii="Times New Roman" w:hAnsi="Times New Roman"/>
          <w:noProof/>
          <w:sz w:val="24"/>
          <w:szCs w:val="24"/>
        </w:rPr>
        <w:t xml:space="preserve">aims at facilitating the employment of older people and to reduce long-term unemployment. The full roll out for the project is planned for January 2018 and should lead, in the medium term, to 20.000 additional </w:t>
      </w:r>
      <w:r>
        <w:rPr>
          <w:rFonts w:ascii="Times New Roman" w:hAnsi="Times New Roman"/>
          <w:noProof/>
          <w:sz w:val="24"/>
          <w:szCs w:val="24"/>
        </w:rPr>
        <w:t>non-profit jobs. Moreover, the</w:t>
      </w:r>
      <w:r>
        <w:rPr>
          <w:rFonts w:ascii="Times New Roman" w:hAnsi="Times New Roman" w:cs="Times New Roman"/>
          <w:noProof/>
          <w:sz w:val="24"/>
          <w:szCs w:val="24"/>
        </w:rPr>
        <w:t xml:space="preserve"> Social Security Amendment Act allows persons working beyond the pensionable age to accrue a higher old-age pension. This measure concerns mainly female pensioners, which experience a higher risk of poverty than men. In Sloven</w:t>
      </w:r>
      <w:r>
        <w:rPr>
          <w:rFonts w:ascii="Times New Roman" w:hAnsi="Times New Roman" w:cs="Times New Roman"/>
          <w:noProof/>
          <w:sz w:val="24"/>
          <w:szCs w:val="24"/>
        </w:rPr>
        <w:t>ia, the action plan "</w:t>
      </w:r>
      <w:r>
        <w:rPr>
          <w:rFonts w:ascii="Times New Roman" w:hAnsi="Times New Roman"/>
          <w:noProof/>
          <w:sz w:val="24"/>
          <w:szCs w:val="24"/>
        </w:rPr>
        <w:t>Older and the Labour Market in Slovenia" includes 49 measures to be deployed in 2017-18, including support for the employers in the implementation of promoting programmes health and safety at work, incentives for employer for investmen</w:t>
      </w:r>
      <w:r>
        <w:rPr>
          <w:rFonts w:ascii="Times New Roman" w:hAnsi="Times New Roman"/>
          <w:noProof/>
          <w:sz w:val="24"/>
          <w:szCs w:val="24"/>
        </w:rPr>
        <w:t>ts in human capital and training of workers, incentives for workers to stay longer in employment, increased activation of older workers through ALMPs.</w:t>
      </w:r>
    </w:p>
    <w:p w:rsidR="00CB01DD" w:rsidRDefault="00D75BDB">
      <w:pPr>
        <w:spacing w:line="360" w:lineRule="auto"/>
        <w:jc w:val="both"/>
        <w:rPr>
          <w:rFonts w:ascii="Times New Roman" w:hAnsi="Times New Roman"/>
          <w:noProof/>
          <w:sz w:val="24"/>
        </w:rPr>
      </w:pPr>
      <w:r>
        <w:rPr>
          <w:rFonts w:ascii="Times New Roman" w:hAnsi="Times New Roman" w:cs="Times New Roman"/>
          <w:b/>
          <w:iCs/>
          <w:noProof/>
          <w:sz w:val="24"/>
          <w:szCs w:val="24"/>
        </w:rPr>
        <w:t>In response to the increased number of asylum seekers, Member States are adapting their integration polic</w:t>
      </w:r>
      <w:r>
        <w:rPr>
          <w:rFonts w:ascii="Times New Roman" w:hAnsi="Times New Roman" w:cs="Times New Roman"/>
          <w:b/>
          <w:iCs/>
          <w:noProof/>
          <w:sz w:val="24"/>
          <w:szCs w:val="24"/>
        </w:rPr>
        <w:t>ies of third country nationals</w:t>
      </w:r>
      <w:r>
        <w:rPr>
          <w:rFonts w:ascii="Times New Roman" w:hAnsi="Times New Roman" w:cs="Times New Roman"/>
          <w:iCs/>
          <w:noProof/>
          <w:sz w:val="24"/>
          <w:szCs w:val="24"/>
        </w:rPr>
        <w:t>. Measures focus on improving language skills and participation in the labour market.</w:t>
      </w:r>
      <w:r>
        <w:rPr>
          <w:rFonts w:ascii="Verdana" w:hAnsi="Verdana" w:cs="Verdana"/>
          <w:noProof/>
          <w:color w:val="000000"/>
          <w:sz w:val="18"/>
          <w:szCs w:val="18"/>
        </w:rPr>
        <w:t xml:space="preserve"> </w:t>
      </w:r>
      <w:r>
        <w:rPr>
          <w:rFonts w:ascii="Times New Roman" w:hAnsi="Times New Roman" w:cs="Times New Roman"/>
          <w:iCs/>
          <w:noProof/>
          <w:sz w:val="24"/>
          <w:szCs w:val="24"/>
        </w:rPr>
        <w:t xml:space="preserve">In </w:t>
      </w:r>
      <w:r>
        <w:rPr>
          <w:rFonts w:ascii="Times New Roman" w:hAnsi="Times New Roman" w:cs="Times New Roman"/>
          <w:bCs/>
          <w:iCs/>
          <w:noProof/>
          <w:sz w:val="24"/>
          <w:szCs w:val="24"/>
        </w:rPr>
        <w:t xml:space="preserve">France </w:t>
      </w:r>
      <w:r>
        <w:rPr>
          <w:rFonts w:ascii="Times New Roman" w:hAnsi="Times New Roman" w:cs="Times New Roman"/>
          <w:iCs/>
          <w:noProof/>
          <w:sz w:val="24"/>
          <w:szCs w:val="24"/>
        </w:rPr>
        <w:t>the law on the rights of foreign nationals established an individualised integration pathway based on personalised reception, rene</w:t>
      </w:r>
      <w:r>
        <w:rPr>
          <w:rFonts w:ascii="Times New Roman" w:hAnsi="Times New Roman" w:cs="Times New Roman"/>
          <w:iCs/>
          <w:noProof/>
          <w:sz w:val="24"/>
          <w:szCs w:val="24"/>
        </w:rPr>
        <w:t xml:space="preserve">wed civic training and reinforced language training. In </w:t>
      </w:r>
      <w:r>
        <w:rPr>
          <w:rFonts w:ascii="Times New Roman" w:hAnsi="Times New Roman" w:cs="Times New Roman"/>
          <w:bCs/>
          <w:iCs/>
          <w:noProof/>
          <w:sz w:val="24"/>
          <w:szCs w:val="24"/>
        </w:rPr>
        <w:t>Finland</w:t>
      </w:r>
      <w:r>
        <w:rPr>
          <w:rFonts w:ascii="Times New Roman" w:hAnsi="Times New Roman" w:cs="Times New Roman"/>
          <w:iCs/>
          <w:noProof/>
          <w:sz w:val="24"/>
          <w:szCs w:val="24"/>
        </w:rPr>
        <w:t xml:space="preserve">, the national Action Plan on Integration </w:t>
      </w:r>
      <w:r>
        <w:rPr>
          <w:rFonts w:ascii="Times New Roman" w:hAnsi="Times New Roman"/>
          <w:noProof/>
          <w:sz w:val="24"/>
          <w:szCs w:val="24"/>
        </w:rPr>
        <w:t>and the Government Integration Programme</w:t>
      </w:r>
      <w:r>
        <w:rPr>
          <w:rFonts w:ascii="Times New Roman" w:hAnsi="Times New Roman" w:cs="Times New Roman"/>
          <w:iCs/>
          <w:noProof/>
          <w:sz w:val="24"/>
          <w:szCs w:val="24"/>
        </w:rPr>
        <w:t xml:space="preserve"> aim at speeding up access to training paths and employment. Moreover</w:t>
      </w:r>
      <w:r>
        <w:rPr>
          <w:rFonts w:ascii="Times New Roman" w:hAnsi="Times New Roman"/>
          <w:noProof/>
          <w:sz w:val="24"/>
          <w:szCs w:val="24"/>
        </w:rPr>
        <w:t>, a fast-track employment of immigrants' t</w:t>
      </w:r>
      <w:r>
        <w:rPr>
          <w:rFonts w:ascii="Times New Roman" w:hAnsi="Times New Roman"/>
          <w:noProof/>
          <w:sz w:val="24"/>
          <w:szCs w:val="24"/>
        </w:rPr>
        <w:t xml:space="preserve">rial was launched applying the </w:t>
      </w:r>
      <w:r>
        <w:rPr>
          <w:rFonts w:ascii="Times New Roman" w:hAnsi="Times New Roman"/>
          <w:i/>
          <w:noProof/>
          <w:sz w:val="24"/>
          <w:szCs w:val="24"/>
        </w:rPr>
        <w:t>social impact bond</w:t>
      </w:r>
      <w:r>
        <w:rPr>
          <w:rFonts w:ascii="Times New Roman" w:hAnsi="Times New Roman"/>
          <w:noProof/>
          <w:sz w:val="24"/>
          <w:szCs w:val="24"/>
        </w:rPr>
        <w:t xml:space="preserve"> model. The aim of the project is to try out new employment and training models for accelerating employment of immigrants and combining training and work in a flexible way. </w:t>
      </w:r>
      <w:r>
        <w:rPr>
          <w:rFonts w:ascii="Times New Roman" w:hAnsi="Times New Roman" w:cs="Times New Roman"/>
          <w:noProof/>
          <w:sz w:val="24"/>
          <w:szCs w:val="24"/>
        </w:rPr>
        <w:t>In Austria, the June 2017 integrat</w:t>
      </w:r>
      <w:r>
        <w:rPr>
          <w:rFonts w:ascii="Times New Roman" w:hAnsi="Times New Roman" w:cs="Times New Roman"/>
          <w:noProof/>
          <w:sz w:val="24"/>
          <w:szCs w:val="24"/>
        </w:rPr>
        <w:t xml:space="preserve">ion law makes the participation of beneficiaries of international protection in language and culture/value courses compulsory, with a duty to sign an integration declaration. </w:t>
      </w:r>
      <w:r>
        <w:rPr>
          <w:rFonts w:ascii="Times New Roman" w:hAnsi="Times New Roman"/>
          <w:noProof/>
          <w:sz w:val="24"/>
          <w:szCs w:val="24"/>
        </w:rPr>
        <w:t>Moreover, an obligatory labour market integration year is going to be implemented</w:t>
      </w:r>
      <w:r>
        <w:rPr>
          <w:rFonts w:ascii="Times New Roman" w:hAnsi="Times New Roman"/>
          <w:noProof/>
          <w:sz w:val="24"/>
          <w:szCs w:val="24"/>
        </w:rPr>
        <w:t xml:space="preserve"> (managed by PES) for all recognised refugees and asylum seekers with a high likelihood of being granted asylum and who are unemployed. </w:t>
      </w:r>
      <w:r>
        <w:rPr>
          <w:rFonts w:ascii="Times New Roman" w:hAnsi="Times New Roman" w:cs="Times New Roman"/>
          <w:iCs/>
          <w:noProof/>
          <w:sz w:val="24"/>
          <w:szCs w:val="24"/>
        </w:rPr>
        <w:t xml:space="preserve">In </w:t>
      </w:r>
      <w:r>
        <w:rPr>
          <w:rFonts w:ascii="Times New Roman" w:hAnsi="Times New Roman" w:cs="Times New Roman"/>
          <w:bCs/>
          <w:iCs/>
          <w:noProof/>
          <w:sz w:val="24"/>
          <w:szCs w:val="24"/>
        </w:rPr>
        <w:t>the Czech Republic</w:t>
      </w:r>
      <w:r>
        <w:rPr>
          <w:rFonts w:ascii="Times New Roman" w:hAnsi="Times New Roman" w:cs="Times New Roman"/>
          <w:iCs/>
          <w:noProof/>
          <w:sz w:val="24"/>
          <w:szCs w:val="24"/>
        </w:rPr>
        <w:t>, under the new ’State Integration Programme’ that came into force in January 2016, beneficiaries o</w:t>
      </w:r>
      <w:r>
        <w:rPr>
          <w:rFonts w:ascii="Times New Roman" w:hAnsi="Times New Roman" w:cs="Times New Roman"/>
          <w:iCs/>
          <w:noProof/>
          <w:sz w:val="24"/>
          <w:szCs w:val="24"/>
        </w:rPr>
        <w:t xml:space="preserve">f international protection receive assistance in the field of housing, employment, health and education including enhancement of language skills. In </w:t>
      </w:r>
      <w:r>
        <w:rPr>
          <w:rFonts w:ascii="Times New Roman" w:hAnsi="Times New Roman" w:cs="Times New Roman"/>
          <w:bCs/>
          <w:iCs/>
          <w:noProof/>
          <w:sz w:val="24"/>
          <w:szCs w:val="24"/>
        </w:rPr>
        <w:t xml:space="preserve">Germany, </w:t>
      </w:r>
      <w:r>
        <w:rPr>
          <w:rFonts w:ascii="Times New Roman" w:hAnsi="Times New Roman" w:cs="Times New Roman"/>
          <w:iCs/>
          <w:noProof/>
          <w:sz w:val="24"/>
          <w:szCs w:val="24"/>
        </w:rPr>
        <w:t>since the introduction of the new Integration Law of 2016, participation in integration courses ca</w:t>
      </w:r>
      <w:r>
        <w:rPr>
          <w:rFonts w:ascii="Times New Roman" w:hAnsi="Times New Roman" w:cs="Times New Roman"/>
          <w:iCs/>
          <w:noProof/>
          <w:sz w:val="24"/>
          <w:szCs w:val="24"/>
        </w:rPr>
        <w:t>n be made compulsory for asylum seekers who do not work. Germany also introduced a new type of job-oriented language course, following the successful completion of an integration course and catering to refugees who are already working or participating in l</w:t>
      </w:r>
      <w:r>
        <w:rPr>
          <w:rFonts w:ascii="Times New Roman" w:hAnsi="Times New Roman" w:cs="Times New Roman"/>
          <w:iCs/>
          <w:noProof/>
          <w:sz w:val="24"/>
          <w:szCs w:val="24"/>
        </w:rPr>
        <w:t xml:space="preserve">abour market activation or vocational training measures. </w:t>
      </w:r>
      <w:r>
        <w:rPr>
          <w:rFonts w:ascii="Times New Roman" w:hAnsi="Times New Roman"/>
          <w:noProof/>
          <w:sz w:val="24"/>
        </w:rPr>
        <w:t>In Denmark, a Tripartite agreement focused on early intervention, individual skills assessment and job-oriented measures. Asylum seekers are screened during the application phase and allocated to the</w:t>
      </w:r>
      <w:r>
        <w:rPr>
          <w:rFonts w:ascii="Times New Roman" w:hAnsi="Times New Roman"/>
          <w:noProof/>
          <w:sz w:val="24"/>
        </w:rPr>
        <w:t xml:space="preserve"> municipality that best accommodates their individual job opportunities. In addition, refugees are to acquire work experience within one month after arrival.</w:t>
      </w:r>
    </w:p>
    <w:p w:rsidR="00CB01DD" w:rsidRDefault="00D75BDB">
      <w:pPr>
        <w:spacing w:line="360" w:lineRule="auto"/>
        <w:jc w:val="both"/>
        <w:rPr>
          <w:rFonts w:ascii="Times New Roman" w:hAnsi="Times New Roman"/>
          <w:noProof/>
          <w:sz w:val="24"/>
        </w:rPr>
      </w:pPr>
      <w:r>
        <w:rPr>
          <w:rFonts w:ascii="Times New Roman" w:hAnsi="Times New Roman" w:cs="Times New Roman"/>
          <w:b/>
          <w:iCs/>
          <w:noProof/>
          <w:sz w:val="24"/>
          <w:szCs w:val="24"/>
        </w:rPr>
        <w:t>Many measures adopted by Member States go beyond recently arrived refugees and also apply to other</w:t>
      </w:r>
      <w:r>
        <w:rPr>
          <w:rFonts w:ascii="Times New Roman" w:hAnsi="Times New Roman" w:cs="Times New Roman"/>
          <w:b/>
          <w:iCs/>
          <w:noProof/>
          <w:sz w:val="24"/>
          <w:szCs w:val="24"/>
        </w:rPr>
        <w:t xml:space="preserve"> migrants or people with a migrant background</w:t>
      </w:r>
      <w:r>
        <w:rPr>
          <w:rFonts w:ascii="Times New Roman" w:hAnsi="Times New Roman" w:cs="Times New Roman"/>
          <w:iCs/>
          <w:noProof/>
          <w:sz w:val="24"/>
          <w:szCs w:val="24"/>
        </w:rPr>
        <w:t xml:space="preserve">. For instance, </w:t>
      </w:r>
      <w:r>
        <w:rPr>
          <w:rFonts w:ascii="Times New Roman" w:hAnsi="Times New Roman" w:cs="Times New Roman"/>
          <w:bCs/>
          <w:iCs/>
          <w:noProof/>
          <w:sz w:val="24"/>
          <w:szCs w:val="24"/>
        </w:rPr>
        <w:t xml:space="preserve">Finland </w:t>
      </w:r>
      <w:r>
        <w:rPr>
          <w:rFonts w:ascii="Times New Roman" w:hAnsi="Times New Roman" w:cs="Times New Roman"/>
          <w:iCs/>
          <w:noProof/>
          <w:sz w:val="24"/>
          <w:szCs w:val="24"/>
        </w:rPr>
        <w:t xml:space="preserve">is preparing for a more efficient identification of immigrants’ skills and guidance to an appropriate training and employment path. In </w:t>
      </w:r>
      <w:r>
        <w:rPr>
          <w:rFonts w:ascii="Times New Roman" w:hAnsi="Times New Roman" w:cs="Times New Roman"/>
          <w:bCs/>
          <w:iCs/>
          <w:noProof/>
          <w:sz w:val="24"/>
          <w:szCs w:val="24"/>
        </w:rPr>
        <w:t xml:space="preserve">Austria, </w:t>
      </w:r>
      <w:r>
        <w:rPr>
          <w:rFonts w:ascii="Times New Roman" w:hAnsi="Times New Roman" w:cs="Times New Roman"/>
          <w:iCs/>
          <w:noProof/>
          <w:sz w:val="24"/>
          <w:szCs w:val="24"/>
        </w:rPr>
        <w:t>the Recognition and Assessment Act,  entere</w:t>
      </w:r>
      <w:r>
        <w:rPr>
          <w:rFonts w:ascii="Times New Roman" w:hAnsi="Times New Roman" w:cs="Times New Roman"/>
          <w:iCs/>
          <w:noProof/>
          <w:sz w:val="24"/>
          <w:szCs w:val="24"/>
        </w:rPr>
        <w:t>d into force as of 12 July 2016, promotes the labour market integration of individuals who have acquired qualifications abroad and defines special procedures for persons granted asylum or subsidiary protection without documentation of completed education o</w:t>
      </w:r>
      <w:r>
        <w:rPr>
          <w:rFonts w:ascii="Times New Roman" w:hAnsi="Times New Roman" w:cs="Times New Roman"/>
          <w:iCs/>
          <w:noProof/>
          <w:sz w:val="24"/>
          <w:szCs w:val="24"/>
        </w:rPr>
        <w:t>r training. Sweden recently made significant efforts to cater to the growing demand for evaluations of foreign qualifications, also by increasing funding for the Swedish Council for Higher Education, the public agency responsible for the recognition of for</w:t>
      </w:r>
      <w:r>
        <w:rPr>
          <w:rFonts w:ascii="Times New Roman" w:hAnsi="Times New Roman" w:cs="Times New Roman"/>
          <w:iCs/>
          <w:noProof/>
          <w:sz w:val="24"/>
          <w:szCs w:val="24"/>
        </w:rPr>
        <w:t>eign qualifications. Sweden also invested significant funds to increase the availability of bridging programmes that enable migrants with foreign credentials in law, medicine, nursing, dentistry, teaching and pharmaceuticals to complete the training requir</w:t>
      </w:r>
      <w:r>
        <w:rPr>
          <w:rFonts w:ascii="Times New Roman" w:hAnsi="Times New Roman" w:cs="Times New Roman"/>
          <w:iCs/>
          <w:noProof/>
          <w:sz w:val="24"/>
          <w:szCs w:val="24"/>
        </w:rPr>
        <w:t xml:space="preserve">ed to practice their occupation. </w:t>
      </w:r>
      <w:r>
        <w:rPr>
          <w:rFonts w:ascii="Times New Roman" w:hAnsi="Times New Roman"/>
          <w:noProof/>
          <w:sz w:val="24"/>
          <w:szCs w:val="24"/>
        </w:rPr>
        <w:t xml:space="preserve">Moreover, in the frame of the reform of the 'New Start Jobs' scheme, the subsidy was increased for newly arrived migrants and refugees. </w:t>
      </w:r>
      <w:r>
        <w:rPr>
          <w:rFonts w:ascii="Times New Roman" w:hAnsi="Times New Roman"/>
          <w:noProof/>
          <w:sz w:val="24"/>
        </w:rPr>
        <w:t>Estonia promoted the immigration of ICT workers, start-up entrepreneurs and major entre</w:t>
      </w:r>
      <w:r>
        <w:rPr>
          <w:rFonts w:ascii="Times New Roman" w:hAnsi="Times New Roman"/>
          <w:noProof/>
          <w:sz w:val="24"/>
        </w:rPr>
        <w:t>preneurs, changing the requirements for their permanent residence.</w:t>
      </w:r>
      <w:r>
        <w:rPr>
          <w:rFonts w:ascii="Times New Roman" w:hAnsi="Times New Roman" w:cs="Times New Roman"/>
          <w:iCs/>
          <w:noProof/>
          <w:sz w:val="24"/>
          <w:szCs w:val="24"/>
        </w:rPr>
        <w:t xml:space="preserve"> </w:t>
      </w:r>
      <w:r>
        <w:rPr>
          <w:rFonts w:ascii="Times New Roman" w:hAnsi="Times New Roman"/>
          <w:noProof/>
          <w:sz w:val="24"/>
          <w:szCs w:val="24"/>
        </w:rPr>
        <w:t>Malta provides courses for non-natives speakers with literacy needs, aiming at increasing the employability of migrants.</w:t>
      </w:r>
      <w:r>
        <w:rPr>
          <w:rFonts w:ascii="Times New Roman" w:hAnsi="Times New Roman" w:cs="Times New Roman"/>
          <w:iCs/>
          <w:noProof/>
          <w:sz w:val="24"/>
          <w:szCs w:val="24"/>
        </w:rPr>
        <w:t xml:space="preserve"> </w:t>
      </w:r>
      <w:r>
        <w:rPr>
          <w:rFonts w:ascii="Times New Roman" w:hAnsi="Times New Roman"/>
          <w:noProof/>
          <w:sz w:val="24"/>
          <w:szCs w:val="24"/>
        </w:rPr>
        <w:t>Slovenia established a Government Office for the Support and Integra</w:t>
      </w:r>
      <w:r>
        <w:rPr>
          <w:rFonts w:ascii="Times New Roman" w:hAnsi="Times New Roman"/>
          <w:noProof/>
          <w:sz w:val="24"/>
          <w:szCs w:val="24"/>
        </w:rPr>
        <w:t>tion of Migrants, which coordinates the work and tasks of other national authorities, non-governmental and other organisations. The Office’s main tasks are the accommodation of, and support to, different categories of migrants.</w:t>
      </w:r>
    </w:p>
    <w:p w:rsidR="00CB01DD" w:rsidRDefault="00D75BDB">
      <w:pPr>
        <w:spacing w:after="120" w:line="360" w:lineRule="auto"/>
        <w:jc w:val="both"/>
        <w:rPr>
          <w:rFonts w:ascii="Times New Roman" w:hAnsi="Times New Roman"/>
          <w:noProof/>
          <w:sz w:val="24"/>
          <w:szCs w:val="24"/>
        </w:rPr>
      </w:pPr>
      <w:r>
        <w:rPr>
          <w:rFonts w:ascii="Times New Roman" w:hAnsi="Times New Roman"/>
          <w:b/>
          <w:bCs/>
          <w:noProof/>
          <w:color w:val="000000"/>
          <w:sz w:val="24"/>
          <w:szCs w:val="24"/>
        </w:rPr>
        <w:t>Beyond measures aimed mostly</w:t>
      </w:r>
      <w:r>
        <w:rPr>
          <w:rFonts w:ascii="Times New Roman" w:hAnsi="Times New Roman"/>
          <w:b/>
          <w:bCs/>
          <w:noProof/>
          <w:color w:val="000000"/>
          <w:sz w:val="24"/>
          <w:szCs w:val="24"/>
        </w:rPr>
        <w:t xml:space="preserve"> at integrating the newly-arrived, several Member States have made efforts to tackle discrimination</w:t>
      </w:r>
      <w:r>
        <w:rPr>
          <w:rFonts w:ascii="Times New Roman" w:hAnsi="Times New Roman"/>
          <w:noProof/>
          <w:color w:val="000000"/>
          <w:sz w:val="24"/>
          <w:szCs w:val="24"/>
        </w:rPr>
        <w:t xml:space="preserve">. </w:t>
      </w:r>
      <w:r>
        <w:rPr>
          <w:rFonts w:ascii="Times New Roman" w:hAnsi="Times New Roman"/>
          <w:noProof/>
          <w:sz w:val="24"/>
          <w:szCs w:val="24"/>
        </w:rPr>
        <w:t xml:space="preserve">In </w:t>
      </w:r>
      <w:r>
        <w:rPr>
          <w:rFonts w:ascii="Times New Roman" w:hAnsi="Times New Roman"/>
          <w:bCs/>
          <w:noProof/>
          <w:sz w:val="24"/>
          <w:szCs w:val="24"/>
        </w:rPr>
        <w:t>France</w:t>
      </w:r>
      <w:r>
        <w:rPr>
          <w:rFonts w:ascii="Times New Roman" w:hAnsi="Times New Roman"/>
          <w:noProof/>
          <w:sz w:val="24"/>
          <w:szCs w:val="24"/>
        </w:rPr>
        <w:t xml:space="preserve">, the Law for equality and citizenship promulgated end January 2017, improves the overall regime of protection against discrimination and notably includes the right to French language training as part of continuous training. In </w:t>
      </w:r>
      <w:r>
        <w:rPr>
          <w:rFonts w:ascii="Times New Roman" w:hAnsi="Times New Roman"/>
          <w:bCs/>
          <w:noProof/>
          <w:sz w:val="24"/>
          <w:szCs w:val="24"/>
        </w:rPr>
        <w:t>Sweden</w:t>
      </w:r>
      <w:r>
        <w:rPr>
          <w:rFonts w:ascii="Times New Roman" w:hAnsi="Times New Roman"/>
          <w:noProof/>
          <w:sz w:val="24"/>
          <w:szCs w:val="24"/>
        </w:rPr>
        <w:t xml:space="preserve">, the amended Swedish </w:t>
      </w:r>
      <w:r>
        <w:rPr>
          <w:rFonts w:ascii="Times New Roman" w:hAnsi="Times New Roman"/>
          <w:noProof/>
          <w:sz w:val="24"/>
          <w:szCs w:val="24"/>
        </w:rPr>
        <w:t>Discrimination Act, which entered into force in January 2017, provides for new active measures on non-discrimination in the areas of employment and education, a requirement of an annual salary report and an obligation for employers to have guidelines and r</w:t>
      </w:r>
      <w:r>
        <w:rPr>
          <w:rFonts w:ascii="Times New Roman" w:hAnsi="Times New Roman"/>
          <w:noProof/>
          <w:sz w:val="24"/>
          <w:szCs w:val="24"/>
        </w:rPr>
        <w:t xml:space="preserve">outines for the prevention of harassment (including sexual harassment) and retaliatory measures. </w:t>
      </w:r>
      <w:r>
        <w:rPr>
          <w:rFonts w:ascii="Times New Roman" w:hAnsi="Times New Roman"/>
          <w:bCs/>
          <w:noProof/>
          <w:sz w:val="24"/>
          <w:szCs w:val="24"/>
        </w:rPr>
        <w:t xml:space="preserve">Spain </w:t>
      </w:r>
      <w:r>
        <w:rPr>
          <w:rFonts w:ascii="Times New Roman" w:hAnsi="Times New Roman"/>
          <w:noProof/>
          <w:sz w:val="24"/>
          <w:szCs w:val="24"/>
        </w:rPr>
        <w:t>established several working groups to monitor activities related to awareness raising of racism, xenophobia and other forms of intolerance of different p</w:t>
      </w:r>
      <w:r>
        <w:rPr>
          <w:rFonts w:ascii="Times New Roman" w:hAnsi="Times New Roman"/>
          <w:noProof/>
          <w:sz w:val="24"/>
          <w:szCs w:val="24"/>
        </w:rPr>
        <w:t xml:space="preserve">rofessional groups involved in the fight against discrimination (e.g. police, judges, prosecutors, other professionals of the administration, etc.). In </w:t>
      </w:r>
      <w:r>
        <w:rPr>
          <w:rFonts w:ascii="Times New Roman" w:hAnsi="Times New Roman"/>
          <w:bCs/>
          <w:noProof/>
          <w:sz w:val="24"/>
          <w:szCs w:val="24"/>
        </w:rPr>
        <w:t xml:space="preserve">Estonia, </w:t>
      </w:r>
      <w:r>
        <w:rPr>
          <w:rFonts w:ascii="Times New Roman" w:hAnsi="Times New Roman"/>
          <w:noProof/>
          <w:sz w:val="24"/>
          <w:szCs w:val="24"/>
        </w:rPr>
        <w:t>‘sensitivity trainings’ on discrimination were piloted for law enforcement agencies, judges, pr</w:t>
      </w:r>
      <w:r>
        <w:rPr>
          <w:rFonts w:ascii="Times New Roman" w:hAnsi="Times New Roman"/>
          <w:noProof/>
          <w:sz w:val="24"/>
          <w:szCs w:val="24"/>
        </w:rPr>
        <w:t xml:space="preserve">osecutors, and victim support specialists. </w:t>
      </w:r>
      <w:r>
        <w:rPr>
          <w:rFonts w:ascii="Times New Roman" w:hAnsi="Times New Roman"/>
          <w:bCs/>
          <w:noProof/>
          <w:color w:val="000000"/>
          <w:sz w:val="24"/>
          <w:szCs w:val="24"/>
        </w:rPr>
        <w:t xml:space="preserve">Finland </w:t>
      </w:r>
      <w:r>
        <w:rPr>
          <w:rFonts w:ascii="Times New Roman" w:hAnsi="Times New Roman"/>
          <w:noProof/>
          <w:color w:val="000000"/>
          <w:sz w:val="24"/>
          <w:szCs w:val="24"/>
        </w:rPr>
        <w:t>launched a two-year inter-ministerial initiative "</w:t>
      </w:r>
      <w:r>
        <w:rPr>
          <w:rFonts w:ascii="Times New Roman" w:hAnsi="Times New Roman"/>
          <w:i/>
          <w:iCs/>
          <w:noProof/>
          <w:color w:val="000000"/>
          <w:sz w:val="24"/>
          <w:szCs w:val="24"/>
        </w:rPr>
        <w:t xml:space="preserve">TRUST </w:t>
      </w:r>
      <w:r>
        <w:rPr>
          <w:rFonts w:ascii="Times New Roman" w:hAnsi="Times New Roman"/>
          <w:noProof/>
          <w:color w:val="000000"/>
          <w:sz w:val="24"/>
          <w:szCs w:val="24"/>
        </w:rPr>
        <w:t>– Good Relations in Finland" in early 2016 to promote non-discrimination of asylum seekers at regional and local level.</w:t>
      </w:r>
      <w:r>
        <w:rPr>
          <w:rFonts w:ascii="Times New Roman" w:hAnsi="Times New Roman"/>
          <w:noProof/>
          <w:sz w:val="24"/>
          <w:szCs w:val="24"/>
        </w:rPr>
        <w:t xml:space="preserve"> In the field of education, </w:t>
      </w:r>
      <w:r>
        <w:rPr>
          <w:rFonts w:ascii="Times New Roman" w:hAnsi="Times New Roman"/>
          <w:bCs/>
          <w:noProof/>
          <w:sz w:val="24"/>
          <w:szCs w:val="24"/>
        </w:rPr>
        <w:t>Po</w:t>
      </w:r>
      <w:r>
        <w:rPr>
          <w:rFonts w:ascii="Times New Roman" w:hAnsi="Times New Roman"/>
          <w:bCs/>
          <w:noProof/>
          <w:sz w:val="24"/>
          <w:szCs w:val="24"/>
        </w:rPr>
        <w:t>rtugal</w:t>
      </w:r>
      <w:r>
        <w:rPr>
          <w:rFonts w:ascii="Times New Roman" w:hAnsi="Times New Roman"/>
          <w:noProof/>
          <w:sz w:val="24"/>
          <w:szCs w:val="24"/>
        </w:rPr>
        <w:t xml:space="preserve"> provided schools with an intercultural school kit containing online educational material for teachers.</w:t>
      </w:r>
    </w:p>
    <w:p w:rsidR="00CB01DD" w:rsidRDefault="00D75BDB">
      <w:pPr>
        <w:spacing w:line="360" w:lineRule="auto"/>
        <w:jc w:val="both"/>
        <w:rPr>
          <w:rFonts w:ascii="Times New Roman" w:hAnsi="Times New Roman" w:cs="Times New Roman"/>
          <w:b/>
          <w:noProof/>
          <w:sz w:val="24"/>
          <w:szCs w:val="24"/>
        </w:rPr>
      </w:pPr>
      <w:r>
        <w:rPr>
          <w:rFonts w:ascii="Times New Roman" w:hAnsi="Times New Roman" w:cs="Times New Roman"/>
          <w:b/>
          <w:iCs/>
          <w:noProof/>
          <w:sz w:val="24"/>
          <w:szCs w:val="24"/>
        </w:rPr>
        <w:t xml:space="preserve">Member States are actively seeking to support the integration of persons with disabilities into the labour market. </w:t>
      </w:r>
      <w:r>
        <w:rPr>
          <w:rFonts w:ascii="Times New Roman" w:hAnsi="Times New Roman" w:cs="Times New Roman"/>
          <w:iCs/>
          <w:noProof/>
          <w:sz w:val="24"/>
          <w:szCs w:val="24"/>
        </w:rPr>
        <w:t>In Belgium, the Federal governm</w:t>
      </w:r>
      <w:r>
        <w:rPr>
          <w:rFonts w:ascii="Times New Roman" w:hAnsi="Times New Roman" w:cs="Times New Roman"/>
          <w:iCs/>
          <w:noProof/>
          <w:sz w:val="24"/>
          <w:szCs w:val="24"/>
        </w:rPr>
        <w:t>ent has put in place pathways to encourage labour market reintegration into suitable jobs for workers who can no longer carry out the agreed work and regions are introducing reductions in social security contributions for employers employing persons with d</w:t>
      </w:r>
      <w:r>
        <w:rPr>
          <w:rFonts w:ascii="Times New Roman" w:hAnsi="Times New Roman" w:cs="Times New Roman"/>
          <w:iCs/>
          <w:noProof/>
          <w:sz w:val="24"/>
          <w:szCs w:val="24"/>
        </w:rPr>
        <w:t>isabilities. The Brussels Capital Region introduced the quota obligation (2.5%) for hiring people with disabilities in local administrations. Germany has revised the assessment basis for the means-test for disabled benefits and increased the work subsidy f</w:t>
      </w:r>
      <w:r>
        <w:rPr>
          <w:rFonts w:ascii="Times New Roman" w:hAnsi="Times New Roman" w:cs="Times New Roman"/>
          <w:iCs/>
          <w:noProof/>
          <w:sz w:val="24"/>
          <w:szCs w:val="24"/>
        </w:rPr>
        <w:t>or disabled workers, to benefit some 300,000 severely disabled persons in sheltered workplaces. Bulgaria is working on reforming the system for assessment of remaining working capacity of working age people with disabilities. Estonia adopted a Labour Marke</w:t>
      </w:r>
      <w:r>
        <w:rPr>
          <w:rFonts w:ascii="Times New Roman" w:hAnsi="Times New Roman" w:cs="Times New Roman"/>
          <w:iCs/>
          <w:noProof/>
          <w:sz w:val="24"/>
          <w:szCs w:val="24"/>
        </w:rPr>
        <w:t>t Programme for 2017-2020, which offers active measures to prevent unemployment, in particular for people with health concerns. Cyprus put in place employment subsidies for vulnerable groups, including people with disabilities and with chronic diseases. La</w:t>
      </w:r>
      <w:r>
        <w:rPr>
          <w:rFonts w:ascii="Times New Roman" w:hAnsi="Times New Roman" w:cs="Times New Roman"/>
          <w:iCs/>
          <w:noProof/>
          <w:sz w:val="24"/>
          <w:szCs w:val="24"/>
        </w:rPr>
        <w:t>tvia amended the Social Services and Social Assistance Law to improve the provision of professional rehabilitation for people with disabilities. Hungary is implementing the ESF project on increasing the rehabilitation potential of organisations employing p</w:t>
      </w:r>
      <w:r>
        <w:rPr>
          <w:rFonts w:ascii="Times New Roman" w:hAnsi="Times New Roman" w:cs="Times New Roman"/>
          <w:iCs/>
          <w:noProof/>
          <w:sz w:val="24"/>
          <w:szCs w:val="24"/>
        </w:rPr>
        <w:t xml:space="preserve">eople with disabilities. </w:t>
      </w:r>
      <w:r>
        <w:rPr>
          <w:rFonts w:ascii="Times New Roman" w:hAnsi="Times New Roman"/>
          <w:noProof/>
          <w:sz w:val="24"/>
        </w:rPr>
        <w:t>Austria has reduced the take up of disability pensions and increased the number of older workers by gradually increasing the disability retirement age to 60 years, together with supporting measures such as a legal right to vocation</w:t>
      </w:r>
      <w:r>
        <w:rPr>
          <w:rFonts w:ascii="Times New Roman" w:hAnsi="Times New Roman"/>
          <w:noProof/>
          <w:sz w:val="24"/>
        </w:rPr>
        <w:t>al rehabilitation. In Ireland, the</w:t>
      </w:r>
      <w:r>
        <w:rPr>
          <w:rFonts w:ascii="Times New Roman" w:hAnsi="Times New Roman"/>
          <w:i/>
          <w:noProof/>
          <w:sz w:val="24"/>
        </w:rPr>
        <w:t xml:space="preserve"> Make Work Pay Interdepartmental Group </w:t>
      </w:r>
      <w:r>
        <w:rPr>
          <w:rFonts w:ascii="Times New Roman" w:hAnsi="Times New Roman"/>
          <w:noProof/>
          <w:sz w:val="24"/>
        </w:rPr>
        <w:t xml:space="preserve">identified key disincentives to work for people with disabilities and issued recommendations to the Government, which should announce actions and potential legislation </w:t>
      </w:r>
      <w:r>
        <w:rPr>
          <w:rFonts w:ascii="Times New Roman" w:hAnsi="Times New Roman"/>
          <w:noProof/>
          <w:sz w:val="24"/>
          <w:szCs w:val="24"/>
        </w:rPr>
        <w:t xml:space="preserve">before the end </w:t>
      </w:r>
      <w:r>
        <w:rPr>
          <w:rFonts w:ascii="Times New Roman" w:hAnsi="Times New Roman"/>
          <w:noProof/>
          <w:sz w:val="24"/>
          <w:szCs w:val="24"/>
        </w:rPr>
        <w:t xml:space="preserve">of 2017. </w:t>
      </w:r>
      <w:r>
        <w:rPr>
          <w:rFonts w:ascii="Times New Roman" w:hAnsi="Times New Roman" w:cs="Times New Roman"/>
          <w:noProof/>
          <w:sz w:val="24"/>
          <w:szCs w:val="24"/>
        </w:rPr>
        <w:t xml:space="preserve">Portugal introduced a new </w:t>
      </w:r>
      <w:r>
        <w:rPr>
          <w:rFonts w:ascii="Times New Roman" w:hAnsi="Times New Roman"/>
          <w:noProof/>
          <w:sz w:val="24"/>
          <w:szCs w:val="24"/>
        </w:rPr>
        <w:t xml:space="preserve">social benefit for the inclusion of people with disabilities to </w:t>
      </w:r>
      <w:r>
        <w:rPr>
          <w:rFonts w:ascii="Times New Roman" w:hAnsi="Times New Roman" w:cs="Times New Roman"/>
          <w:noProof/>
          <w:sz w:val="24"/>
          <w:szCs w:val="24"/>
        </w:rPr>
        <w:t xml:space="preserve">encourage them to continue working or to look for a job (currently, people with disabilities are not entitled to receive disability benefits if they receive </w:t>
      </w:r>
      <w:r>
        <w:rPr>
          <w:rFonts w:ascii="Times New Roman" w:hAnsi="Times New Roman" w:cs="Times New Roman"/>
          <w:noProof/>
          <w:sz w:val="24"/>
          <w:szCs w:val="24"/>
        </w:rPr>
        <w:t>any form of remuneration). Moreover, a pilot project funded by the ESF will focus on supporting in</w:t>
      </w:r>
      <w:r>
        <w:rPr>
          <w:rFonts w:ascii="Times New Roman" w:hAnsi="Times New Roman"/>
          <w:noProof/>
          <w:sz w:val="24"/>
          <w:szCs w:val="24"/>
        </w:rPr>
        <w:t>dependent life for people with disabilities.</w:t>
      </w:r>
    </w:p>
    <w:p w:rsidR="00CB01DD" w:rsidRDefault="00D75BDB">
      <w:pPr>
        <w:pStyle w:val="Heading2"/>
        <w:rPr>
          <w:noProof/>
          <w:lang w:val="en-GB"/>
        </w:rPr>
      </w:pPr>
      <w:r>
        <w:rPr>
          <w:noProof/>
          <w:lang w:val="en-GB"/>
        </w:rPr>
        <w:br w:type="page"/>
      </w:r>
      <w:bookmarkStart w:id="19" w:name="_Toc498075893"/>
      <w:r>
        <w:rPr>
          <w:noProof/>
          <w:lang w:val="en-GB"/>
        </w:rPr>
        <w:t xml:space="preserve">3.3 </w:t>
      </w:r>
      <w:r>
        <w:rPr>
          <w:noProof/>
          <w:lang w:val="en-GB"/>
        </w:rPr>
        <w:tab/>
        <w:t>Guideline 7: Enhancing the functioning of labour markets</w:t>
      </w:r>
      <w:bookmarkEnd w:id="19"/>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section looks at the implementation of the </w:t>
      </w:r>
      <w:r>
        <w:rPr>
          <w:rFonts w:ascii="Times New Roman" w:hAnsi="Times New Roman" w:cs="Times New Roman"/>
          <w:noProof/>
          <w:sz w:val="24"/>
          <w:szCs w:val="24"/>
        </w:rPr>
        <w:t>employment guideline no. 7, which recommends Member States to enhance the functioning of the labour market, including by ensuring sustainable transitions from unemployment into employment and between jobs, and preventing labour market segmentation. It star</w:t>
      </w:r>
      <w:r>
        <w:rPr>
          <w:rFonts w:ascii="Times New Roman" w:hAnsi="Times New Roman" w:cs="Times New Roman"/>
          <w:noProof/>
          <w:sz w:val="24"/>
          <w:szCs w:val="24"/>
        </w:rPr>
        <w:t>ts by shortly introducing key indicators pointing at challenges in this area, notably long-term unemployment and segmentation between permanent and temporary jobs. It then looks at relevant policies, notably at how proper labour  legislation, well-designed</w:t>
      </w:r>
      <w:r>
        <w:rPr>
          <w:rFonts w:ascii="Times New Roman" w:hAnsi="Times New Roman" w:cs="Times New Roman"/>
          <w:noProof/>
          <w:sz w:val="24"/>
          <w:szCs w:val="24"/>
        </w:rPr>
        <w:t xml:space="preserve"> unemployment benefits and effective activation strategies can improve labour market functioning. In doing so, it presents results from a benchmarking exercise on unemployment benefits and active labour market policies as agreed with Member States. It then</w:t>
      </w:r>
      <w:r>
        <w:rPr>
          <w:rFonts w:ascii="Times New Roman" w:hAnsi="Times New Roman" w:cs="Times New Roman"/>
          <w:noProof/>
          <w:sz w:val="24"/>
          <w:szCs w:val="24"/>
        </w:rPr>
        <w:t xml:space="preserve"> illustrates the degree of coverage of public employment services and activation measures, which are crucial to foster labour market integration of the unemployed and to improve labour market matching. Section 3.3.2 finally reports on policy measures from </w:t>
      </w:r>
      <w:r>
        <w:rPr>
          <w:rFonts w:ascii="Times New Roman" w:hAnsi="Times New Roman" w:cs="Times New Roman"/>
          <w:noProof/>
          <w:sz w:val="24"/>
          <w:szCs w:val="24"/>
        </w:rPr>
        <w:t>Member States in these areas.</w:t>
      </w:r>
    </w:p>
    <w:p w:rsidR="00CB01DD" w:rsidRDefault="00CB01DD">
      <w:pPr>
        <w:spacing w:line="360" w:lineRule="auto"/>
        <w:rPr>
          <w:noProof/>
        </w:rPr>
      </w:pPr>
    </w:p>
    <w:p w:rsidR="00CB01DD" w:rsidRDefault="00D75BDB">
      <w:pPr>
        <w:pStyle w:val="Heading3"/>
        <w:rPr>
          <w:noProof/>
        </w:rPr>
      </w:pPr>
      <w:bookmarkStart w:id="20" w:name="_Toc498075894"/>
      <w:r>
        <w:rPr>
          <w:noProof/>
        </w:rPr>
        <w:t xml:space="preserve">3.3.1 </w:t>
      </w:r>
      <w:r>
        <w:rPr>
          <w:noProof/>
        </w:rPr>
        <w:tab/>
        <w:t>Key indicators</w:t>
      </w:r>
      <w:bookmarkEnd w:id="20"/>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continuing labour market recovery contributed to reducing long-term unemployment across Member States. </w:t>
      </w:r>
      <w:r>
        <w:rPr>
          <w:rFonts w:ascii="Times New Roman" w:hAnsi="Times New Roman" w:cs="Times New Roman"/>
          <w:noProof/>
          <w:sz w:val="24"/>
          <w:szCs w:val="24"/>
        </w:rPr>
        <w:t xml:space="preserve">However, not all of them have benefitted equally from this improvement. As shown in </w:t>
      </w:r>
      <w:r>
        <w:rPr>
          <w:rFonts w:ascii="Times New Roman" w:hAnsi="Times New Roman"/>
          <w:noProof/>
          <w:sz w:val="24"/>
          <w:szCs w:val="24"/>
        </w:rPr>
        <w:t>Figure 28</w:t>
      </w:r>
      <w:r>
        <w:rPr>
          <w:rFonts w:ascii="Times New Roman" w:hAnsi="Times New Roman" w:cs="Times New Roman"/>
          <w:noProof/>
          <w:sz w:val="24"/>
          <w:szCs w:val="24"/>
        </w:rPr>
        <w:t>, t</w:t>
      </w:r>
      <w:r>
        <w:rPr>
          <w:rFonts w:ascii="Times New Roman" w:hAnsi="Times New Roman" w:cs="Times New Roman"/>
          <w:noProof/>
          <w:sz w:val="24"/>
          <w:szCs w:val="24"/>
        </w:rPr>
        <w:t>he long-term unemployment rate in 2016 was higher than in the pre-crisis period (2008) in almost all Member States, with a few notable exceptions (e.g. Sweden, the Czech Republic, Germany, Malta and Hungary). Over the last three years most Member States ha</w:t>
      </w:r>
      <w:r>
        <w:rPr>
          <w:rFonts w:ascii="Times New Roman" w:hAnsi="Times New Roman" w:cs="Times New Roman"/>
          <w:noProof/>
          <w:sz w:val="24"/>
          <w:szCs w:val="24"/>
        </w:rPr>
        <w:t>ve improved significantly, with a drop by 3 percentage points or more in countries such as Croatia, Ireland, Portugal, Slovakia and Spain. However, some countries with a comparatively high long-term unemployment rate (i.e. higher than the EU average) did n</w:t>
      </w:r>
      <w:r>
        <w:rPr>
          <w:rFonts w:ascii="Times New Roman" w:hAnsi="Times New Roman" w:cs="Times New Roman"/>
          <w:noProof/>
          <w:sz w:val="24"/>
          <w:szCs w:val="24"/>
        </w:rPr>
        <w:t>ot experience any significant improvement, or even deteriorated over the period (Belgium, France, Cyprus and Italy). The long-term unemployment challenge still appears pressing in 2016 in Greece and Spain (the respective rates amounting to 17% and 9.5%) fo</w:t>
      </w:r>
      <w:r>
        <w:rPr>
          <w:rFonts w:ascii="Times New Roman" w:hAnsi="Times New Roman" w:cs="Times New Roman"/>
          <w:noProof/>
          <w:sz w:val="24"/>
          <w:szCs w:val="24"/>
        </w:rPr>
        <w:t>llowed by Italy, Croatia, Portugal, Slovakia and Cyprus (hovering around 6%). By contrast, the lowest rates were found in Sweden, the United Kingdom and Denmark (below 1.5% of the labour force). In 10 Member States the long-term unemployed account for more</w:t>
      </w:r>
      <w:r>
        <w:rPr>
          <w:rFonts w:ascii="Times New Roman" w:hAnsi="Times New Roman" w:cs="Times New Roman"/>
          <w:noProof/>
          <w:sz w:val="24"/>
          <w:szCs w:val="24"/>
        </w:rPr>
        <w:t xml:space="preserve"> than 50% of total unemployment, with peaks of 72% in Greece and 60% in Slovakia.</w:t>
      </w:r>
    </w:p>
    <w:p w:rsidR="00CB01DD" w:rsidRDefault="00D75BDB">
      <w:pPr>
        <w:pStyle w:val="Caption"/>
        <w:keepNext/>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28</w:t>
      </w:r>
      <w:r>
        <w:rPr>
          <w:rFonts w:ascii="Times New Roman" w:hAnsi="Times New Roman"/>
          <w:noProof/>
          <w:sz w:val="24"/>
          <w:szCs w:val="24"/>
        </w:rPr>
        <w:fldChar w:fldCharType="end"/>
      </w:r>
      <w:r>
        <w:rPr>
          <w:rFonts w:ascii="Times New Roman" w:hAnsi="Times New Roman"/>
          <w:noProof/>
          <w:sz w:val="24"/>
          <w:szCs w:val="24"/>
        </w:rPr>
        <w:t>: Long-term unemployment as a percentage of active population</w:t>
      </w:r>
    </w:p>
    <w:p w:rsidR="00CB01DD" w:rsidRDefault="00D75BDB">
      <w:pPr>
        <w:keepNext/>
        <w:spacing w:line="36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192212F3" wp14:editId="4B3DC31A">
            <wp:extent cx="5815584" cy="272638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7564" cy="2736690"/>
                    </a:xfrm>
                    <a:prstGeom prst="rect">
                      <a:avLst/>
                    </a:prstGeom>
                    <a:noFill/>
                  </pic:spPr>
                </pic:pic>
              </a:graphicData>
            </a:graphic>
          </wp:inline>
        </w:drawing>
      </w:r>
    </w:p>
    <w:p w:rsidR="00CB01DD" w:rsidRDefault="00D75BDB">
      <w:pPr>
        <w:spacing w:line="36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Labour market segmentation remains stable over time, </w:t>
      </w:r>
      <w:r>
        <w:rPr>
          <w:rFonts w:ascii="Times New Roman" w:hAnsi="Times New Roman" w:cs="Times New Roman"/>
          <w:b/>
          <w:noProof/>
          <w:sz w:val="24"/>
          <w:szCs w:val="24"/>
        </w:rPr>
        <w:t>and continues to affect a number of Member States.</w:t>
      </w:r>
      <w:r>
        <w:rPr>
          <w:rFonts w:ascii="Times New Roman" w:hAnsi="Times New Roman" w:cs="Times New Roman"/>
          <w:noProof/>
          <w:sz w:val="24"/>
          <w:szCs w:val="24"/>
        </w:rPr>
        <w:t xml:space="preserve"> Duality between permanent and atypical jobs, with limited possibilities to move from the latter to the former, is a threat against well-functioning and fair labour markets. </w:t>
      </w:r>
      <w:r>
        <w:rPr>
          <w:rFonts w:ascii="Times New Roman" w:hAnsi="Times New Roman"/>
          <w:noProof/>
          <w:sz w:val="24"/>
          <w:szCs w:val="24"/>
          <w:lang w:eastAsia="en-GB"/>
        </w:rPr>
        <w:t>The situation in this respect is</w:t>
      </w:r>
      <w:r>
        <w:rPr>
          <w:rFonts w:ascii="Times New Roman" w:hAnsi="Times New Roman"/>
          <w:noProof/>
          <w:sz w:val="24"/>
          <w:szCs w:val="24"/>
          <w:lang w:eastAsia="en-GB"/>
        </w:rPr>
        <w:t xml:space="preserve"> almost unchanged compared to the 2017 Joint Employment Report</w:t>
      </w:r>
      <w:r>
        <w:rPr>
          <w:rStyle w:val="FootnoteReference"/>
          <w:rFonts w:ascii="Times New Roman" w:hAnsi="Times New Roman"/>
          <w:noProof/>
          <w:sz w:val="24"/>
          <w:szCs w:val="24"/>
          <w:lang w:eastAsia="en-GB"/>
        </w:rPr>
        <w:footnoteReference w:id="65"/>
      </w:r>
      <w:r>
        <w:rPr>
          <w:rFonts w:ascii="Times New Roman" w:hAnsi="Times New Roman"/>
          <w:noProof/>
          <w:sz w:val="24"/>
          <w:szCs w:val="24"/>
          <w:lang w:eastAsia="en-GB"/>
        </w:rPr>
        <w:t>, with countries such as Poland, Spain, Croatia and Portugal showing a percentage of temporary contracts (age group 20-64) close or above 20% and other nine countries between 10% and 15% (the N</w:t>
      </w:r>
      <w:r>
        <w:rPr>
          <w:rFonts w:ascii="Times New Roman" w:hAnsi="Times New Roman"/>
          <w:noProof/>
          <w:sz w:val="24"/>
          <w:szCs w:val="24"/>
          <w:lang w:eastAsia="en-GB"/>
        </w:rPr>
        <w:t>etherlands, Slovenia, Cyprus, France, Sweden, Finland, Denmark, Italy and Germany). In Poland and Spain the picture is complemented by particularly low transition rates towards permanent contracts, a situation common to France, where however the share of t</w:t>
      </w:r>
      <w:r>
        <w:rPr>
          <w:rFonts w:ascii="Times New Roman" w:hAnsi="Times New Roman"/>
          <w:noProof/>
          <w:sz w:val="24"/>
          <w:szCs w:val="24"/>
          <w:lang w:eastAsia="en-GB"/>
        </w:rPr>
        <w:t xml:space="preserve">emporary contracts is comparatively lower (but still above the EU average). </w:t>
      </w:r>
      <w:r>
        <w:rPr>
          <w:rFonts w:ascii="Times New Roman" w:hAnsi="Times New Roman" w:cs="Times New Roman"/>
          <w:noProof/>
          <w:sz w:val="24"/>
          <w:szCs w:val="24"/>
        </w:rPr>
        <w:t>T</w:t>
      </w:r>
      <w:r>
        <w:rPr>
          <w:rFonts w:ascii="Times New Roman" w:hAnsi="Times New Roman"/>
          <w:noProof/>
          <w:sz w:val="24"/>
          <w:szCs w:val="24"/>
          <w:lang w:eastAsia="en-GB"/>
        </w:rPr>
        <w:t>his suggests that temporary contracts may represent "dead ends" rather than "stepping stones" towards permanent jobs. In a multiannual perspective, the percentage of temporary con</w:t>
      </w:r>
      <w:r>
        <w:rPr>
          <w:rFonts w:ascii="Times New Roman" w:hAnsi="Times New Roman"/>
          <w:noProof/>
          <w:sz w:val="24"/>
          <w:szCs w:val="24"/>
          <w:lang w:eastAsia="en-GB"/>
        </w:rPr>
        <w:t>tracts changed only slightly over time since the onset of the crisis (the EU average hovered around 14% since 2008), remaining also stable in most Member States. However it increased significantly in Malta, Luxembourg, Slovakia, Cyprus, Denmark, the Nether</w:t>
      </w:r>
      <w:r>
        <w:rPr>
          <w:rFonts w:ascii="Times New Roman" w:hAnsi="Times New Roman"/>
          <w:noProof/>
          <w:sz w:val="24"/>
          <w:szCs w:val="24"/>
          <w:lang w:eastAsia="en-GB"/>
        </w:rPr>
        <w:t>lands and Croatia. In Spain, it dropped significantly at the beginning of the crisis (due to termination of fixed-term contracts), but increased subsequently after, along with the recovery.</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29</w:t>
      </w:r>
      <w:r>
        <w:rPr>
          <w:rFonts w:ascii="Times New Roman" w:hAnsi="Times New Roman"/>
          <w:noProof/>
          <w:sz w:val="24"/>
          <w:szCs w:val="24"/>
        </w:rPr>
        <w:fldChar w:fldCharType="end"/>
      </w:r>
      <w:r>
        <w:rPr>
          <w:rFonts w:ascii="Times New Roman" w:hAnsi="Times New Roman"/>
          <w:noProof/>
          <w:sz w:val="24"/>
          <w:szCs w:val="24"/>
        </w:rPr>
        <w:t>: Share of temporary workers ove</w:t>
      </w:r>
      <w:r>
        <w:rPr>
          <w:rFonts w:ascii="Times New Roman" w:hAnsi="Times New Roman"/>
          <w:noProof/>
          <w:sz w:val="24"/>
          <w:szCs w:val="24"/>
        </w:rPr>
        <w:t xml:space="preserve">r total employees 20-64 (2016) and transition rate from temporary to permanent jobs (2015). </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1B729995" wp14:editId="167ABA81">
            <wp:extent cx="5745193" cy="2659153"/>
            <wp:effectExtent l="0" t="0" r="825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9085" cy="2660954"/>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 SILC.</w:t>
      </w:r>
    </w:p>
    <w:p w:rsidR="00CB01DD" w:rsidRDefault="00CB01DD">
      <w:pPr>
        <w:spacing w:line="360" w:lineRule="auto"/>
        <w:jc w:val="both"/>
        <w:rPr>
          <w:rFonts w:ascii="Times New Roman" w:hAnsi="Times New Roman" w:cs="Times New Roman"/>
          <w:noProof/>
          <w:sz w:val="24"/>
          <w:szCs w:val="24"/>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Countries with a high share of self-employment may also be more exposed to labour market segmentation. </w:t>
      </w:r>
      <w:r>
        <w:rPr>
          <w:rFonts w:ascii="Times New Roman" w:hAnsi="Times New Roman" w:cs="Times New Roman"/>
          <w:noProof/>
          <w:sz w:val="24"/>
          <w:szCs w:val="24"/>
        </w:rPr>
        <w:t>This can occur if self-emplo</w:t>
      </w:r>
      <w:r>
        <w:rPr>
          <w:rFonts w:ascii="Times New Roman" w:hAnsi="Times New Roman" w:cs="Times New Roman"/>
          <w:noProof/>
          <w:sz w:val="24"/>
          <w:szCs w:val="24"/>
        </w:rPr>
        <w:t>yment masks economically dependent employment relationships (so-called 'bogus' self-employment), and/or when social security systems are not adapted to adequately cover the self-employed. While the degree of autonomy of self-employed workers cannot be meas</w:t>
      </w:r>
      <w:r>
        <w:rPr>
          <w:rFonts w:ascii="Times New Roman" w:hAnsi="Times New Roman" w:cs="Times New Roman"/>
          <w:noProof/>
          <w:sz w:val="24"/>
          <w:szCs w:val="24"/>
        </w:rPr>
        <w:t xml:space="preserve">ured with available statistics, a part of self-employment without employees (as a share of total employment) may be associated with potentially unstable jobs, thus signalling the need for further assessment. The ranking according to this indicator in 2016 </w:t>
      </w:r>
      <w:r>
        <w:rPr>
          <w:rFonts w:ascii="Times New Roman" w:hAnsi="Times New Roman" w:cs="Times New Roman"/>
          <w:noProof/>
          <w:sz w:val="24"/>
          <w:szCs w:val="24"/>
        </w:rPr>
        <w:t xml:space="preserve">shows Greece (22.2%), Romania and Italy (15.4%) on top, while Sweden, Germany and Denmark recorded the lowest values (close or below 5%). Looking at dynamics over time since 2008, the share of own-account workers increased significantly in some countries, </w:t>
      </w:r>
      <w:r>
        <w:rPr>
          <w:rFonts w:ascii="Times New Roman" w:hAnsi="Times New Roman" w:cs="Times New Roman"/>
          <w:noProof/>
          <w:sz w:val="24"/>
          <w:szCs w:val="24"/>
        </w:rPr>
        <w:t>notably the Netherlands (by 3.1 pps), Latvia (by 2.2 pps) and the United Kingdom (by 2.0 pps). On the contrary, it decreased most in Portugal (by -4 pps) and Croatia (by -5.1 pps).</w:t>
      </w:r>
    </w:p>
    <w:p w:rsidR="00CB01DD" w:rsidRDefault="00CB01DD">
      <w:pPr>
        <w:spacing w:line="360" w:lineRule="auto"/>
        <w:jc w:val="both"/>
        <w:rPr>
          <w:rFonts w:ascii="Times New Roman" w:hAnsi="Times New Roman" w:cs="Times New Roman"/>
          <w:b/>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30</w:t>
      </w:r>
      <w:r>
        <w:rPr>
          <w:rFonts w:ascii="Times New Roman" w:hAnsi="Times New Roman"/>
          <w:noProof/>
          <w:sz w:val="24"/>
          <w:szCs w:val="24"/>
        </w:rPr>
        <w:fldChar w:fldCharType="end"/>
      </w:r>
      <w:r>
        <w:rPr>
          <w:rFonts w:ascii="Times New Roman" w:hAnsi="Times New Roman"/>
          <w:noProof/>
          <w:sz w:val="24"/>
          <w:szCs w:val="24"/>
        </w:rPr>
        <w:t xml:space="preserve">: Self-employed without employees as percentage of total employment </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7D51A460" wp14:editId="401BFBF3">
            <wp:extent cx="5576400" cy="2718000"/>
            <wp:effectExtent l="0" t="0" r="571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76400" cy="271800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CB01DD">
      <w:pPr>
        <w:spacing w:line="360" w:lineRule="auto"/>
        <w:jc w:val="both"/>
        <w:rPr>
          <w:rFonts w:ascii="Times New Roman" w:hAnsi="Times New Roman" w:cs="Times New Roman"/>
          <w:noProof/>
          <w:sz w:val="20"/>
          <w:szCs w:val="24"/>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Well-designed unemployment benefit systems, characterised by appropriate levels and broad coverage combined with effective activation strategies, support and inc</w:t>
      </w:r>
      <w:r>
        <w:rPr>
          <w:rFonts w:ascii="Times New Roman" w:hAnsi="Times New Roman" w:cs="Times New Roman"/>
          <w:b/>
          <w:noProof/>
          <w:sz w:val="24"/>
          <w:szCs w:val="24"/>
        </w:rPr>
        <w:t xml:space="preserve">rease transitions back into employment. </w:t>
      </w:r>
      <w:r>
        <w:rPr>
          <w:rFonts w:ascii="Times New Roman" w:hAnsi="Times New Roman" w:cs="Times New Roman"/>
          <w:noProof/>
          <w:sz w:val="24"/>
          <w:szCs w:val="24"/>
        </w:rPr>
        <w:t>The comparative analysis of specific design features of unemployment benefit systems and their interplay with the provision of activation and support measures can provide useful insight regarding their performance. T</w:t>
      </w:r>
      <w:r>
        <w:rPr>
          <w:rFonts w:ascii="Times New Roman" w:hAnsi="Times New Roman" w:cs="Times New Roman"/>
          <w:noProof/>
          <w:sz w:val="24"/>
          <w:szCs w:val="24"/>
        </w:rPr>
        <w:t xml:space="preserve">he following analysis draws from the benchmarking exercise conducted during 2016-17 in the Employment Committee, following the approach outlined in Chapter 2. While the challenges related to high unemployment (notably, long-term) across Member States have </w:t>
      </w:r>
      <w:r>
        <w:rPr>
          <w:rFonts w:ascii="Times New Roman" w:hAnsi="Times New Roman" w:cs="Times New Roman"/>
          <w:noProof/>
          <w:sz w:val="24"/>
          <w:szCs w:val="24"/>
        </w:rPr>
        <w:t xml:space="preserve">been identified in previous sections of the report, this section will focus specifically on the performance of the unemployment benefits system and on specific policy levers, using agreed indicators.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On average, around one third of short-term unemployed</w:t>
      </w:r>
      <w:r>
        <w:rPr>
          <w:rStyle w:val="FootnoteReference"/>
          <w:rFonts w:ascii="Times New Roman" w:hAnsi="Times New Roman" w:cs="Times New Roman"/>
          <w:b/>
          <w:noProof/>
          <w:sz w:val="24"/>
          <w:szCs w:val="24"/>
        </w:rPr>
        <w:footnoteReference w:id="66"/>
      </w:r>
      <w:r>
        <w:rPr>
          <w:rFonts w:ascii="Times New Roman" w:hAnsi="Times New Roman" w:cs="Times New Roman"/>
          <w:b/>
          <w:noProof/>
          <w:sz w:val="24"/>
          <w:szCs w:val="24"/>
        </w:rPr>
        <w:t xml:space="preserve"> are covered by unemployment benefits in the EU.</w:t>
      </w:r>
      <w:r>
        <w:rPr>
          <w:rFonts w:ascii="Times New Roman" w:hAnsi="Times New Roman" w:cs="Times New Roman"/>
          <w:noProof/>
          <w:sz w:val="24"/>
          <w:szCs w:val="24"/>
        </w:rPr>
        <w:t xml:space="preserve"> This share slightly decreased in the aftermath of the crisis (from 34.4% in 2008 to 32.4% in 2016), with significant differences across countries. These differences depend on policy design (notably on eligib</w:t>
      </w:r>
      <w:r>
        <w:rPr>
          <w:rFonts w:ascii="Times New Roman" w:hAnsi="Times New Roman" w:cs="Times New Roman"/>
          <w:noProof/>
          <w:sz w:val="24"/>
          <w:szCs w:val="24"/>
        </w:rPr>
        <w:t>ility conditions, maximum duration and overlaps with other social protection schemes) as well as cyclical developments. On the one hand, coverage has more than doubled in Italy (from 7.3% to 15.1%), and has also increased significantly (by more than 10 pps</w:t>
      </w:r>
      <w:r>
        <w:rPr>
          <w:rFonts w:ascii="Times New Roman" w:hAnsi="Times New Roman" w:cs="Times New Roman"/>
          <w:noProof/>
          <w:sz w:val="24"/>
          <w:szCs w:val="24"/>
        </w:rPr>
        <w:t>) in Latvia, Estonia and the Czech Republic. On the other hand, it fell in Hungary (-10 pps), Luxembourg (-10 pps), Cyprus (-9 pps) and the United Kingdom (-8 pps). Significant decreases were also recorded in Member States with the lowest coverage, notably</w:t>
      </w:r>
      <w:r>
        <w:rPr>
          <w:rFonts w:ascii="Times New Roman" w:hAnsi="Times New Roman" w:cs="Times New Roman"/>
          <w:noProof/>
          <w:sz w:val="24"/>
          <w:szCs w:val="24"/>
        </w:rPr>
        <w:t xml:space="preserve"> Romania, Poland, Malta and Croatia. The latter four countries all present a coverage rate below 15% in 2016. On the opposite, in Finland, Belgium, Austria and Germany more than 50% of short-term unemployed were covered, with a peak of 66% in the latter. </w:t>
      </w:r>
    </w:p>
    <w:p w:rsidR="00CB01DD" w:rsidRDefault="00CB01DD">
      <w:pPr>
        <w:spacing w:line="360" w:lineRule="auto"/>
        <w:jc w:val="both"/>
        <w:rPr>
          <w:rFonts w:ascii="Times New Roman" w:hAnsi="Times New Roman" w:cs="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31</w:t>
      </w:r>
      <w:r>
        <w:rPr>
          <w:rFonts w:ascii="Times New Roman" w:hAnsi="Times New Roman"/>
          <w:noProof/>
          <w:sz w:val="24"/>
          <w:szCs w:val="24"/>
        </w:rPr>
        <w:fldChar w:fldCharType="end"/>
      </w:r>
      <w:r>
        <w:rPr>
          <w:rFonts w:ascii="Times New Roman" w:hAnsi="Times New Roman"/>
          <w:noProof/>
          <w:sz w:val="24"/>
          <w:szCs w:val="24"/>
        </w:rPr>
        <w:t>: Coverage of unemployment benefits for the short-term unemployed</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0C9D6389" wp14:editId="0D003279">
            <wp:extent cx="4975200" cy="260280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5200" cy="260280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val="fr-BE" w:eastAsia="en-GB"/>
        </w:rPr>
        <w:t xml:space="preserve">Source: computation on Eurostat, LFS data. </w:t>
      </w:r>
      <w:r>
        <w:rPr>
          <w:rFonts w:ascii="Times New Roman" w:hAnsi="Times New Roman" w:cs="Times New Roman"/>
          <w:noProof/>
          <w:sz w:val="20"/>
          <w:szCs w:val="20"/>
          <w:lang w:eastAsia="en-GB"/>
        </w:rPr>
        <w:t>Note: IE and NL not available.</w:t>
      </w:r>
    </w:p>
    <w:p w:rsidR="00CB01DD" w:rsidRDefault="00CB01DD">
      <w:pPr>
        <w:spacing w:line="360" w:lineRule="auto"/>
        <w:jc w:val="both"/>
        <w:rPr>
          <w:rFonts w:ascii="Times New Roman" w:hAnsi="Times New Roman" w:cs="Times New Roman"/>
          <w:noProof/>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In all Member States, entitlement to unemployment insurance benefits depends </w:t>
      </w:r>
      <w:r>
        <w:rPr>
          <w:rFonts w:ascii="Times New Roman" w:hAnsi="Times New Roman" w:cs="Times New Roman"/>
          <w:b/>
          <w:noProof/>
          <w:sz w:val="24"/>
          <w:szCs w:val="24"/>
        </w:rPr>
        <w:t>on previous work records and/or contributions paid.</w:t>
      </w:r>
      <w:r>
        <w:rPr>
          <w:rFonts w:ascii="Times New Roman" w:hAnsi="Times New Roman" w:cs="Times New Roman"/>
          <w:noProof/>
          <w:sz w:val="24"/>
          <w:szCs w:val="24"/>
        </w:rPr>
        <w:t xml:space="preserve"> Stricter eligibility conditions translate into fewer unemployed people being entitled to benefits, and thus a lower coverage rate. In order to be entitled, unemployed people are generally required to have</w:t>
      </w:r>
      <w:r>
        <w:rPr>
          <w:rFonts w:ascii="Times New Roman" w:hAnsi="Times New Roman" w:cs="Times New Roman"/>
          <w:noProof/>
          <w:sz w:val="24"/>
          <w:szCs w:val="24"/>
        </w:rPr>
        <w:t xml:space="preserve"> a minimum work record over a given period of time and, as a consequence, individuals with short employment spells and less continuous work histories often enjoy a lower coverage or no coverage at all. Looking at </w:t>
      </w:r>
      <w:r>
        <w:rPr>
          <w:rFonts w:ascii="Times New Roman" w:hAnsi="Times New Roman"/>
          <w:noProof/>
          <w:sz w:val="24"/>
          <w:szCs w:val="24"/>
        </w:rPr>
        <w:t>Figure 32</w:t>
      </w:r>
      <w:r>
        <w:rPr>
          <w:rFonts w:ascii="Times New Roman" w:hAnsi="Times New Roman" w:cs="Times New Roman"/>
          <w:noProof/>
          <w:sz w:val="24"/>
          <w:szCs w:val="24"/>
        </w:rPr>
        <w:t xml:space="preserve">, the number of weeks required to </w:t>
      </w:r>
      <w:r>
        <w:rPr>
          <w:rFonts w:ascii="Times New Roman" w:hAnsi="Times New Roman" w:cs="Times New Roman"/>
          <w:noProof/>
          <w:sz w:val="24"/>
          <w:szCs w:val="24"/>
        </w:rPr>
        <w:t>access unemployment benefits varies between 20 or less in Malta (where at least 50 weekly contributions must have been paid since the person first started work), France and Italy, to more than 100 in Slovakia, with one year (52 weeks) being the most common</w:t>
      </w:r>
      <w:r>
        <w:rPr>
          <w:rFonts w:ascii="Times New Roman" w:hAnsi="Times New Roman" w:cs="Times New Roman"/>
          <w:noProof/>
          <w:sz w:val="24"/>
          <w:szCs w:val="24"/>
        </w:rPr>
        <w:t xml:space="preserve"> value. Another key parameter is the ratio between the contribution period and a longer 'reference' period, which in several countries allows taking into account periods of non-employment in the computation. The most frequent value across Member States is </w:t>
      </w:r>
      <w:r>
        <w:rPr>
          <w:rFonts w:ascii="Times New Roman" w:hAnsi="Times New Roman" w:cs="Times New Roman"/>
          <w:noProof/>
          <w:sz w:val="24"/>
          <w:szCs w:val="24"/>
        </w:rPr>
        <w:t>0.5 (that is, beneficiaries should have contributed for at least half of the reference period). Shorter entitlement periods allow easier access to unemployment benefits for workers with discontinuous careers, although they might in turn promote unnecessary</w:t>
      </w:r>
      <w:r>
        <w:rPr>
          <w:rFonts w:ascii="Times New Roman" w:hAnsi="Times New Roman" w:cs="Times New Roman"/>
          <w:noProof/>
          <w:sz w:val="24"/>
          <w:szCs w:val="24"/>
        </w:rPr>
        <w:t xml:space="preserve"> turnover of workers (i.e. churning). </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32</w:t>
      </w:r>
      <w:r>
        <w:rPr>
          <w:rFonts w:ascii="Times New Roman" w:hAnsi="Times New Roman"/>
          <w:noProof/>
          <w:sz w:val="24"/>
          <w:szCs w:val="24"/>
        </w:rPr>
        <w:fldChar w:fldCharType="end"/>
      </w:r>
      <w:r>
        <w:rPr>
          <w:rFonts w:ascii="Times New Roman" w:hAnsi="Times New Roman"/>
          <w:noProof/>
          <w:sz w:val="24"/>
          <w:szCs w:val="24"/>
        </w:rPr>
        <w:t>: Length of the required qualifying period, 2016</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5B9D0C2B" wp14:editId="32E8C103">
            <wp:extent cx="5168900" cy="26907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0965" cy="2691856"/>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MISSOC database, and national legislation. Red diamonds indicate the ratio between contribution and reference period. In </w:t>
      </w:r>
      <w:r>
        <w:rPr>
          <w:rFonts w:ascii="Times New Roman" w:hAnsi="Times New Roman" w:cs="Times New Roman"/>
          <w:noProof/>
          <w:sz w:val="20"/>
          <w:szCs w:val="20"/>
          <w:lang w:eastAsia="en-GB"/>
        </w:rPr>
        <w:t>Malta, at least 50 weekly contributions must have been paid since the person first started work; in Ireland, at least 104 weekly contributions must have been paid since the person first started work.</w:t>
      </w:r>
    </w:p>
    <w:p w:rsidR="00CB01DD" w:rsidRDefault="00CB01DD">
      <w:pPr>
        <w:spacing w:line="360" w:lineRule="auto"/>
        <w:jc w:val="both"/>
        <w:rPr>
          <w:rFonts w:ascii="Times New Roman" w:hAnsi="Times New Roman" w:cs="Times New Roman"/>
          <w:noProof/>
          <w:sz w:val="24"/>
          <w:szCs w:val="24"/>
        </w:rPr>
      </w:pPr>
    </w:p>
    <w:p w:rsidR="00CB01DD" w:rsidRDefault="00D75BDB">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The duration of unemployment benefits is generally lowe</w:t>
      </w:r>
      <w:r>
        <w:rPr>
          <w:rFonts w:ascii="Times New Roman" w:hAnsi="Times New Roman" w:cs="Times New Roman"/>
          <w:b/>
          <w:noProof/>
          <w:sz w:val="24"/>
          <w:szCs w:val="24"/>
        </w:rPr>
        <w:t xml:space="preserve">r than the contribution period, with some exceptions. </w:t>
      </w:r>
      <w:r>
        <w:rPr>
          <w:rFonts w:ascii="Times New Roman" w:hAnsi="Times New Roman" w:cs="Times New Roman"/>
          <w:noProof/>
          <w:sz w:val="24"/>
          <w:szCs w:val="24"/>
        </w:rPr>
        <w:t xml:space="preserve">Benefit duration can be either fixed or increasing with the length of the contribution record. Moreover, after rights to unemployment benefits have exhausted, many EU countries have alternative second tier benefit. </w:t>
      </w:r>
      <w:r>
        <w:rPr>
          <w:rFonts w:ascii="Times New Roman" w:hAnsi="Times New Roman"/>
          <w:noProof/>
          <w:sz w:val="24"/>
          <w:szCs w:val="24"/>
        </w:rPr>
        <w:t>Figure 33</w:t>
      </w:r>
      <w:r>
        <w:rPr>
          <w:rFonts w:ascii="Times New Roman" w:hAnsi="Times New Roman" w:cs="Times New Roman"/>
          <w:noProof/>
          <w:sz w:val="24"/>
          <w:szCs w:val="24"/>
        </w:rPr>
        <w:t xml:space="preserve"> shows the maximum duration of b</w:t>
      </w:r>
      <w:r>
        <w:rPr>
          <w:rFonts w:ascii="Times New Roman" w:hAnsi="Times New Roman" w:cs="Times New Roman"/>
          <w:noProof/>
          <w:sz w:val="24"/>
          <w:szCs w:val="24"/>
        </w:rPr>
        <w:t>enefits after one year of contribution. While in most Member States the duration is shorter than the contribution period (with half period, i.e. 26 weeks, being the most frequent outcome), in four cases it equals the contribution period (i.e. in France, th</w:t>
      </w:r>
      <w:r>
        <w:rPr>
          <w:rFonts w:ascii="Times New Roman" w:hAnsi="Times New Roman" w:cs="Times New Roman"/>
          <w:noProof/>
          <w:sz w:val="24"/>
          <w:szCs w:val="24"/>
        </w:rPr>
        <w:t xml:space="preserve">e Netherlands, Greece and Luxembourg) and three cases it is higher (71 weeks in Finland, 104 in Denmark, indefinite in Belgium, though the benefits decrease with time to a floor level). At the opposite side of the scale, benefits last three months or less </w:t>
      </w:r>
      <w:r>
        <w:rPr>
          <w:rFonts w:ascii="Times New Roman" w:hAnsi="Times New Roman" w:cs="Times New Roman"/>
          <w:noProof/>
          <w:sz w:val="24"/>
          <w:szCs w:val="24"/>
        </w:rPr>
        <w:t>in Slovenia, Croatia, Malta and Hungary.</w:t>
      </w:r>
    </w:p>
    <w:p w:rsidR="00CB01DD" w:rsidRDefault="00CB01DD">
      <w:pPr>
        <w:spacing w:line="360" w:lineRule="auto"/>
        <w:jc w:val="both"/>
        <w:rPr>
          <w:rFonts w:ascii="Times New Roman" w:hAnsi="Times New Roman" w:cs="Times New Roman"/>
          <w:noProof/>
          <w:sz w:val="24"/>
          <w:szCs w:val="24"/>
        </w:rPr>
      </w:pP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33</w:t>
      </w:r>
      <w:r>
        <w:rPr>
          <w:rFonts w:ascii="Times New Roman" w:hAnsi="Times New Roman"/>
          <w:noProof/>
          <w:sz w:val="24"/>
          <w:szCs w:val="24"/>
        </w:rPr>
        <w:fldChar w:fldCharType="end"/>
      </w:r>
      <w:r>
        <w:rPr>
          <w:rFonts w:ascii="Times New Roman" w:hAnsi="Times New Roman"/>
          <w:noProof/>
          <w:sz w:val="24"/>
          <w:szCs w:val="24"/>
        </w:rPr>
        <w:t>: Maximum duration of benefits with a 1-year work record, 1</w:t>
      </w:r>
      <w:r>
        <w:rPr>
          <w:rFonts w:ascii="Times New Roman" w:hAnsi="Times New Roman"/>
          <w:noProof/>
          <w:sz w:val="24"/>
          <w:szCs w:val="24"/>
          <w:vertAlign w:val="superscript"/>
        </w:rPr>
        <w:t>st</w:t>
      </w:r>
      <w:r>
        <w:rPr>
          <w:rFonts w:ascii="Times New Roman" w:hAnsi="Times New Roman"/>
          <w:noProof/>
          <w:sz w:val="24"/>
          <w:szCs w:val="24"/>
        </w:rPr>
        <w:t xml:space="preserve"> January 2017</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26415F71" wp14:editId="34F7333D">
            <wp:extent cx="5137150" cy="25593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8376" cy="2559993"/>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MISSOC database (January 2017) and national legislation. Note: in BE there is no limit on the d</w:t>
      </w:r>
      <w:r>
        <w:rPr>
          <w:rFonts w:ascii="Times New Roman" w:hAnsi="Times New Roman" w:cs="Times New Roman"/>
          <w:noProof/>
          <w:sz w:val="20"/>
          <w:szCs w:val="20"/>
          <w:lang w:eastAsia="en-GB"/>
        </w:rPr>
        <w:t>uration of benefits. For Member States in which duration also depends on age, the chart shows the duration for the youngest age group, corresponding to the shortest possible one. In SK, the duration shown (4 months) refers to people employed under a fixed-</w:t>
      </w:r>
      <w:r>
        <w:rPr>
          <w:rFonts w:ascii="Times New Roman" w:hAnsi="Times New Roman" w:cs="Times New Roman"/>
          <w:noProof/>
          <w:sz w:val="20"/>
          <w:szCs w:val="20"/>
          <w:lang w:eastAsia="en-GB"/>
        </w:rPr>
        <w:t>term contract (otherwise it is 6 months). In PL, duration varies depending on the level of the unemployment rate of the region relative to the national average.</w:t>
      </w:r>
    </w:p>
    <w:p w:rsidR="00CB01DD" w:rsidRDefault="00CB01DD">
      <w:pPr>
        <w:spacing w:line="360" w:lineRule="auto"/>
        <w:jc w:val="both"/>
        <w:rPr>
          <w:rFonts w:ascii="Times New Roman" w:hAnsi="Times New Roman" w:cs="Times New Roman"/>
          <w:noProof/>
          <w:szCs w:val="24"/>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There is a great variation in the level and adequacy of unemployment benefits across Member St</w:t>
      </w:r>
      <w:r>
        <w:rPr>
          <w:rFonts w:ascii="Times New Roman" w:hAnsi="Times New Roman" w:cs="Times New Roman"/>
          <w:b/>
          <w:noProof/>
          <w:sz w:val="24"/>
          <w:szCs w:val="24"/>
        </w:rPr>
        <w:t xml:space="preserve">ates. </w:t>
      </w:r>
      <w:r>
        <w:rPr>
          <w:rFonts w:ascii="Times New Roman" w:hAnsi="Times New Roman" w:cs="Times New Roman"/>
          <w:noProof/>
          <w:sz w:val="24"/>
          <w:szCs w:val="24"/>
        </w:rPr>
        <w:t>Net replacement rates provide an indication of the adequacy of the income replacement function of unemployment insurance benefits.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Their level depends on a number of factors, including the previous level of earnings from work, seniority, duration of </w:t>
      </w:r>
      <w:r>
        <w:rPr>
          <w:rFonts w:ascii="Times New Roman" w:hAnsi="Times New Roman" w:cs="Times New Roman"/>
          <w:noProof/>
          <w:sz w:val="24"/>
          <w:szCs w:val="24"/>
        </w:rPr>
        <w:t>the unemployment spell, age and household composition (in particular when the interaction with the tax system and with other benefits is taken into account). Looking at the case of a low-wage worker with a short work history (1 year), the values of the net</w:t>
      </w:r>
      <w:r>
        <w:rPr>
          <w:rFonts w:ascii="Times New Roman" w:hAnsi="Times New Roman" w:cs="Times New Roman"/>
          <w:noProof/>
          <w:sz w:val="24"/>
          <w:szCs w:val="24"/>
        </w:rPr>
        <w:t xml:space="preserve"> replacement rate, after one month of unemployment, range from 20% of previous (net) earnings to 90% (</w:t>
      </w:r>
      <w:r>
        <w:rPr>
          <w:rFonts w:ascii="Times New Roman" w:hAnsi="Times New Roman"/>
          <w:noProof/>
          <w:sz w:val="24"/>
          <w:szCs w:val="24"/>
        </w:rPr>
        <w:t>Figure 34</w:t>
      </w:r>
      <w:r>
        <w:rPr>
          <w:rFonts w:ascii="Times New Roman" w:hAnsi="Times New Roman" w:cs="Times New Roman"/>
          <w:noProof/>
          <w:sz w:val="24"/>
          <w:szCs w:val="24"/>
        </w:rPr>
        <w:t>). At the lower end there are Member States where the benefit is already terminated at the second month of unemployment (Hungary) or where the in</w:t>
      </w:r>
      <w:r>
        <w:rPr>
          <w:rFonts w:ascii="Times New Roman" w:hAnsi="Times New Roman" w:cs="Times New Roman"/>
          <w:noProof/>
          <w:sz w:val="24"/>
          <w:szCs w:val="24"/>
        </w:rPr>
        <w:t>dividual with a work career of one year is not eligible for unemployment insurance (Slovakia). These are followed by Member States providing a flat-rate benefit which is unrelated (or only weakly related) to the level of previous earnings (Romania, Bulgari</w:t>
      </w:r>
      <w:r>
        <w:rPr>
          <w:rFonts w:ascii="Times New Roman" w:hAnsi="Times New Roman" w:cs="Times New Roman"/>
          <w:noProof/>
          <w:sz w:val="24"/>
          <w:szCs w:val="24"/>
        </w:rPr>
        <w:t>a, Greece, the United Kingdom, Malta). The comparison with the net replacement rates at the 12</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month of the unemployment spell shows the effect of either the expiration of the benefits (with individuals falling into other schemes, such as unemployment or</w:t>
      </w:r>
      <w:r>
        <w:rPr>
          <w:rFonts w:ascii="Times New Roman" w:hAnsi="Times New Roman" w:cs="Times New Roman"/>
          <w:noProof/>
          <w:sz w:val="24"/>
          <w:szCs w:val="24"/>
        </w:rPr>
        <w:t xml:space="preserve"> social assistance), or the possible reduction in benefit generosity.</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34</w:t>
      </w:r>
      <w:r>
        <w:rPr>
          <w:rFonts w:ascii="Times New Roman" w:hAnsi="Times New Roman"/>
          <w:noProof/>
          <w:sz w:val="24"/>
          <w:szCs w:val="24"/>
        </w:rPr>
        <w:fldChar w:fldCharType="end"/>
      </w:r>
      <w:r>
        <w:rPr>
          <w:rFonts w:ascii="Times New Roman" w:hAnsi="Times New Roman"/>
          <w:noProof/>
          <w:sz w:val="24"/>
          <w:szCs w:val="24"/>
        </w:rPr>
        <w:t>: Net replacement rate of unemployment benefits at 67% of the average wage, at the 2nd and 12th month of unemployment (January 2016)</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0A75860D" wp14:editId="59A460DC">
            <wp:extent cx="4705350" cy="23690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4703" cy="2368761"/>
                    </a:xfrm>
                    <a:prstGeom prst="rect">
                      <a:avLst/>
                    </a:prstGeom>
                    <a:noFill/>
                  </pic:spPr>
                </pic:pic>
              </a:graphicData>
            </a:graphic>
          </wp:inline>
        </w:drawing>
      </w:r>
    </w:p>
    <w:p w:rsidR="00CB01DD" w:rsidRDefault="00D75BDB">
      <w:pPr>
        <w:keepNext/>
        <w:spacing w:line="240"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European </w:t>
      </w:r>
      <w:r>
        <w:rPr>
          <w:rFonts w:ascii="Times New Roman" w:hAnsi="Times New Roman" w:cs="Times New Roman"/>
          <w:noProof/>
          <w:sz w:val="20"/>
          <w:szCs w:val="20"/>
          <w:lang w:eastAsia="en-GB"/>
        </w:rPr>
        <w:t>Commission based on OECD Tax-Benefit Models.</w:t>
      </w:r>
    </w:p>
    <w:p w:rsidR="00CB01DD" w:rsidRDefault="00D75BDB">
      <w:pPr>
        <w:spacing w:line="36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highlight w:val="yellow"/>
        </w:rPr>
        <w:t xml:space="preserve"> </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35</w:t>
      </w:r>
      <w:r>
        <w:rPr>
          <w:rFonts w:ascii="Times New Roman" w:hAnsi="Times New Roman"/>
          <w:noProof/>
          <w:sz w:val="24"/>
          <w:szCs w:val="24"/>
        </w:rPr>
        <w:fldChar w:fldCharType="end"/>
      </w:r>
      <w:r>
        <w:rPr>
          <w:rFonts w:ascii="Times New Roman" w:hAnsi="Times New Roman"/>
          <w:noProof/>
          <w:sz w:val="24"/>
          <w:szCs w:val="24"/>
        </w:rPr>
        <w:t>: Indicator of strictness of job-search and availability requirements, 2014</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1224C459" wp14:editId="278D3771">
            <wp:extent cx="4718304" cy="239207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OECD.</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Member States adopt different strategies to ensure activation of unemployment benefit recipients. </w:t>
      </w:r>
      <w:r>
        <w:rPr>
          <w:rFonts w:ascii="Times New Roman" w:hAnsi="Times New Roman" w:cs="Times New Roman"/>
          <w:noProof/>
          <w:sz w:val="24"/>
          <w:szCs w:val="24"/>
        </w:rPr>
        <w:t>Concretely, this amounts to making the continued receipt of benefits conditional on a set of requirements of job search and availability to work, ensuring tha</w:t>
      </w:r>
      <w:r>
        <w:rPr>
          <w:rFonts w:ascii="Times New Roman" w:hAnsi="Times New Roman" w:cs="Times New Roman"/>
          <w:noProof/>
          <w:sz w:val="24"/>
          <w:szCs w:val="24"/>
        </w:rPr>
        <w:t>t people receiving unemployment benefits remain engaged and do not become inactive. Figure 35 shows summary indicators of job-search and availability requirements for unemployment benefits recipients, as calculated by OECD</w:t>
      </w:r>
      <w:r>
        <w:rPr>
          <w:rFonts w:ascii="Times New Roman" w:hAnsi="Times New Roman" w:cs="Times New Roman"/>
          <w:noProof/>
          <w:sz w:val="24"/>
          <w:szCs w:val="24"/>
          <w:vertAlign w:val="superscript"/>
        </w:rPr>
        <w:footnoteReference w:id="67"/>
      </w:r>
      <w:r>
        <w:rPr>
          <w:rFonts w:ascii="Times New Roman" w:hAnsi="Times New Roman" w:cs="Times New Roman"/>
          <w:noProof/>
          <w:sz w:val="24"/>
          <w:szCs w:val="24"/>
        </w:rPr>
        <w:t>, in the domains of: i) availabil</w:t>
      </w:r>
      <w:r>
        <w:rPr>
          <w:rFonts w:ascii="Times New Roman" w:hAnsi="Times New Roman" w:cs="Times New Roman"/>
          <w:noProof/>
          <w:sz w:val="24"/>
          <w:szCs w:val="24"/>
        </w:rPr>
        <w:t xml:space="preserve">ity for work also during participation in ALMPs, and suitable work criteria (i.e. under what circumstances a job offer may be refused without sanctions); ii) monitoring of job-search activities (frequency of job-search, documentation to be provided); iii) </w:t>
      </w:r>
      <w:r>
        <w:rPr>
          <w:rFonts w:ascii="Times New Roman" w:hAnsi="Times New Roman" w:cs="Times New Roman"/>
          <w:noProof/>
          <w:sz w:val="24"/>
          <w:szCs w:val="24"/>
        </w:rPr>
        <w:t>sanctions (for voluntary unemployment, refusal of job offers, failure to participate in counselling sessions or AMLPs)</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Estimated job-search and availability conditions and related sanctions appear to be the strictest in Malta, Croatia, Estonia, Portugal,</w:t>
      </w:r>
      <w:r>
        <w:rPr>
          <w:rFonts w:ascii="Times New Roman" w:hAnsi="Times New Roman" w:cs="Times New Roman"/>
          <w:noProof/>
          <w:sz w:val="24"/>
          <w:szCs w:val="24"/>
        </w:rPr>
        <w:t xml:space="preserve"> Luxembourg and Slovenia, while they are the least strict in Cyprus and Hungary. The relative importance of sub-components varies considerably across countries. Importantly, this indicator does not measure the level of enforcement.</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High unemployment durati</w:t>
      </w:r>
      <w:r>
        <w:rPr>
          <w:rFonts w:ascii="Times New Roman" w:hAnsi="Times New Roman" w:cs="Times New Roman"/>
          <w:b/>
          <w:noProof/>
          <w:sz w:val="24"/>
          <w:szCs w:val="24"/>
        </w:rPr>
        <w:t xml:space="preserve">on increases the risk for jobless people to disengage from the labour market, gradually losing skills and employability. </w:t>
      </w:r>
      <w:r>
        <w:rPr>
          <w:rFonts w:ascii="Times New Roman" w:hAnsi="Times New Roman" w:cs="Times New Roman"/>
          <w:noProof/>
          <w:sz w:val="24"/>
          <w:szCs w:val="24"/>
        </w:rPr>
        <w:t>In order to prevent this situation from occurring, an early targeting of the unemployed through effective active labour market policies</w:t>
      </w:r>
      <w:r>
        <w:rPr>
          <w:rFonts w:ascii="Times New Roman" w:hAnsi="Times New Roman" w:cs="Times New Roman"/>
          <w:noProof/>
          <w:sz w:val="24"/>
          <w:szCs w:val="24"/>
        </w:rPr>
        <w:t xml:space="preserve"> (ALMPs) may help their quick (re)integration in the labour market. </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36</w:t>
      </w:r>
      <w:r>
        <w:rPr>
          <w:rFonts w:ascii="Times New Roman" w:hAnsi="Times New Roman"/>
          <w:noProof/>
          <w:sz w:val="24"/>
          <w:szCs w:val="24"/>
        </w:rPr>
        <w:fldChar w:fldCharType="end"/>
      </w:r>
      <w:r>
        <w:rPr>
          <w:rFonts w:ascii="Times New Roman" w:hAnsi="Times New Roman"/>
          <w:noProof/>
          <w:sz w:val="24"/>
          <w:szCs w:val="24"/>
        </w:rPr>
        <w:t xml:space="preserve">: Participants in ALMPs (per 100 persons wanting to work) and yearly change (Social Scoreboard headline indicator) </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6F94AADC" wp14:editId="356BBEB2">
            <wp:extent cx="4387932" cy="33736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8850" cy="337432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LMP database and </w:t>
      </w:r>
      <w:r>
        <w:rPr>
          <w:rFonts w:ascii="Times New Roman" w:hAnsi="Times New Roman" w:cs="Times New Roman"/>
          <w:noProof/>
          <w:sz w:val="20"/>
          <w:szCs w:val="20"/>
          <w:lang w:eastAsia="en-GB"/>
        </w:rPr>
        <w:t>LFS. Period: 2015 levels and yearly changes with respect to 2014. Note: Axes are centred on the unweighted EU average. The legend is presented in the Annex. No data available for EL, IT, MT, UK. LU excluded due to data verification issues.</w:t>
      </w:r>
    </w:p>
    <w:p w:rsidR="00CB01DD" w:rsidRDefault="00CB01DD">
      <w:pPr>
        <w:spacing w:line="240" w:lineRule="auto"/>
        <w:jc w:val="both"/>
        <w:rPr>
          <w:rFonts w:ascii="Times New Roman" w:hAnsi="Times New Roman" w:cs="Times New Roman"/>
          <w:noProof/>
          <w:sz w:val="20"/>
          <w:szCs w:val="20"/>
          <w:lang w:eastAsia="en-GB"/>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Participation i</w:t>
      </w:r>
      <w:r>
        <w:rPr>
          <w:rFonts w:ascii="Times New Roman" w:hAnsi="Times New Roman" w:cs="Times New Roman"/>
          <w:b/>
          <w:noProof/>
          <w:sz w:val="24"/>
          <w:szCs w:val="24"/>
        </w:rPr>
        <w:t xml:space="preserve">n ALMPs follows very distinct patterns across Member States. </w:t>
      </w:r>
      <w:r>
        <w:rPr>
          <w:rFonts w:ascii="Times New Roman" w:hAnsi="Times New Roman" w:cs="Times New Roman"/>
          <w:noProof/>
          <w:sz w:val="24"/>
          <w:szCs w:val="24"/>
        </w:rPr>
        <w:t>On the one hand, in a large group of Member States (Bulgaria, Romania, Latvia, Estonia, Croatia, Slovenia and Cyprus) the participation rate per 100 persons wanting to work (i.e. either unemploye</w:t>
      </w:r>
      <w:r>
        <w:rPr>
          <w:rFonts w:ascii="Times New Roman" w:hAnsi="Times New Roman" w:cs="Times New Roman"/>
          <w:noProof/>
          <w:sz w:val="24"/>
          <w:szCs w:val="24"/>
        </w:rPr>
        <w:t>d or available to work but not actively seeking for it) was below 10% in 2015, showing only a modest improvement or even deterioration over the latest year. With the exception of Cyprus, those Member States are flagged as "critical situations". On the othe</w:t>
      </w:r>
      <w:r>
        <w:rPr>
          <w:rFonts w:ascii="Times New Roman" w:hAnsi="Times New Roman" w:cs="Times New Roman"/>
          <w:noProof/>
          <w:sz w:val="24"/>
          <w:szCs w:val="24"/>
        </w:rPr>
        <w:t>r hand, another sizable group of countries recorded participation rates well above the average, and in all cases beyond 40%: France, Hungary, Sweden, Belgium and Denmark ("best performers"). For these countries the participation rate has increased (to a di</w:t>
      </w:r>
      <w:r>
        <w:rPr>
          <w:rFonts w:ascii="Times New Roman" w:hAnsi="Times New Roman" w:cs="Times New Roman"/>
          <w:noProof/>
          <w:sz w:val="24"/>
          <w:szCs w:val="24"/>
        </w:rPr>
        <w:t>fferent degree) over the latest year. This development adds up to a picture of increasing divergence across countries, as highlighted by the positively sloped regression line which relates yearly changes to levels. In any case, this indicator should be int</w:t>
      </w:r>
      <w:r>
        <w:rPr>
          <w:rFonts w:ascii="Times New Roman" w:hAnsi="Times New Roman" w:cs="Times New Roman"/>
          <w:noProof/>
          <w:sz w:val="24"/>
          <w:szCs w:val="24"/>
        </w:rPr>
        <w:t>erpreted with caution, as it only measures participation to (and not effectiveness of) labour market policies, and for a number of countries it presents statistical reliability issues, related to the data collection process. In a multiannual perspective, e</w:t>
      </w:r>
      <w:r>
        <w:rPr>
          <w:rFonts w:ascii="Times New Roman" w:hAnsi="Times New Roman" w:cs="Times New Roman"/>
          <w:noProof/>
          <w:sz w:val="24"/>
          <w:szCs w:val="24"/>
        </w:rPr>
        <w:t xml:space="preserve">vidence for most Member States shows a decline of the indicator during the crisis (notably due to the cyclical increase of unemployment after 2008) followed by an improvement along with the recovery. </w:t>
      </w:r>
    </w:p>
    <w:p w:rsidR="00CB01DD" w:rsidRDefault="00D75BDB">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Registration with Public Employment Services, in most c</w:t>
      </w:r>
      <w:r>
        <w:rPr>
          <w:rFonts w:ascii="Times New Roman" w:hAnsi="Times New Roman" w:cs="Times New Roman"/>
          <w:b/>
          <w:noProof/>
          <w:sz w:val="24"/>
          <w:szCs w:val="24"/>
        </w:rPr>
        <w:t>ases, is a pre-requisite for the participation into ALMPs schemes.</w:t>
      </w:r>
      <w:r>
        <w:rPr>
          <w:rFonts w:ascii="Times New Roman" w:hAnsi="Times New Roman" w:cs="Times New Roman"/>
          <w:noProof/>
          <w:sz w:val="24"/>
          <w:szCs w:val="24"/>
        </w:rPr>
        <w:t xml:space="preserve"> Registered unemployed may have access to profiling, counselling and individualised services, including job search support and referral to specific activation and/or training schemes. Howeve</w:t>
      </w:r>
      <w:r>
        <w:rPr>
          <w:rFonts w:ascii="Times New Roman" w:hAnsi="Times New Roman" w:cs="Times New Roman"/>
          <w:noProof/>
          <w:sz w:val="24"/>
          <w:szCs w:val="24"/>
        </w:rPr>
        <w:t>r, as shown in the Joint Employment Report 2017, there remain large discrepancies in registration rates across Member States. These differences depend on various factors such as the capacity of Public Employment Services, the quality of the services offere</w:t>
      </w:r>
      <w:r>
        <w:rPr>
          <w:rFonts w:ascii="Times New Roman" w:hAnsi="Times New Roman" w:cs="Times New Roman"/>
          <w:noProof/>
          <w:sz w:val="24"/>
          <w:szCs w:val="24"/>
        </w:rPr>
        <w:t xml:space="preserve">d, the obligations and sanctioning mechanisms related to unemployment benefits and other income assistance schemes.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Beyond formal registration requirements, Public Employment Services are a key tools for job search. </w:t>
      </w:r>
      <w:r>
        <w:rPr>
          <w:rFonts w:ascii="Times New Roman" w:hAnsi="Times New Roman" w:cs="Times New Roman"/>
          <w:noProof/>
          <w:sz w:val="24"/>
          <w:szCs w:val="24"/>
        </w:rPr>
        <w:t>Evidence shows also in this case a larg</w:t>
      </w:r>
      <w:r>
        <w:rPr>
          <w:rFonts w:ascii="Times New Roman" w:hAnsi="Times New Roman" w:cs="Times New Roman"/>
          <w:noProof/>
          <w:sz w:val="24"/>
          <w:szCs w:val="24"/>
        </w:rPr>
        <w:t>e variation. In Member States such as the Czech Republic, Slovakia, Lithuania, Austria and Germany, the share of unemployed people who declare using Public Employment Services to search for a job approaches 80%. A share of 30% of less can be observed inste</w:t>
      </w:r>
      <w:r>
        <w:rPr>
          <w:rFonts w:ascii="Times New Roman" w:hAnsi="Times New Roman" w:cs="Times New Roman"/>
          <w:noProof/>
          <w:sz w:val="24"/>
          <w:szCs w:val="24"/>
        </w:rPr>
        <w:t>ad in Romania, Italy and Spain. This might also reflect different quality of the services offered, notably as concerns job matching with employers. On average, since the onset of the crisis, less unemployed people have been using the services by PES in Eur</w:t>
      </w:r>
      <w:r>
        <w:rPr>
          <w:rFonts w:ascii="Times New Roman" w:hAnsi="Times New Roman" w:cs="Times New Roman"/>
          <w:noProof/>
          <w:sz w:val="24"/>
          <w:szCs w:val="24"/>
        </w:rPr>
        <w:t>ope. On the contrary, the use of private employment agencies and alternative job search methods, like direct applications to employers or publishing/replying to advertisements (including on the internet) has been on the rise (not shown in the graph). Howev</w:t>
      </w:r>
      <w:r>
        <w:rPr>
          <w:rFonts w:ascii="Times New Roman" w:hAnsi="Times New Roman" w:cs="Times New Roman"/>
          <w:noProof/>
          <w:sz w:val="24"/>
          <w:szCs w:val="24"/>
        </w:rPr>
        <w:t>er, an opposite trend can be observed in a few Member States where the utilisation of Public Employment Services has actually increased in recent years, notably Latvia, Cyprus, Estonia, Greece, Slovenia and Lithuania.</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37</w:t>
      </w:r>
      <w:r>
        <w:rPr>
          <w:rFonts w:ascii="Times New Roman" w:hAnsi="Times New Roman"/>
          <w:noProof/>
          <w:sz w:val="24"/>
          <w:szCs w:val="24"/>
        </w:rPr>
        <w:fldChar w:fldCharType="end"/>
      </w:r>
      <w:r>
        <w:rPr>
          <w:rFonts w:ascii="Times New Roman" w:hAnsi="Times New Roman"/>
          <w:noProof/>
          <w:sz w:val="24"/>
          <w:szCs w:val="24"/>
        </w:rPr>
        <w:t xml:space="preserve">: </w:t>
      </w:r>
      <w:r>
        <w:rPr>
          <w:rFonts w:ascii="Times New Roman" w:hAnsi="Times New Roman"/>
          <w:noProof/>
          <w:sz w:val="24"/>
          <w:szCs w:val="24"/>
        </w:rPr>
        <w:t>Share of unemployed people using public employment services for job search</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017F8769" wp14:editId="147A8B55">
            <wp:extent cx="5191200" cy="2390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1200" cy="239040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LFS.</w:t>
      </w:r>
    </w:p>
    <w:p w:rsidR="00CB01DD" w:rsidRDefault="00CB01DD">
      <w:pPr>
        <w:spacing w:line="360" w:lineRule="auto"/>
        <w:jc w:val="both"/>
        <w:rPr>
          <w:rFonts w:ascii="Times New Roman" w:hAnsi="Times New Roman" w:cs="Times New Roman"/>
          <w:i/>
          <w:noProof/>
          <w:sz w:val="24"/>
          <w:szCs w:val="24"/>
        </w:rPr>
      </w:pPr>
    </w:p>
    <w:p w:rsidR="00CB01DD" w:rsidRDefault="00D75BDB">
      <w:pPr>
        <w:pStyle w:val="Heading3"/>
        <w:rPr>
          <w:noProof/>
        </w:rPr>
      </w:pPr>
      <w:bookmarkStart w:id="21" w:name="_Toc498075895"/>
      <w:r>
        <w:rPr>
          <w:noProof/>
        </w:rPr>
        <w:t xml:space="preserve">3.3.2 </w:t>
      </w:r>
      <w:r>
        <w:rPr>
          <w:noProof/>
        </w:rPr>
        <w:tab/>
        <w:t>Policy response</w:t>
      </w:r>
      <w:bookmarkEnd w:id="21"/>
      <w:r>
        <w:rPr>
          <w:noProof/>
        </w:rPr>
        <w:t xml:space="preserve"> </w:t>
      </w:r>
    </w:p>
    <w:p w:rsidR="00CB01DD" w:rsidRDefault="00D75BDB">
      <w:pPr>
        <w:spacing w:line="360" w:lineRule="auto"/>
        <w:jc w:val="both"/>
        <w:rPr>
          <w:rFonts w:ascii="Times New Roman" w:hAnsi="Times New Roman"/>
          <w:noProof/>
          <w:sz w:val="24"/>
        </w:rPr>
      </w:pPr>
      <w:r>
        <w:rPr>
          <w:rFonts w:ascii="Times New Roman" w:hAnsi="Times New Roman" w:cs="Times New Roman"/>
          <w:b/>
          <w:noProof/>
          <w:sz w:val="24"/>
          <w:szCs w:val="24"/>
        </w:rPr>
        <w:t xml:space="preserve">Reforms continue in the field of labour law, with a view to supporting dynamic labour markets and reducing segmentation. </w:t>
      </w:r>
      <w:r>
        <w:rPr>
          <w:rFonts w:ascii="Times New Roman" w:hAnsi="Times New Roman" w:cs="Times New Roman"/>
          <w:noProof/>
          <w:sz w:val="24"/>
          <w:szCs w:val="24"/>
        </w:rPr>
        <w:t xml:space="preserve">Recently </w:t>
      </w:r>
      <w:r>
        <w:rPr>
          <w:rFonts w:ascii="Times New Roman" w:hAnsi="Times New Roman" w:cs="Times New Roman"/>
          <w:noProof/>
          <w:sz w:val="24"/>
          <w:szCs w:val="24"/>
        </w:rPr>
        <w:t>adopted or planned measures in this area often aim at reducing labour market segmentation and promoting hiring on permanent contracts, notably by setting more stringent regulation on fixed-term and atypical workers, and increasing flexibility as concerns h</w:t>
      </w:r>
      <w:r>
        <w:rPr>
          <w:rFonts w:ascii="Times New Roman" w:hAnsi="Times New Roman" w:cs="Times New Roman"/>
          <w:noProof/>
          <w:sz w:val="24"/>
          <w:szCs w:val="24"/>
        </w:rPr>
        <w:t>iring and firing of permanent workers. For instance, t</w:t>
      </w:r>
      <w:r>
        <w:rPr>
          <w:rFonts w:ascii="Times New Roman" w:hAnsi="Times New Roman"/>
          <w:noProof/>
          <w:sz w:val="24"/>
        </w:rPr>
        <w:t xml:space="preserve">o encourage recruitment of new employees, Belgium announced making the notice period in the first six months of employment more progressive, reducing it to one week in the first 3 months and increasing </w:t>
      </w:r>
      <w:r>
        <w:rPr>
          <w:rFonts w:ascii="Times New Roman" w:hAnsi="Times New Roman"/>
          <w:noProof/>
          <w:sz w:val="24"/>
        </w:rPr>
        <w:t>it to 5 weeks as of the sixth month (federal measure). The Czech Republic tightened regulation of temporary work agencies, by introducing more stringent criteria for the establishment of an agency and higher penalties in case of breach of obligations. Gree</w:t>
      </w:r>
      <w:r>
        <w:rPr>
          <w:rFonts w:ascii="Times New Roman" w:hAnsi="Times New Roman"/>
          <w:noProof/>
          <w:sz w:val="24"/>
        </w:rPr>
        <w:t xml:space="preserve">ce has replaced the system of ex-ante administrative approval in case of collective dismissals (giving the minister of labour a veto power) with a notification procedure to guarantee the respect of the information and consultation requirements of workers. </w:t>
      </w:r>
      <w:r>
        <w:rPr>
          <w:rFonts w:ascii="Times New Roman" w:hAnsi="Times New Roman"/>
          <w:noProof/>
          <w:sz w:val="24"/>
        </w:rPr>
        <w:t>In France, the law of 9 August 2016</w:t>
      </w:r>
      <w:r>
        <w:rPr>
          <w:rStyle w:val="FootnoteReference"/>
          <w:rFonts w:ascii="Times New Roman" w:hAnsi="Times New Roman"/>
          <w:noProof/>
          <w:sz w:val="24"/>
        </w:rPr>
        <w:footnoteReference w:id="69"/>
      </w:r>
      <w:r>
        <w:rPr>
          <w:rFonts w:ascii="Times New Roman" w:hAnsi="Times New Roman"/>
          <w:noProof/>
          <w:sz w:val="24"/>
        </w:rPr>
        <w:t>, specifying circumstances for individual dismissals for economic reasons and introducing more flexibility in working conditions at company level, entered progressively into force</w:t>
      </w:r>
      <w:r>
        <w:rPr>
          <w:rFonts w:ascii="Times New Roman" w:hAnsi="Times New Roman" w:cs="Times New Roman"/>
          <w:noProof/>
          <w:sz w:val="24"/>
          <w:szCs w:val="24"/>
        </w:rPr>
        <w:t xml:space="preserve"> with most measures starting in January 2</w:t>
      </w:r>
      <w:r>
        <w:rPr>
          <w:rFonts w:ascii="Times New Roman" w:hAnsi="Times New Roman" w:cs="Times New Roman"/>
          <w:noProof/>
          <w:sz w:val="24"/>
          <w:szCs w:val="24"/>
        </w:rPr>
        <w:t>017</w:t>
      </w:r>
      <w:r>
        <w:rPr>
          <w:rFonts w:ascii="Times New Roman" w:hAnsi="Times New Roman"/>
          <w:noProof/>
          <w:sz w:val="24"/>
        </w:rPr>
        <w:t>. A further broad-ranging reform was adopted by the government in September 2017, notably introducing compulsory thresholds and ceilings for compensation of abusive dismissals, while increasing severance pay in case of economically justified dismissals.</w:t>
      </w:r>
      <w:r>
        <w:rPr>
          <w:rFonts w:ascii="Times New Roman" w:hAnsi="Times New Roman"/>
          <w:noProof/>
          <w:sz w:val="24"/>
        </w:rPr>
        <w:t xml:space="preserve"> In addition, it introduced the possibility of </w:t>
      </w:r>
      <w:r>
        <w:rPr>
          <w:rFonts w:ascii="Times New Roman" w:hAnsi="Times New Roman" w:cs="Times New Roman"/>
          <w:noProof/>
          <w:sz w:val="24"/>
          <w:szCs w:val="24"/>
        </w:rPr>
        <w:t>commonly agreed collective resignation procedures (</w:t>
      </w:r>
      <w:r>
        <w:rPr>
          <w:rFonts w:ascii="Times New Roman" w:hAnsi="Times New Roman" w:cs="Times New Roman"/>
          <w:i/>
          <w:noProof/>
          <w:sz w:val="24"/>
          <w:szCs w:val="24"/>
        </w:rPr>
        <w:t>rupture conventionnelle collective</w:t>
      </w:r>
      <w:r>
        <w:rPr>
          <w:rFonts w:ascii="Times New Roman" w:hAnsi="Times New Roman" w:cs="Times New Roman"/>
          <w:noProof/>
          <w:sz w:val="24"/>
          <w:szCs w:val="24"/>
        </w:rPr>
        <w:t xml:space="preserve">) and further facilitated agreements on working conditions. </w:t>
      </w:r>
      <w:r>
        <w:rPr>
          <w:rFonts w:ascii="Times New Roman" w:hAnsi="Times New Roman"/>
          <w:noProof/>
          <w:sz w:val="24"/>
        </w:rPr>
        <w:t xml:space="preserve">In June 2017, Lithuania introduced a broad reform to its Labour </w:t>
      </w:r>
      <w:r>
        <w:rPr>
          <w:rFonts w:ascii="Times New Roman" w:hAnsi="Times New Roman"/>
          <w:noProof/>
          <w:sz w:val="24"/>
        </w:rPr>
        <w:t>Code, touching upon several aspects of employment protection legislation: clarifying reasons for termination of employment, reducing the notice period, setting new rules for defining severance payment (the standard now being 2 months), reducing the maximum</w:t>
      </w:r>
      <w:r>
        <w:rPr>
          <w:rFonts w:ascii="Times New Roman" w:hAnsi="Times New Roman"/>
          <w:noProof/>
          <w:sz w:val="24"/>
        </w:rPr>
        <w:t xml:space="preserve"> duration of fixed-term contracts from 5 to 2 years (with exceptions), and introducing flexible working hours. It also introduced a number of atypical contracts, including temporary work agency and project work contracts, whose impact on labour market segm</w:t>
      </w:r>
      <w:r>
        <w:rPr>
          <w:rFonts w:ascii="Times New Roman" w:hAnsi="Times New Roman"/>
          <w:noProof/>
          <w:sz w:val="24"/>
        </w:rPr>
        <w:t>entation would need to be monitored. The legislation was extensively discussed with the social partners. Poland is also planning to replace its current labour code, highly complex, many time modified and not reflecting fully the current  economic model (it</w:t>
      </w:r>
      <w:r>
        <w:rPr>
          <w:rFonts w:ascii="Times New Roman" w:hAnsi="Times New Roman"/>
          <w:noProof/>
          <w:sz w:val="24"/>
        </w:rPr>
        <w:t xml:space="preserve"> dates back 1974), with the aim to promote more employment on permanent contracts. Social partners are actually involved in drafting. Austria has repealed the exceptional rule according to which employees older than 50 cannot be dismissed after having been</w:t>
      </w:r>
      <w:r>
        <w:rPr>
          <w:rFonts w:ascii="Times New Roman" w:hAnsi="Times New Roman"/>
          <w:noProof/>
          <w:sz w:val="24"/>
        </w:rPr>
        <w:t xml:space="preserve"> working 2 years in the same company. The aim is to increase the employment of older workers by eliminating this barrier.</w:t>
      </w:r>
    </w:p>
    <w:p w:rsidR="00CB01DD" w:rsidRDefault="00D75BDB">
      <w:pPr>
        <w:spacing w:line="360" w:lineRule="auto"/>
        <w:jc w:val="both"/>
        <w:rPr>
          <w:rFonts w:ascii="Times New Roman" w:hAnsi="Times New Roman"/>
          <w:noProof/>
          <w:sz w:val="24"/>
        </w:rPr>
      </w:pPr>
      <w:r>
        <w:rPr>
          <w:rFonts w:ascii="Times New Roman" w:hAnsi="Times New Roman"/>
          <w:b/>
          <w:noProof/>
          <w:sz w:val="24"/>
        </w:rPr>
        <w:t xml:space="preserve">Few Member States have taken action to promote a swift resolution of labour disputes. </w:t>
      </w:r>
      <w:r>
        <w:rPr>
          <w:rFonts w:ascii="Times New Roman" w:hAnsi="Times New Roman"/>
          <w:noProof/>
          <w:sz w:val="24"/>
        </w:rPr>
        <w:t>This is aimed to improve the predictability of t</w:t>
      </w:r>
      <w:r>
        <w:rPr>
          <w:rFonts w:ascii="Times New Roman" w:hAnsi="Times New Roman"/>
          <w:noProof/>
          <w:sz w:val="24"/>
        </w:rPr>
        <w:t>he outcomes and reduce associated costs for both employers and employees.</w:t>
      </w:r>
      <w:r>
        <w:rPr>
          <w:rFonts w:ascii="Times New Roman" w:hAnsi="Times New Roman"/>
          <w:b/>
          <w:noProof/>
          <w:sz w:val="24"/>
        </w:rPr>
        <w:t xml:space="preserve"> </w:t>
      </w:r>
      <w:r>
        <w:rPr>
          <w:rFonts w:ascii="Times New Roman" w:hAnsi="Times New Roman"/>
          <w:noProof/>
          <w:sz w:val="24"/>
        </w:rPr>
        <w:t>In particular, Estonia adopted a legislative act regulating the activity of individual Labour Disputes Commissions (introduced in 1996). The new Act aims at strengthening the positio</w:t>
      </w:r>
      <w:r>
        <w:rPr>
          <w:rFonts w:ascii="Times New Roman" w:hAnsi="Times New Roman"/>
          <w:noProof/>
          <w:sz w:val="24"/>
        </w:rPr>
        <w:t>n of these commissions, by making their work more flexible, allowing for written procedures including approval compromise positions to solve labour disputes. In France, gradual measures were taken to reform the rules applied to litigation on individual dis</w:t>
      </w:r>
      <w:r>
        <w:rPr>
          <w:rFonts w:ascii="Times New Roman" w:hAnsi="Times New Roman"/>
          <w:noProof/>
          <w:sz w:val="24"/>
        </w:rPr>
        <w:t>missals (</w:t>
      </w:r>
      <w:r>
        <w:rPr>
          <w:rFonts w:ascii="Times New Roman" w:hAnsi="Times New Roman"/>
          <w:i/>
          <w:noProof/>
          <w:sz w:val="24"/>
        </w:rPr>
        <w:t>prud'hommes</w:t>
      </w:r>
      <w:r>
        <w:rPr>
          <w:rFonts w:ascii="Times New Roman" w:hAnsi="Times New Roman"/>
          <w:noProof/>
          <w:sz w:val="24"/>
        </w:rPr>
        <w:t>) to strengthen concertation and speed up procedures, also by reducing uncertainties on the compensation of employees in case of unlawful dismissals. In November 2016, two decrees introduced an indicative seniority-based benchmark and i</w:t>
      </w:r>
      <w:r>
        <w:rPr>
          <w:rFonts w:ascii="Times New Roman" w:hAnsi="Times New Roman"/>
          <w:noProof/>
          <w:sz w:val="24"/>
        </w:rPr>
        <w:t xml:space="preserve">n September 2017 new compulsory ceilings and thresholds were introduced, facilitating the resolution of litigation at the conciliation stage, hence speeding up procedures. </w:t>
      </w:r>
    </w:p>
    <w:p w:rsidR="00CB01DD" w:rsidRDefault="00D75BDB">
      <w:pPr>
        <w:spacing w:line="360" w:lineRule="auto"/>
        <w:jc w:val="both"/>
        <w:rPr>
          <w:rFonts w:ascii="Times New Roman" w:hAnsi="Times New Roman"/>
          <w:noProof/>
          <w:sz w:val="24"/>
        </w:rPr>
      </w:pPr>
      <w:r>
        <w:rPr>
          <w:rFonts w:ascii="Times New Roman" w:hAnsi="Times New Roman"/>
          <w:b/>
          <w:noProof/>
          <w:sz w:val="24"/>
        </w:rPr>
        <w:t>Improving the working conditions of self-employed workers, ensuring they enjoy adeq</w:t>
      </w:r>
      <w:r>
        <w:rPr>
          <w:rFonts w:ascii="Times New Roman" w:hAnsi="Times New Roman"/>
          <w:b/>
          <w:noProof/>
          <w:sz w:val="24"/>
        </w:rPr>
        <w:t>uate social rights, and preventing the exploitation of atypical forms of work is high on the agenda of several Member States.</w:t>
      </w:r>
      <w:r>
        <w:rPr>
          <w:rFonts w:ascii="Times New Roman" w:hAnsi="Times New Roman"/>
          <w:noProof/>
          <w:sz w:val="24"/>
        </w:rPr>
        <w:t xml:space="preserve"> </w:t>
      </w:r>
      <w:r>
        <w:rPr>
          <w:rFonts w:ascii="Times New Roman" w:hAnsi="Times New Roman" w:cs="Times New Roman"/>
          <w:noProof/>
          <w:sz w:val="24"/>
          <w:szCs w:val="24"/>
        </w:rPr>
        <w:t>Denmark amended the rules for childbirth leave for self-employed business owners, so that they may work in their business for up t</w:t>
      </w:r>
      <w:r>
        <w:rPr>
          <w:rFonts w:ascii="Times New Roman" w:hAnsi="Times New Roman" w:cs="Times New Roman"/>
          <w:noProof/>
          <w:sz w:val="24"/>
          <w:szCs w:val="24"/>
        </w:rPr>
        <w:t xml:space="preserve">o 25% of normal working hours and simultaneously receive childbirth benefits corresponding to 75%, thus keeping their business running. </w:t>
      </w:r>
      <w:r>
        <w:rPr>
          <w:rFonts w:ascii="Times New Roman" w:hAnsi="Times New Roman"/>
          <w:noProof/>
          <w:sz w:val="24"/>
        </w:rPr>
        <w:t>Italy adopted in May 2017 a "Jobs Act on non-entrepreneurial self-employment and smart working", extending protection fo</w:t>
      </w:r>
      <w:r>
        <w:rPr>
          <w:rFonts w:ascii="Times New Roman" w:hAnsi="Times New Roman"/>
          <w:noProof/>
          <w:sz w:val="24"/>
        </w:rPr>
        <w:t xml:space="preserve">r self-employed, notably as concerns maternity leave, parental leave, illness, unemployment benefits, and the deduction from taxable labour income of expenditures linked to vocational training. </w:t>
      </w:r>
      <w:r>
        <w:rPr>
          <w:rFonts w:ascii="Times New Roman" w:hAnsi="Times New Roman" w:cs="Times New Roman"/>
          <w:noProof/>
          <w:sz w:val="24"/>
          <w:szCs w:val="24"/>
        </w:rPr>
        <w:t>In France, the</w:t>
      </w:r>
      <w:r>
        <w:rPr>
          <w:rFonts w:ascii="Times New Roman" w:hAnsi="Times New Roman"/>
          <w:noProof/>
          <w:sz w:val="24"/>
        </w:rPr>
        <w:t xml:space="preserve"> law of 9 August 2016 </w:t>
      </w:r>
      <w:r>
        <w:rPr>
          <w:rFonts w:ascii="Times New Roman" w:hAnsi="Times New Roman" w:cs="Times New Roman"/>
          <w:noProof/>
          <w:sz w:val="24"/>
          <w:szCs w:val="24"/>
        </w:rPr>
        <w:t xml:space="preserve">introduced, starting from </w:t>
      </w:r>
      <w:r>
        <w:rPr>
          <w:rFonts w:ascii="Times New Roman" w:hAnsi="Times New Roman" w:cs="Times New Roman"/>
          <w:noProof/>
          <w:sz w:val="24"/>
          <w:szCs w:val="24"/>
        </w:rPr>
        <w:t>1st January 2018, the principle of social liability of collaborative platforms towards independent workers using them as intermediary. Platforms will participate in work accidents insurance coverage and finance the contribution to vocational training, whil</w:t>
      </w:r>
      <w:r>
        <w:rPr>
          <w:rFonts w:ascii="Times New Roman" w:hAnsi="Times New Roman" w:cs="Times New Roman"/>
          <w:noProof/>
          <w:sz w:val="24"/>
          <w:szCs w:val="24"/>
        </w:rPr>
        <w:t>e workers will enjoy full rights to demonstrate, set up or participate to trade unions. In Latvia, taxi drivers and persons working for start-ups receiving state subsidies are now considered as employees and thus enjoy stronger social rights and stricter r</w:t>
      </w:r>
      <w:r>
        <w:rPr>
          <w:rFonts w:ascii="Times New Roman" w:hAnsi="Times New Roman" w:cs="Times New Roman"/>
          <w:noProof/>
          <w:sz w:val="24"/>
          <w:szCs w:val="24"/>
        </w:rPr>
        <w:t xml:space="preserve">equirements for social security contributions. </w:t>
      </w:r>
      <w:r>
        <w:rPr>
          <w:rFonts w:ascii="Times New Roman" w:hAnsi="Times New Roman"/>
          <w:noProof/>
          <w:sz w:val="24"/>
        </w:rPr>
        <w:t>Portugal has amended its labour procedural law extending special actions for recognising the existence of bogus self-employment ("falsos recibos verdes") to other typologies such as bogus traineeships, volunte</w:t>
      </w:r>
      <w:r>
        <w:rPr>
          <w:rFonts w:ascii="Times New Roman" w:hAnsi="Times New Roman"/>
          <w:noProof/>
          <w:sz w:val="24"/>
        </w:rPr>
        <w:t>er work and other types of undeclared work. In Spain a reform of the Law on Autonomous Workers was adopted in summer 2017, with new measures aiming at improving the situation of self-employed (for instance by reducing their social security contributions, m</w:t>
      </w:r>
      <w:r>
        <w:rPr>
          <w:rFonts w:ascii="Times New Roman" w:hAnsi="Times New Roman"/>
          <w:noProof/>
          <w:sz w:val="24"/>
        </w:rPr>
        <w:t>aking pension payments compatible with developing a freelance work, and promoting access to training opportunities). Slovenia adopted measures to prevent work on the basis of civil law contracts in cases when standard employee contracts should be concluded</w:t>
      </w:r>
      <w:r>
        <w:rPr>
          <w:rFonts w:ascii="Times New Roman" w:hAnsi="Times New Roman"/>
          <w:noProof/>
          <w:sz w:val="24"/>
        </w:rPr>
        <w:t>, notably strengthening inspectorates' powers and related sanctions. It also proposed to shift the burden of proof to the employer in the event of a dispute on the reasons for a short term contract, introducing higher fines for violations (including for wo</w:t>
      </w:r>
      <w:r>
        <w:rPr>
          <w:rFonts w:ascii="Times New Roman" w:hAnsi="Times New Roman"/>
          <w:noProof/>
          <w:sz w:val="24"/>
        </w:rPr>
        <w:t xml:space="preserve">rkers). Finland has drafted a law proposal to limit the use of zero-hours contracts to situations where the employer can justify that the demand for labour varies. </w:t>
      </w:r>
    </w:p>
    <w:p w:rsidR="00CB01DD" w:rsidRDefault="00D75BDB">
      <w:pPr>
        <w:spacing w:line="360" w:lineRule="auto"/>
        <w:jc w:val="both"/>
        <w:rPr>
          <w:rFonts w:ascii="Times New Roman" w:hAnsi="Times New Roman"/>
          <w:noProof/>
          <w:sz w:val="24"/>
        </w:rPr>
      </w:pPr>
      <w:r>
        <w:rPr>
          <w:rFonts w:ascii="Times New Roman" w:hAnsi="Times New Roman"/>
          <w:b/>
          <w:noProof/>
          <w:sz w:val="24"/>
        </w:rPr>
        <w:t>In some Member States, reducing the high incidence of temporary workers in the public secto</w:t>
      </w:r>
      <w:r>
        <w:rPr>
          <w:rFonts w:ascii="Times New Roman" w:hAnsi="Times New Roman"/>
          <w:b/>
          <w:noProof/>
          <w:sz w:val="24"/>
        </w:rPr>
        <w:t xml:space="preserve">r could contribute to tackling overall labour market segmentation. </w:t>
      </w:r>
      <w:r>
        <w:rPr>
          <w:rFonts w:ascii="Times New Roman" w:hAnsi="Times New Roman"/>
          <w:noProof/>
          <w:sz w:val="24"/>
        </w:rPr>
        <w:t>Spain, following recommendations by an ad-hoc expert group, is taking measures in this area. In particular, in April 2017 an agreement with the social partners was reached to run recruitmen</w:t>
      </w:r>
      <w:r>
        <w:rPr>
          <w:rFonts w:ascii="Times New Roman" w:hAnsi="Times New Roman"/>
          <w:noProof/>
          <w:sz w:val="24"/>
        </w:rPr>
        <w:t>t competitions for 250,000 permanent public sector posts over three years. Similar measures have also been announced by Portugal. In Cyprus, a new law on fixed-term contracts in the public service was adopted in 2016, establishing limits to the duration of</w:t>
      </w:r>
      <w:r>
        <w:rPr>
          <w:rFonts w:ascii="Times New Roman" w:hAnsi="Times New Roman"/>
          <w:noProof/>
          <w:sz w:val="24"/>
        </w:rPr>
        <w:t xml:space="preserve"> contracts (as a rule it must not exceed 12 months, but the term is renewable) and specifying cases when administrations are allowed to use fixed-term contracts.</w:t>
      </w:r>
    </w:p>
    <w:p w:rsidR="00CB01DD" w:rsidRDefault="00D75BDB">
      <w:pPr>
        <w:spacing w:line="360" w:lineRule="auto"/>
        <w:jc w:val="both"/>
        <w:rPr>
          <w:rFonts w:ascii="Times New Roman" w:hAnsi="Times New Roman"/>
          <w:noProof/>
          <w:sz w:val="24"/>
        </w:rPr>
      </w:pPr>
      <w:r>
        <w:rPr>
          <w:rFonts w:ascii="Times New Roman" w:hAnsi="Times New Roman"/>
          <w:b/>
          <w:noProof/>
          <w:sz w:val="24"/>
        </w:rPr>
        <w:t xml:space="preserve">At the same time, several Member States are taking measures to increase internal flexibility, </w:t>
      </w:r>
      <w:r>
        <w:rPr>
          <w:rFonts w:ascii="Times New Roman" w:hAnsi="Times New Roman"/>
          <w:b/>
          <w:noProof/>
          <w:sz w:val="24"/>
        </w:rPr>
        <w:t xml:space="preserve">notably by increasing the adaptability of working hours and working conditions. </w:t>
      </w:r>
      <w:r>
        <w:rPr>
          <w:rFonts w:ascii="Times New Roman" w:hAnsi="Times New Roman"/>
          <w:noProof/>
          <w:sz w:val="24"/>
        </w:rPr>
        <w:t xml:space="preserve">In March 2017, Belgium adopted a law on flexible work aiming to facilitate flexibility for employers and employees alike and simplify the combination of work and private life. </w:t>
      </w:r>
      <w:r>
        <w:rPr>
          <w:rFonts w:ascii="Times New Roman" w:hAnsi="Times New Roman"/>
          <w:noProof/>
          <w:sz w:val="24"/>
        </w:rPr>
        <w:t>Working time can now be set on an annual basis, the use of overtime has been relaxed, the formalities for part-time work have been simplified and a legal framework for occasional telework has also been created. Moreover, social partners now have the option</w:t>
      </w:r>
      <w:r>
        <w:rPr>
          <w:rFonts w:ascii="Times New Roman" w:hAnsi="Times New Roman"/>
          <w:noProof/>
          <w:sz w:val="24"/>
        </w:rPr>
        <w:t xml:space="preserve"> of further adapting working hours at sectoral level. The Czech Republic has introduced amendments to the Labour Code to increase the flexibility of working arrangements, notably by introducing more flexibility in scheduling/entitlements to working hours a</w:t>
      </w:r>
      <w:r>
        <w:rPr>
          <w:rFonts w:ascii="Times New Roman" w:hAnsi="Times New Roman"/>
          <w:noProof/>
          <w:sz w:val="24"/>
        </w:rPr>
        <w:t>nd leaves, changing 'teleworking'-related provisions and strengthening reconciliation tools such as 'homeworking'. Lithuania, in the context of the Labour code reform mentioned above, has introduced the possibility of flexible working schedules and telewor</w:t>
      </w:r>
      <w:r>
        <w:rPr>
          <w:rFonts w:ascii="Times New Roman" w:hAnsi="Times New Roman"/>
          <w:noProof/>
          <w:sz w:val="24"/>
        </w:rPr>
        <w:t>king. In Romania, the Ministry of Labour has published for consultation a proposal on teleworking, aiming to make working arrangements more flexible and to regulate a previously not used form of work. The consultation is open until the end of July. Finland</w:t>
      </w:r>
      <w:r>
        <w:rPr>
          <w:rFonts w:ascii="Times New Roman" w:hAnsi="Times New Roman"/>
          <w:noProof/>
          <w:sz w:val="24"/>
        </w:rPr>
        <w:t xml:space="preserve"> drafted a law proposal to make its working time legislation more specific as concerns flexi-time and worked hours bank, and to extend the amount of overtime allowed. </w:t>
      </w:r>
    </w:p>
    <w:p w:rsidR="00CB01DD" w:rsidRDefault="00D75BDB">
      <w:pPr>
        <w:spacing w:line="360" w:lineRule="auto"/>
        <w:jc w:val="both"/>
        <w:rPr>
          <w:rFonts w:ascii="Times New Roman" w:hAnsi="Times New Roman"/>
          <w:noProof/>
          <w:sz w:val="24"/>
        </w:rPr>
      </w:pPr>
      <w:r>
        <w:rPr>
          <w:rFonts w:ascii="Times New Roman" w:hAnsi="Times New Roman"/>
          <w:noProof/>
          <w:sz w:val="24"/>
        </w:rPr>
        <w:t>In Italy, the above mentioned "Jobs Act on non-entrepreneurial self-employment and smart</w:t>
      </w:r>
      <w:r>
        <w:rPr>
          <w:rFonts w:ascii="Times New Roman" w:hAnsi="Times New Roman"/>
          <w:noProof/>
          <w:sz w:val="24"/>
        </w:rPr>
        <w:t xml:space="preserve"> working" aims at promoting a more flexible arrangement of subordinate work in order to increase productivity and facilitate work-life balance (e.g. by regulating the possibility to work outside firms' premises, using IT tools, with the right to the same p</w:t>
      </w:r>
      <w:r>
        <w:rPr>
          <w:rFonts w:ascii="Times New Roman" w:hAnsi="Times New Roman"/>
          <w:noProof/>
          <w:sz w:val="24"/>
        </w:rPr>
        <w:t xml:space="preserve">ay of employees working within firms' premises and doing the same job). </w:t>
      </w:r>
    </w:p>
    <w:p w:rsidR="00CB01DD" w:rsidRDefault="00D75BDB">
      <w:pPr>
        <w:spacing w:line="360" w:lineRule="auto"/>
        <w:jc w:val="both"/>
        <w:rPr>
          <w:rFonts w:ascii="Times New Roman" w:hAnsi="Times New Roman"/>
          <w:noProof/>
          <w:sz w:val="24"/>
        </w:rPr>
      </w:pPr>
      <w:r>
        <w:rPr>
          <w:rFonts w:ascii="Times New Roman" w:hAnsi="Times New Roman"/>
          <w:b/>
          <w:noProof/>
          <w:sz w:val="24"/>
        </w:rPr>
        <w:t xml:space="preserve">Some Member States are reinforcing labour inspectorates and taking additional measures to tackle undeclared work. </w:t>
      </w:r>
      <w:r>
        <w:rPr>
          <w:rFonts w:ascii="Times New Roman" w:hAnsi="Times New Roman"/>
          <w:noProof/>
          <w:sz w:val="24"/>
        </w:rPr>
        <w:t>For instance, in Greece, a three-year (2017-2019) action plan to tack</w:t>
      </w:r>
      <w:r>
        <w:rPr>
          <w:rFonts w:ascii="Times New Roman" w:hAnsi="Times New Roman"/>
          <w:noProof/>
          <w:sz w:val="24"/>
        </w:rPr>
        <w:t>le undeclared work is being implemented, envisaging a wide range of measures including, among others, a review of fines, new risk-analysis rules for targeted inspections, upgraded design of inspections and training of inspectors, and public awareness campa</w:t>
      </w:r>
      <w:r>
        <w:rPr>
          <w:rFonts w:ascii="Times New Roman" w:hAnsi="Times New Roman"/>
          <w:noProof/>
          <w:sz w:val="24"/>
        </w:rPr>
        <w:t>igns. In Cyprus, modifications to the Social Insurance Law have been recently submitted to the parliament for adoption, including the increase of the amount of fines and the introduction of an electronic declaration of commencement of employment. Moreover,</w:t>
      </w:r>
      <w:r>
        <w:rPr>
          <w:rFonts w:ascii="Times New Roman" w:hAnsi="Times New Roman"/>
          <w:noProof/>
          <w:sz w:val="24"/>
        </w:rPr>
        <w:t xml:space="preserve"> a review of the system of labour inspections will be promoted. Labour inspectorates are also being strengthened in Portugal, notably by recruiting additional staff and reinforcing procedures for better coordination and sharing of data between labour inspe</w:t>
      </w:r>
      <w:r>
        <w:rPr>
          <w:rFonts w:ascii="Times New Roman" w:hAnsi="Times New Roman"/>
          <w:noProof/>
          <w:sz w:val="24"/>
        </w:rPr>
        <w:t>ction authority, tax authority and social security services. Romania has modified its legislation on undeclared work, broadened the definition of undeclared work and introduced more measures that bring to light the disguised employment.</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Public Employment S</w:t>
      </w:r>
      <w:r>
        <w:rPr>
          <w:rFonts w:ascii="Times New Roman" w:hAnsi="Times New Roman" w:cs="Times New Roman"/>
          <w:b/>
          <w:noProof/>
          <w:sz w:val="24"/>
          <w:szCs w:val="24"/>
        </w:rPr>
        <w:t>ervices (PES) are further strengthening their efforts in terms of institutional reform and performance improvement.</w:t>
      </w:r>
      <w:r>
        <w:rPr>
          <w:rFonts w:ascii="Times New Roman" w:hAnsi="Times New Roman" w:cs="Times New Roman"/>
          <w:noProof/>
          <w:sz w:val="24"/>
          <w:szCs w:val="24"/>
        </w:rPr>
        <w:t xml:space="preserve"> These efforts are also supported by the "Benchlearning" method</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xml:space="preserve"> introduced in 2015 in the European Network of Public Employment Services (PES Network).</w:t>
      </w:r>
      <w:r>
        <w:rPr>
          <w:rFonts w:ascii="Times New Roman" w:hAnsi="Times New Roman" w:cs="Times New Roman"/>
          <w:b/>
          <w:noProof/>
          <w:sz w:val="24"/>
          <w:szCs w:val="24"/>
        </w:rPr>
        <w:t xml:space="preserve"> </w:t>
      </w:r>
      <w:r>
        <w:rPr>
          <w:rFonts w:ascii="Times New Roman" w:hAnsi="Times New Roman" w:cs="Times New Roman"/>
          <w:noProof/>
          <w:sz w:val="24"/>
          <w:szCs w:val="24"/>
        </w:rPr>
        <w:t>Recent reforms are reflected in the decreasing numbers of jobseekers and the increasing number of vacancies notified to Public Employment Services (also linked, to som</w:t>
      </w:r>
      <w:r>
        <w:rPr>
          <w:rFonts w:ascii="Times New Roman" w:hAnsi="Times New Roman" w:cs="Times New Roman"/>
          <w:noProof/>
          <w:sz w:val="24"/>
          <w:szCs w:val="24"/>
        </w:rPr>
        <w:t>e extent, to improved macroeconomic conditions). As shown in Section 3.3.1, as the unemployment rates fell, most PES have seen the number of registered job-seeking clients decrease. The improvement of the labour market conditions has however neither led to</w:t>
      </w:r>
      <w:r>
        <w:rPr>
          <w:rFonts w:ascii="Times New Roman" w:hAnsi="Times New Roman" w:cs="Times New Roman"/>
          <w:noProof/>
          <w:sz w:val="24"/>
          <w:szCs w:val="24"/>
        </w:rPr>
        <w:t xml:space="preserve"> a corresponding reduction in PES expenditure nor to a significant decrease in human resources. At the same time more PES seem to be using specialised counsellors to work with specific sub-groups of jobseekers (young people, LTU and older workers). Cyprus </w:t>
      </w:r>
      <w:r>
        <w:rPr>
          <w:rFonts w:ascii="Times New Roman" w:hAnsi="Times New Roman" w:cs="Times New Roman"/>
          <w:noProof/>
          <w:sz w:val="24"/>
          <w:szCs w:val="24"/>
        </w:rPr>
        <w:t xml:space="preserve">is currently preparing for additional recruitment of PES counsellors to be better able to address more effectively and efficiently the implementation of the Youth Guarantee and the recommendation on the long term unemployed. Public Employment Services are </w:t>
      </w:r>
      <w:r>
        <w:rPr>
          <w:rFonts w:ascii="Times New Roman" w:hAnsi="Times New Roman" w:cs="Times New Roman"/>
          <w:noProof/>
          <w:sz w:val="24"/>
          <w:szCs w:val="24"/>
        </w:rPr>
        <w:t xml:space="preserve">also investing in better service delivery. In Greece, under the project of re-engineering the Greek PES, a new profiling methodology for jobseekers was adopted and the introduction of a performance management system is planned in the near future.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Public E</w:t>
      </w:r>
      <w:r>
        <w:rPr>
          <w:rFonts w:ascii="Times New Roman" w:hAnsi="Times New Roman" w:cs="Times New Roman"/>
          <w:b/>
          <w:noProof/>
          <w:sz w:val="24"/>
          <w:szCs w:val="24"/>
        </w:rPr>
        <w:t>mployment Services continue to strengthen cooperation with employers based on a deeper understanding of the labour market, a more labour demand oriented service package and qualitative assistance of employers.</w:t>
      </w:r>
      <w:r>
        <w:rPr>
          <w:rFonts w:ascii="Times New Roman" w:hAnsi="Times New Roman" w:cs="Times New Roman"/>
          <w:noProof/>
          <w:sz w:val="24"/>
          <w:szCs w:val="24"/>
        </w:rPr>
        <w:t xml:space="preserve"> Even if comprehensive employer engagement stra</w:t>
      </w:r>
      <w:r>
        <w:rPr>
          <w:rFonts w:ascii="Times New Roman" w:hAnsi="Times New Roman" w:cs="Times New Roman"/>
          <w:noProof/>
          <w:sz w:val="24"/>
          <w:szCs w:val="24"/>
        </w:rPr>
        <w:t>tegies are still rare, different approaches as to employer segmentation and organisation of employer services have been developed. Most PES have a central coordination level of employer services as well as they do provide services for employers at regional</w:t>
      </w:r>
      <w:r>
        <w:rPr>
          <w:rFonts w:ascii="Times New Roman" w:hAnsi="Times New Roman" w:cs="Times New Roman"/>
          <w:noProof/>
          <w:sz w:val="24"/>
          <w:szCs w:val="24"/>
        </w:rPr>
        <w:t xml:space="preserve"> and local level. Employers can be segmented by different categories, for example by sector, size, regional/national importance and those which are considered to need more help such as start-up companies or businesses that are facing difficulties.  Further</w:t>
      </w:r>
      <w:r>
        <w:rPr>
          <w:rFonts w:ascii="Times New Roman" w:hAnsi="Times New Roman" w:cs="Times New Roman"/>
          <w:noProof/>
          <w:sz w:val="24"/>
          <w:szCs w:val="24"/>
        </w:rPr>
        <w:t>more, some PES conclude co-operation agreements with specific employers. Better employer services will also require awareness of specialised human resources needs as competence requirements of employer advisors differ from those of traditional PES advisors</w:t>
      </w:r>
      <w:r>
        <w:rPr>
          <w:rFonts w:ascii="Times New Roman" w:hAnsi="Times New Roman" w:cs="Times New Roman"/>
          <w:noProof/>
          <w:sz w:val="24"/>
          <w:szCs w:val="24"/>
        </w:rPr>
        <w:t>. This necessitates new approaches to staff training.</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The level of support provided to long-term unemployed still varies greatly among Member States.</w:t>
      </w:r>
      <w:r>
        <w:rPr>
          <w:rFonts w:ascii="Times New Roman" w:hAnsi="Times New Roman" w:cs="Times New Roman"/>
          <w:noProof/>
          <w:sz w:val="24"/>
          <w:szCs w:val="24"/>
        </w:rPr>
        <w:t xml:space="preserve"> In some Member States such as Finland, Denmark and Austria the assistance to the long-term unemployed buil</w:t>
      </w:r>
      <w:r>
        <w:rPr>
          <w:rFonts w:ascii="Times New Roman" w:hAnsi="Times New Roman" w:cs="Times New Roman"/>
          <w:noProof/>
          <w:sz w:val="24"/>
          <w:szCs w:val="24"/>
        </w:rPr>
        <w:t>ds on the experience of many years and social partners are closely involved. However, in most other Member States more integrated types of services in the form of single points of contact as well as more personalised services are still far from being in pl</w:t>
      </w:r>
      <w:r>
        <w:rPr>
          <w:rFonts w:ascii="Times New Roman" w:hAnsi="Times New Roman" w:cs="Times New Roman"/>
          <w:noProof/>
          <w:sz w:val="24"/>
          <w:szCs w:val="24"/>
        </w:rPr>
        <w:t>ace while the involvement of employers is also rather weak. However, in 2017 both Italy and Cyprus initiated deep reforms of policies, practices and infrastructure in order to improve the level of support to the long-term unemployed.</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Various types of incen</w:t>
      </w:r>
      <w:r>
        <w:rPr>
          <w:rFonts w:ascii="Times New Roman" w:hAnsi="Times New Roman" w:cs="Times New Roman"/>
          <w:b/>
          <w:noProof/>
          <w:sz w:val="24"/>
          <w:szCs w:val="24"/>
        </w:rPr>
        <w:t>tives and subsidies are being used to promote recruitment and activation of the long-term unemployed.</w:t>
      </w:r>
      <w:r>
        <w:rPr>
          <w:rFonts w:ascii="Times New Roman" w:hAnsi="Times New Roman" w:cs="Times New Roman"/>
          <w:noProof/>
          <w:sz w:val="24"/>
          <w:szCs w:val="24"/>
        </w:rPr>
        <w:t xml:space="preserve"> Since 2017 targeted hiring incentives have been introduced in Belgium (Flanders) and Bulgaria. In Sweden the employment subsidies levels have been reviewe</w:t>
      </w:r>
      <w:r>
        <w:rPr>
          <w:rFonts w:ascii="Times New Roman" w:hAnsi="Times New Roman" w:cs="Times New Roman"/>
          <w:noProof/>
          <w:sz w:val="24"/>
          <w:szCs w:val="24"/>
        </w:rPr>
        <w:t>d to make the scheme more effective. To activate the long-term unemployed, Belgium (Brussels region) adopted a scheme called ‘Activa générique’ i.e. a scheme offering an allowance to long-term unemployed while in Slovakia similar schemes are being piloted.</w:t>
      </w:r>
      <w:r>
        <w:rPr>
          <w:rFonts w:ascii="Times New Roman" w:hAnsi="Times New Roman" w:cs="Times New Roman"/>
          <w:noProof/>
          <w:sz w:val="24"/>
          <w:szCs w:val="24"/>
        </w:rPr>
        <w:t xml:space="preserve"> In Denmark temporary work incentives for long-term unemployed have been introduced based on a tax-free "job premium". In Romania, employment subsidies have been extended to long term unemployed.</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Other types of activation incentives are being put in place </w:t>
      </w:r>
      <w:r>
        <w:rPr>
          <w:rFonts w:ascii="Times New Roman" w:hAnsi="Times New Roman" w:cs="Times New Roman"/>
          <w:b/>
          <w:noProof/>
          <w:sz w:val="24"/>
          <w:szCs w:val="24"/>
        </w:rPr>
        <w:t>through measures supporting internal geographic mobility.</w:t>
      </w:r>
      <w:r>
        <w:rPr>
          <w:rFonts w:ascii="Times New Roman" w:hAnsi="Times New Roman" w:cs="Times New Roman"/>
          <w:noProof/>
          <w:sz w:val="24"/>
          <w:szCs w:val="24"/>
        </w:rPr>
        <w:t xml:space="preserve"> For instance, in Romania new subsidies are offered to those who take a new job 50 km away from their place of residence. In Bulgaria funding for childcare, rental and internet subscription will be p</w:t>
      </w:r>
      <w:r>
        <w:rPr>
          <w:rFonts w:ascii="Times New Roman" w:hAnsi="Times New Roman" w:cs="Times New Roman"/>
          <w:noProof/>
          <w:sz w:val="24"/>
          <w:szCs w:val="24"/>
        </w:rPr>
        <w:t>rovided to unemployed people who start a job more than 50 km away from their place of residence (up to 400 unemployed people are targeted). In the Czech Republic, s</w:t>
      </w:r>
      <w:r>
        <w:rPr>
          <w:rFonts w:ascii="Times New Roman" w:hAnsi="Times New Roman"/>
          <w:noProof/>
          <w:sz w:val="24"/>
        </w:rPr>
        <w:t>upport to regional mobility is granted by the Labour Office to the job seekers registered fo</w:t>
      </w:r>
      <w:r>
        <w:rPr>
          <w:rFonts w:ascii="Times New Roman" w:hAnsi="Times New Roman"/>
          <w:noProof/>
          <w:sz w:val="24"/>
        </w:rPr>
        <w:t>r more than 5 months, which covers commuting costs and removal to a new job outside of the job seeker's region. Finland is also planning to improve collaboration between regions and authorities to facilitate movement of labour to high growth areas.</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Emphasi</w:t>
      </w:r>
      <w:r>
        <w:rPr>
          <w:rFonts w:ascii="Times New Roman" w:hAnsi="Times New Roman" w:cs="Times New Roman"/>
          <w:b/>
          <w:noProof/>
          <w:sz w:val="24"/>
          <w:szCs w:val="24"/>
        </w:rPr>
        <w:t>s on provision of more individualised services is increasing.</w:t>
      </w:r>
      <w:r>
        <w:rPr>
          <w:rFonts w:ascii="Times New Roman" w:hAnsi="Times New Roman" w:cs="Times New Roman"/>
          <w:noProof/>
          <w:sz w:val="24"/>
          <w:szCs w:val="24"/>
        </w:rPr>
        <w:t xml:space="preserve"> In Spain, a large programme (</w:t>
      </w:r>
      <w:r>
        <w:rPr>
          <w:rFonts w:ascii="Times New Roman" w:hAnsi="Times New Roman" w:cs="Times New Roman"/>
          <w:i/>
          <w:noProof/>
          <w:sz w:val="24"/>
          <w:szCs w:val="24"/>
        </w:rPr>
        <w:t>Programa de Acción Conjunta para la Mejora de la Atención de Personas Parados de Larga Duración</w:t>
      </w:r>
      <w:r>
        <w:rPr>
          <w:rFonts w:ascii="Times New Roman" w:hAnsi="Times New Roman" w:cs="Times New Roman"/>
          <w:noProof/>
          <w:sz w:val="24"/>
          <w:szCs w:val="24"/>
        </w:rPr>
        <w:t>) has been put in place to strengthen the capacity of the Public Emplo</w:t>
      </w:r>
      <w:r>
        <w:rPr>
          <w:rFonts w:ascii="Times New Roman" w:hAnsi="Times New Roman" w:cs="Times New Roman"/>
          <w:noProof/>
          <w:sz w:val="24"/>
          <w:szCs w:val="24"/>
        </w:rPr>
        <w:t xml:space="preserve">yment Services in providing individualised support to the long-term unemployed. Portugal has amended legislation to cater for more personalised services, and is developing </w:t>
      </w:r>
      <w:r>
        <w:rPr>
          <w:rFonts w:ascii="Times New Roman" w:hAnsi="Times New Roman"/>
          <w:noProof/>
          <w:sz w:val="24"/>
        </w:rPr>
        <w:t>one-stop shops for employment (</w:t>
      </w:r>
      <w:r>
        <w:rPr>
          <w:rFonts w:ascii="Times New Roman" w:hAnsi="Times New Roman"/>
          <w:i/>
          <w:noProof/>
          <w:sz w:val="24"/>
        </w:rPr>
        <w:t>"Balcão Único do Emprego"</w:t>
      </w:r>
      <w:r>
        <w:rPr>
          <w:rFonts w:ascii="Times New Roman" w:hAnsi="Times New Roman"/>
          <w:noProof/>
          <w:sz w:val="24"/>
        </w:rPr>
        <w:t>), bringing together service</w:t>
      </w:r>
      <w:r>
        <w:rPr>
          <w:rFonts w:ascii="Times New Roman" w:hAnsi="Times New Roman"/>
          <w:noProof/>
          <w:sz w:val="24"/>
        </w:rPr>
        <w:t xml:space="preserve">s provided by public employment services and social services (expected by beginning 2018). </w:t>
      </w:r>
      <w:r>
        <w:rPr>
          <w:rFonts w:ascii="Times New Roman" w:hAnsi="Times New Roman" w:cs="Times New Roman"/>
          <w:noProof/>
          <w:sz w:val="24"/>
          <w:szCs w:val="24"/>
        </w:rPr>
        <w:t xml:space="preserve">  In the Netherlands the budget has been substantially increased to allow for more personalised job search support while in Finland extra funding has been provided t</w:t>
      </w:r>
      <w:r>
        <w:rPr>
          <w:rFonts w:ascii="Times New Roman" w:hAnsi="Times New Roman" w:cs="Times New Roman"/>
          <w:noProof/>
          <w:sz w:val="24"/>
          <w:szCs w:val="24"/>
        </w:rPr>
        <w:t>o increase frequency of the support. Whereas in Belgium (Wallonia) more personalised services are now offered via the newly introduced "insertion contract", Italy is experimenting with vouchers for unemployed that can be used to obtain more tailored and in</w:t>
      </w:r>
      <w:r>
        <w:rPr>
          <w:rFonts w:ascii="Times New Roman" w:hAnsi="Times New Roman" w:cs="Times New Roman"/>
          <w:noProof/>
          <w:sz w:val="24"/>
          <w:szCs w:val="24"/>
        </w:rPr>
        <w:t xml:space="preserve">tensive job search support. Finally, to offer more integrated services via single points of contact 8 new centres have been established in Bulgaria in 2017 bringing the total number to 73.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Training programmes targeting the unemployed are gaining momentum</w:t>
      </w:r>
      <w:r>
        <w:rPr>
          <w:rFonts w:ascii="Times New Roman" w:hAnsi="Times New Roman" w:cs="Times New Roman"/>
          <w:b/>
          <w:noProof/>
          <w:sz w:val="24"/>
          <w:szCs w:val="24"/>
        </w:rPr>
        <w:t>.</w:t>
      </w:r>
      <w:r>
        <w:rPr>
          <w:rFonts w:ascii="Times New Roman" w:hAnsi="Times New Roman" w:cs="Times New Roman"/>
          <w:noProof/>
          <w:sz w:val="24"/>
          <w:szCs w:val="24"/>
        </w:rPr>
        <w:t xml:space="preserve"> In 2017, Croatia started rolling out trainings targeting almost 10 000 unemployed persons with special focus on long-term unemployed and France extended the massive 2016 training plan for unemployed to 2017. It also expanded it with 200 000 additional pl</w:t>
      </w:r>
      <w:r>
        <w:rPr>
          <w:rFonts w:ascii="Times New Roman" w:hAnsi="Times New Roman" w:cs="Times New Roman"/>
          <w:noProof/>
          <w:sz w:val="24"/>
          <w:szCs w:val="24"/>
        </w:rPr>
        <w:t>aces on top of the 500 000 added in 2016, while a new Investment plan of EUR14 bn aims at training 1 million low-qualified jobseekers and 1 million early school-leavers between 2018 and 2020.  Lithuania and Hungary re-designed their ALMPs to reduce the use</w:t>
      </w:r>
      <w:r>
        <w:rPr>
          <w:rFonts w:ascii="Times New Roman" w:hAnsi="Times New Roman" w:cs="Times New Roman"/>
          <w:noProof/>
          <w:sz w:val="24"/>
          <w:szCs w:val="24"/>
        </w:rPr>
        <w:t xml:space="preserve"> of public works in favour of work-based learning and practice. Finally, Greece launched a programme of training and certification for 23 000 unemployed in sectors with growth potential and included an optional training component in the new generation of i</w:t>
      </w:r>
      <w:r>
        <w:rPr>
          <w:rFonts w:ascii="Times New Roman" w:hAnsi="Times New Roman" w:cs="Times New Roman"/>
          <w:noProof/>
          <w:sz w:val="24"/>
          <w:szCs w:val="24"/>
        </w:rPr>
        <w:t xml:space="preserve">ts public works scheme. </w:t>
      </w:r>
    </w:p>
    <w:p w:rsidR="00CB01DD" w:rsidRDefault="00D75BDB">
      <w:pPr>
        <w:spacing w:before="240" w:line="360" w:lineRule="auto"/>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 xml:space="preserve">Strengthening the activation of benefit recipients is a priority in several Member States. </w:t>
      </w:r>
      <w:r>
        <w:rPr>
          <w:rFonts w:ascii="Times New Roman" w:eastAsia="Calibri" w:hAnsi="Times New Roman" w:cs="Times New Roman"/>
          <w:bCs/>
          <w:noProof/>
          <w:sz w:val="24"/>
          <w:szCs w:val="24"/>
        </w:rPr>
        <w:t>This concerns both unemployment and social assistance benefits, such as minimum income schemes. In Finland, a major reform of the unemployme</w:t>
      </w:r>
      <w:r>
        <w:rPr>
          <w:rFonts w:ascii="Times New Roman" w:eastAsia="Calibri" w:hAnsi="Times New Roman" w:cs="Times New Roman"/>
          <w:bCs/>
          <w:noProof/>
          <w:sz w:val="24"/>
          <w:szCs w:val="24"/>
        </w:rPr>
        <w:t>nt benefit system took place with the aim to accelerate reintegration into employment. As of 2017, participation in active labour market policies is a condition for receiving unemployment benefits, and jobseekers face stricter conditions about rejection of</w:t>
      </w:r>
      <w:r>
        <w:rPr>
          <w:rFonts w:ascii="Times New Roman" w:eastAsia="Calibri" w:hAnsi="Times New Roman" w:cs="Times New Roman"/>
          <w:bCs/>
          <w:noProof/>
          <w:sz w:val="24"/>
          <w:szCs w:val="24"/>
        </w:rPr>
        <w:t xml:space="preserve"> job offers. Moreover, the basic (non-earnings related) unemployment benefit can be used as mobility and wage subsidies to activate jobseekers. There are also plans as of 2018 to introduce further financial sanctions for jobseekers failing to demonstrate t</w:t>
      </w:r>
      <w:r>
        <w:rPr>
          <w:rFonts w:ascii="Times New Roman" w:eastAsia="Calibri" w:hAnsi="Times New Roman" w:cs="Times New Roman"/>
          <w:bCs/>
          <w:noProof/>
          <w:sz w:val="24"/>
          <w:szCs w:val="24"/>
        </w:rPr>
        <w:t>heir job-search or participation in activation measures. In Belgium, since September 2016 every new beneficiary of the social insertion income is obliged to sign a personalised social integration project with the social welfare centres (e.g. the scheme "im</w:t>
      </w:r>
      <w:r>
        <w:rPr>
          <w:rFonts w:ascii="Times New Roman" w:eastAsia="Calibri" w:hAnsi="Times New Roman" w:cs="Times New Roman"/>
          <w:bCs/>
          <w:noProof/>
          <w:sz w:val="24"/>
          <w:szCs w:val="24"/>
        </w:rPr>
        <w:t>pulsion insertion" in Wallonia). The "project" defines the rights and obligation of both parties, with the aim to stimulate sustainable professional integration. In Cyprus, the implementation of activation measures targeted at Guaranteed Minimum Income ben</w:t>
      </w:r>
      <w:r>
        <w:rPr>
          <w:rFonts w:ascii="Times New Roman" w:eastAsia="Calibri" w:hAnsi="Times New Roman" w:cs="Times New Roman"/>
          <w:bCs/>
          <w:noProof/>
          <w:sz w:val="24"/>
          <w:szCs w:val="24"/>
        </w:rPr>
        <w:t>eficiaries (e.g. training and development, participation in public benefit programmes) started in 2016 and will be further developed in 2017. In Slovenia a draft act (to be adopted by parliament) will introduce the obligation for a dismissed worker to repo</w:t>
      </w:r>
      <w:r>
        <w:rPr>
          <w:rFonts w:ascii="Times New Roman" w:eastAsia="Calibri" w:hAnsi="Times New Roman" w:cs="Times New Roman"/>
          <w:bCs/>
          <w:noProof/>
          <w:sz w:val="24"/>
          <w:szCs w:val="24"/>
        </w:rPr>
        <w:t xml:space="preserve">rt to the Employment Service already during the notice period (with some exceptions), to avoid a cut in unemployment benefits in the first three months of unemployment. </w:t>
      </w:r>
    </w:p>
    <w:p w:rsidR="00CB01DD" w:rsidRDefault="00D75BDB">
      <w:pPr>
        <w:spacing w:before="240" w:line="360" w:lineRule="auto"/>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Recent reforms in the field of unemployment benefits systems aimed at their rationalis</w:t>
      </w:r>
      <w:r>
        <w:rPr>
          <w:rFonts w:ascii="Times New Roman" w:eastAsia="Calibri" w:hAnsi="Times New Roman" w:cs="Times New Roman"/>
          <w:b/>
          <w:bCs/>
          <w:noProof/>
          <w:sz w:val="24"/>
          <w:szCs w:val="24"/>
        </w:rPr>
        <w:t xml:space="preserve">ation and sustainability, </w:t>
      </w:r>
      <w:r>
        <w:rPr>
          <w:rFonts w:ascii="Times New Roman" w:eastAsia="Calibri" w:hAnsi="Times New Roman" w:cs="Times New Roman"/>
          <w:bCs/>
          <w:noProof/>
          <w:sz w:val="24"/>
          <w:szCs w:val="24"/>
        </w:rPr>
        <w:t>often</w:t>
      </w:r>
      <w:r>
        <w:rPr>
          <w:rFonts w:ascii="Times New Roman" w:eastAsia="Calibri" w:hAnsi="Times New Roman" w:cs="Times New Roman"/>
          <w:b/>
          <w:bCs/>
          <w:noProof/>
          <w:sz w:val="24"/>
          <w:szCs w:val="24"/>
        </w:rPr>
        <w:t xml:space="preserve"> </w:t>
      </w:r>
      <w:r>
        <w:rPr>
          <w:rFonts w:ascii="Times New Roman" w:eastAsia="Calibri" w:hAnsi="Times New Roman" w:cs="Times New Roman"/>
          <w:bCs/>
          <w:noProof/>
          <w:sz w:val="24"/>
          <w:szCs w:val="24"/>
        </w:rPr>
        <w:t>the introduction of stricter eligibility conditions and/or lower benefit levels. However, some Member States are also taking (or planning) action to increase benefits amount and duration. In the context of the above-mentione</w:t>
      </w:r>
      <w:r>
        <w:rPr>
          <w:rFonts w:ascii="Times New Roman" w:eastAsia="Calibri" w:hAnsi="Times New Roman" w:cs="Times New Roman"/>
          <w:bCs/>
          <w:noProof/>
          <w:sz w:val="24"/>
          <w:szCs w:val="24"/>
        </w:rPr>
        <w:t xml:space="preserve">d reform, Finland reduced the duration of the earnings-related unemployment benefit from 500 to 400 days (or 400 to 300 days in the case of a career shorter than 3 years), except for older long-term unemployed people. In France, a new 3-year Convention on </w:t>
      </w:r>
      <w:r>
        <w:rPr>
          <w:rFonts w:ascii="Times New Roman" w:eastAsia="Calibri" w:hAnsi="Times New Roman" w:cs="Times New Roman"/>
          <w:bCs/>
          <w:noProof/>
          <w:sz w:val="24"/>
          <w:szCs w:val="24"/>
        </w:rPr>
        <w:t>Unemployment Benefits (2017-2020) was adopted in May 2017, in agreement with social partners, aiming at tackling the system deficit and reducing incentives to hire on very short-term contracts (notably through a new method to calculate rights, removing cal</w:t>
      </w:r>
      <w:r>
        <w:rPr>
          <w:rFonts w:ascii="Times New Roman" w:eastAsia="Calibri" w:hAnsi="Times New Roman" w:cs="Times New Roman"/>
          <w:bCs/>
          <w:noProof/>
          <w:sz w:val="24"/>
          <w:szCs w:val="24"/>
        </w:rPr>
        <w:t>culation bias favourable to short-term contracts). A further reform is planned, aiming at granting access to independent workers and increasing checks on job search. Latvia has increased its minimum contribution period for being eligible from 9 months (out</w:t>
      </w:r>
      <w:r>
        <w:rPr>
          <w:rFonts w:ascii="Times New Roman" w:eastAsia="Calibri" w:hAnsi="Times New Roman" w:cs="Times New Roman"/>
          <w:bCs/>
          <w:noProof/>
          <w:sz w:val="24"/>
          <w:szCs w:val="24"/>
        </w:rPr>
        <w:t xml:space="preserve"> of 12) to 12 (out of 16). In Lithuania, the new version of the Law on Unemployment Social Insurance (part of the package together with the labour code) expands the coverage and adequacy of unemployment benefits, notably by increasing the period of payment</w:t>
      </w:r>
      <w:r>
        <w:rPr>
          <w:rFonts w:ascii="Times New Roman" w:eastAsia="Calibri" w:hAnsi="Times New Roman" w:cs="Times New Roman"/>
          <w:bCs/>
          <w:noProof/>
          <w:sz w:val="24"/>
          <w:szCs w:val="24"/>
        </w:rPr>
        <w:t xml:space="preserve"> from 6 to 9 months (not depending on the tenure). In Denmark, the comprehensive reform adopted in 2015 came into force in 2017. Among other measures, it involves a simplification of the system, further digitalisation and higher benefits to newly graduates</w:t>
      </w:r>
      <w:r>
        <w:rPr>
          <w:rFonts w:ascii="Times New Roman" w:eastAsia="Calibri" w:hAnsi="Times New Roman" w:cs="Times New Roman"/>
          <w:bCs/>
          <w:noProof/>
          <w:sz w:val="24"/>
          <w:szCs w:val="24"/>
        </w:rPr>
        <w:t xml:space="preserve"> with children. A main element in the reform is the possibility of prolonging the unemployment benefit period from two years up to three years if taking on short-term work.</w:t>
      </w:r>
    </w:p>
    <w:p w:rsidR="00CB01DD" w:rsidRDefault="00D75BDB">
      <w:pPr>
        <w:spacing w:before="240" w:line="360" w:lineRule="auto"/>
        <w:jc w:val="both"/>
        <w:rPr>
          <w:rFonts w:ascii="Times New Roman" w:hAnsi="Times New Roman" w:cs="Times New Roman"/>
          <w:noProof/>
          <w:sz w:val="24"/>
        </w:rPr>
      </w:pPr>
      <w:r>
        <w:rPr>
          <w:rFonts w:ascii="Times New Roman" w:hAnsi="Times New Roman" w:cs="Times New Roman"/>
          <w:b/>
          <w:noProof/>
          <w:sz w:val="24"/>
          <w:szCs w:val="24"/>
        </w:rPr>
        <w:t xml:space="preserve">Well-functioning social dialogue is crucial in promoting a social market economy </w:t>
      </w:r>
      <w:r>
        <w:rPr>
          <w:rFonts w:ascii="Times New Roman" w:hAnsi="Times New Roman" w:cs="Times New Roman"/>
          <w:b/>
          <w:noProof/>
          <w:sz w:val="24"/>
          <w:szCs w:val="24"/>
        </w:rPr>
        <w:t>that balances economic performance with social fairness.</w:t>
      </w:r>
      <w:r>
        <w:rPr>
          <w:rFonts w:ascii="Times New Roman" w:hAnsi="Times New Roman" w:cs="Times New Roman"/>
          <w:noProof/>
          <w:sz w:val="24"/>
          <w:szCs w:val="24"/>
        </w:rPr>
        <w:t xml:space="preserve"> It plays a central role in reinforcing social rights and enhancing sustainable and inclusive growth, as highlighted by the European Pillar of Social Rights. Listening to social partners' advice and i</w:t>
      </w:r>
      <w:r>
        <w:rPr>
          <w:rFonts w:ascii="Times New Roman" w:hAnsi="Times New Roman" w:cs="Times New Roman"/>
          <w:noProof/>
          <w:sz w:val="24"/>
          <w:szCs w:val="24"/>
        </w:rPr>
        <w:t>nvolving them in reform discussions early on, can significantly facilitate implementation in later stages. The degree and impact of social partners' involvement in the design and implementation of relevant reforms varies considerably among EU countries. Th</w:t>
      </w:r>
      <w:r>
        <w:rPr>
          <w:rFonts w:ascii="Times New Roman" w:hAnsi="Times New Roman" w:cs="Times New Roman"/>
          <w:noProof/>
          <w:sz w:val="24"/>
          <w:szCs w:val="24"/>
        </w:rPr>
        <w:t>is is largely due to a diversity of social dialogue practices and institutional settings in the different Member States and to varying social partner's capacities and contributions. Whereas there is no single existing national social dialogue system that s</w:t>
      </w:r>
      <w:r>
        <w:rPr>
          <w:rFonts w:ascii="Times New Roman" w:hAnsi="Times New Roman" w:cs="Times New Roman"/>
          <w:noProof/>
          <w:sz w:val="24"/>
          <w:szCs w:val="24"/>
        </w:rPr>
        <w:t>erves as the standard reference, an effective and well-functioning social dialogue should be fostered in order to promote welfare in the EU. This can only be achieved by promoting social partners' capacity by respecting their autonomy and strengthening the</w:t>
      </w:r>
      <w:r>
        <w:rPr>
          <w:rFonts w:ascii="Times New Roman" w:hAnsi="Times New Roman" w:cs="Times New Roman"/>
          <w:noProof/>
          <w:sz w:val="24"/>
          <w:szCs w:val="24"/>
        </w:rPr>
        <w:t xml:space="preserve">ir roles in the design and implementation of reforms and policies and by actively involving social partners at all stages of policy-making and implementation. Positive examples of social partners' </w:t>
      </w:r>
      <w:r>
        <w:rPr>
          <w:rFonts w:ascii="Times New Roman" w:eastAsia="Calibri" w:hAnsi="Times New Roman" w:cs="Times New Roman"/>
          <w:bCs/>
          <w:noProof/>
          <w:sz w:val="24"/>
          <w:szCs w:val="24"/>
        </w:rPr>
        <w:t>involvement</w:t>
      </w:r>
      <w:r>
        <w:rPr>
          <w:rFonts w:ascii="Times New Roman" w:hAnsi="Times New Roman" w:cs="Times New Roman"/>
          <w:noProof/>
          <w:sz w:val="24"/>
          <w:szCs w:val="24"/>
        </w:rPr>
        <w:t xml:space="preserve"> in the design and implementation of policies ca</w:t>
      </w:r>
      <w:r>
        <w:rPr>
          <w:rFonts w:ascii="Times New Roman" w:hAnsi="Times New Roman" w:cs="Times New Roman"/>
          <w:noProof/>
          <w:sz w:val="24"/>
          <w:szCs w:val="24"/>
        </w:rPr>
        <w:t xml:space="preserve">n be found across this report, notably in Chapter 3.1 (concerning wage setting systems), Chapter 3.2 (concerning vocational training systems) and Chapter 3.3 (labour law reforms). </w:t>
      </w:r>
      <w:r>
        <w:rPr>
          <w:rFonts w:ascii="Times New Roman" w:hAnsi="Times New Roman" w:cs="Times New Roman"/>
          <w:noProof/>
          <w:sz w:val="24"/>
        </w:rPr>
        <w:br w:type="page"/>
      </w:r>
    </w:p>
    <w:p w:rsidR="00CB01DD" w:rsidRDefault="00D75BDB">
      <w:pPr>
        <w:pStyle w:val="Heading2"/>
        <w:rPr>
          <w:noProof/>
          <w:lang w:val="en-GB"/>
        </w:rPr>
      </w:pPr>
      <w:bookmarkStart w:id="22" w:name="_Toc498075896"/>
      <w:r>
        <w:rPr>
          <w:noProof/>
          <w:lang w:val="en-GB"/>
        </w:rPr>
        <w:t>3.4 Fostering social inclusion, combatting poverty and promoting equal opp</w:t>
      </w:r>
      <w:r>
        <w:rPr>
          <w:noProof/>
          <w:lang w:val="en-GB"/>
        </w:rPr>
        <w:t>ortunities</w:t>
      </w:r>
      <w:bookmarkEnd w:id="22"/>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This section looks at the implementation of the employment guideline no. 8, which recommends to Member States to modernise their social protection systems, in order to combat poverty and social exclusion. It first presents an overview of the soc</w:t>
      </w:r>
      <w:r>
        <w:rPr>
          <w:rFonts w:ascii="Times New Roman" w:hAnsi="Times New Roman" w:cs="Times New Roman"/>
          <w:noProof/>
          <w:sz w:val="24"/>
          <w:szCs w:val="24"/>
        </w:rPr>
        <w:t>ial situation in Member States by key indicators, including disposable income, poverty and social inclusion, and access to healthcare. Section 3.4.2 reports on policy measures from Member States in the areas of social protection systems, including unemploy</w:t>
      </w:r>
      <w:r>
        <w:rPr>
          <w:rFonts w:ascii="Times New Roman" w:hAnsi="Times New Roman" w:cs="Times New Roman"/>
          <w:noProof/>
          <w:sz w:val="24"/>
          <w:szCs w:val="24"/>
        </w:rPr>
        <w:t>ment benefits, housing policies, childcare, long-term care, healthcare, pensions and inclusion of people with disabilities.</w:t>
      </w:r>
    </w:p>
    <w:p w:rsidR="00CB01DD" w:rsidRDefault="00CB01DD">
      <w:pPr>
        <w:spacing w:line="360" w:lineRule="auto"/>
        <w:jc w:val="both"/>
        <w:rPr>
          <w:rFonts w:ascii="Times New Roman" w:hAnsi="Times New Roman" w:cs="Times New Roman"/>
          <w:i/>
          <w:noProof/>
          <w:sz w:val="24"/>
          <w:szCs w:val="24"/>
          <w:lang w:eastAsia="en-GB"/>
        </w:rPr>
      </w:pPr>
    </w:p>
    <w:p w:rsidR="00CB01DD" w:rsidRDefault="00D75BDB">
      <w:pPr>
        <w:pStyle w:val="Heading3"/>
        <w:rPr>
          <w:noProof/>
          <w:lang w:eastAsia="en-GB"/>
        </w:rPr>
      </w:pPr>
      <w:bookmarkStart w:id="23" w:name="_Toc498075897"/>
      <w:r>
        <w:rPr>
          <w:noProof/>
          <w:lang w:eastAsia="en-GB"/>
        </w:rPr>
        <w:t>3.4.1</w:t>
      </w:r>
      <w:r>
        <w:rPr>
          <w:noProof/>
          <w:lang w:eastAsia="en-GB"/>
        </w:rPr>
        <w:tab/>
        <w:t>Key indicators</w:t>
      </w:r>
      <w:bookmarkEnd w:id="23"/>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In 2015, gross disposable household income (GDHI) per capita</w:t>
      </w:r>
      <w:r>
        <w:rPr>
          <w:rStyle w:val="FootnoteReference"/>
          <w:rFonts w:ascii="Times New Roman" w:hAnsi="Times New Roman" w:cs="Times New Roman"/>
          <w:b/>
          <w:noProof/>
          <w:sz w:val="24"/>
          <w:szCs w:val="24"/>
          <w:lang w:eastAsia="en-GB"/>
        </w:rPr>
        <w:footnoteReference w:id="71"/>
      </w:r>
      <w:r>
        <w:rPr>
          <w:rFonts w:ascii="Times New Roman" w:hAnsi="Times New Roman" w:cs="Times New Roman"/>
          <w:b/>
          <w:noProof/>
          <w:sz w:val="24"/>
          <w:szCs w:val="24"/>
          <w:lang w:eastAsia="en-GB"/>
        </w:rPr>
        <w:t xml:space="preserve"> increased in a large majority of Member States. </w:t>
      </w:r>
      <w:r>
        <w:rPr>
          <w:rFonts w:ascii="Times New Roman" w:hAnsi="Times New Roman" w:cs="Times New Roman"/>
          <w:noProof/>
          <w:sz w:val="24"/>
          <w:szCs w:val="24"/>
          <w:lang w:eastAsia="en-GB"/>
        </w:rPr>
        <w:t>Still, in several Member States its level has not recovered from the crisis: this is evident in particular in Greece and Cyprus ("critical situations"), where disposable income per capita was respectively about 32% and 23% lower in 2015 than in 2008, follo</w:t>
      </w:r>
      <w:r>
        <w:rPr>
          <w:rFonts w:ascii="Times New Roman" w:hAnsi="Times New Roman" w:cs="Times New Roman"/>
          <w:noProof/>
          <w:sz w:val="24"/>
          <w:szCs w:val="24"/>
          <w:lang w:eastAsia="en-GB"/>
        </w:rPr>
        <w:t xml:space="preserve">wed by Italy, Spain, Portugal, Slovenia, and – to a lesser extent – Austria. In all these countries, the growth rate in 2015 lagged behind the EU average or was even negative. On the contrary, in a number of Central and Eastern European Countries GDHI per </w:t>
      </w:r>
      <w:r>
        <w:rPr>
          <w:rFonts w:ascii="Times New Roman" w:hAnsi="Times New Roman" w:cs="Times New Roman"/>
          <w:noProof/>
          <w:sz w:val="24"/>
          <w:szCs w:val="24"/>
          <w:lang w:eastAsia="en-GB"/>
        </w:rPr>
        <w:t xml:space="preserve">capita was higher in 2015 than in 2008 (Romania, by 32.9%; Poland, by 17.0%; </w:t>
      </w:r>
      <w:r>
        <w:rPr>
          <w:rFonts w:ascii="Times New Roman" w:hAnsi="Times New Roman" w:cs="Times New Roman"/>
          <w:noProof/>
          <w:sz w:val="24"/>
          <w:szCs w:val="24"/>
        </w:rPr>
        <w:t>Bulgaria</w:t>
      </w:r>
      <w:r>
        <w:rPr>
          <w:rFonts w:ascii="Times New Roman" w:hAnsi="Times New Roman" w:cs="Times New Roman"/>
          <w:noProof/>
          <w:sz w:val="24"/>
          <w:szCs w:val="24"/>
          <w:lang w:eastAsia="en-GB"/>
        </w:rPr>
        <w:t xml:space="preserve">, by 12.0%; Lithuania, by 7.0%). In all these countries (plus Estonia and Latvia) disposable income per capita continued increasing faster than the EU average, reflecting </w:t>
      </w:r>
      <w:r>
        <w:rPr>
          <w:rFonts w:ascii="Times New Roman" w:hAnsi="Times New Roman" w:cs="Times New Roman"/>
          <w:noProof/>
          <w:sz w:val="24"/>
          <w:szCs w:val="24"/>
          <w:lang w:eastAsia="en-GB"/>
        </w:rPr>
        <w:t>their ongoing convergence with the rest of the EU. In particular, Romania and Poland are flagged as "best performers".</w:t>
      </w:r>
    </w:p>
    <w:p w:rsidR="00CB01DD" w:rsidRDefault="00D75BDB">
      <w:pPr>
        <w:pStyle w:val="Caption"/>
        <w:keepNext/>
        <w:spacing w:line="240" w:lineRule="auto"/>
        <w:jc w:val="both"/>
        <w:rPr>
          <w:rFonts w:ascii="Times New Roman" w:hAnsi="Times New Roman"/>
          <w:noProof/>
          <w:sz w:val="24"/>
          <w:szCs w:val="24"/>
        </w:rPr>
      </w:pPr>
      <w:bookmarkStart w:id="24" w:name="_Ref494714186"/>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38</w:t>
      </w:r>
      <w:r>
        <w:rPr>
          <w:rFonts w:ascii="Times New Roman" w:hAnsi="Times New Roman"/>
          <w:noProof/>
          <w:sz w:val="24"/>
          <w:szCs w:val="24"/>
        </w:rPr>
        <w:fldChar w:fldCharType="end"/>
      </w:r>
      <w:bookmarkEnd w:id="24"/>
      <w:r>
        <w:rPr>
          <w:rFonts w:ascii="Times New Roman" w:hAnsi="Times New Roman"/>
          <w:noProof/>
          <w:sz w:val="24"/>
          <w:szCs w:val="24"/>
        </w:rPr>
        <w:t xml:space="preserve">:  Real GDHI per capita, index 2008 = 100 and yearly change (Social Scoreboard headline indicator) </w:t>
      </w:r>
    </w:p>
    <w:p w:rsidR="00CB01DD" w:rsidRDefault="00D75BDB">
      <w:pPr>
        <w:spacing w:line="240" w:lineRule="auto"/>
        <w:jc w:val="both"/>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3C3FFA98" wp14:editId="7D7D7FD4">
            <wp:extent cx="5290179" cy="406729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1740" cy="4068498"/>
                    </a:xfrm>
                    <a:prstGeom prst="rect">
                      <a:avLst/>
                    </a:prstGeom>
                    <a:noFill/>
                  </pic:spPr>
                </pic:pic>
              </a:graphicData>
            </a:graphic>
          </wp:inline>
        </w:drawing>
      </w:r>
    </w:p>
    <w:p w:rsidR="00CB01DD" w:rsidRDefault="00D75BDB">
      <w:pPr>
        <w:spacing w:line="240" w:lineRule="auto"/>
        <w:rPr>
          <w:rFonts w:ascii="Times New Roman" w:hAnsi="Times New Roman" w:cs="Times New Roman"/>
          <w:noProof/>
          <w:sz w:val="20"/>
          <w:szCs w:val="20"/>
        </w:rPr>
      </w:pPr>
      <w:r>
        <w:rPr>
          <w:rFonts w:ascii="Times New Roman" w:hAnsi="Times New Roman"/>
          <w:noProof/>
          <w:sz w:val="20"/>
          <w:szCs w:val="20"/>
          <w:lang w:eastAsia="en-GB"/>
        </w:rPr>
        <w:t>S</w:t>
      </w:r>
      <w:r>
        <w:rPr>
          <w:rFonts w:ascii="Times New Roman" w:hAnsi="Times New Roman"/>
          <w:noProof/>
          <w:sz w:val="20"/>
          <w:szCs w:val="20"/>
          <w:lang w:eastAsia="en-GB"/>
        </w:rPr>
        <w:t xml:space="preserve">ource: Eurostat, National Accounts [nasq_10_nf_tr and namq_10_gdp], DG EMPL calculations. </w:t>
      </w:r>
      <w:r>
        <w:rPr>
          <w:rFonts w:ascii="Times New Roman" w:hAnsi="Times New Roman" w:cs="Times New Roman"/>
          <w:noProof/>
          <w:sz w:val="20"/>
          <w:szCs w:val="20"/>
          <w:lang w:eastAsia="en-GB"/>
        </w:rPr>
        <w:t xml:space="preserve">Period: 2015 levels and yearly changes with respect to 2014. Note: Axes are centred on the unweighted EU average. The legend is presented in the Annex. </w:t>
      </w:r>
      <w:r>
        <w:rPr>
          <w:rFonts w:ascii="Times New Roman" w:hAnsi="Times New Roman" w:cs="Times New Roman"/>
          <w:noProof/>
          <w:sz w:val="20"/>
          <w:szCs w:val="20"/>
        </w:rPr>
        <w:t xml:space="preserve">Data for 2016 </w:t>
      </w:r>
      <w:r>
        <w:rPr>
          <w:rFonts w:ascii="Times New Roman" w:hAnsi="Times New Roman" w:cs="Times New Roman"/>
          <w:noProof/>
          <w:sz w:val="20"/>
          <w:szCs w:val="20"/>
        </w:rPr>
        <w:t>only available for 18 MS at 31 October 2017.</w:t>
      </w:r>
    </w:p>
    <w:p w:rsidR="00CB01DD" w:rsidRDefault="00CB01DD">
      <w:pPr>
        <w:spacing w:line="360" w:lineRule="auto"/>
        <w:contextualSpacing/>
        <w:rPr>
          <w:rFonts w:ascii="Times New Roman" w:hAnsi="Times New Roman" w:cs="Times New Roman"/>
          <w:b/>
          <w:iCs/>
          <w:noProof/>
          <w:sz w:val="24"/>
          <w:szCs w:val="24"/>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Income inequality started falling on average, but in several Member States the post-crisis increases have not been reversed. </w:t>
      </w:r>
      <w:r>
        <w:rPr>
          <w:rFonts w:ascii="Times New Roman" w:hAnsi="Times New Roman" w:cs="Times New Roman"/>
          <w:noProof/>
          <w:sz w:val="24"/>
          <w:szCs w:val="24"/>
          <w:lang w:eastAsia="en-GB"/>
        </w:rPr>
        <w:t>In 2016 for the EU as a whole, the richest 20% of households received an income share</w:t>
      </w:r>
      <w:r>
        <w:rPr>
          <w:rFonts w:ascii="Times New Roman" w:hAnsi="Times New Roman" w:cs="Times New Roman"/>
          <w:noProof/>
          <w:sz w:val="24"/>
          <w:szCs w:val="24"/>
          <w:lang w:eastAsia="en-GB"/>
        </w:rPr>
        <w:t xml:space="preserve"> that was 5.1 times that of the poorest 20% (</w:t>
      </w:r>
      <w:r>
        <w:rPr>
          <w:rFonts w:ascii="Times New Roman" w:hAnsi="Times New Roman"/>
          <w:noProof/>
          <w:sz w:val="24"/>
          <w:szCs w:val="24"/>
        </w:rPr>
        <w:t>Figure 39</w:t>
      </w:r>
      <w:r>
        <w:rPr>
          <w:rFonts w:ascii="Times New Roman" w:hAnsi="Times New Roman" w:cs="Times New Roman"/>
          <w:noProof/>
          <w:sz w:val="24"/>
          <w:szCs w:val="24"/>
          <w:lang w:eastAsia="en-GB"/>
        </w:rPr>
        <w:t>). However, the average value masks considerable variation across countries, with ratios of 6.5 or above for Bulgaria, Lithuania, Greece and Spain ("critical situations") and Romania ("weak but improvin</w:t>
      </w:r>
      <w:r>
        <w:rPr>
          <w:rFonts w:ascii="Times New Roman" w:hAnsi="Times New Roman" w:cs="Times New Roman"/>
          <w:noProof/>
          <w:sz w:val="24"/>
          <w:szCs w:val="24"/>
          <w:lang w:eastAsia="en-GB"/>
        </w:rPr>
        <w:t xml:space="preserve">g"), almost twice as high as values for the Czech Republic, Slovakia, Finland and Slovenia ("best performers"). </w:t>
      </w:r>
      <w:r>
        <w:rPr>
          <w:rFonts w:ascii="Times New Roman" w:hAnsi="Times New Roman" w:cs="Times New Roman"/>
          <w:noProof/>
          <w:sz w:val="24"/>
          <w:szCs w:val="24"/>
        </w:rPr>
        <w:t>Inequality</w:t>
      </w:r>
      <w:r>
        <w:rPr>
          <w:rFonts w:ascii="Times New Roman" w:hAnsi="Times New Roman" w:cs="Times New Roman"/>
          <w:noProof/>
          <w:sz w:val="24"/>
          <w:szCs w:val="24"/>
          <w:lang w:eastAsia="en-GB"/>
        </w:rPr>
        <w:t xml:space="preserve"> intensified most in Bulgaria and Luxembourg, while the most significant declines were registered in Romania, Lithuania and Estonia. I</w:t>
      </w:r>
      <w:r>
        <w:rPr>
          <w:rFonts w:ascii="Times New Roman" w:hAnsi="Times New Roman" w:cs="Times New Roman"/>
          <w:noProof/>
          <w:sz w:val="24"/>
          <w:szCs w:val="24"/>
          <w:lang w:eastAsia="en-GB"/>
        </w:rPr>
        <w:t xml:space="preserve">n 2016, a moderate convergent pattern in income inequality </w:t>
      </w:r>
      <w:r>
        <w:rPr>
          <w:rFonts w:ascii="Times New Roman" w:eastAsia="Calibri" w:hAnsi="Times New Roman" w:cs="Times New Roman"/>
          <w:bCs/>
          <w:noProof/>
          <w:sz w:val="24"/>
          <w:szCs w:val="24"/>
        </w:rPr>
        <w:t xml:space="preserve">across Member States appeared, with faster decreases being more likely to be seen, on average, in countries with higher levels. In a longer term perspective, </w:t>
      </w:r>
      <w:r>
        <w:rPr>
          <w:rFonts w:ascii="Times New Roman" w:hAnsi="Times New Roman" w:cs="Times New Roman"/>
          <w:noProof/>
          <w:sz w:val="24"/>
          <w:szCs w:val="24"/>
          <w:lang w:eastAsia="en-GB"/>
        </w:rPr>
        <w:t>the income quintile share ratio remains</w:t>
      </w:r>
      <w:r>
        <w:rPr>
          <w:rFonts w:ascii="Times New Roman" w:hAnsi="Times New Roman" w:cs="Times New Roman"/>
          <w:noProof/>
          <w:sz w:val="24"/>
          <w:szCs w:val="24"/>
          <w:lang w:eastAsia="en-GB"/>
        </w:rPr>
        <w:t xml:space="preserve"> significantly higher than in 2009</w:t>
      </w:r>
      <w:r>
        <w:rPr>
          <w:rStyle w:val="FootnoteReference"/>
          <w:rFonts w:ascii="Times New Roman" w:hAnsi="Times New Roman" w:cs="Times New Roman"/>
          <w:noProof/>
          <w:sz w:val="24"/>
          <w:szCs w:val="24"/>
          <w:lang w:eastAsia="en-GB"/>
        </w:rPr>
        <w:footnoteReference w:id="72"/>
      </w:r>
      <w:r>
        <w:rPr>
          <w:rFonts w:ascii="Times New Roman" w:hAnsi="Times New Roman" w:cs="Times New Roman"/>
          <w:noProof/>
          <w:sz w:val="24"/>
          <w:szCs w:val="24"/>
          <w:lang w:eastAsia="en-GB"/>
        </w:rPr>
        <w:t xml:space="preserve"> for more than a third of Member States. This is true in particular for Bulgaria, Greece, Italy, Hungary, Luxembourg, Romania, Spain, Lithuania and Estonia. Significant decreases have however been observed in Latvia (wher</w:t>
      </w:r>
      <w:r>
        <w:rPr>
          <w:rFonts w:ascii="Times New Roman" w:hAnsi="Times New Roman" w:cs="Times New Roman"/>
          <w:noProof/>
          <w:sz w:val="24"/>
          <w:szCs w:val="24"/>
          <w:lang w:eastAsia="en-GB"/>
        </w:rPr>
        <w:t xml:space="preserve">e inequality still remains high) and in Denmark. </w:t>
      </w:r>
    </w:p>
    <w:p w:rsidR="00CB01DD" w:rsidRDefault="00CB01DD">
      <w:pPr>
        <w:spacing w:line="360" w:lineRule="auto"/>
        <w:contextualSpacing/>
        <w:jc w:val="both"/>
        <w:rPr>
          <w:rFonts w:ascii="Times New Roman" w:hAnsi="Times New Roman" w:cs="Times New Roman"/>
          <w:noProof/>
          <w:sz w:val="24"/>
          <w:szCs w:val="24"/>
          <w:lang w:eastAsia="en-GB"/>
        </w:rPr>
      </w:pPr>
    </w:p>
    <w:p w:rsidR="00CB01DD" w:rsidRDefault="00D75BDB">
      <w:pPr>
        <w:pStyle w:val="Caption"/>
        <w:keepNext/>
        <w:spacing w:line="240" w:lineRule="auto"/>
        <w:rPr>
          <w:rFonts w:ascii="Times New Roman" w:hAnsi="Times New Roman"/>
          <w:noProof/>
          <w:sz w:val="24"/>
          <w:szCs w:val="24"/>
        </w:rPr>
      </w:pPr>
      <w:bookmarkStart w:id="25" w:name="_Ref494719013"/>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39</w:t>
      </w:r>
      <w:r>
        <w:rPr>
          <w:rFonts w:ascii="Times New Roman" w:hAnsi="Times New Roman"/>
          <w:noProof/>
          <w:sz w:val="24"/>
          <w:szCs w:val="24"/>
        </w:rPr>
        <w:fldChar w:fldCharType="end"/>
      </w:r>
      <w:bookmarkEnd w:id="25"/>
      <w:r>
        <w:rPr>
          <w:rFonts w:ascii="Times New Roman" w:hAnsi="Times New Roman"/>
          <w:noProof/>
          <w:sz w:val="24"/>
          <w:szCs w:val="24"/>
        </w:rPr>
        <w:t xml:space="preserve">: Income quintile share ratio and yearly change (Social Scoreboard headline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529DF21C" wp14:editId="105DED06">
            <wp:extent cx="5124052" cy="4149306"/>
            <wp:effectExtent l="0" t="0" r="63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25273" cy="4150295"/>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SILC. Period: 2016 levels and yearly changes with respect to 2015. Note: Axes are centred on the unweighted EU average. The legend is presented in the Annex. </w:t>
      </w:r>
    </w:p>
    <w:p w:rsidR="00CB01DD" w:rsidRDefault="00CB01DD">
      <w:pPr>
        <w:spacing w:line="360" w:lineRule="auto"/>
        <w:contextualSpacing/>
        <w:jc w:val="both"/>
        <w:rPr>
          <w:rFonts w:ascii="Times New Roman" w:hAnsi="Times New Roman" w:cs="Times New Roman"/>
          <w:b/>
          <w:noProof/>
          <w:sz w:val="24"/>
          <w:szCs w:val="24"/>
          <w:lang w:eastAsia="en-GB"/>
        </w:rPr>
      </w:pP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The share of people at risk of poverty or social exclusion</w:t>
      </w:r>
      <w:r>
        <w:rPr>
          <w:rStyle w:val="FootnoteReference"/>
          <w:rFonts w:ascii="Times New Roman" w:hAnsi="Times New Roman" w:cs="Times New Roman"/>
          <w:b/>
          <w:iCs/>
          <w:noProof/>
          <w:sz w:val="24"/>
          <w:szCs w:val="24"/>
        </w:rPr>
        <w:footnoteReference w:id="73"/>
      </w:r>
      <w:r>
        <w:rPr>
          <w:rFonts w:ascii="Times New Roman" w:hAnsi="Times New Roman" w:cs="Times New Roman"/>
          <w:b/>
          <w:iCs/>
          <w:noProof/>
          <w:sz w:val="24"/>
          <w:szCs w:val="24"/>
        </w:rPr>
        <w:t xml:space="preserve"> has decreased in m</w:t>
      </w:r>
      <w:r>
        <w:rPr>
          <w:rFonts w:ascii="Times New Roman" w:hAnsi="Times New Roman" w:cs="Times New Roman"/>
          <w:b/>
          <w:iCs/>
          <w:noProof/>
          <w:sz w:val="24"/>
          <w:szCs w:val="24"/>
        </w:rPr>
        <w:t xml:space="preserve">ost Member States in 2016. </w:t>
      </w:r>
      <w:r>
        <w:rPr>
          <w:rFonts w:ascii="Times New Roman" w:hAnsi="Times New Roman" w:cs="Times New Roman"/>
          <w:iCs/>
          <w:noProof/>
          <w:sz w:val="24"/>
          <w:szCs w:val="24"/>
        </w:rPr>
        <w:t>There are however, considerable differences in the proportion of population at risk of poverty or social exclusion across Member States (</w:t>
      </w:r>
      <w:r>
        <w:rPr>
          <w:rFonts w:ascii="Times New Roman" w:hAnsi="Times New Roman"/>
          <w:noProof/>
          <w:sz w:val="24"/>
          <w:szCs w:val="24"/>
        </w:rPr>
        <w:t>Figure 40</w:t>
      </w:r>
      <w:r>
        <w:rPr>
          <w:rFonts w:ascii="Times New Roman" w:hAnsi="Times New Roman" w:cs="Times New Roman"/>
          <w:iCs/>
          <w:noProof/>
          <w:sz w:val="24"/>
          <w:szCs w:val="24"/>
        </w:rPr>
        <w:t>). More than one</w:t>
      </w:r>
      <w:r>
        <w:rPr>
          <w:rFonts w:ascii="Times New Roman" w:hAnsi="Times New Roman" w:cs="Times New Roman"/>
          <w:b/>
          <w:iCs/>
          <w:noProof/>
          <w:sz w:val="24"/>
          <w:szCs w:val="24"/>
        </w:rPr>
        <w:t xml:space="preserve"> </w:t>
      </w:r>
      <w:r>
        <w:rPr>
          <w:rFonts w:ascii="Times New Roman" w:hAnsi="Times New Roman" w:cs="Times New Roman"/>
          <w:iCs/>
          <w:noProof/>
          <w:sz w:val="24"/>
          <w:szCs w:val="24"/>
        </w:rPr>
        <w:t>third of the population in Bulgaria, Romania and Greece ("critical</w:t>
      </w:r>
      <w:r>
        <w:rPr>
          <w:rFonts w:ascii="Times New Roman" w:hAnsi="Times New Roman" w:cs="Times New Roman"/>
          <w:iCs/>
          <w:noProof/>
          <w:sz w:val="24"/>
          <w:szCs w:val="24"/>
        </w:rPr>
        <w:t xml:space="preserve"> situations") was considered at risk, with a marked increase in 2016 for Romania. </w:t>
      </w:r>
      <w:r>
        <w:rPr>
          <w:rFonts w:ascii="Times New Roman" w:hAnsi="Times New Roman" w:cs="Times New Roman"/>
          <w:noProof/>
          <w:sz w:val="24"/>
          <w:szCs w:val="24"/>
        </w:rPr>
        <w:t>This</w:t>
      </w:r>
      <w:r>
        <w:rPr>
          <w:rFonts w:ascii="Times New Roman" w:hAnsi="Times New Roman" w:cs="Times New Roman"/>
          <w:iCs/>
          <w:noProof/>
          <w:sz w:val="24"/>
          <w:szCs w:val="24"/>
        </w:rPr>
        <w:t xml:space="preserve"> share was also significantly higher than the EU average in Italy, Lithuania, Latvia, Spain, Croatia and Cyprus. In the first two countries further increases were recorde</w:t>
      </w:r>
      <w:r>
        <w:rPr>
          <w:rFonts w:ascii="Times New Roman" w:hAnsi="Times New Roman" w:cs="Times New Roman"/>
          <w:iCs/>
          <w:noProof/>
          <w:sz w:val="24"/>
          <w:szCs w:val="24"/>
        </w:rPr>
        <w:t>d in 2016; on the contrary, Latvia experienced the strongest decrease (by around 2.5 percentage points). On the other end of the scale, the Czech Republic, Finland, Denmark and the Netherlands ("best performers") had the lowest proportion of their populati</w:t>
      </w:r>
      <w:r>
        <w:rPr>
          <w:rFonts w:ascii="Times New Roman" w:hAnsi="Times New Roman" w:cs="Times New Roman"/>
          <w:iCs/>
          <w:noProof/>
          <w:sz w:val="24"/>
          <w:szCs w:val="24"/>
        </w:rPr>
        <w:t>on at risk of poverty or social exclusion, below 17%. Among countries with low risk of poverty or social exclusion, a significant increase was recorded in Luxembourg. In a longer term perspective, a noticeable decrease compared to 2009 is observed in Latvi</w:t>
      </w:r>
      <w:r>
        <w:rPr>
          <w:rFonts w:ascii="Times New Roman" w:hAnsi="Times New Roman" w:cs="Times New Roman"/>
          <w:iCs/>
          <w:noProof/>
          <w:sz w:val="24"/>
          <w:szCs w:val="24"/>
        </w:rPr>
        <w:t>a, Poland, Bulgaria and Romania, while in Greece, Italy, Cyprus and Spain, the risk of poverty or social exclusion is visibly higher.</w:t>
      </w:r>
    </w:p>
    <w:p w:rsidR="00CB01DD" w:rsidRDefault="00CB01DD">
      <w:pPr>
        <w:pStyle w:val="Caption"/>
        <w:keepNext/>
        <w:spacing w:line="240" w:lineRule="auto"/>
        <w:rPr>
          <w:rFonts w:ascii="Times New Roman" w:hAnsi="Times New Roman"/>
          <w:noProof/>
          <w:sz w:val="24"/>
          <w:szCs w:val="24"/>
        </w:rPr>
      </w:pPr>
      <w:bookmarkStart w:id="26" w:name="_Ref494719045"/>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40</w:t>
      </w:r>
      <w:r>
        <w:rPr>
          <w:rFonts w:ascii="Times New Roman" w:hAnsi="Times New Roman"/>
          <w:noProof/>
          <w:sz w:val="24"/>
          <w:szCs w:val="24"/>
        </w:rPr>
        <w:fldChar w:fldCharType="end"/>
      </w:r>
      <w:bookmarkEnd w:id="26"/>
      <w:r>
        <w:rPr>
          <w:rFonts w:ascii="Times New Roman" w:hAnsi="Times New Roman"/>
          <w:noProof/>
          <w:sz w:val="24"/>
          <w:szCs w:val="24"/>
        </w:rPr>
        <w:t>: At-risk-of-poverty or social exclusion rate (AROPE) and yearly change (Social Scorebo</w:t>
      </w:r>
      <w:r>
        <w:rPr>
          <w:rFonts w:ascii="Times New Roman" w:hAnsi="Times New Roman"/>
          <w:noProof/>
          <w:sz w:val="24"/>
          <w:szCs w:val="24"/>
        </w:rPr>
        <w:t>ard headline indicator)</w:t>
      </w:r>
    </w:p>
    <w:p w:rsidR="00CB01DD" w:rsidRDefault="00D75BDB">
      <w:pPr>
        <w:pStyle w:val="Caption"/>
        <w:keepNext/>
        <w:spacing w:line="240" w:lineRule="auto"/>
        <w:rPr>
          <w:rFonts w:ascii="Times New Roman" w:hAnsi="Times New Roman"/>
          <w:iCs/>
          <w:noProof/>
          <w:sz w:val="24"/>
          <w:szCs w:val="24"/>
        </w:rPr>
      </w:pPr>
      <w:r>
        <w:rPr>
          <w:rFonts w:ascii="Times New Roman" w:hAnsi="Times New Roman"/>
          <w:b w:val="0"/>
          <w:iCs/>
          <w:noProof/>
          <w:sz w:val="24"/>
          <w:szCs w:val="24"/>
        </w:rPr>
        <w:t xml:space="preserve"> </w:t>
      </w:r>
      <w:r>
        <w:rPr>
          <w:rFonts w:ascii="Times New Roman" w:hAnsi="Times New Roman"/>
          <w:b w:val="0"/>
          <w:iCs/>
          <w:noProof/>
          <w:sz w:val="24"/>
          <w:szCs w:val="24"/>
        </w:rPr>
        <w:drawing>
          <wp:inline distT="0" distB="0" distL="0" distR="0" wp14:anchorId="7E5AB247" wp14:editId="78764959">
            <wp:extent cx="4451230" cy="358323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423" cy="3588220"/>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SILC. Period: 2016 levels and yearly changes with respect to 2015. Note: Axes are centred on the unweighted EU average. The legend is presented in the Annex. </w:t>
      </w:r>
    </w:p>
    <w:p w:rsidR="00CB01DD" w:rsidRDefault="00CB01DD">
      <w:pPr>
        <w:spacing w:line="360" w:lineRule="auto"/>
        <w:jc w:val="both"/>
        <w:rPr>
          <w:rFonts w:ascii="Times New Roman" w:hAnsi="Times New Roman" w:cs="Times New Roman"/>
          <w:b/>
          <w:iCs/>
          <w:noProof/>
          <w:sz w:val="24"/>
          <w:szCs w:val="24"/>
        </w:rPr>
      </w:pP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 xml:space="preserve">After increasing in previous years, the proportion </w:t>
      </w:r>
      <w:r>
        <w:rPr>
          <w:rFonts w:ascii="Times New Roman" w:hAnsi="Times New Roman" w:cs="Times New Roman"/>
          <w:b/>
          <w:iCs/>
          <w:noProof/>
          <w:sz w:val="24"/>
          <w:szCs w:val="24"/>
        </w:rPr>
        <w:t>of the EU population at risk of monetary poverty has stabilized in 2015 and 2016.</w:t>
      </w:r>
      <w:r>
        <w:rPr>
          <w:rFonts w:ascii="Times New Roman" w:hAnsi="Times New Roman" w:cs="Times New Roman"/>
          <w:iCs/>
          <w:noProof/>
          <w:sz w:val="24"/>
          <w:szCs w:val="24"/>
        </w:rPr>
        <w:t xml:space="preserve"> At Member State level, the ratio decreased or remained stable in 17 </w:t>
      </w:r>
      <w:r>
        <w:rPr>
          <w:rFonts w:ascii="Times New Roman" w:hAnsi="Times New Roman" w:cs="Times New Roman"/>
          <w:noProof/>
          <w:sz w:val="24"/>
          <w:szCs w:val="24"/>
        </w:rPr>
        <w:t>Member</w:t>
      </w:r>
      <w:r>
        <w:rPr>
          <w:rFonts w:ascii="Times New Roman" w:hAnsi="Times New Roman" w:cs="Times New Roman"/>
          <w:iCs/>
          <w:noProof/>
          <w:sz w:val="24"/>
          <w:szCs w:val="24"/>
        </w:rPr>
        <w:t xml:space="preserve"> States (</w:t>
      </w:r>
      <w:r>
        <w:rPr>
          <w:rFonts w:ascii="Times New Roman" w:hAnsi="Times New Roman"/>
          <w:noProof/>
          <w:sz w:val="24"/>
          <w:szCs w:val="24"/>
        </w:rPr>
        <w:t>Figure 41</w:t>
      </w:r>
      <w:r>
        <w:rPr>
          <w:rFonts w:ascii="Times New Roman" w:hAnsi="Times New Roman" w:cs="Times New Roman"/>
          <w:iCs/>
          <w:noProof/>
          <w:sz w:val="24"/>
          <w:szCs w:val="24"/>
        </w:rPr>
        <w:t>). Among the remaining countries, the biggest increases (by around 1 pp or more) w</w:t>
      </w:r>
      <w:r>
        <w:rPr>
          <w:rFonts w:ascii="Times New Roman" w:hAnsi="Times New Roman" w:cs="Times New Roman"/>
          <w:iCs/>
          <w:noProof/>
          <w:sz w:val="24"/>
          <w:szCs w:val="24"/>
        </w:rPr>
        <w:t>ere observed in Luxembourg, the Netherlands (both still with comparatively low poverty risks), Italy and Bulgaria. Looking at levels, the Member States with the highest proportion of population at risk are Romania, Bulgaria and Spain (22% or more). Convers</w:t>
      </w:r>
      <w:r>
        <w:rPr>
          <w:rFonts w:ascii="Times New Roman" w:hAnsi="Times New Roman" w:cs="Times New Roman"/>
          <w:iCs/>
          <w:noProof/>
          <w:sz w:val="24"/>
          <w:szCs w:val="24"/>
        </w:rPr>
        <w:t>ely, the Czech Republic, Finland and Denmark reported the lowest rates (below 12%). Compared to 2009, the risk of monetary poverty in 2016 was still higher in 21 Member States, with lower levels observed only in Latvia, Finland, the United Kingdom, Denmark</w:t>
      </w:r>
      <w:r>
        <w:rPr>
          <w:rFonts w:ascii="Times New Roman" w:hAnsi="Times New Roman" w:cs="Times New Roman"/>
          <w:iCs/>
          <w:noProof/>
          <w:sz w:val="24"/>
          <w:szCs w:val="24"/>
        </w:rPr>
        <w:t xml:space="preserve"> and Austria. Croatia in 2016 also had a lower risk of monetary poverty compared to the situation in 2010.</w:t>
      </w:r>
    </w:p>
    <w:p w:rsidR="00CB01DD" w:rsidRDefault="00D75BDB">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41</w:t>
      </w:r>
      <w:r>
        <w:rPr>
          <w:rFonts w:ascii="Times New Roman" w:hAnsi="Times New Roman"/>
          <w:noProof/>
          <w:sz w:val="24"/>
          <w:szCs w:val="24"/>
        </w:rPr>
        <w:fldChar w:fldCharType="end"/>
      </w:r>
      <w:r>
        <w:rPr>
          <w:rFonts w:ascii="Times New Roman" w:hAnsi="Times New Roman"/>
          <w:noProof/>
          <w:sz w:val="24"/>
          <w:szCs w:val="24"/>
        </w:rPr>
        <w:t>: Sub-indicators of ‘people at risk of poverty or social exclusion'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B01DD">
        <w:tc>
          <w:tcPr>
            <w:tcW w:w="9288" w:type="dxa"/>
            <w:shd w:val="clear" w:color="auto" w:fill="auto"/>
          </w:tcPr>
          <w:p w:rsidR="00CB01DD" w:rsidRDefault="00D75BDB">
            <w:pPr>
              <w:rPr>
                <w:noProof/>
                <w:lang w:eastAsia="en-GB"/>
              </w:rPr>
            </w:pPr>
            <w:r>
              <w:rPr>
                <w:noProof/>
                <w:lang w:eastAsia="en-GB"/>
              </w:rPr>
              <w:drawing>
                <wp:inline distT="0" distB="0" distL="0" distR="0" wp14:anchorId="6CE8C966" wp14:editId="398347D0">
                  <wp:extent cx="5590800" cy="1400400"/>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0800" cy="1400400"/>
                          </a:xfrm>
                          <a:prstGeom prst="rect">
                            <a:avLst/>
                          </a:prstGeom>
                          <a:noFill/>
                        </pic:spPr>
                      </pic:pic>
                    </a:graphicData>
                  </a:graphic>
                </wp:inline>
              </w:drawing>
            </w:r>
          </w:p>
        </w:tc>
      </w:tr>
      <w:tr w:rsidR="00CB01DD">
        <w:tc>
          <w:tcPr>
            <w:tcW w:w="9288" w:type="dxa"/>
            <w:shd w:val="clear" w:color="auto" w:fill="auto"/>
          </w:tcPr>
          <w:p w:rsidR="00CB01DD" w:rsidRDefault="00D75BDB">
            <w:pPr>
              <w:rPr>
                <w:noProof/>
                <w:lang w:eastAsia="en-GB"/>
              </w:rPr>
            </w:pPr>
            <w:r>
              <w:rPr>
                <w:noProof/>
                <w:lang w:eastAsia="en-GB"/>
              </w:rPr>
              <w:drawing>
                <wp:inline distT="0" distB="0" distL="0" distR="0" wp14:anchorId="7C66D6D8" wp14:editId="104D05F9">
                  <wp:extent cx="5587200" cy="140040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7200" cy="1400400"/>
                          </a:xfrm>
                          <a:prstGeom prst="rect">
                            <a:avLst/>
                          </a:prstGeom>
                          <a:noFill/>
                        </pic:spPr>
                      </pic:pic>
                    </a:graphicData>
                  </a:graphic>
                </wp:inline>
              </w:drawing>
            </w:r>
          </w:p>
        </w:tc>
      </w:tr>
      <w:tr w:rsidR="00CB01DD">
        <w:tc>
          <w:tcPr>
            <w:tcW w:w="9288" w:type="dxa"/>
            <w:shd w:val="clear" w:color="auto" w:fill="auto"/>
          </w:tcPr>
          <w:p w:rsidR="00CB01DD" w:rsidRDefault="00D75BDB">
            <w:pPr>
              <w:rPr>
                <w:noProof/>
                <w:lang w:eastAsia="en-GB"/>
              </w:rPr>
            </w:pPr>
            <w:r>
              <w:rPr>
                <w:noProof/>
                <w:lang w:eastAsia="en-GB"/>
              </w:rPr>
              <w:drawing>
                <wp:inline distT="0" distB="0" distL="0" distR="0" wp14:anchorId="75EACB57" wp14:editId="4B87B70D">
                  <wp:extent cx="5583600" cy="174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3600" cy="1742400"/>
                          </a:xfrm>
                          <a:prstGeom prst="rect">
                            <a:avLst/>
                          </a:prstGeom>
                          <a:noFill/>
                        </pic:spPr>
                      </pic:pic>
                    </a:graphicData>
                  </a:graphic>
                </wp:inline>
              </w:drawing>
            </w:r>
          </w:p>
        </w:tc>
      </w:tr>
    </w:tbl>
    <w:p w:rsidR="00CB01DD" w:rsidRDefault="00D75BDB">
      <w:pPr>
        <w:rPr>
          <w:rFonts w:ascii="Times New Roman" w:hAnsi="Times New Roman" w:cs="Times New Roman"/>
          <w:noProof/>
          <w:lang w:eastAsia="en-GB"/>
        </w:rPr>
      </w:pPr>
      <w:r>
        <w:rPr>
          <w:rFonts w:ascii="Times New Roman" w:hAnsi="Times New Roman" w:cs="Times New Roman"/>
          <w:noProof/>
          <w:lang w:eastAsia="en-GB"/>
        </w:rPr>
        <w:t xml:space="preserve">Note: Indicators are ranked by AROPE </w:t>
      </w:r>
      <w:r>
        <w:rPr>
          <w:rFonts w:ascii="Times New Roman" w:hAnsi="Times New Roman" w:cs="Times New Roman"/>
          <w:noProof/>
          <w:lang w:eastAsia="en-GB"/>
        </w:rPr>
        <w:t>in 2016. IE not available for 2016. EU27 values used for 2009 (data for HR not available).</w:t>
      </w:r>
    </w:p>
    <w:p w:rsidR="00CB01DD" w:rsidRDefault="00CB01DD">
      <w:pPr>
        <w:spacing w:line="360" w:lineRule="auto"/>
        <w:jc w:val="both"/>
        <w:rPr>
          <w:rFonts w:ascii="Times New Roman" w:hAnsi="Times New Roman" w:cs="Times New Roman"/>
          <w:b/>
          <w:noProof/>
          <w:sz w:val="24"/>
          <w:szCs w:val="24"/>
          <w:highlight w:val="yellow"/>
          <w:lang w:eastAsia="en-GB"/>
        </w:rPr>
      </w:pP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In 2016, severe material deprivation declined for a fourth consecutive year, indicating improving living standards in the majority of the Member States.</w:t>
      </w:r>
      <w:r>
        <w:rPr>
          <w:rFonts w:ascii="Times New Roman" w:hAnsi="Times New Roman" w:cs="Times New Roman"/>
          <w:iCs/>
          <w:noProof/>
          <w:sz w:val="24"/>
          <w:szCs w:val="24"/>
        </w:rPr>
        <w:t xml:space="preserve"> The situati</w:t>
      </w:r>
      <w:r>
        <w:rPr>
          <w:rFonts w:ascii="Times New Roman" w:hAnsi="Times New Roman" w:cs="Times New Roman"/>
          <w:iCs/>
          <w:noProof/>
          <w:sz w:val="24"/>
          <w:szCs w:val="24"/>
        </w:rPr>
        <w:t xml:space="preserve">on has improved or remained stable for </w:t>
      </w:r>
      <w:r>
        <w:rPr>
          <w:rFonts w:ascii="Times New Roman" w:hAnsi="Times New Roman" w:cs="Times New Roman"/>
          <w:noProof/>
          <w:sz w:val="24"/>
          <w:szCs w:val="24"/>
        </w:rPr>
        <w:t>all</w:t>
      </w:r>
      <w:r>
        <w:rPr>
          <w:rFonts w:ascii="Times New Roman" w:hAnsi="Times New Roman" w:cs="Times New Roman"/>
          <w:iCs/>
          <w:noProof/>
          <w:sz w:val="24"/>
          <w:szCs w:val="24"/>
        </w:rPr>
        <w:t xml:space="preserve"> but four Member States (</w:t>
      </w:r>
      <w:r>
        <w:rPr>
          <w:rFonts w:ascii="Times New Roman" w:hAnsi="Times New Roman" w:cs="Times New Roman"/>
          <w:noProof/>
          <w:sz w:val="24"/>
          <w:szCs w:val="24"/>
          <w:lang w:eastAsia="en-GB"/>
        </w:rPr>
        <w:t>Romania, Italy, Estonia and Greece</w:t>
      </w:r>
      <w:r>
        <w:rPr>
          <w:rFonts w:ascii="Times New Roman" w:hAnsi="Times New Roman" w:cs="Times New Roman"/>
          <w:iCs/>
          <w:noProof/>
          <w:sz w:val="24"/>
          <w:szCs w:val="24"/>
        </w:rPr>
        <w:t>). Still, around one third of the population in Bulgaria, and more than a fifth of the population in Romania and Greece suffered from severe material depri</w:t>
      </w:r>
      <w:r>
        <w:rPr>
          <w:rFonts w:ascii="Times New Roman" w:hAnsi="Times New Roman" w:cs="Times New Roman"/>
          <w:iCs/>
          <w:noProof/>
          <w:sz w:val="24"/>
          <w:szCs w:val="24"/>
        </w:rPr>
        <w:t>vation.  In contrast, this share was less than 3% for six countries (Sweden, Luxembourg, Finland, the Netherlands, Denmark and Austria). Compared to the situation before the crisis, changes since 2009 in severe material deprivation show that by 2016 the si</w:t>
      </w:r>
      <w:r>
        <w:rPr>
          <w:rFonts w:ascii="Times New Roman" w:hAnsi="Times New Roman" w:cs="Times New Roman"/>
          <w:iCs/>
          <w:noProof/>
          <w:sz w:val="24"/>
          <w:szCs w:val="24"/>
        </w:rPr>
        <w:t>tuation has improved in 17 Member States. However, in Greece the indicator stands 11.4 pps higher, and in Cyprus and Italy it is more than 4 pps higher.</w:t>
      </w:r>
    </w:p>
    <w:p w:rsidR="00CB01DD" w:rsidRDefault="00D75BDB">
      <w:pPr>
        <w:spacing w:line="360" w:lineRule="auto"/>
        <w:jc w:val="both"/>
        <w:rPr>
          <w:rFonts w:ascii="Times New Roman" w:hAnsi="Times New Roman" w:cs="Times New Roman"/>
          <w:iCs/>
          <w:noProof/>
          <w:sz w:val="24"/>
          <w:szCs w:val="24"/>
        </w:rPr>
      </w:pPr>
      <w:r>
        <w:rPr>
          <w:rFonts w:ascii="Times New Roman" w:hAnsi="Times New Roman" w:cs="Times New Roman"/>
          <w:b/>
          <w:iCs/>
          <w:noProof/>
          <w:sz w:val="24"/>
          <w:szCs w:val="24"/>
        </w:rPr>
        <w:t>The labour market recovery has also contributed to reducing or levelling out the number of people livin</w:t>
      </w:r>
      <w:r>
        <w:rPr>
          <w:rFonts w:ascii="Times New Roman" w:hAnsi="Times New Roman" w:cs="Times New Roman"/>
          <w:b/>
          <w:iCs/>
          <w:noProof/>
          <w:sz w:val="24"/>
          <w:szCs w:val="24"/>
        </w:rPr>
        <w:t xml:space="preserve">g in (quasi-jobless) households in most Member States. </w:t>
      </w:r>
      <w:r>
        <w:rPr>
          <w:rFonts w:ascii="Times New Roman" w:hAnsi="Times New Roman" w:cs="Times New Roman"/>
          <w:iCs/>
          <w:noProof/>
          <w:sz w:val="24"/>
          <w:szCs w:val="24"/>
        </w:rPr>
        <w:t>In 2016, the share of people living in low work intensity households decreased or remained stable in 19 Member States. The biggest decreases (by 1 percentage point or more) were observed in Malta, Port</w:t>
      </w:r>
      <w:r>
        <w:rPr>
          <w:rFonts w:ascii="Times New Roman" w:hAnsi="Times New Roman" w:cs="Times New Roman"/>
          <w:iCs/>
          <w:noProof/>
          <w:sz w:val="24"/>
          <w:szCs w:val="24"/>
        </w:rPr>
        <w:t>ugal, Croatia, Hungary and Denmark. The rate of (quasi) joblessness remains particularly high</w:t>
      </w:r>
      <w:r>
        <w:rPr>
          <w:rStyle w:val="FootnoteReference"/>
          <w:rFonts w:ascii="Times New Roman" w:hAnsi="Times New Roman" w:cs="Times New Roman"/>
          <w:iCs/>
          <w:noProof/>
          <w:sz w:val="24"/>
          <w:szCs w:val="24"/>
        </w:rPr>
        <w:footnoteReference w:id="74"/>
      </w:r>
      <w:r>
        <w:rPr>
          <w:rFonts w:ascii="Times New Roman" w:hAnsi="Times New Roman" w:cs="Times New Roman"/>
          <w:iCs/>
          <w:noProof/>
          <w:sz w:val="24"/>
          <w:szCs w:val="24"/>
        </w:rPr>
        <w:t xml:space="preserve"> in Greece (17.2%), Spain (14.9%), Belgium (14.6%) and Croatia (</w:t>
      </w:r>
      <w:r>
        <w:rPr>
          <w:rFonts w:ascii="Times New Roman" w:hAnsi="Times New Roman" w:cs="Times New Roman"/>
          <w:noProof/>
          <w:sz w:val="24"/>
          <w:szCs w:val="24"/>
        </w:rPr>
        <w:t>13</w:t>
      </w:r>
      <w:r>
        <w:rPr>
          <w:rFonts w:ascii="Times New Roman" w:hAnsi="Times New Roman" w:cs="Times New Roman"/>
          <w:iCs/>
          <w:noProof/>
          <w:sz w:val="24"/>
          <w:szCs w:val="24"/>
        </w:rPr>
        <w:t>.0%); with the exception of Belgium, these Member States also present higher than average unempl</w:t>
      </w:r>
      <w:r>
        <w:rPr>
          <w:rFonts w:ascii="Times New Roman" w:hAnsi="Times New Roman" w:cs="Times New Roman"/>
          <w:iCs/>
          <w:noProof/>
          <w:sz w:val="24"/>
          <w:szCs w:val="24"/>
        </w:rPr>
        <w:t>oyment rates. By comparison, the data for Estonia, Poland, Slovakia and Luxembourg shows the lowest rates in the EU. In a long-term perspective, most Member States still present higher values than in 2009, sign that the impact of the crisis has not been co</w:t>
      </w:r>
      <w:r>
        <w:rPr>
          <w:rFonts w:ascii="Times New Roman" w:hAnsi="Times New Roman" w:cs="Times New Roman"/>
          <w:iCs/>
          <w:noProof/>
          <w:sz w:val="24"/>
          <w:szCs w:val="24"/>
        </w:rPr>
        <w:t>mpletely reversed. Notable exceptions are Germany, Poland, Malta, Hungary and the United Kingdom.</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The risk of poverty or social exclusion remains particularly high for children.</w:t>
      </w:r>
      <w:r>
        <w:rPr>
          <w:rFonts w:ascii="Times New Roman" w:hAnsi="Times New Roman" w:cs="Times New Roman"/>
          <w:noProof/>
          <w:sz w:val="24"/>
          <w:szCs w:val="24"/>
        </w:rPr>
        <w:t xml:space="preserve"> In 2016, the risk for children (age 0-17) stood at 26.4%, down from 27.1% in 2015.  This is notably higher than for working age individuals (age 18-64, at 24.2% in 2016 compared to 24.7% in 2015). Child poverty risk is particular high in Romania (49.2%), </w:t>
      </w:r>
      <w:r>
        <w:rPr>
          <w:rFonts w:ascii="Times New Roman" w:hAnsi="Times New Roman" w:cs="Times New Roman"/>
          <w:noProof/>
          <w:sz w:val="24"/>
          <w:szCs w:val="24"/>
        </w:rPr>
        <w:t xml:space="preserve">Bulgaria (45.6%) and Greece (37.5%), while Finland and Denmark report the lowest levels, below 15%. In contrast to the situation with children, the risk of poverty or social exclusion among the elderly (65+) remains low, although increasing in 2016 (18.3% </w:t>
      </w:r>
      <w:r>
        <w:rPr>
          <w:rFonts w:ascii="Times New Roman" w:hAnsi="Times New Roman" w:cs="Times New Roman"/>
          <w:noProof/>
          <w:sz w:val="24"/>
          <w:szCs w:val="24"/>
        </w:rPr>
        <w:t>compared to 17.3% one year before). Overall, this group has been relatively sheltered from the negative impact of the crisis (it remains largely below the 2009 level of 21.8%). Again, significant variations can be observed across the Member States, with at</w:t>
      </w:r>
      <w:r>
        <w:rPr>
          <w:rFonts w:ascii="Times New Roman" w:hAnsi="Times New Roman" w:cs="Times New Roman"/>
          <w:noProof/>
          <w:sz w:val="24"/>
          <w:szCs w:val="24"/>
        </w:rPr>
        <w:t xml:space="preserve"> risk rates among the elderly varying from 9.2% (in Denmark) to 45.9% (in Bulgaria).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At the European level, people with disabilities have a considerably higher risk of poverty or social exclusion. </w:t>
      </w:r>
      <w:r>
        <w:rPr>
          <w:rFonts w:ascii="Times New Roman" w:hAnsi="Times New Roman" w:cs="Times New Roman"/>
          <w:noProof/>
          <w:sz w:val="24"/>
          <w:szCs w:val="24"/>
        </w:rPr>
        <w:t>The relative gap was 10.1 pps in 2016 (29.9% versus 19.8%)</w:t>
      </w:r>
      <w:r>
        <w:rPr>
          <w:rFonts w:ascii="Times New Roman" w:hAnsi="Times New Roman" w:cs="Times New Roman"/>
          <w:noProof/>
          <w:sz w:val="24"/>
          <w:szCs w:val="24"/>
        </w:rPr>
        <w:t>, up from 9.4 in 2015. The biggest gaps were in Lithuania (20.9 pps), Latvia (20.8 pps) and Estonia (20.4 pps). On the contrary, an almost null gap was registered in Greece, while 4 countries had a gap below 6 pps (France, Spain, Romania and Slovakia). The</w:t>
      </w:r>
      <w:r>
        <w:rPr>
          <w:rFonts w:ascii="Times New Roman" w:hAnsi="Times New Roman" w:cs="Times New Roman"/>
          <w:noProof/>
          <w:sz w:val="24"/>
          <w:szCs w:val="24"/>
        </w:rPr>
        <w:t xml:space="preserve"> degree of disability (severe versus moderate) increases significantly the risk of poverty or social exclusion</w:t>
      </w:r>
      <w:r>
        <w:rPr>
          <w:rFonts w:ascii="Times New Roman" w:eastAsia="Calibri" w:hAnsi="Times New Roman" w:cs="Times New Roman"/>
          <w:noProof/>
          <w:sz w:val="24"/>
          <w:szCs w:val="24"/>
          <w:vertAlign w:val="superscript"/>
        </w:rPr>
        <w:footnoteReference w:id="75"/>
      </w:r>
      <w:r>
        <w:rPr>
          <w:rFonts w:ascii="Times New Roman" w:hAnsi="Times New Roman" w:cs="Times New Roman"/>
          <w:noProof/>
          <w:sz w:val="24"/>
          <w:szCs w:val="24"/>
        </w:rPr>
        <w:t>.</w:t>
      </w:r>
    </w:p>
    <w:tbl>
      <w:tblPr>
        <w:tblStyle w:val="TableGrid"/>
        <w:tblW w:w="0" w:type="auto"/>
        <w:tblLook w:val="04A0" w:firstRow="1" w:lastRow="0" w:firstColumn="1" w:lastColumn="0" w:noHBand="0" w:noVBand="1"/>
      </w:tblPr>
      <w:tblGrid>
        <w:gridCol w:w="9288"/>
      </w:tblGrid>
      <w:tr w:rsidR="00CB01DD">
        <w:tc>
          <w:tcPr>
            <w:tcW w:w="9288" w:type="dxa"/>
          </w:tcPr>
          <w:p w:rsidR="00CB01DD" w:rsidRDefault="00D75BDB">
            <w:pPr>
              <w:jc w:val="both"/>
              <w:rPr>
                <w:rFonts w:ascii="Times New Roman" w:hAnsi="Times New Roman" w:cs="Times New Roman"/>
                <w:b/>
                <w:noProof/>
                <w:sz w:val="24"/>
                <w:szCs w:val="24"/>
              </w:rPr>
            </w:pPr>
            <w:r>
              <w:rPr>
                <w:rFonts w:ascii="Times New Roman" w:hAnsi="Times New Roman" w:cs="Times New Roman"/>
                <w:b/>
                <w:i/>
                <w:noProof/>
                <w:sz w:val="24"/>
                <w:szCs w:val="24"/>
              </w:rPr>
              <w:t>Box 4.</w:t>
            </w:r>
            <w:r>
              <w:rPr>
                <w:rFonts w:ascii="Times New Roman" w:hAnsi="Times New Roman" w:cs="Times New Roman"/>
                <w:b/>
                <w:noProof/>
                <w:sz w:val="24"/>
                <w:szCs w:val="24"/>
                <w:lang w:eastAsia="en-GB"/>
              </w:rPr>
              <w:t xml:space="preserve"> </w:t>
            </w:r>
            <w:r>
              <w:rPr>
                <w:rFonts w:ascii="Times New Roman" w:hAnsi="Times New Roman" w:cs="Times New Roman"/>
                <w:b/>
                <w:i/>
                <w:noProof/>
                <w:sz w:val="24"/>
                <w:szCs w:val="24"/>
              </w:rPr>
              <w:t>Benchmarking Minimum Income</w:t>
            </w:r>
            <w:r>
              <w:rPr>
                <w:rFonts w:ascii="Times New Roman" w:hAnsi="Times New Roman" w:cs="Times New Roman"/>
                <w:b/>
                <w:noProof/>
                <w:sz w:val="24"/>
                <w:szCs w:val="24"/>
              </w:rPr>
              <w:t xml:space="preserve"> </w:t>
            </w:r>
          </w:p>
          <w:p w:rsidR="00CB01DD" w:rsidRDefault="00CB01DD">
            <w:pPr>
              <w:spacing w:after="120"/>
              <w:jc w:val="both"/>
              <w:rPr>
                <w:rFonts w:ascii="Times New Roman" w:hAnsi="Times New Roman" w:cs="Times New Roman"/>
                <w:b/>
                <w:noProof/>
                <w:sz w:val="24"/>
                <w:szCs w:val="24"/>
              </w:rPr>
            </w:pPr>
          </w:p>
          <w:p w:rsidR="00CB01DD" w:rsidRDefault="00D75BDB">
            <w:pPr>
              <w:tabs>
                <w:tab w:val="num" w:pos="1440"/>
              </w:tabs>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Upon initiative of the Commission, the Social Protection Committee has started an exercise on benchmarking minimum incomes, focusing on the working age population with working abilities not in employment and not eligible or having exhausted entitlements to</w:t>
            </w:r>
            <w:r>
              <w:rPr>
                <w:rFonts w:ascii="Times New Roman" w:hAnsi="Times New Roman" w:cs="Times New Roman"/>
                <w:noProof/>
                <w:sz w:val="24"/>
                <w:szCs w:val="24"/>
              </w:rPr>
              <w:t xml:space="preserve"> social insurance benefits. The approach follows the three-step approach presented in Box 1. </w:t>
            </w:r>
          </w:p>
          <w:p w:rsidR="00CB01DD" w:rsidRDefault="00D75BDB">
            <w:pPr>
              <w:tabs>
                <w:tab w:val="num" w:pos="1440"/>
              </w:tabs>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It starts with the identification of key outcome indicators, namely the relative median poverty risk gap, the material and social deprivation rate and the at-risk</w:t>
            </w:r>
            <w:r>
              <w:rPr>
                <w:rFonts w:ascii="Times New Roman" w:hAnsi="Times New Roman" w:cs="Times New Roman"/>
                <w:noProof/>
                <w:sz w:val="24"/>
                <w:szCs w:val="24"/>
              </w:rPr>
              <w:t>-of-poverty rate of the population living in (quasi-) jobless households. Performance relates to the impact of social transfers (excluding pensions) on poverty, the persistent at risk of poverty rate and the coverage rate of social benefits (excluding pens</w:t>
            </w:r>
            <w:r>
              <w:rPr>
                <w:rFonts w:ascii="Times New Roman" w:hAnsi="Times New Roman" w:cs="Times New Roman"/>
                <w:noProof/>
                <w:sz w:val="24"/>
                <w:szCs w:val="24"/>
              </w:rPr>
              <w:t>ions) for those at-risk of poverty in (quasi-) jobless households.</w:t>
            </w:r>
          </w:p>
          <w:p w:rsidR="00CB01DD" w:rsidRDefault="00D75BDB">
            <w:pPr>
              <w:tabs>
                <w:tab w:val="num" w:pos="1440"/>
              </w:tabs>
              <w:spacing w:after="120" w:line="276" w:lineRule="auto"/>
              <w:jc w:val="both"/>
              <w:rPr>
                <w:rFonts w:ascii="Times New Roman" w:hAnsi="Times New Roman"/>
                <w:noProof/>
                <w:sz w:val="24"/>
                <w:szCs w:val="24"/>
              </w:rPr>
            </w:pPr>
            <w:r>
              <w:rPr>
                <w:rFonts w:ascii="Times New Roman" w:hAnsi="Times New Roman" w:cs="Times New Roman"/>
                <w:noProof/>
                <w:sz w:val="24"/>
                <w:szCs w:val="24"/>
              </w:rPr>
              <w:t xml:space="preserve">These outcome and performance indicators have been linked to policy levers (and related general principles agreed) of: 1) the </w:t>
            </w:r>
            <w:r>
              <w:rPr>
                <w:rFonts w:ascii="Times New Roman" w:hAnsi="Times New Roman" w:cs="Times New Roman"/>
                <w:b/>
                <w:i/>
                <w:noProof/>
                <w:sz w:val="24"/>
                <w:szCs w:val="24"/>
              </w:rPr>
              <w:t>adequacy</w:t>
            </w:r>
            <w:r>
              <w:rPr>
                <w:rFonts w:ascii="Times New Roman" w:hAnsi="Times New Roman" w:cs="Times New Roman"/>
                <w:noProof/>
                <w:sz w:val="24"/>
                <w:szCs w:val="24"/>
              </w:rPr>
              <w:t xml:space="preserve"> of benefits, 2) </w:t>
            </w:r>
            <w:r>
              <w:rPr>
                <w:rFonts w:ascii="Times New Roman" w:hAnsi="Times New Roman" w:cs="Times New Roman"/>
                <w:b/>
                <w:i/>
                <w:noProof/>
                <w:sz w:val="24"/>
                <w:szCs w:val="24"/>
              </w:rPr>
              <w:t>eligibility criteria</w:t>
            </w:r>
            <w:r>
              <w:rPr>
                <w:rFonts w:ascii="Times New Roman" w:hAnsi="Times New Roman" w:cs="Times New Roman"/>
                <w:noProof/>
                <w:sz w:val="24"/>
                <w:szCs w:val="24"/>
              </w:rPr>
              <w:t xml:space="preserve"> ensuring coverage</w:t>
            </w:r>
            <w:r>
              <w:rPr>
                <w:rFonts w:ascii="Times New Roman" w:hAnsi="Times New Roman" w:cs="Times New Roman"/>
                <w:noProof/>
                <w:sz w:val="24"/>
                <w:szCs w:val="24"/>
              </w:rPr>
              <w:t xml:space="preserve"> of benefits and 3) the </w:t>
            </w:r>
            <w:r>
              <w:rPr>
                <w:rFonts w:ascii="Times New Roman" w:hAnsi="Times New Roman" w:cs="Times New Roman"/>
                <w:b/>
                <w:i/>
                <w:noProof/>
                <w:sz w:val="24"/>
                <w:szCs w:val="24"/>
              </w:rPr>
              <w:t>activation</w:t>
            </w:r>
            <w:r>
              <w:rPr>
                <w:rFonts w:ascii="Times New Roman" w:hAnsi="Times New Roman" w:cs="Times New Roman"/>
                <w:noProof/>
                <w:sz w:val="24"/>
                <w:szCs w:val="24"/>
              </w:rPr>
              <w:t xml:space="preserve"> elements to incentivise take up of </w:t>
            </w:r>
            <w:r>
              <w:rPr>
                <w:rFonts w:ascii="Times New Roman" w:hAnsi="Times New Roman"/>
                <w:noProof/>
                <w:sz w:val="24"/>
                <w:szCs w:val="24"/>
              </w:rPr>
              <w:t>work. A twofold policy lever indicator was identified for the adequacy of minimum income benefits: it relates to both the income of a minimum income beneficiary as a share of the poverty</w:t>
            </w:r>
            <w:r>
              <w:rPr>
                <w:rFonts w:ascii="Times New Roman" w:hAnsi="Times New Roman"/>
                <w:noProof/>
                <w:sz w:val="24"/>
                <w:szCs w:val="24"/>
              </w:rPr>
              <w:t xml:space="preserve"> threshold (smoothed over three years) and as a share of the income of a low wage earner (the latter also providing an indication of the activation dimension of minimum income benefits).</w:t>
            </w:r>
            <w:r>
              <w:rPr>
                <w:rFonts w:ascii="Times New Roman" w:eastAsia="Calibri" w:hAnsi="Times New Roman" w:cs="Times New Roman"/>
                <w:noProof/>
              </w:rPr>
              <w:t xml:space="preserve"> </w:t>
            </w:r>
          </w:p>
          <w:p w:rsidR="00CB01DD" w:rsidRDefault="00D75BDB">
            <w:pPr>
              <w:tabs>
                <w:tab w:val="num" w:pos="1440"/>
              </w:tabs>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These policy lever indicators are strongly correlated to the outcome</w:t>
            </w:r>
            <w:r>
              <w:rPr>
                <w:rFonts w:ascii="Times New Roman" w:hAnsi="Times New Roman" w:cs="Times New Roman"/>
                <w:noProof/>
                <w:sz w:val="24"/>
                <w:szCs w:val="24"/>
              </w:rPr>
              <w:t xml:space="preserve"> and performance indicators, and in particular with the relative median poverty risk gap and with material and social deprivation. The adequacy indicator related to the poverty threshold generally lies in a range from around 50% and 80% and the one related</w:t>
            </w:r>
            <w:r>
              <w:rPr>
                <w:rFonts w:ascii="Times New Roman" w:hAnsi="Times New Roman" w:cs="Times New Roman"/>
                <w:noProof/>
                <w:sz w:val="24"/>
                <w:szCs w:val="24"/>
              </w:rPr>
              <w:t xml:space="preserve"> to the income of a low wage earner from around 40 % and 70 % </w:t>
            </w:r>
            <w:r>
              <w:rPr>
                <w:rFonts w:ascii="Times New Roman" w:hAnsi="Times New Roman"/>
                <w:noProof/>
                <w:sz w:val="24"/>
                <w:szCs w:val="24"/>
              </w:rPr>
              <w:t>(Figure 42)</w:t>
            </w:r>
            <w:r>
              <w:rPr>
                <w:rFonts w:ascii="Times New Roman" w:hAnsi="Times New Roman" w:cs="Times New Roman"/>
                <w:noProof/>
                <w:sz w:val="24"/>
                <w:szCs w:val="24"/>
              </w:rPr>
              <w:t xml:space="preserve">. </w:t>
            </w:r>
          </w:p>
          <w:p w:rsidR="00CB01DD" w:rsidRDefault="00D75BDB">
            <w:pPr>
              <w:spacing w:line="276" w:lineRule="auto"/>
              <w:jc w:val="both"/>
              <w:rPr>
                <w:rFonts w:ascii="Times New Roman" w:eastAsiaTheme="minorEastAsia" w:hAnsi="Times New Roman" w:cs="Times New Roman"/>
                <w:noProof/>
                <w:sz w:val="18"/>
                <w:szCs w:val="18"/>
              </w:rPr>
            </w:pPr>
            <w:r>
              <w:rPr>
                <w:rFonts w:ascii="Times New Roman" w:hAnsi="Times New Roman" w:cs="Times New Roman"/>
                <w:noProof/>
                <w:sz w:val="24"/>
                <w:szCs w:val="24"/>
              </w:rPr>
              <w:t>When considering this framework it is important to take into account the specificities of national contexts including complementarities between different policy areas (e.g. in kind</w:t>
            </w:r>
            <w:r>
              <w:rPr>
                <w:rFonts w:ascii="Times New Roman" w:hAnsi="Times New Roman" w:cs="Times New Roman"/>
                <w:noProof/>
                <w:sz w:val="24"/>
                <w:szCs w:val="24"/>
              </w:rPr>
              <w:t xml:space="preserve"> services and other benefits, taxation, public services and public administration, territorial dimension, the activation elements of the existing schemes and the role of social partners). In addition, further work is needed as regards the dimensions of eli</w:t>
            </w:r>
            <w:r>
              <w:rPr>
                <w:rFonts w:ascii="Times New Roman" w:hAnsi="Times New Roman" w:cs="Times New Roman"/>
                <w:noProof/>
                <w:sz w:val="24"/>
                <w:szCs w:val="24"/>
              </w:rPr>
              <w:t>gibility and activation, as well as to explore the possibilities to further take into account the impact of in kind benefits, as appropriate indicators are still lacking in this respect.</w:t>
            </w:r>
            <w:r>
              <w:rPr>
                <w:rFonts w:ascii="Times New Roman" w:eastAsiaTheme="minorEastAsia" w:hAnsi="Times New Roman" w:cs="Times New Roman"/>
                <w:noProof/>
                <w:sz w:val="18"/>
                <w:szCs w:val="18"/>
              </w:rPr>
              <w:t xml:space="preserve"> </w:t>
            </w:r>
          </w:p>
          <w:p w:rsidR="00CB01DD" w:rsidRDefault="00CB01DD">
            <w:pPr>
              <w:spacing w:line="276" w:lineRule="auto"/>
              <w:jc w:val="both"/>
              <w:rPr>
                <w:rFonts w:ascii="Times New Roman" w:eastAsiaTheme="minorEastAsia" w:hAnsi="Times New Roman" w:cs="Times New Roman"/>
                <w:noProof/>
                <w:sz w:val="18"/>
                <w:szCs w:val="18"/>
              </w:rPr>
            </w:pPr>
          </w:p>
          <w:p w:rsidR="00CB01DD" w:rsidRDefault="00CB01DD">
            <w:pPr>
              <w:spacing w:line="276" w:lineRule="auto"/>
              <w:jc w:val="both"/>
              <w:rPr>
                <w:rFonts w:ascii="Times New Roman" w:eastAsiaTheme="minorEastAsia" w:hAnsi="Times New Roman" w:cs="Times New Roman"/>
                <w:noProof/>
                <w:sz w:val="18"/>
                <w:szCs w:val="18"/>
              </w:rPr>
            </w:pPr>
          </w:p>
          <w:p w:rsidR="00CB01DD" w:rsidRDefault="00CB01DD">
            <w:pPr>
              <w:spacing w:line="276" w:lineRule="auto"/>
              <w:jc w:val="both"/>
              <w:rPr>
                <w:rFonts w:ascii="Times New Roman" w:eastAsiaTheme="minorEastAsia" w:hAnsi="Times New Roman" w:cs="Times New Roman"/>
                <w:noProof/>
                <w:sz w:val="18"/>
                <w:szCs w:val="18"/>
              </w:rPr>
            </w:pPr>
          </w:p>
          <w:p w:rsidR="00CB01DD" w:rsidRDefault="00CB01DD">
            <w:pPr>
              <w:spacing w:line="276" w:lineRule="auto"/>
              <w:jc w:val="both"/>
              <w:rPr>
                <w:rFonts w:ascii="Times New Roman" w:eastAsiaTheme="minorEastAsia" w:hAnsi="Times New Roman" w:cs="Times New Roman"/>
                <w:noProof/>
                <w:sz w:val="18"/>
                <w:szCs w:val="18"/>
              </w:rPr>
            </w:pPr>
          </w:p>
          <w:p w:rsidR="00CB01DD" w:rsidRDefault="00CB01DD">
            <w:pPr>
              <w:spacing w:line="276" w:lineRule="auto"/>
              <w:jc w:val="both"/>
              <w:rPr>
                <w:rFonts w:ascii="Times New Roman" w:eastAsiaTheme="minorEastAsia" w:hAnsi="Times New Roman" w:cs="Times New Roman"/>
                <w:noProof/>
                <w:sz w:val="18"/>
                <w:szCs w:val="18"/>
              </w:rPr>
            </w:pPr>
          </w:p>
          <w:p w:rsidR="00CB01DD" w:rsidRDefault="00D75BDB">
            <w:pPr>
              <w:widowControl w:val="0"/>
              <w:jc w:val="both"/>
              <w:rPr>
                <w:rFonts w:ascii="Times New Roman" w:eastAsia="Calibri" w:hAnsi="Times New Roman" w:cs="Times New Roman"/>
                <w:b/>
                <w:noProof/>
              </w:rPr>
            </w:pPr>
            <w:r>
              <w:rPr>
                <w:rFonts w:ascii="Times New Roman" w:eastAsia="Calibri" w:hAnsi="Times New Roman" w:cs="Times New Roman"/>
                <w:b/>
                <w:noProof/>
              </w:rPr>
              <w:t xml:space="preserve">Figure </w:t>
            </w:r>
            <w:r>
              <w:rPr>
                <w:rFonts w:ascii="Times New Roman" w:eastAsia="Calibri" w:hAnsi="Times New Roman" w:cs="Times New Roman"/>
                <w:b/>
                <w:noProof/>
              </w:rPr>
              <w:fldChar w:fldCharType="begin"/>
            </w:r>
            <w:r>
              <w:rPr>
                <w:rFonts w:ascii="Times New Roman" w:eastAsia="Calibri" w:hAnsi="Times New Roman" w:cs="Times New Roman"/>
                <w:b/>
                <w:noProof/>
              </w:rPr>
              <w:instrText xml:space="preserve"> SEQ Figure \* ARABIC </w:instrText>
            </w:r>
            <w:r>
              <w:rPr>
                <w:rFonts w:ascii="Times New Roman" w:eastAsia="Calibri" w:hAnsi="Times New Roman" w:cs="Times New Roman"/>
                <w:b/>
                <w:noProof/>
              </w:rPr>
              <w:fldChar w:fldCharType="separate"/>
            </w:r>
            <w:r>
              <w:rPr>
                <w:rFonts w:ascii="Times New Roman" w:eastAsia="Calibri" w:hAnsi="Times New Roman" w:cs="Times New Roman"/>
                <w:b/>
                <w:noProof/>
              </w:rPr>
              <w:t>42</w:t>
            </w:r>
            <w:r>
              <w:rPr>
                <w:rFonts w:ascii="Times New Roman" w:eastAsia="Calibri" w:hAnsi="Times New Roman" w:cs="Times New Roman"/>
                <w:b/>
                <w:noProof/>
              </w:rPr>
              <w:fldChar w:fldCharType="end"/>
            </w:r>
            <w:r>
              <w:rPr>
                <w:rFonts w:ascii="Times New Roman" w:eastAsia="Calibri" w:hAnsi="Times New Roman" w:cs="Times New Roman"/>
                <w:b/>
                <w:noProof/>
              </w:rPr>
              <w:t>. Net income of minimum incom</w:t>
            </w:r>
            <w:r>
              <w:rPr>
                <w:rFonts w:ascii="Times New Roman" w:eastAsia="Calibri" w:hAnsi="Times New Roman" w:cs="Times New Roman"/>
                <w:b/>
                <w:noProof/>
              </w:rPr>
              <w:t>e recipients as % of poverty line (smoothed over three years) and as a percentage of the income of a low wage earner (2014)</w:t>
            </w:r>
          </w:p>
          <w:p w:rsidR="00CB01DD" w:rsidRDefault="00D75BDB">
            <w:pPr>
              <w:widowControl w:val="0"/>
              <w:jc w:val="both"/>
              <w:rPr>
                <w:rFonts w:ascii="Times New Roman" w:eastAsiaTheme="minorEastAsia" w:hAnsi="Times New Roman" w:cs="Times New Roman"/>
                <w:noProof/>
                <w:sz w:val="18"/>
                <w:szCs w:val="18"/>
              </w:rPr>
            </w:pPr>
            <w:r>
              <w:rPr>
                <w:rFonts w:ascii="Times New Roman" w:eastAsiaTheme="minorEastAsia" w:hAnsi="Times New Roman" w:cs="Times New Roman"/>
                <w:noProof/>
                <w:sz w:val="18"/>
                <w:szCs w:val="18"/>
                <w:lang w:eastAsia="en-GB"/>
              </w:rPr>
              <w:drawing>
                <wp:inline distT="0" distB="0" distL="0" distR="0" wp14:anchorId="30863D86" wp14:editId="28F30251">
                  <wp:extent cx="4320000" cy="28224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000" cy="2822400"/>
                          </a:xfrm>
                          <a:prstGeom prst="rect">
                            <a:avLst/>
                          </a:prstGeom>
                          <a:noFill/>
                        </pic:spPr>
                      </pic:pic>
                    </a:graphicData>
                  </a:graphic>
                </wp:inline>
              </w:drawing>
            </w:r>
          </w:p>
          <w:p w:rsidR="00CB01DD" w:rsidRDefault="00CB01DD">
            <w:pPr>
              <w:widowControl w:val="0"/>
              <w:jc w:val="both"/>
              <w:rPr>
                <w:rFonts w:ascii="Times New Roman" w:eastAsiaTheme="minorEastAsia" w:hAnsi="Times New Roman" w:cs="Times New Roman"/>
                <w:noProof/>
                <w:sz w:val="18"/>
                <w:szCs w:val="18"/>
              </w:rPr>
            </w:pPr>
          </w:p>
          <w:p w:rsidR="00CB01DD" w:rsidRDefault="00D75BDB">
            <w:pPr>
              <w:spacing w:line="276" w:lineRule="auto"/>
              <w:jc w:val="both"/>
              <w:rPr>
                <w:rFonts w:ascii="Times New Roman" w:eastAsiaTheme="minorEastAsia" w:hAnsi="Times New Roman" w:cs="Times New Roman"/>
                <w:noProof/>
                <w:sz w:val="18"/>
                <w:szCs w:val="18"/>
              </w:rPr>
            </w:pPr>
            <w:r>
              <w:rPr>
                <w:rFonts w:ascii="Times New Roman" w:eastAsiaTheme="minorEastAsia" w:hAnsi="Times New Roman" w:cs="Times New Roman"/>
                <w:noProof/>
                <w:sz w:val="18"/>
                <w:szCs w:val="18"/>
              </w:rPr>
              <w:t>Note: income refers to one person households; EU unweighted average for covered countries (excluding Cyprus); the poverty line re</w:t>
            </w:r>
            <w:r>
              <w:rPr>
                <w:rFonts w:ascii="Times New Roman" w:eastAsiaTheme="minorEastAsia" w:hAnsi="Times New Roman" w:cs="Times New Roman"/>
                <w:noProof/>
                <w:sz w:val="18"/>
                <w:szCs w:val="18"/>
              </w:rPr>
              <w:t>fers to the at-risk of poverty concept and is set at 60% of the national median equivalised disposable income (with reference year being income reference year rather than EU-SILC survey wave year of 2015). Low wage earner defined as 50% of the average wage</w:t>
            </w:r>
            <w:r>
              <w:rPr>
                <w:rFonts w:ascii="Times New Roman" w:eastAsiaTheme="minorEastAsia" w:hAnsi="Times New Roman" w:cs="Times New Roman"/>
                <w:noProof/>
                <w:sz w:val="18"/>
                <w:szCs w:val="18"/>
              </w:rPr>
              <w:t>. Source: OECD tax-benefit indicators and EUROSTAT EU-SILC data. Assumption of housing costs of 11.3% of the average wage (estimated from EU-SILC).</w:t>
            </w:r>
          </w:p>
        </w:tc>
      </w:tr>
    </w:tbl>
    <w:p w:rsidR="00CB01DD" w:rsidRDefault="00CB01DD">
      <w:pPr>
        <w:spacing w:line="360" w:lineRule="auto"/>
        <w:contextualSpacing/>
        <w:jc w:val="both"/>
        <w:rPr>
          <w:rFonts w:ascii="Times New Roman" w:hAnsi="Times New Roman" w:cs="Times New Roman"/>
          <w:b/>
          <w:iCs/>
          <w:noProof/>
          <w:sz w:val="24"/>
          <w:szCs w:val="24"/>
        </w:rPr>
      </w:pPr>
    </w:p>
    <w:p w:rsidR="00CB01DD" w:rsidRDefault="00D75BDB">
      <w:pPr>
        <w:spacing w:line="360" w:lineRule="auto"/>
        <w:jc w:val="both"/>
        <w:rPr>
          <w:rFonts w:ascii="Times New Roman" w:hAnsi="Times New Roman" w:cs="Times New Roman"/>
          <w:noProof/>
          <w:sz w:val="24"/>
          <w:szCs w:val="24"/>
        </w:rPr>
      </w:pPr>
      <w:bookmarkStart w:id="27" w:name="_Ref494719071"/>
      <w:r>
        <w:rPr>
          <w:rFonts w:ascii="Times New Roman" w:hAnsi="Times New Roman" w:cs="Times New Roman"/>
          <w:b/>
          <w:noProof/>
          <w:sz w:val="24"/>
          <w:szCs w:val="24"/>
        </w:rPr>
        <w:t>In spite of an overall improving income situation of households, the depth of poverty of the active age po</w:t>
      </w:r>
      <w:r>
        <w:rPr>
          <w:rFonts w:ascii="Times New Roman" w:hAnsi="Times New Roman" w:cs="Times New Roman"/>
          <w:b/>
          <w:noProof/>
          <w:sz w:val="24"/>
          <w:szCs w:val="24"/>
        </w:rPr>
        <w:t xml:space="preserve">pulation continued to increase in a number of Member States. </w:t>
      </w:r>
      <w:r>
        <w:rPr>
          <w:rFonts w:ascii="Times New Roman" w:hAnsi="Times New Roman" w:cs="Times New Roman"/>
          <w:noProof/>
          <w:sz w:val="24"/>
          <w:szCs w:val="24"/>
        </w:rPr>
        <w:t>The relative median poverty gap</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increased for the EU 28 Member States over the last years, reaching 24.8% in 2015 and stabilising in 2016. It ranges from close to 15% (in Malta, France, the Neth</w:t>
      </w:r>
      <w:r>
        <w:rPr>
          <w:rFonts w:ascii="Times New Roman" w:hAnsi="Times New Roman" w:cs="Times New Roman"/>
          <w:noProof/>
          <w:sz w:val="24"/>
          <w:szCs w:val="24"/>
        </w:rPr>
        <w:t xml:space="preserve">erlands, and Cyprus) to 30% or more (in Bulgaria, Greece, Spain and Romania). The poverty gap is also often higher in thee Member States that have higher at risk of poverty and social exclusion rates. </w:t>
      </w:r>
    </w:p>
    <w:bookmarkEnd w:id="27"/>
    <w:p w:rsidR="00CB01DD" w:rsidRDefault="00D75BDB">
      <w:pPr>
        <w:spacing w:after="240" w:line="360" w:lineRule="auto"/>
        <w:jc w:val="both"/>
        <w:rPr>
          <w:rFonts w:ascii="Times New Roman" w:hAnsi="Times New Roman" w:cs="Times New Roman"/>
          <w:noProof/>
          <w:sz w:val="24"/>
          <w:szCs w:val="24"/>
        </w:rPr>
      </w:pPr>
      <w:r>
        <w:rPr>
          <w:rFonts w:ascii="Times New Roman" w:hAnsi="Times New Roman" w:cs="Times New Roman"/>
          <w:b/>
          <w:noProof/>
          <w:color w:val="000000" w:themeColor="text1"/>
          <w:sz w:val="24"/>
          <w:szCs w:val="24"/>
        </w:rPr>
        <w:t>The trend towards an increase of in</w:t>
      </w:r>
      <w:r>
        <w:rPr>
          <w:rFonts w:ascii="Times New Roman" w:hAnsi="Times New Roman" w:cs="Times New Roman"/>
          <w:b/>
          <w:noProof/>
          <w:sz w:val="24"/>
          <w:szCs w:val="24"/>
        </w:rPr>
        <w:t xml:space="preserve">-work poverty did not reverse, though recent changes were fairly mixed across the Member States. </w:t>
      </w:r>
      <w:r>
        <w:rPr>
          <w:rFonts w:ascii="Times New Roman" w:hAnsi="Times New Roman" w:cs="Times New Roman"/>
          <w:noProof/>
          <w:sz w:val="24"/>
          <w:szCs w:val="24"/>
        </w:rPr>
        <w:t>The in-work at-risk-of-poverty rate varied greatly across the EU: the lowest values were recorded in Finland (3.1%) and the Czech Republic (3.8%), while the hi</w:t>
      </w:r>
      <w:r>
        <w:rPr>
          <w:rFonts w:ascii="Times New Roman" w:hAnsi="Times New Roman" w:cs="Times New Roman"/>
          <w:noProof/>
          <w:sz w:val="24"/>
          <w:szCs w:val="24"/>
        </w:rPr>
        <w:t>ghest ones in Spain (13.1%), Greece (14%) and Romania (18.6%). This variation reflects different labour market features, including different prevalence of part-time and/or temporary workers, wage levels, and work intensity in the households (reflecting ove</w:t>
      </w:r>
      <w:r>
        <w:rPr>
          <w:rFonts w:ascii="Times New Roman" w:hAnsi="Times New Roman" w:cs="Times New Roman"/>
          <w:noProof/>
          <w:sz w:val="24"/>
          <w:szCs w:val="24"/>
        </w:rPr>
        <w:t xml:space="preserve">rall labour market conditions). It increased notably in Bulgaria (by 3.8 pps), France, the Netherlands and Austria (by 0.5 pps). On the other hand, the strongest reduction was in Lithuania (-1.5pps), Latvia (-0.9 pps) and Cyprus (by 0.8 pps).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Those who ea</w:t>
      </w:r>
      <w:r>
        <w:rPr>
          <w:rFonts w:ascii="Times New Roman" w:hAnsi="Times New Roman" w:cs="Times New Roman"/>
          <w:b/>
          <w:noProof/>
          <w:sz w:val="24"/>
          <w:szCs w:val="24"/>
        </w:rPr>
        <w:t>rn their living from non-standard employment or self-employment are exposed to significantly higher poverty risk in most EU countries.</w:t>
      </w:r>
      <w:r>
        <w:rPr>
          <w:rFonts w:ascii="Times New Roman" w:hAnsi="Times New Roman" w:cs="Times New Roman"/>
          <w:noProof/>
          <w:sz w:val="24"/>
          <w:szCs w:val="24"/>
        </w:rPr>
        <w:t xml:space="preserve"> In 2015, the self-employed in the EU faced a poverty risk on average three times higher than that of salaried workers and</w:t>
      </w:r>
      <w:r>
        <w:rPr>
          <w:rFonts w:ascii="Times New Roman" w:hAnsi="Times New Roman" w:cs="Times New Roman"/>
          <w:noProof/>
          <w:sz w:val="24"/>
          <w:szCs w:val="24"/>
        </w:rPr>
        <w:t xml:space="preserve"> even six times higher in Slovakia, Finland and Romania. On average, in the EU around 16% of temporary and part-time workers were income poor in 2016, compared to only 6% of employees with a permanent contract. </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rPr>
        <w:t xml:space="preserve">Self-employed and non-standard workers also </w:t>
      </w:r>
      <w:r>
        <w:rPr>
          <w:rFonts w:ascii="Times New Roman" w:hAnsi="Times New Roman" w:cs="Times New Roman"/>
          <w:b/>
          <w:noProof/>
          <w:sz w:val="24"/>
          <w:szCs w:val="24"/>
        </w:rPr>
        <w:t>endure greater economic uncertainty with limited access to social protection</w:t>
      </w:r>
      <w:r>
        <w:rPr>
          <w:rStyle w:val="FootnoteReference"/>
          <w:rFonts w:ascii="Times New Roman" w:hAnsi="Times New Roman" w:cs="Times New Roman"/>
          <w:b/>
          <w:noProof/>
          <w:sz w:val="24"/>
          <w:szCs w:val="24"/>
        </w:rPr>
        <w:footnoteReference w:id="77"/>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self-employed do not have access to unemployment protection in ten countries, mandatory sickness protection in eight countries, and protection against accidents at work and </w:t>
      </w:r>
      <w:r>
        <w:rPr>
          <w:rFonts w:ascii="Times New Roman" w:hAnsi="Times New Roman" w:cs="Times New Roman"/>
          <w:noProof/>
          <w:sz w:val="24"/>
          <w:szCs w:val="24"/>
        </w:rPr>
        <w:t>occupational injury in thirteen countries. This translates into more than half of self-employed without potential access to unemployment benefits and more than a third without potential access to sickness benefits. Non-standard workers usually have the sam</w:t>
      </w:r>
      <w:r>
        <w:rPr>
          <w:rFonts w:ascii="Times New Roman" w:hAnsi="Times New Roman" w:cs="Times New Roman"/>
          <w:noProof/>
          <w:sz w:val="24"/>
          <w:szCs w:val="24"/>
        </w:rPr>
        <w:t>e statutory access to most social benefit schemes as those on standard contracts, though often this does not hold for certain categories of workers (e.g. casual and seasonal workers, on-call workers, and those on temporary agency contracts, civil law contr</w:t>
      </w:r>
      <w:r>
        <w:rPr>
          <w:rFonts w:ascii="Times New Roman" w:hAnsi="Times New Roman" w:cs="Times New Roman"/>
          <w:noProof/>
          <w:sz w:val="24"/>
          <w:szCs w:val="24"/>
        </w:rPr>
        <w:t>acts or zero-hour contracts). Moreover, due to discontinuous contribution periods or insufficient number of working hours, non-standard workers often encounter difficulties in fulfilling the eligibility conditions for receiving benefits from insurance-base</w:t>
      </w:r>
      <w:r>
        <w:rPr>
          <w:rFonts w:ascii="Times New Roman" w:hAnsi="Times New Roman" w:cs="Times New Roman"/>
          <w:noProof/>
          <w:sz w:val="24"/>
          <w:szCs w:val="24"/>
        </w:rPr>
        <w:t>d schemes.</w:t>
      </w:r>
      <w:r>
        <w:rPr>
          <w:rFonts w:ascii="Times New Roman" w:hAnsi="Times New Roman" w:cs="Times New Roman"/>
          <w:noProof/>
          <w:sz w:val="24"/>
          <w:szCs w:val="24"/>
          <w:vertAlign w:val="superscript"/>
        </w:rPr>
        <w:footnoteReference w:id="78"/>
      </w:r>
      <w:r>
        <w:rPr>
          <w:rFonts w:ascii="Times New Roman" w:hAnsi="Times New Roman" w:cs="Times New Roman"/>
          <w:noProof/>
          <w:sz w:val="24"/>
          <w:szCs w:val="24"/>
        </w:rPr>
        <w:t xml:space="preserve"> As a result, more than a third of temporary workers do not have potential access to unemployment benefits. Despite major changes in the labour market, social protection systems are still largely based on the notion of "standard employment", ass</w:t>
      </w:r>
      <w:r>
        <w:rPr>
          <w:rFonts w:ascii="Times New Roman" w:hAnsi="Times New Roman" w:cs="Times New Roman"/>
          <w:noProof/>
          <w:sz w:val="24"/>
          <w:szCs w:val="24"/>
        </w:rPr>
        <w:t xml:space="preserve">uming a long-term, full-time relationship between a worker and a single employer. </w:t>
      </w:r>
      <w:r>
        <w:rPr>
          <w:rFonts w:ascii="Times New Roman" w:hAnsi="Times New Roman" w:cs="Times New Roman"/>
          <w:noProof/>
          <w:sz w:val="24"/>
          <w:szCs w:val="24"/>
          <w:lang w:eastAsia="en-GB"/>
        </w:rPr>
        <w:t xml:space="preserve">The rise of new forms of work can pose further challenges to social protection systems.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Access to affordable, high-quality accommodation has been improving since 2008 in a l</w:t>
      </w:r>
      <w:r>
        <w:rPr>
          <w:rFonts w:ascii="Times New Roman" w:hAnsi="Times New Roman" w:cs="Times New Roman"/>
          <w:b/>
          <w:noProof/>
          <w:sz w:val="24"/>
          <w:szCs w:val="24"/>
        </w:rPr>
        <w:t xml:space="preserve">arge majority of the Member States. </w:t>
      </w:r>
      <w:r>
        <w:rPr>
          <w:rFonts w:ascii="Times New Roman" w:hAnsi="Times New Roman" w:cs="Times New Roman"/>
          <w:noProof/>
          <w:sz w:val="24"/>
          <w:szCs w:val="24"/>
        </w:rPr>
        <w:t xml:space="preserve">In Slovakia, the Czech Republic, Finland or Romania, less than 10% of the population lived in households that faced housing deprivation in 2016. In ten other Member States the rate was below 15% (the EU average stood at </w:t>
      </w:r>
      <w:r>
        <w:rPr>
          <w:rFonts w:ascii="Times New Roman" w:hAnsi="Times New Roman" w:cs="Times New Roman"/>
          <w:noProof/>
          <w:sz w:val="24"/>
          <w:szCs w:val="24"/>
        </w:rPr>
        <w:t xml:space="preserve">15.5% in 2016). Still, housing deprivation remains a significant challenge in several Member States. Around 25% of the population or above in Portugal and Cyprus or Slovenia reported problems related to housing. </w:t>
      </w:r>
    </w:p>
    <w:p w:rsidR="00CB01DD" w:rsidRDefault="00D75BDB">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Housing-related expenditure accounted for a</w:t>
      </w:r>
      <w:r>
        <w:rPr>
          <w:rFonts w:ascii="Times New Roman" w:hAnsi="Times New Roman" w:cs="Times New Roman"/>
          <w:b/>
          <w:noProof/>
          <w:sz w:val="24"/>
          <w:szCs w:val="24"/>
        </w:rPr>
        <w:t xml:space="preserve"> significant share of household disposable income in a number of Member States.</w:t>
      </w:r>
      <w:r>
        <w:rPr>
          <w:rFonts w:ascii="Times New Roman" w:hAnsi="Times New Roman" w:cs="Times New Roman"/>
          <w:noProof/>
          <w:sz w:val="24"/>
          <w:szCs w:val="24"/>
        </w:rPr>
        <w:t xml:space="preserve"> The housing cost overburden rate</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xml:space="preserve"> was the highest in Greece with 40.5% of the population living in a household where the total housing costs (net of housing allowances) represe</w:t>
      </w:r>
      <w:r>
        <w:rPr>
          <w:rFonts w:ascii="Times New Roman" w:hAnsi="Times New Roman" w:cs="Times New Roman"/>
          <w:noProof/>
          <w:sz w:val="24"/>
          <w:szCs w:val="24"/>
        </w:rPr>
        <w:t xml:space="preserve">nt more than 40% of the total disposable household income. This was considerably higher than in any other EU Member States, as Bulgaria at around 20% and Romania, Germany and Denmark at around 15% had the next-highest ratios.  By contrast, less than 5% of </w:t>
      </w:r>
      <w:r>
        <w:rPr>
          <w:rFonts w:ascii="Times New Roman" w:hAnsi="Times New Roman" w:cs="Times New Roman"/>
          <w:noProof/>
          <w:sz w:val="24"/>
          <w:szCs w:val="24"/>
        </w:rPr>
        <w:t>the population in Finland, Estonia, Ireland, Cyprus and Malta were living in a household with a housing cost overburden. In most countries, the housing cost overburden was significantly higher for tenants paying a market rent (27.9% EU average), than for o</w:t>
      </w:r>
      <w:r>
        <w:rPr>
          <w:rFonts w:ascii="Times New Roman" w:hAnsi="Times New Roman" w:cs="Times New Roman"/>
          <w:noProof/>
          <w:sz w:val="24"/>
          <w:szCs w:val="24"/>
        </w:rPr>
        <w:t>wners with a mortgage or loan (5.4% EU average).</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The poverty reducing impact of social transfers has slightly weakened. </w:t>
      </w:r>
      <w:r>
        <w:rPr>
          <w:rFonts w:ascii="Times New Roman" w:hAnsi="Times New Roman" w:cs="Times New Roman"/>
          <w:noProof/>
          <w:sz w:val="24"/>
          <w:szCs w:val="24"/>
          <w:lang w:eastAsia="en-GB"/>
        </w:rPr>
        <w:t>The impact of social transfers on monetary poverty ranges from a reduction of below 20% in Romania, Bulgaria or Greece ("critical situat</w:t>
      </w:r>
      <w:r>
        <w:rPr>
          <w:rFonts w:ascii="Times New Roman" w:hAnsi="Times New Roman" w:cs="Times New Roman"/>
          <w:noProof/>
          <w:sz w:val="24"/>
          <w:szCs w:val="24"/>
          <w:lang w:eastAsia="en-GB"/>
        </w:rPr>
        <w:t>ions" together with Italy and Lithuania) to levels close or higher than 50% in Finland, Denmark, Austria and Sweden ("best performers"). Overall, the indicator has slightly deteriorated in the EU, from 33.7% in 2015 to 33% in 2016. Nonetheless, this decrea</w:t>
      </w:r>
      <w:r>
        <w:rPr>
          <w:rFonts w:ascii="Times New Roman" w:hAnsi="Times New Roman" w:cs="Times New Roman"/>
          <w:noProof/>
          <w:sz w:val="24"/>
          <w:szCs w:val="24"/>
          <w:lang w:eastAsia="en-GB"/>
        </w:rPr>
        <w:t>se masks a substantial variation among Member States. The impact of social transfers weakened by more than 4 percentage points in some Members States with low or average performance (Bulgaria, Croatia, Slovakia and Luxembourg), but also in the Netherlands,</w:t>
      </w:r>
      <w:r>
        <w:rPr>
          <w:rFonts w:ascii="Times New Roman" w:hAnsi="Times New Roman" w:cs="Times New Roman"/>
          <w:noProof/>
          <w:sz w:val="24"/>
          <w:szCs w:val="24"/>
          <w:lang w:eastAsia="en-GB"/>
        </w:rPr>
        <w:t xml:space="preserve"> where the overall impact remains significantly above average. On the contrary, it has improved by 2 percentage points or above in Latvia, Estonia and Finland. The weakening of the poverty </w:t>
      </w:r>
      <w:r>
        <w:rPr>
          <w:rFonts w:ascii="Times New Roman" w:hAnsi="Times New Roman" w:cs="Times New Roman"/>
          <w:noProof/>
          <w:sz w:val="24"/>
          <w:szCs w:val="24"/>
        </w:rPr>
        <w:t>reducing</w:t>
      </w:r>
      <w:r>
        <w:rPr>
          <w:rFonts w:ascii="Times New Roman" w:hAnsi="Times New Roman" w:cs="Times New Roman"/>
          <w:noProof/>
          <w:sz w:val="24"/>
          <w:szCs w:val="24"/>
          <w:lang w:eastAsia="en-GB"/>
        </w:rPr>
        <w:t xml:space="preserve"> effects of social transfers is a part of a longer term tre</w:t>
      </w:r>
      <w:r>
        <w:rPr>
          <w:rFonts w:ascii="Times New Roman" w:hAnsi="Times New Roman" w:cs="Times New Roman"/>
          <w:noProof/>
          <w:sz w:val="24"/>
          <w:szCs w:val="24"/>
          <w:lang w:eastAsia="en-GB"/>
        </w:rPr>
        <w:t>nd (since 2008) in Slovakia, the Czech Republic, Hungary, Sweden, the Netherlands and France. However, the situation has visibly improved in the last ten years in the United Kingdom and Cyprus. These variations may reflect different patterns at country lev</w:t>
      </w:r>
      <w:r>
        <w:rPr>
          <w:rFonts w:ascii="Times New Roman" w:hAnsi="Times New Roman" w:cs="Times New Roman"/>
          <w:noProof/>
          <w:sz w:val="24"/>
          <w:szCs w:val="24"/>
          <w:lang w:eastAsia="en-GB"/>
        </w:rPr>
        <w:t xml:space="preserve">el, notably changes in benefits adequacy and coverage, lack of indexation (in a context of generally increasing incomes and, consequently, rising poverty thresholds), as well as changes in the composition of households (notably in terms of work intensity) </w:t>
      </w:r>
      <w:r>
        <w:rPr>
          <w:rFonts w:ascii="Times New Roman" w:hAnsi="Times New Roman" w:cs="Times New Roman"/>
          <w:noProof/>
          <w:sz w:val="24"/>
          <w:szCs w:val="24"/>
          <w:lang w:eastAsia="en-GB"/>
        </w:rPr>
        <w:t>and related characteristics of those at risk of poverty. Observed figures (which refer to 2015 incomes) do not reflect the effects of recent reforms enhancing social safety nets in a number of Member States.</w:t>
      </w:r>
    </w:p>
    <w:p w:rsidR="00CB01DD" w:rsidRDefault="00CB01DD">
      <w:pPr>
        <w:spacing w:line="360" w:lineRule="auto"/>
        <w:contextualSpacing/>
        <w:jc w:val="both"/>
        <w:rPr>
          <w:rFonts w:ascii="Times New Roman" w:hAnsi="Times New Roman" w:cs="Times New Roman"/>
          <w:b/>
          <w:iCs/>
          <w:noProof/>
          <w:sz w:val="24"/>
          <w:szCs w:val="24"/>
        </w:rPr>
      </w:pPr>
    </w:p>
    <w:p w:rsidR="00CB01DD" w:rsidRDefault="00D75BDB">
      <w:pPr>
        <w:pStyle w:val="Caption"/>
        <w:keepNext/>
        <w:spacing w:line="240" w:lineRule="auto"/>
        <w:rPr>
          <w:rFonts w:ascii="Times New Roman" w:hAnsi="Times New Roman"/>
          <w:noProof/>
          <w:sz w:val="24"/>
          <w:szCs w:val="24"/>
        </w:rPr>
      </w:pPr>
      <w:bookmarkStart w:id="28" w:name="_Ref494719128"/>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43</w:t>
      </w:r>
      <w:r>
        <w:rPr>
          <w:rFonts w:ascii="Times New Roman" w:hAnsi="Times New Roman"/>
          <w:noProof/>
          <w:sz w:val="24"/>
          <w:szCs w:val="24"/>
        </w:rPr>
        <w:fldChar w:fldCharType="end"/>
      </w:r>
      <w:bookmarkEnd w:id="28"/>
      <w:r>
        <w:rPr>
          <w:rFonts w:ascii="Times New Roman" w:hAnsi="Times New Roman"/>
          <w:noProof/>
          <w:sz w:val="24"/>
          <w:szCs w:val="24"/>
        </w:rPr>
        <w:t xml:space="preserve">: Impact of social transfers (other than pensions) on poverty reduction and yearly change (Social Scoreboard headline indicator) </w:t>
      </w:r>
    </w:p>
    <w:p w:rsidR="00CB01DD" w:rsidRDefault="00D75BDB">
      <w:pPr>
        <w:keepNext/>
        <w:spacing w:line="240" w:lineRule="auto"/>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0DAC9F97" wp14:editId="3273263E">
            <wp:extent cx="4250131" cy="344006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46639" cy="3437242"/>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SILC. Period: 2016 levels and yearly changes with respect to 2015. Note: Axes are centred on the unweighte</w:t>
      </w:r>
      <w:r>
        <w:rPr>
          <w:rFonts w:ascii="Times New Roman" w:hAnsi="Times New Roman" w:cs="Times New Roman"/>
          <w:noProof/>
          <w:sz w:val="20"/>
          <w:szCs w:val="20"/>
          <w:lang w:eastAsia="en-GB"/>
        </w:rPr>
        <w:t xml:space="preserve">d EU average. The legend is presented in the Annex. </w:t>
      </w:r>
    </w:p>
    <w:p w:rsidR="00CB01DD" w:rsidRDefault="00CB01DD">
      <w:pPr>
        <w:contextualSpacing/>
        <w:jc w:val="both"/>
        <w:rPr>
          <w:rFonts w:ascii="Times New Roman" w:hAnsi="Times New Roman" w:cs="Times New Roman"/>
          <w:b/>
          <w:noProof/>
          <w:sz w:val="24"/>
          <w:szCs w:val="24"/>
          <w:lang w:eastAsia="en-GB"/>
        </w:rPr>
      </w:pP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Expenditure on social protection conceals considerable variation across the Member States. </w:t>
      </w:r>
      <w:r>
        <w:rPr>
          <w:rFonts w:ascii="Times New Roman" w:hAnsi="Times New Roman" w:cs="Times New Roman"/>
          <w:noProof/>
          <w:sz w:val="24"/>
          <w:szCs w:val="24"/>
          <w:lang w:eastAsia="en-GB"/>
        </w:rPr>
        <w:t>In 2014,</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 xml:space="preserve">social protection expenditure as a percentage of </w:t>
      </w:r>
      <w:r>
        <w:rPr>
          <w:rFonts w:ascii="Times New Roman" w:hAnsi="Times New Roman" w:cs="Times New Roman"/>
          <w:noProof/>
          <w:sz w:val="24"/>
          <w:szCs w:val="24"/>
        </w:rPr>
        <w:t>GDP</w:t>
      </w:r>
      <w:r>
        <w:rPr>
          <w:rFonts w:ascii="Times New Roman" w:hAnsi="Times New Roman" w:cs="Times New Roman"/>
          <w:noProof/>
          <w:sz w:val="24"/>
          <w:szCs w:val="24"/>
          <w:lang w:eastAsia="en-GB"/>
        </w:rPr>
        <w:t xml:space="preserve"> was 30% or more in France (32.2%), Denmark (31.6%) and Finland (31.1%), and below 20% in Estonia (14.9%), Lithuania, Romania (both at 14.4), and Latvia (14.3%). These variations reflect differences in the living standards, but are also are indicative of t</w:t>
      </w:r>
      <w:r>
        <w:rPr>
          <w:rFonts w:ascii="Times New Roman" w:hAnsi="Times New Roman" w:cs="Times New Roman"/>
          <w:noProof/>
          <w:sz w:val="24"/>
          <w:szCs w:val="24"/>
          <w:lang w:eastAsia="en-GB"/>
        </w:rPr>
        <w:t xml:space="preserve">he variety of national social protection systems and of the social, economic and institutional arrangements in each Member State. As a percentage of GDP social protection expenditure slightly declined on average in 2014, while expenditure level growth was </w:t>
      </w:r>
      <w:r>
        <w:rPr>
          <w:rFonts w:ascii="Times New Roman" w:hAnsi="Times New Roman" w:cs="Times New Roman"/>
          <w:noProof/>
          <w:sz w:val="24"/>
          <w:szCs w:val="24"/>
          <w:lang w:eastAsia="en-GB"/>
        </w:rPr>
        <w:t xml:space="preserve">mostly driven by spending on old-age pensions and on health.  </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The aggregate replacement ratio of pensions continued its recent improvement in 2016</w:t>
      </w:r>
      <w:r>
        <w:rPr>
          <w:rFonts w:ascii="Times New Roman" w:hAnsi="Times New Roman" w:cs="Times New Roman"/>
          <w:noProof/>
          <w:sz w:val="24"/>
          <w:szCs w:val="24"/>
          <w:vertAlign w:val="superscript"/>
          <w:lang w:eastAsia="en-GB"/>
        </w:rPr>
        <w:footnoteReference w:id="80"/>
      </w:r>
      <w:r>
        <w:rPr>
          <w:rFonts w:ascii="Times New Roman" w:hAnsi="Times New Roman" w:cs="Times New Roman"/>
          <w:b/>
          <w:noProof/>
          <w:sz w:val="24"/>
          <w:szCs w:val="24"/>
          <w:lang w:eastAsia="en-GB"/>
        </w:rPr>
        <w:t>.</w:t>
      </w:r>
      <w:r>
        <w:rPr>
          <w:rFonts w:ascii="Times New Roman" w:hAnsi="Times New Roman" w:cs="Times New Roman"/>
          <w:b/>
          <w:noProof/>
          <w:sz w:val="24"/>
          <w:szCs w:val="24"/>
          <w:vertAlign w:val="superscript"/>
          <w:lang w:eastAsia="en-GB"/>
        </w:rPr>
        <w:t xml:space="preserve"> </w:t>
      </w:r>
      <w:r>
        <w:rPr>
          <w:rFonts w:ascii="Times New Roman" w:hAnsi="Times New Roman" w:cs="Times New Roman"/>
          <w:noProof/>
          <w:sz w:val="24"/>
          <w:szCs w:val="24"/>
          <w:lang w:eastAsia="en-GB"/>
        </w:rPr>
        <w:t>It reached 0.58 in the EU, reflecting the overall resilience of current pension incomes in most Member Sta</w:t>
      </w:r>
      <w:r>
        <w:rPr>
          <w:rFonts w:ascii="Times New Roman" w:hAnsi="Times New Roman" w:cs="Times New Roman"/>
          <w:noProof/>
          <w:sz w:val="24"/>
          <w:szCs w:val="24"/>
          <w:lang w:eastAsia="en-GB"/>
        </w:rPr>
        <w:t xml:space="preserve">tes. Significant differences between Member States remain, though, as the ratio ranged from 80% in Luxembourg and more than 65% in France, Italy, Spain, Hungary and  Romania to 45% or less in Croatia, Ireland, Latvia, Estonia, Lithuania or Cyprus. </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In some</w:t>
      </w:r>
      <w:r>
        <w:rPr>
          <w:rFonts w:ascii="Times New Roman" w:hAnsi="Times New Roman" w:cs="Times New Roman"/>
          <w:b/>
          <w:noProof/>
          <w:sz w:val="24"/>
          <w:szCs w:val="24"/>
        </w:rPr>
        <w:t xml:space="preserve"> Member States, costs and waiting time remain important barriers for the accessibility of healthcare</w:t>
      </w:r>
      <w:r>
        <w:rPr>
          <w:rFonts w:ascii="Times New Roman" w:hAnsi="Times New Roman" w:cs="Times New Roman"/>
          <w:noProof/>
          <w:sz w:val="24"/>
          <w:szCs w:val="24"/>
        </w:rPr>
        <w:t>. Nonetheless, the proportion of the EU population facing self-reported unmet needs</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for medical care due to either too high costs, too long waiting time or</w:t>
      </w:r>
      <w:r>
        <w:rPr>
          <w:rFonts w:ascii="Times New Roman" w:hAnsi="Times New Roman" w:cs="Times New Roman"/>
          <w:noProof/>
          <w:sz w:val="24"/>
          <w:szCs w:val="24"/>
        </w:rPr>
        <w:t xml:space="preserve"> travelling distance, on average decreased in 2015, according to the corresponding survey-based indicator (</w:t>
      </w:r>
      <w:r>
        <w:rPr>
          <w:rFonts w:ascii="Times New Roman" w:hAnsi="Times New Roman"/>
          <w:noProof/>
          <w:sz w:val="24"/>
          <w:szCs w:val="24"/>
        </w:rPr>
        <w:t>Figure 44</w:t>
      </w:r>
      <w:r>
        <w:rPr>
          <w:rFonts w:ascii="Times New Roman" w:hAnsi="Times New Roman" w:cs="Times New Roman"/>
          <w:noProof/>
          <w:sz w:val="24"/>
          <w:szCs w:val="24"/>
        </w:rPr>
        <w:t xml:space="preserve">). The share of the population impacted still exceeded 6% in Greece, Romania, Italy (mostly due to cost), Estonia and Poland (mostly due to </w:t>
      </w:r>
      <w:r>
        <w:rPr>
          <w:rFonts w:ascii="Times New Roman" w:hAnsi="Times New Roman" w:cs="Times New Roman"/>
          <w:noProof/>
          <w:sz w:val="24"/>
          <w:szCs w:val="24"/>
        </w:rPr>
        <w:t>waiting time) and Latvia. While the indicator in Latvia is high yet improving, a "critical situation" is flagged in the other above-mentioned countries, as the share of people reporting unmet healthcare needs is not decreasing. This share exhibited notable</w:t>
      </w:r>
      <w:r>
        <w:rPr>
          <w:rFonts w:ascii="Times New Roman" w:hAnsi="Times New Roman" w:cs="Times New Roman"/>
          <w:noProof/>
          <w:sz w:val="24"/>
          <w:szCs w:val="24"/>
        </w:rPr>
        <w:t xml:space="preserve"> increases in Estonia </w:t>
      </w:r>
      <w:r>
        <w:rPr>
          <w:rFonts w:ascii="Times New Roman" w:hAnsi="Times New Roman"/>
          <w:bCs/>
          <w:noProof/>
          <w:sz w:val="24"/>
          <w:szCs w:val="24"/>
        </w:rPr>
        <w:t>(specialist medical care)</w:t>
      </w:r>
      <w:r>
        <w:rPr>
          <w:rFonts w:ascii="Times New Roman" w:hAnsi="Times New Roman" w:cs="Times New Roman"/>
          <w:noProof/>
          <w:sz w:val="24"/>
          <w:szCs w:val="24"/>
        </w:rPr>
        <w:t>, Greece and Italy. The situation of Finland is to be watched, as this share is increasing more than on average. While a number of "better than average" countries are flagged, no "best performers" are identifi</w:t>
      </w:r>
      <w:r>
        <w:rPr>
          <w:rFonts w:ascii="Times New Roman" w:hAnsi="Times New Roman" w:cs="Times New Roman"/>
          <w:noProof/>
          <w:sz w:val="24"/>
          <w:szCs w:val="24"/>
        </w:rPr>
        <w:t>ed through the methodology for this indicator. There are some signs of divergence in the share of the population reporting unmet needs for healthcare, as it is increasing in some countries where it was already high and decreasing in some countries where it</w:t>
      </w:r>
      <w:r>
        <w:rPr>
          <w:rFonts w:ascii="Times New Roman" w:hAnsi="Times New Roman" w:cs="Times New Roman"/>
          <w:noProof/>
          <w:sz w:val="24"/>
          <w:szCs w:val="24"/>
        </w:rPr>
        <w:t xml:space="preserve"> was relatively low (see </w:t>
      </w:r>
      <w:r>
        <w:rPr>
          <w:rFonts w:ascii="Times New Roman" w:hAnsi="Times New Roman"/>
          <w:noProof/>
          <w:sz w:val="24"/>
          <w:szCs w:val="24"/>
        </w:rPr>
        <w:t>Figure 44</w:t>
      </w:r>
      <w:r>
        <w:rPr>
          <w:rFonts w:ascii="Times New Roman" w:hAnsi="Times New Roman" w:cs="Times New Roman"/>
          <w:noProof/>
          <w:sz w:val="24"/>
          <w:szCs w:val="24"/>
        </w:rPr>
        <w:t>, where the regression line shows a weak positive correlation between level and changes of unmet needs). In many countries the average values of unmet needs for medical care remain stable. Comparing to the situation in 200</w:t>
      </w:r>
      <w:r>
        <w:rPr>
          <w:rFonts w:ascii="Times New Roman" w:hAnsi="Times New Roman" w:cs="Times New Roman"/>
          <w:noProof/>
          <w:sz w:val="24"/>
          <w:szCs w:val="24"/>
        </w:rPr>
        <w:t>8 similar divergent patterns are observed. There is a substantial improvement observed in Bulgaria and Lithuania, with in addition positive changes in Romania, Latvia, Cyprus, Sweden and Germany. At the same time, this share increased over the long term in</w:t>
      </w:r>
      <w:r>
        <w:rPr>
          <w:rFonts w:ascii="Times New Roman" w:hAnsi="Times New Roman" w:cs="Times New Roman"/>
          <w:noProof/>
          <w:sz w:val="24"/>
          <w:szCs w:val="24"/>
        </w:rPr>
        <w:t xml:space="preserve"> a number of Member States, such as: Estonia, Greece</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xml:space="preserve"> (both to a rather high level), Finland, Portugal, the United Kingdom, and Belgium (although within rather low levels).</w:t>
      </w:r>
    </w:p>
    <w:p w:rsidR="00CB01DD" w:rsidRDefault="00D75BDB">
      <w:pPr>
        <w:pStyle w:val="Caption"/>
        <w:keepNext/>
        <w:spacing w:line="240" w:lineRule="auto"/>
        <w:rPr>
          <w:rFonts w:ascii="Times New Roman" w:hAnsi="Times New Roman"/>
          <w:noProof/>
          <w:sz w:val="24"/>
          <w:szCs w:val="24"/>
        </w:rPr>
      </w:pPr>
      <w:bookmarkStart w:id="29" w:name="_Ref494473358"/>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44</w:t>
      </w:r>
      <w:r>
        <w:rPr>
          <w:rFonts w:ascii="Times New Roman" w:hAnsi="Times New Roman"/>
          <w:noProof/>
          <w:sz w:val="24"/>
          <w:szCs w:val="24"/>
        </w:rPr>
        <w:fldChar w:fldCharType="end"/>
      </w:r>
      <w:bookmarkEnd w:id="29"/>
      <w:r>
        <w:rPr>
          <w:rFonts w:ascii="Times New Roman" w:hAnsi="Times New Roman"/>
          <w:noProof/>
          <w:sz w:val="24"/>
          <w:szCs w:val="24"/>
        </w:rPr>
        <w:t xml:space="preserve">: Self-reported unmet needs for medical care (Social Scoreboard headline indicator) </w:t>
      </w:r>
    </w:p>
    <w:p w:rsidR="00CB01DD" w:rsidRDefault="00D75BDB">
      <w:pPr>
        <w:keepNext/>
        <w:spacing w:line="240" w:lineRule="auto"/>
        <w:jc w:val="center"/>
        <w:rPr>
          <w:rFonts w:ascii="Times New Roman" w:hAnsi="Times New Roman" w:cs="Times New Roman"/>
          <w:b/>
          <w:iCs/>
          <w:noProof/>
          <w:sz w:val="24"/>
          <w:szCs w:val="24"/>
          <w:lang w:eastAsia="en-GB"/>
        </w:rPr>
      </w:pPr>
      <w:r>
        <w:rPr>
          <w:rFonts w:ascii="Times New Roman" w:hAnsi="Times New Roman" w:cs="Times New Roman"/>
          <w:b/>
          <w:iCs/>
          <w:noProof/>
          <w:sz w:val="24"/>
          <w:szCs w:val="24"/>
          <w:lang w:eastAsia="en-GB"/>
        </w:rPr>
        <w:drawing>
          <wp:inline distT="0" distB="0" distL="0" distR="0" wp14:anchorId="068EEFD2" wp14:editId="3492EFDB">
            <wp:extent cx="3835232" cy="31528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31721" cy="3149965"/>
                    </a:xfrm>
                    <a:prstGeom prst="rect">
                      <a:avLst/>
                    </a:prstGeom>
                    <a:noFill/>
                  </pic:spPr>
                </pic:pic>
              </a:graphicData>
            </a:graphic>
          </wp:inline>
        </w:drawing>
      </w:r>
    </w:p>
    <w:p w:rsidR="00CB01DD" w:rsidRDefault="00D75BDB">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Source: Eurostat, SILC. Period: 2015 levels and yearly changes with respect to 2014. Note: Axes are centred on the unweighted EU average. The legend is presented in the </w:t>
      </w:r>
      <w:r>
        <w:rPr>
          <w:rFonts w:ascii="Times New Roman" w:hAnsi="Times New Roman" w:cs="Times New Roman"/>
          <w:noProof/>
          <w:sz w:val="20"/>
          <w:szCs w:val="20"/>
          <w:lang w:eastAsia="en-GB"/>
        </w:rPr>
        <w:t xml:space="preserve">Annex. </w:t>
      </w:r>
    </w:p>
    <w:p w:rsidR="00CB01DD" w:rsidRDefault="00CB01DD">
      <w:pPr>
        <w:spacing w:line="360" w:lineRule="auto"/>
        <w:jc w:val="both"/>
        <w:rPr>
          <w:rFonts w:ascii="Times New Roman" w:hAnsi="Times New Roman" w:cs="Times New Roman"/>
          <w:noProof/>
          <w:sz w:val="20"/>
          <w:szCs w:val="20"/>
          <w:lang w:eastAsia="en-GB"/>
        </w:rPr>
      </w:pP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unmet healthcare needs specifically affect low income households. </w:t>
      </w:r>
      <w:r>
        <w:rPr>
          <w:rFonts w:ascii="Times New Roman" w:hAnsi="Times New Roman" w:cs="Times New Roman"/>
          <w:noProof/>
          <w:sz w:val="24"/>
          <w:szCs w:val="24"/>
        </w:rPr>
        <w:t>On average in the EU, 5.5% of people in the bottom income quintile reported an unmet need for medical care in 2015, against 1.4% in top quintile. This share is particularly high</w:t>
      </w:r>
      <w:r>
        <w:rPr>
          <w:rFonts w:ascii="Times New Roman" w:hAnsi="Times New Roman" w:cs="Times New Roman"/>
          <w:noProof/>
          <w:sz w:val="24"/>
          <w:szCs w:val="24"/>
        </w:rPr>
        <w:t xml:space="preserve"> in Greece, Italy and Latvia (above 15%), although Latvia reduced this share by one third compared to the previous year. The income quintile gap has shrunk, on average in the EU, in 2015.</w:t>
      </w:r>
    </w:p>
    <w:p w:rsidR="00CB01DD" w:rsidRDefault="00D75BDB">
      <w:pPr>
        <w:spacing w:line="360" w:lineRule="auto"/>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Healthcare is financed through different schemes, while the relative</w:t>
      </w:r>
      <w:r>
        <w:rPr>
          <w:rFonts w:ascii="Times New Roman" w:hAnsi="Times New Roman" w:cs="Times New Roman"/>
          <w:b/>
          <w:noProof/>
          <w:sz w:val="24"/>
          <w:szCs w:val="24"/>
          <w:lang w:eastAsia="en-GB"/>
        </w:rPr>
        <w:t xml:space="preserve"> importance of each scheme varies among Member States. </w:t>
      </w:r>
      <w:r>
        <w:rPr>
          <w:rFonts w:ascii="Times New Roman" w:hAnsi="Times New Roman" w:cs="Times New Roman"/>
          <w:noProof/>
          <w:sz w:val="24"/>
          <w:szCs w:val="24"/>
          <w:lang w:eastAsia="en-GB"/>
        </w:rPr>
        <w:t>In 2014, out-of-pocket payments</w:t>
      </w:r>
      <w:r>
        <w:rPr>
          <w:rStyle w:val="FootnoteReference"/>
          <w:rFonts w:ascii="Times New Roman" w:hAnsi="Times New Roman" w:cs="Times New Roman"/>
          <w:noProof/>
          <w:sz w:val="24"/>
          <w:szCs w:val="24"/>
          <w:lang w:eastAsia="en-GB"/>
        </w:rPr>
        <w:footnoteReference w:id="83"/>
      </w:r>
      <w:r>
        <w:rPr>
          <w:rFonts w:ascii="Times New Roman" w:hAnsi="Times New Roman" w:cs="Times New Roman"/>
          <w:noProof/>
          <w:sz w:val="24"/>
          <w:szCs w:val="24"/>
          <w:lang w:eastAsia="en-GB"/>
        </w:rPr>
        <w:t xml:space="preserve">, i.e. household expenditure for health (including medical goods) not reimbursed by any scheme or paid as cost-sharing with an organised </w:t>
      </w:r>
      <w:r>
        <w:rPr>
          <w:rFonts w:ascii="Times New Roman" w:hAnsi="Times New Roman" w:cs="Times New Roman"/>
          <w:noProof/>
          <w:sz w:val="24"/>
          <w:szCs w:val="24"/>
        </w:rPr>
        <w:t>scheme</w:t>
      </w:r>
      <w:r>
        <w:rPr>
          <w:rFonts w:ascii="Times New Roman" w:hAnsi="Times New Roman" w:cs="Times New Roman"/>
          <w:noProof/>
          <w:sz w:val="24"/>
          <w:szCs w:val="24"/>
          <w:lang w:eastAsia="en-GB"/>
        </w:rPr>
        <w:t xml:space="preserve">, measured as a share of </w:t>
      </w:r>
      <w:r>
        <w:rPr>
          <w:rFonts w:ascii="Times New Roman" w:hAnsi="Times New Roman" w:cs="Times New Roman"/>
          <w:noProof/>
          <w:sz w:val="24"/>
          <w:szCs w:val="24"/>
          <w:lang w:eastAsia="en-GB"/>
        </w:rPr>
        <w:t>current health expenditure is above 30% in Bulgaria, Cyprus, Latvia, Greece and Lithuania (</w:t>
      </w:r>
      <w:r>
        <w:rPr>
          <w:rFonts w:ascii="Times New Roman" w:hAnsi="Times New Roman"/>
          <w:noProof/>
          <w:sz w:val="24"/>
          <w:szCs w:val="24"/>
        </w:rPr>
        <w:t>Figure 45</w:t>
      </w:r>
      <w:r>
        <w:rPr>
          <w:rFonts w:ascii="Times New Roman" w:hAnsi="Times New Roman" w:cs="Times New Roman"/>
          <w:noProof/>
          <w:sz w:val="24"/>
          <w:szCs w:val="24"/>
          <w:lang w:eastAsia="en-GB"/>
        </w:rPr>
        <w:t>).</w:t>
      </w:r>
    </w:p>
    <w:p w:rsidR="00CB01DD" w:rsidRDefault="00CB01DD">
      <w:pPr>
        <w:spacing w:line="360" w:lineRule="auto"/>
        <w:jc w:val="both"/>
        <w:rPr>
          <w:rFonts w:ascii="Times New Roman" w:hAnsi="Times New Roman" w:cs="Times New Roman"/>
          <w:noProof/>
          <w:sz w:val="24"/>
          <w:szCs w:val="24"/>
          <w:lang w:eastAsia="en-GB"/>
        </w:rPr>
      </w:pPr>
    </w:p>
    <w:p w:rsidR="00CB01DD" w:rsidRDefault="00D75BDB">
      <w:pPr>
        <w:pStyle w:val="Caption"/>
        <w:keepNext/>
        <w:spacing w:line="240" w:lineRule="auto"/>
        <w:rPr>
          <w:rFonts w:ascii="Times New Roman" w:hAnsi="Times New Roman"/>
          <w:noProof/>
          <w:sz w:val="24"/>
          <w:szCs w:val="24"/>
        </w:rPr>
      </w:pPr>
      <w:bookmarkStart w:id="30" w:name="_Ref494719251"/>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45</w:t>
      </w:r>
      <w:r>
        <w:rPr>
          <w:rFonts w:ascii="Times New Roman" w:hAnsi="Times New Roman"/>
          <w:noProof/>
          <w:sz w:val="24"/>
          <w:szCs w:val="24"/>
        </w:rPr>
        <w:fldChar w:fldCharType="end"/>
      </w:r>
      <w:bookmarkEnd w:id="30"/>
      <w:r>
        <w:rPr>
          <w:rFonts w:ascii="Times New Roman" w:hAnsi="Times New Roman"/>
          <w:noProof/>
          <w:sz w:val="24"/>
          <w:szCs w:val="24"/>
        </w:rPr>
        <w:t xml:space="preserve">: Healthcare expenditure by financing source, 2014 </w:t>
      </w:r>
    </w:p>
    <w:p w:rsidR="00CB01DD" w:rsidRDefault="00D75BDB">
      <w:pPr>
        <w:keepNext/>
        <w:spacing w:line="240" w:lineRule="auto"/>
        <w:rPr>
          <w:noProof/>
        </w:rPr>
      </w:pPr>
      <w:r>
        <w:rPr>
          <w:noProof/>
          <w:lang w:eastAsia="en-GB"/>
        </w:rPr>
        <w:drawing>
          <wp:inline distT="0" distB="0" distL="0" distR="0" wp14:anchorId="0408709D" wp14:editId="52D4F886">
            <wp:extent cx="4863943" cy="3021178"/>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64817" cy="3021721"/>
                    </a:xfrm>
                    <a:prstGeom prst="rect">
                      <a:avLst/>
                    </a:prstGeom>
                    <a:noFill/>
                  </pic:spPr>
                </pic:pic>
              </a:graphicData>
            </a:graphic>
          </wp:inline>
        </w:drawing>
      </w:r>
    </w:p>
    <w:p w:rsidR="00CB01DD" w:rsidRDefault="00D75BDB">
      <w:pPr>
        <w:spacing w:line="240" w:lineRule="auto"/>
        <w:rPr>
          <w:rFonts w:ascii="Times New Roman" w:hAnsi="Times New Roman" w:cs="Times New Roman"/>
          <w:noProof/>
          <w:sz w:val="20"/>
          <w:szCs w:val="20"/>
        </w:rPr>
      </w:pPr>
      <w:r>
        <w:rPr>
          <w:rFonts w:ascii="Times New Roman" w:hAnsi="Times New Roman" w:cs="Times New Roman"/>
          <w:noProof/>
          <w:sz w:val="20"/>
          <w:szCs w:val="20"/>
        </w:rPr>
        <w:t>Source: Eurostat [</w:t>
      </w:r>
      <w:r>
        <w:rPr>
          <w:rStyle w:val="leaf"/>
          <w:rFonts w:ascii="Times New Roman" w:hAnsi="Times New Roman" w:cs="Times New Roman"/>
          <w:noProof/>
          <w:sz w:val="20"/>
          <w:szCs w:val="20"/>
        </w:rPr>
        <w:t xml:space="preserve">hlth_sha11_hf]. Notes: </w:t>
      </w:r>
      <w:r>
        <w:rPr>
          <w:rFonts w:ascii="Times New Roman" w:hAnsi="Times New Roman" w:cs="Times New Roman"/>
          <w:noProof/>
          <w:sz w:val="20"/>
          <w:szCs w:val="20"/>
        </w:rPr>
        <w:t xml:space="preserve">Data are collected </w:t>
      </w:r>
      <w:r>
        <w:rPr>
          <w:rFonts w:ascii="Times New Roman" w:hAnsi="Times New Roman" w:cs="Times New Roman"/>
          <w:noProof/>
          <w:sz w:val="20"/>
          <w:szCs w:val="20"/>
        </w:rPr>
        <w:t>according to Commission Regulation (EC) 2015/359 as regards statistics on healthcare expenditure and financing (System of Health Accounts 2011 manual). Data for 2015 not available for all MS at 31 October 2017.</w:t>
      </w:r>
    </w:p>
    <w:p w:rsidR="00CB01DD" w:rsidRDefault="00CB01DD">
      <w:pPr>
        <w:spacing w:after="240" w:line="360" w:lineRule="auto"/>
        <w:jc w:val="both"/>
        <w:rPr>
          <w:rFonts w:ascii="Times New Roman" w:hAnsi="Times New Roman" w:cs="Times New Roman"/>
          <w:noProof/>
          <w:sz w:val="24"/>
          <w:szCs w:val="24"/>
        </w:rPr>
      </w:pPr>
    </w:p>
    <w:p w:rsidR="00CB01DD" w:rsidRDefault="00D75BDB">
      <w:pPr>
        <w:pStyle w:val="Heading3"/>
        <w:rPr>
          <w:noProof/>
        </w:rPr>
      </w:pPr>
      <w:bookmarkStart w:id="31" w:name="_Toc498075898"/>
      <w:r>
        <w:rPr>
          <w:noProof/>
        </w:rPr>
        <w:t>3.4.2</w:t>
      </w:r>
      <w:r>
        <w:rPr>
          <w:noProof/>
        </w:rPr>
        <w:tab/>
        <w:t>Policy response</w:t>
      </w:r>
      <w:bookmarkEnd w:id="31"/>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Modernisation of syste</w:t>
      </w:r>
      <w:r>
        <w:rPr>
          <w:rFonts w:ascii="Times New Roman" w:hAnsi="Times New Roman" w:cs="Times New Roman"/>
          <w:b/>
          <w:noProof/>
          <w:sz w:val="24"/>
          <w:szCs w:val="24"/>
        </w:rPr>
        <w:t>ms goes hand in hand with improvements in the coverage, design and adequacy of benefits.</w:t>
      </w:r>
      <w:r>
        <w:rPr>
          <w:rFonts w:ascii="Times New Roman" w:hAnsi="Times New Roman" w:cs="Times New Roman"/>
          <w:noProof/>
          <w:sz w:val="24"/>
          <w:szCs w:val="24"/>
        </w:rPr>
        <w:t xml:space="preserve">  Romania adopted in 2016 a reform aiming at substantial increase in the adequacy and coverage of benefits, as well as activation for Guaranteed Minimum Income beneficiaries (to enter into force in April 2018). </w:t>
      </w:r>
      <w:r>
        <w:rPr>
          <w:rFonts w:ascii="Times New Roman" w:eastAsia="Calibri" w:hAnsi="Times New Roman" w:cs="Times New Roman"/>
          <w:noProof/>
          <w:sz w:val="24"/>
          <w:szCs w:val="24"/>
        </w:rPr>
        <w:t>In Greece, a nationwide Guaranteed Minimum In</w:t>
      </w:r>
      <w:r>
        <w:rPr>
          <w:rFonts w:ascii="Times New Roman" w:eastAsia="Calibri" w:hAnsi="Times New Roman" w:cs="Times New Roman"/>
          <w:noProof/>
          <w:sz w:val="24"/>
          <w:szCs w:val="24"/>
        </w:rPr>
        <w:t>come scheme was launched, providing for eligible people/families financial assistance, improved access to social services and goods, and activation measures. The scheme is expected to cover around 7% of the Greek population</w:t>
      </w:r>
      <w:r>
        <w:rPr>
          <w:rStyle w:val="FootnoteReference"/>
          <w:rFonts w:ascii="Times New Roman" w:eastAsia="Calibri" w:hAnsi="Times New Roman" w:cs="Times New Roman"/>
          <w:noProof/>
          <w:sz w:val="24"/>
          <w:szCs w:val="24"/>
        </w:rPr>
        <w:footnoteReference w:id="84"/>
      </w:r>
      <w:r>
        <w:rPr>
          <w:rFonts w:ascii="Times New Roman" w:eastAsia="Calibri" w:hAnsi="Times New Roman" w:cs="Times New Roman"/>
          <w:noProof/>
          <w:sz w:val="24"/>
          <w:szCs w:val="24"/>
        </w:rPr>
        <w:t xml:space="preserve">. In </w:t>
      </w:r>
      <w:r>
        <w:rPr>
          <w:rFonts w:ascii="Times New Roman" w:hAnsi="Times New Roman" w:cs="Times New Roman"/>
          <w:noProof/>
          <w:sz w:val="24"/>
          <w:szCs w:val="24"/>
        </w:rPr>
        <w:t>Slovenia, following the ass</w:t>
      </w:r>
      <w:r>
        <w:rPr>
          <w:rFonts w:ascii="Times New Roman" w:hAnsi="Times New Roman" w:cs="Times New Roman"/>
          <w:noProof/>
          <w:sz w:val="24"/>
          <w:szCs w:val="24"/>
        </w:rPr>
        <w:t>essment of the previous reform (that increased minimum income, introduced one-stop-shops, enhanced simplification and shifted focus towards employment activation), a new project was prepared for 2017-2022 in view of providing a wider range of tailor-made s</w:t>
      </w:r>
      <w:r>
        <w:rPr>
          <w:rFonts w:ascii="Times New Roman" w:hAnsi="Times New Roman" w:cs="Times New Roman"/>
          <w:noProof/>
          <w:sz w:val="24"/>
          <w:szCs w:val="24"/>
        </w:rPr>
        <w:t>ervices and additional linkages between social and employment programmes. In Italy, the enabling law adopted in March 2017 introduces for the first time a structural income support measure (</w:t>
      </w:r>
      <w:r>
        <w:rPr>
          <w:rFonts w:ascii="Times New Roman" w:hAnsi="Times New Roman" w:cs="Times New Roman"/>
          <w:i/>
          <w:noProof/>
          <w:sz w:val="24"/>
          <w:szCs w:val="24"/>
        </w:rPr>
        <w:t>Reddito di inclusione</w:t>
      </w:r>
      <w:r>
        <w:rPr>
          <w:rFonts w:ascii="Times New Roman" w:hAnsi="Times New Roman" w:cs="Times New Roman"/>
          <w:noProof/>
          <w:sz w:val="24"/>
          <w:szCs w:val="24"/>
        </w:rPr>
        <w:t xml:space="preserve">) with stable funding addressed to people in </w:t>
      </w:r>
      <w:r>
        <w:rPr>
          <w:rFonts w:ascii="Times New Roman" w:hAnsi="Times New Roman" w:cs="Times New Roman"/>
          <w:noProof/>
          <w:sz w:val="24"/>
          <w:szCs w:val="24"/>
        </w:rPr>
        <w:t>poverty. The measure combines income support with activation measures and with a reinforcement of services. In France, while the former reform (</w:t>
      </w:r>
      <w:r>
        <w:rPr>
          <w:rFonts w:ascii="Times New Roman" w:hAnsi="Times New Roman" w:cs="Times New Roman"/>
          <w:i/>
          <w:noProof/>
          <w:sz w:val="24"/>
          <w:szCs w:val="24"/>
        </w:rPr>
        <w:t xml:space="preserve">Revenue de solidarité active) </w:t>
      </w:r>
      <w:r>
        <w:rPr>
          <w:rFonts w:ascii="Times New Roman" w:hAnsi="Times New Roman" w:cs="Times New Roman"/>
          <w:noProof/>
          <w:sz w:val="24"/>
          <w:szCs w:val="24"/>
        </w:rPr>
        <w:t>had</w:t>
      </w:r>
      <w:r>
        <w:rPr>
          <w:rFonts w:ascii="Times New Roman" w:hAnsi="Times New Roman" w:cs="Times New Roman"/>
          <w:i/>
          <w:noProof/>
          <w:sz w:val="24"/>
          <w:szCs w:val="24"/>
        </w:rPr>
        <w:t xml:space="preserve"> </w:t>
      </w:r>
      <w:r>
        <w:rPr>
          <w:rFonts w:ascii="Times New Roman" w:hAnsi="Times New Roman" w:cs="Times New Roman"/>
          <w:noProof/>
          <w:sz w:val="24"/>
          <w:szCs w:val="24"/>
        </w:rPr>
        <w:t>addressed potential welfare inactivity traps, a new reform (</w:t>
      </w:r>
      <w:r>
        <w:rPr>
          <w:rFonts w:ascii="Times New Roman" w:hAnsi="Times New Roman" w:cs="Times New Roman"/>
          <w:i/>
          <w:noProof/>
          <w:sz w:val="24"/>
          <w:szCs w:val="24"/>
        </w:rPr>
        <w:t>Prime d'activité</w:t>
      </w:r>
      <w:r>
        <w:rPr>
          <w:rFonts w:ascii="Times New Roman" w:hAnsi="Times New Roman" w:cs="Times New Roman"/>
          <w:noProof/>
          <w:sz w:val="24"/>
          <w:szCs w:val="24"/>
        </w:rPr>
        <w:t xml:space="preserve">) </w:t>
      </w:r>
      <w:r>
        <w:rPr>
          <w:rFonts w:ascii="Times New Roman" w:hAnsi="Times New Roman" w:cs="Times New Roman"/>
          <w:noProof/>
          <w:sz w:val="24"/>
          <w:szCs w:val="24"/>
        </w:rPr>
        <w:t>aimed in 2016 at better coordination and simplification of the existing benefits and enhanced access in particularly for young people. Measures in the field of unemployment benefits and extension of social protection schemes to self-employed and atypical w</w:t>
      </w:r>
      <w:r>
        <w:rPr>
          <w:rFonts w:ascii="Times New Roman" w:hAnsi="Times New Roman" w:cs="Times New Roman"/>
          <w:noProof/>
          <w:sz w:val="24"/>
          <w:szCs w:val="24"/>
        </w:rPr>
        <w:t>orkers are discussed in Section 3.3.</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Reforms to the delivery of social services aim at improving access and quality, and respond to the increase in the complexity of clients' needs.</w:t>
      </w:r>
      <w:r>
        <w:rPr>
          <w:rFonts w:ascii="Times New Roman" w:hAnsi="Times New Roman" w:cs="Times New Roman"/>
          <w:noProof/>
          <w:sz w:val="24"/>
          <w:szCs w:val="24"/>
        </w:rPr>
        <w:t xml:space="preserve"> </w:t>
      </w:r>
      <w:r>
        <w:rPr>
          <w:rFonts w:ascii="Times New Roman" w:eastAsia="Calibri" w:hAnsi="Times New Roman" w:cs="Times New Roman"/>
          <w:noProof/>
          <w:color w:val="00000A"/>
          <w:sz w:val="24"/>
          <w:szCs w:val="24"/>
        </w:rPr>
        <w:t>In 2016, Slovakia adopted an ambitious action plan on long-term unemployme</w:t>
      </w:r>
      <w:r>
        <w:rPr>
          <w:rFonts w:ascii="Times New Roman" w:eastAsia="Calibri" w:hAnsi="Times New Roman" w:cs="Times New Roman"/>
          <w:noProof/>
          <w:color w:val="00000A"/>
          <w:sz w:val="24"/>
          <w:szCs w:val="24"/>
        </w:rPr>
        <w:t xml:space="preserve">nt to provide tailor-made services, while Romania has put together integrated social teams to work with the most excluded groups. </w:t>
      </w:r>
      <w:r>
        <w:rPr>
          <w:rFonts w:ascii="Times New Roman" w:hAnsi="Times New Roman" w:cs="Times New Roman"/>
          <w:noProof/>
          <w:sz w:val="24"/>
          <w:szCs w:val="24"/>
        </w:rPr>
        <w:t xml:space="preserve">In Estonia, the implementation of the Social Welfare Act and measures of the Action Plan 2016-2020 to the Welfare Development </w:t>
      </w:r>
      <w:r>
        <w:rPr>
          <w:rFonts w:ascii="Times New Roman" w:hAnsi="Times New Roman" w:cs="Times New Roman"/>
          <w:noProof/>
          <w:sz w:val="24"/>
          <w:szCs w:val="24"/>
        </w:rPr>
        <w:t>Plan 2016-2023, aiming at ensuring the provision and accessibility of high-quality social services, is ongoing. Greece is rolling out a network of local community centres serving as one-stop-shops for social services.</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bCs/>
          <w:noProof/>
          <w:sz w:val="24"/>
          <w:szCs w:val="24"/>
        </w:rPr>
        <w:t>A number of Member States have underta</w:t>
      </w:r>
      <w:r>
        <w:rPr>
          <w:rFonts w:ascii="Times New Roman" w:hAnsi="Times New Roman" w:cs="Times New Roman"/>
          <w:b/>
          <w:bCs/>
          <w:noProof/>
          <w:sz w:val="24"/>
          <w:szCs w:val="24"/>
        </w:rPr>
        <w:t xml:space="preserve">ken reforms in the field of access to housing. </w:t>
      </w:r>
      <w:r>
        <w:rPr>
          <w:rFonts w:ascii="Times New Roman" w:hAnsi="Times New Roman" w:cs="Times New Roman"/>
          <w:noProof/>
          <w:sz w:val="24"/>
          <w:szCs w:val="24"/>
        </w:rPr>
        <w:t>Romania adopted a national strategy aimed at addressing barriers for persons with disabilities and targeting the protection and promotion of rights of these persons. Ireland adopted an integrated system for ho</w:t>
      </w:r>
      <w:r>
        <w:rPr>
          <w:rFonts w:ascii="Times New Roman" w:hAnsi="Times New Roman" w:cs="Times New Roman"/>
          <w:noProof/>
          <w:sz w:val="24"/>
          <w:szCs w:val="24"/>
        </w:rPr>
        <w:t>using support which allows, on the one hand, all social housing to be accessed through local authorities and, on the other hand, recipients to take up full-time employment while retaining the housing support they receive. Malta adopted a new rent subsidy m</w:t>
      </w:r>
      <w:r>
        <w:rPr>
          <w:rFonts w:ascii="Times New Roman" w:hAnsi="Times New Roman" w:cs="Times New Roman"/>
          <w:noProof/>
          <w:sz w:val="24"/>
          <w:szCs w:val="24"/>
        </w:rPr>
        <w:t>easure allowing the Housing Authority to extend the criteria that is expected to double the number of families eligible. Sweden increased the income limit for disadvantaged households receiving housing allowance for families with children. The Czech Republ</w:t>
      </w:r>
      <w:r>
        <w:rPr>
          <w:rFonts w:ascii="Times New Roman" w:hAnsi="Times New Roman" w:cs="Times New Roman"/>
          <w:noProof/>
          <w:sz w:val="24"/>
          <w:szCs w:val="24"/>
        </w:rPr>
        <w:t>ic and Lithuania plan the adoption of new measures to provide access to adequate social housing for vulnerable people. Greece is preparing a new means-tested housing benefit system.</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Substantial measures aimed at increasing access to health services, whilst</w:t>
      </w:r>
      <w:r>
        <w:rPr>
          <w:rFonts w:ascii="Times New Roman" w:hAnsi="Times New Roman" w:cs="Times New Roman"/>
          <w:b/>
          <w:noProof/>
          <w:sz w:val="24"/>
          <w:szCs w:val="24"/>
        </w:rPr>
        <w:t xml:space="preserve"> maintaining the quality and sustainability of the system, have been introduced and implemented. </w:t>
      </w:r>
      <w:r>
        <w:rPr>
          <w:rFonts w:ascii="Times New Roman" w:hAnsi="Times New Roman" w:cs="Times New Roman"/>
          <w:noProof/>
          <w:sz w:val="24"/>
          <w:szCs w:val="24"/>
        </w:rPr>
        <w:t>The efforts to shift the focus of care to primary healthcare, ensuring coordinated operations with other parts of the health system, are taking place in almost</w:t>
      </w:r>
      <w:r>
        <w:rPr>
          <w:rFonts w:ascii="Times New Roman" w:hAnsi="Times New Roman" w:cs="Times New Roman"/>
          <w:noProof/>
          <w:sz w:val="24"/>
          <w:szCs w:val="24"/>
        </w:rPr>
        <w:t xml:space="preserve"> all Member States, and in particular in Malta, Bulgaria, Poland, Estonia and Austria. In addition to primary care development, increased funding has been allocated to raise the accessibility of certain healthcare services in Sweden. Waiting times have bee</w:t>
      </w:r>
      <w:r>
        <w:rPr>
          <w:rFonts w:ascii="Times New Roman" w:hAnsi="Times New Roman" w:cs="Times New Roman"/>
          <w:noProof/>
          <w:sz w:val="24"/>
          <w:szCs w:val="24"/>
        </w:rPr>
        <w:t>n reduced in Latvia and Malta, and some parts of the ambulatory care system in Romania were reorganised. Promotion of good health is increasingly recognised as a means to prevent avoidable diseases and related treatment, to reduce health inequalities cause</w:t>
      </w:r>
      <w:r>
        <w:rPr>
          <w:rFonts w:ascii="Times New Roman" w:hAnsi="Times New Roman" w:cs="Times New Roman"/>
          <w:noProof/>
          <w:sz w:val="24"/>
          <w:szCs w:val="24"/>
        </w:rPr>
        <w:t xml:space="preserve">d by social determinants, and to enhance the sustainability of health systems. Several Member States are taking action in this area: for instance, Romania is investing in cancer screening, France plans to increase the number of obligatory vaccinations and </w:t>
      </w:r>
      <w:r>
        <w:rPr>
          <w:rFonts w:ascii="Times New Roman" w:hAnsi="Times New Roman" w:cs="Times New Roman"/>
          <w:noProof/>
          <w:sz w:val="24"/>
          <w:szCs w:val="24"/>
        </w:rPr>
        <w:t>the price of tobacco, and Lithuania will ban as of 2018 the advertising of alcohol products, increase the legal age for alcohol consumption to 20 years and restrict sales hours. Furthermore, some steps have been taken to reinforce the provision of outpatie</w:t>
      </w:r>
      <w:r>
        <w:rPr>
          <w:rFonts w:ascii="Times New Roman" w:hAnsi="Times New Roman" w:cs="Times New Roman"/>
          <w:noProof/>
          <w:sz w:val="24"/>
          <w:szCs w:val="24"/>
        </w:rPr>
        <w:t>nt care in Bulgaria where the low public coverage of outpatient medical services makes it difficult for some people to access to healthcare. In Cyprus, a major reform was adopted in June 2017 to entitle until 2020 universal access to healthcare, reduce out</w:t>
      </w:r>
      <w:r>
        <w:rPr>
          <w:rFonts w:ascii="Times New Roman" w:hAnsi="Times New Roman" w:cs="Times New Roman"/>
          <w:noProof/>
          <w:sz w:val="24"/>
          <w:szCs w:val="24"/>
        </w:rPr>
        <w:t>-of-pocket payments, and to ensure hospital autonomy under a national hospitals agency. The Portuguese health system has undergone significant reforms during 2016 and 2017 that have strengthened its capacity to keep on ensuring universal health coverage. I</w:t>
      </w:r>
      <w:r>
        <w:rPr>
          <w:rFonts w:ascii="Times New Roman" w:hAnsi="Times New Roman" w:cs="Times New Roman"/>
          <w:noProof/>
          <w:sz w:val="24"/>
          <w:szCs w:val="24"/>
        </w:rPr>
        <w:t>n Austria, a new system</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xml:space="preserve"> of payment for the hospital ambulatory area has been introduced in order to relieve pressure from the stationary care and foster day clinic and ambulatory services within hospitals. Reforms to combat the insufficient availability o</w:t>
      </w:r>
      <w:r>
        <w:rPr>
          <w:rFonts w:ascii="Times New Roman" w:hAnsi="Times New Roman" w:cs="Times New Roman"/>
          <w:noProof/>
          <w:sz w:val="24"/>
          <w:szCs w:val="24"/>
        </w:rPr>
        <w:t>f healthcare workforce are underway in Poland and Latvia. Romania and Hungary have made steps in increasing wages for health care workers. In addition, support measures aimed at attracting medical practitioners and nurses to work in peri-urban or rural are</w:t>
      </w:r>
      <w:r>
        <w:rPr>
          <w:rFonts w:ascii="Times New Roman" w:hAnsi="Times New Roman" w:cs="Times New Roman"/>
          <w:noProof/>
          <w:sz w:val="24"/>
          <w:szCs w:val="24"/>
        </w:rPr>
        <w:t>as are to be launched in Latvia, Poland, Portugal and Romania. Measures have been introduced to reduce waiting times for healthcare services through the development of an IT system in Italy, Portugal, Slovenia and Malta. In addition, reforms aimed at reduc</w:t>
      </w:r>
      <w:r>
        <w:rPr>
          <w:rFonts w:ascii="Times New Roman" w:hAnsi="Times New Roman" w:cs="Times New Roman"/>
          <w:noProof/>
          <w:sz w:val="24"/>
          <w:szCs w:val="24"/>
        </w:rPr>
        <w:t>ing the pharmaceutical expenditure and ensure accessibility and the cost- effective use of medicines, such as centralization of procurement, uptake of generics and development of Health Technology Assessment bodies are underway in Portugal, Spain, Italy an</w:t>
      </w:r>
      <w:r>
        <w:rPr>
          <w:rFonts w:ascii="Times New Roman" w:hAnsi="Times New Roman" w:cs="Times New Roman"/>
          <w:noProof/>
          <w:sz w:val="24"/>
          <w:szCs w:val="24"/>
        </w:rPr>
        <w:t>d Slovakia. Finally, plans to enhance accountability and transparency mechanisms the health system have started in Romania and Latvia.</w:t>
      </w:r>
    </w:p>
    <w:p w:rsidR="00CB01DD" w:rsidRDefault="00D75BDB">
      <w:pPr>
        <w:spacing w:line="360" w:lineRule="auto"/>
        <w:jc w:val="both"/>
        <w:rPr>
          <w:rFonts w:ascii="Times New Roman" w:hAnsi="Times New Roman" w:cs="Times New Roman"/>
          <w:noProof/>
          <w:sz w:val="24"/>
        </w:rPr>
      </w:pPr>
      <w:r>
        <w:rPr>
          <w:rFonts w:ascii="Times New Roman" w:hAnsi="Times New Roman" w:cs="Times New Roman"/>
          <w:b/>
          <w:noProof/>
          <w:sz w:val="24"/>
          <w:szCs w:val="24"/>
        </w:rPr>
        <w:t xml:space="preserve">Ensuring access to affordable and good quality long-term care is essential to address ageing and subsequent increases in </w:t>
      </w:r>
      <w:r>
        <w:rPr>
          <w:rFonts w:ascii="Times New Roman" w:hAnsi="Times New Roman" w:cs="Times New Roman"/>
          <w:b/>
          <w:noProof/>
          <w:sz w:val="24"/>
          <w:szCs w:val="24"/>
        </w:rPr>
        <w:t>the number of dependent elderly people and long-term care needs</w:t>
      </w:r>
      <w:r>
        <w:rPr>
          <w:rFonts w:ascii="Times New Roman" w:hAnsi="Times New Roman" w:cs="Times New Roman"/>
          <w:noProof/>
          <w:sz w:val="24"/>
          <w:szCs w:val="24"/>
        </w:rPr>
        <w:t>. Reforms in Member States mainly focus on improving the long-term care systems' organisation, integration, financing and quality. Luxembourg is preparing a reform of long-term care insurance w</w:t>
      </w:r>
      <w:r>
        <w:rPr>
          <w:rFonts w:ascii="Times New Roman" w:hAnsi="Times New Roman" w:cs="Times New Roman"/>
          <w:noProof/>
          <w:sz w:val="24"/>
          <w:szCs w:val="24"/>
        </w:rPr>
        <w:t>hich revises the procedures and tools for assessing and determining dependency, and establishes transparent and efficient quality control policy. Slovenia continues to prepare a reinforcement of care integration, organisation and financing. Likewise, Latvi</w:t>
      </w:r>
      <w:r>
        <w:rPr>
          <w:rFonts w:ascii="Times New Roman" w:hAnsi="Times New Roman" w:cs="Times New Roman"/>
          <w:noProof/>
          <w:sz w:val="24"/>
          <w:szCs w:val="24"/>
        </w:rPr>
        <w:t>a is planning to improve social services support system by improving their financing, defining staff qualifications and establishing levels of assistance. After numerous cutbacks in this area in previous years, more investment in support to local authoriti</w:t>
      </w:r>
      <w:r>
        <w:rPr>
          <w:rFonts w:ascii="Times New Roman" w:hAnsi="Times New Roman" w:cs="Times New Roman"/>
          <w:noProof/>
          <w:sz w:val="24"/>
          <w:szCs w:val="24"/>
        </w:rPr>
        <w:t>es is planned in the United Kingdom to spend on adult social care services. In Germany, a new definition of needs was followed by the introduction of a new assessment tool in 2017. Some reforms aim at improving the situation of informal carers, including e</w:t>
      </w:r>
      <w:r>
        <w:rPr>
          <w:rFonts w:ascii="Times New Roman" w:hAnsi="Times New Roman" w:cs="Times New Roman"/>
          <w:noProof/>
          <w:sz w:val="24"/>
          <w:szCs w:val="24"/>
        </w:rPr>
        <w:t>nhanced financial support. In Romania, t</w:t>
      </w:r>
      <w:r>
        <w:rPr>
          <w:rFonts w:ascii="Times New Roman" w:hAnsi="Times New Roman" w:cs="Times New Roman"/>
          <w:noProof/>
          <w:sz w:val="24"/>
        </w:rPr>
        <w:t>he government approved the financial centralization of the salary costs of personal assistants for severely disabled. In Malta, carers' pensions and carers' allowances were reformed and increased. The amounts were ra</w:t>
      </w:r>
      <w:r>
        <w:rPr>
          <w:rFonts w:ascii="Times New Roman" w:hAnsi="Times New Roman" w:cs="Times New Roman"/>
          <w:noProof/>
          <w:sz w:val="24"/>
        </w:rPr>
        <w:t xml:space="preserve">ised also in the Czech Republic. </w:t>
      </w:r>
      <w:r>
        <w:rPr>
          <w:rFonts w:ascii="Times New Roman" w:hAnsi="Times New Roman" w:cs="Times New Roman"/>
          <w:iCs/>
          <w:noProof/>
          <w:sz w:val="24"/>
          <w:szCs w:val="24"/>
        </w:rPr>
        <w:t>In Austria, the clawback of nursing costs of people in long-term care was abolished, which could be a step towards more universal and affordable provision of services.</w:t>
      </w:r>
    </w:p>
    <w:p w:rsidR="00CB01DD" w:rsidRDefault="00D75BDB">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recent wave of pension reforms often features </w:t>
      </w:r>
      <w:r>
        <w:rPr>
          <w:rFonts w:ascii="Times New Roman" w:hAnsi="Times New Roman" w:cs="Times New Roman"/>
          <w:b/>
          <w:noProof/>
          <w:sz w:val="24"/>
          <w:szCs w:val="24"/>
        </w:rPr>
        <w:t>measures to safeguard the adequacy of pensions.</w:t>
      </w:r>
      <w:r>
        <w:rPr>
          <w:rFonts w:ascii="Times New Roman" w:hAnsi="Times New Roman" w:cs="Times New Roman"/>
          <w:noProof/>
          <w:sz w:val="24"/>
          <w:szCs w:val="24"/>
        </w:rPr>
        <w:t xml:space="preserve"> They complement the former reform steps focusing on later retirement and the sustainability of pension systems. In particular, a number of countries have adopted measures aimed to safeguard lower pensions. La</w:t>
      </w:r>
      <w:r>
        <w:rPr>
          <w:rFonts w:ascii="Times New Roman" w:hAnsi="Times New Roman" w:cs="Times New Roman"/>
          <w:noProof/>
          <w:sz w:val="24"/>
          <w:szCs w:val="24"/>
        </w:rPr>
        <w:t>tvia and Austria have introduced additional safeguards for pensioners with long careers, while Bulgaria, Malta, Romania and Slovenia (for pensioners who fulfil the full retirement conditions) have raised minimum pensions. Latvia, Malta and Romania have rai</w:t>
      </w:r>
      <w:r>
        <w:rPr>
          <w:rFonts w:ascii="Times New Roman" w:hAnsi="Times New Roman" w:cs="Times New Roman"/>
          <w:noProof/>
          <w:sz w:val="24"/>
          <w:szCs w:val="24"/>
        </w:rPr>
        <w:t>sed the threshold under which tax is not paid, which should in particular benefit recipients of lower pensions. Lithuania has introduced a more favourable indexation mechanism. Several countries have also adopted measures focused on the retirement age. Ger</w:t>
      </w:r>
      <w:r>
        <w:rPr>
          <w:rFonts w:ascii="Times New Roman" w:hAnsi="Times New Roman" w:cs="Times New Roman"/>
          <w:noProof/>
          <w:sz w:val="24"/>
          <w:szCs w:val="24"/>
        </w:rPr>
        <w:t xml:space="preserve">many and Austria have sought to promote longer working lives by allowing more flexible transition into retirement and combining pension with income from work. In other Member States some reforms, however, go in the opposite direction. Most notably, Poland </w:t>
      </w:r>
      <w:r>
        <w:rPr>
          <w:rFonts w:ascii="Times New Roman" w:hAnsi="Times New Roman" w:cs="Times New Roman"/>
          <w:noProof/>
          <w:sz w:val="24"/>
          <w:szCs w:val="24"/>
        </w:rPr>
        <w:t>has reversed earlier reforms by reintroducing lower pensionable ages for men and women (65 and 60 years respectively), in spite of the considerable impact which (the projected) demographic ageing is likely to have, while Finland has introduced a one-off me</w:t>
      </w:r>
      <w:r>
        <w:rPr>
          <w:rFonts w:ascii="Times New Roman" w:hAnsi="Times New Roman" w:cs="Times New Roman"/>
          <w:noProof/>
          <w:sz w:val="24"/>
          <w:szCs w:val="24"/>
        </w:rPr>
        <w:t>asure of easier access to early retirement for the very long-term unemployed over the age of 60.</w:t>
      </w:r>
    </w:p>
    <w:p w:rsidR="00CB01DD" w:rsidRDefault="00D75BDB">
      <w:pPr>
        <w:spacing w:line="360" w:lineRule="auto"/>
        <w:jc w:val="both"/>
        <w:rPr>
          <w:rFonts w:ascii="Times New Roman" w:hAnsi="Times New Roman" w:cs="Times New Roman"/>
          <w:noProof/>
          <w:sz w:val="24"/>
        </w:rPr>
      </w:pPr>
      <w:r>
        <w:rPr>
          <w:rFonts w:ascii="Times New Roman" w:hAnsi="Times New Roman" w:cs="Times New Roman"/>
          <w:b/>
          <w:noProof/>
          <w:sz w:val="24"/>
        </w:rPr>
        <w:t xml:space="preserve">Reforms to disability benefits and caring provisions complement employment policies for persons with disabilities. </w:t>
      </w:r>
      <w:r>
        <w:rPr>
          <w:rFonts w:ascii="Times New Roman" w:hAnsi="Times New Roman" w:cs="Times New Roman"/>
          <w:noProof/>
          <w:sz w:val="24"/>
        </w:rPr>
        <w:t>Estonia has increased the provision of child</w:t>
      </w:r>
      <w:r>
        <w:rPr>
          <w:rFonts w:ascii="Times New Roman" w:hAnsi="Times New Roman" w:cs="Times New Roman"/>
          <w:noProof/>
          <w:sz w:val="24"/>
        </w:rPr>
        <w:t>care for children with disabilities from 57-80 hours to 270 hours per year. Malta has reformed and increased disability pensions by introducing a three-tier payment system linked to the degree of disability. It also put in place the reform of the Carers' P</w:t>
      </w:r>
      <w:r>
        <w:rPr>
          <w:rFonts w:ascii="Times New Roman" w:hAnsi="Times New Roman" w:cs="Times New Roman"/>
          <w:noProof/>
          <w:sz w:val="24"/>
        </w:rPr>
        <w:t xml:space="preserve">ension and the Carers' Allowance, thus increasing allowances to carers and </w:t>
      </w:r>
      <w:r>
        <w:rPr>
          <w:rFonts w:ascii="Times New Roman" w:hAnsi="Times New Roman" w:cs="Times New Roman"/>
          <w:noProof/>
          <w:sz w:val="24"/>
          <w:szCs w:val="24"/>
        </w:rPr>
        <w:t>making</w:t>
      </w:r>
      <w:r>
        <w:rPr>
          <w:rFonts w:ascii="Times New Roman" w:hAnsi="Times New Roman" w:cs="Times New Roman"/>
          <w:noProof/>
          <w:sz w:val="24"/>
        </w:rPr>
        <w:t xml:space="preserve"> carers' pension payable without the need for means-testing. In Romania there was a financial centralisation of salaries for caregivers for people with severe disabilities to </w:t>
      </w:r>
      <w:r>
        <w:rPr>
          <w:rFonts w:ascii="Times New Roman" w:hAnsi="Times New Roman" w:cs="Times New Roman"/>
          <w:noProof/>
          <w:sz w:val="24"/>
        </w:rPr>
        <w:t>provide them from the central level instead of the local ones as the local budgets were often not able to cover them. Bulgaria has increased the allowance for children with disabilities.</w:t>
      </w:r>
      <w:r>
        <w:rPr>
          <w:rFonts w:ascii="Times New Roman" w:hAnsi="Times New Roman" w:cs="Times New Roman"/>
          <w:noProof/>
          <w:sz w:val="24"/>
        </w:rPr>
        <w:br w:type="page"/>
      </w:r>
    </w:p>
    <w:p w:rsidR="00CB01DD" w:rsidRDefault="00D75BDB">
      <w:pPr>
        <w:pStyle w:val="Heading1"/>
        <w:rPr>
          <w:noProof/>
        </w:rPr>
      </w:pPr>
      <w:bookmarkStart w:id="32" w:name="_Toc498075899"/>
      <w:r>
        <w:rPr>
          <w:noProof/>
        </w:rPr>
        <w:t>ANNEXES</w:t>
      </w:r>
      <w:bookmarkEnd w:id="32"/>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t>Annex 1. Social scoreboard headline indicators, levels</w:t>
      </w:r>
    </w:p>
    <w:p w:rsidR="00CB01DD" w:rsidRDefault="00D75BDB">
      <w:pPr>
        <w:rPr>
          <w:rFonts w:ascii="Times New Roman" w:hAnsi="Times New Roman" w:cs="Times New Roman"/>
          <w:noProof/>
          <w:sz w:val="24"/>
          <w:szCs w:val="24"/>
        </w:rPr>
      </w:pPr>
      <w:r>
        <w:rPr>
          <w:noProof/>
          <w:lang w:eastAsia="en-GB"/>
        </w:rPr>
        <w:drawing>
          <wp:inline distT="0" distB="0" distL="0" distR="0" wp14:anchorId="4F4EFD14" wp14:editId="244FBE49">
            <wp:extent cx="5760720" cy="616791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6167919"/>
                    </a:xfrm>
                    <a:prstGeom prst="rect">
                      <a:avLst/>
                    </a:prstGeom>
                    <a:noFill/>
                    <a:ln>
                      <a:noFill/>
                    </a:ln>
                  </pic:spPr>
                </pic:pic>
              </a:graphicData>
            </a:graphic>
          </wp:inline>
        </w:drawing>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w:t>
      </w:r>
      <w:r>
        <w:rPr>
          <w:rFonts w:ascii="Times New Roman" w:hAnsi="Times New Roman" w:cs="Times New Roman"/>
          <w:noProof/>
          <w:sz w:val="20"/>
          <w:szCs w:val="20"/>
        </w:rPr>
        <w:t>rce: Eurostat.</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indicates indicators previously included in the scoreboard of key employment and social indicators.</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Note: EUnw and EAnw refer to the non-weighted averages for EU and the euro area.</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Flags – b: break in time series; e: estimated; p: provisio</w:t>
      </w:r>
      <w:r>
        <w:rPr>
          <w:rFonts w:ascii="Times New Roman" w:hAnsi="Times New Roman" w:cs="Times New Roman"/>
          <w:noProof/>
          <w:sz w:val="20"/>
          <w:szCs w:val="20"/>
        </w:rPr>
        <w:t>nal; u: low reliability.</w:t>
      </w:r>
      <w:r>
        <w:rPr>
          <w:rFonts w:ascii="Times New Roman" w:hAnsi="Times New Roman" w:cs="Times New Roman"/>
          <w:noProof/>
          <w:sz w:val="20"/>
          <w:szCs w:val="20"/>
        </w:rPr>
        <w:tab/>
      </w:r>
    </w:p>
    <w:p w:rsidR="00CB01DD" w:rsidRDefault="00CB01DD">
      <w:pPr>
        <w:rPr>
          <w:rFonts w:ascii="Times New Roman" w:hAnsi="Times New Roman" w:cs="Times New Roman"/>
          <w:noProof/>
          <w:sz w:val="24"/>
          <w:szCs w:val="24"/>
        </w:rPr>
      </w:pPr>
    </w:p>
    <w:p w:rsidR="00CB01DD" w:rsidRDefault="00CB01DD">
      <w:pPr>
        <w:rPr>
          <w:rFonts w:ascii="Times New Roman" w:hAnsi="Times New Roman" w:cs="Times New Roman"/>
          <w:noProof/>
          <w:sz w:val="24"/>
          <w:szCs w:val="24"/>
        </w:rPr>
      </w:pPr>
    </w:p>
    <w:p w:rsidR="00CB01DD" w:rsidRDefault="00D75BDB">
      <w:pPr>
        <w:rPr>
          <w:rFonts w:ascii="Times New Roman" w:hAnsi="Times New Roman" w:cs="Times New Roman"/>
          <w:noProof/>
          <w:sz w:val="24"/>
          <w:szCs w:val="24"/>
        </w:rPr>
      </w:pPr>
      <w:r>
        <w:rPr>
          <w:rFonts w:ascii="Times New Roman" w:hAnsi="Times New Roman" w:cs="Times New Roman"/>
          <w:noProof/>
          <w:sz w:val="24"/>
          <w:szCs w:val="24"/>
        </w:rPr>
        <w:br w:type="page"/>
      </w:r>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t>Annex 1 (continued). Social scoreboard headline indicators, levels</w:t>
      </w:r>
    </w:p>
    <w:p w:rsidR="00CB01DD" w:rsidRDefault="00D75BDB">
      <w:pPr>
        <w:rPr>
          <w:rFonts w:ascii="Times New Roman" w:hAnsi="Times New Roman" w:cs="Times New Roman"/>
          <w:noProof/>
          <w:sz w:val="24"/>
          <w:szCs w:val="24"/>
        </w:rPr>
      </w:pPr>
      <w:r>
        <w:rPr>
          <w:noProof/>
          <w:lang w:eastAsia="en-GB"/>
        </w:rPr>
        <w:drawing>
          <wp:inline distT="0" distB="0" distL="0" distR="0" wp14:anchorId="2243BE14" wp14:editId="1BDFCAA7">
            <wp:extent cx="5760720" cy="6188148"/>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6188148"/>
                    </a:xfrm>
                    <a:prstGeom prst="rect">
                      <a:avLst/>
                    </a:prstGeom>
                    <a:noFill/>
                    <a:ln>
                      <a:noFill/>
                    </a:ln>
                  </pic:spPr>
                </pic:pic>
              </a:graphicData>
            </a:graphic>
          </wp:inline>
        </w:drawing>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indicates indicators previously included in the scoreboard of key employment and social indicators.</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Note: EUnw and EAnw refer to the </w:t>
      </w:r>
      <w:r>
        <w:rPr>
          <w:rFonts w:ascii="Times New Roman" w:hAnsi="Times New Roman" w:cs="Times New Roman"/>
          <w:noProof/>
          <w:sz w:val="20"/>
          <w:szCs w:val="20"/>
        </w:rPr>
        <w:t>non-weighted averages for EU and the euro area. Real GDHI per capita is measured using 'unadjusted income' (i.e. without including social transfers in kind) and without correction for purchasing power standards.</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Flags – b: break in time series; e: estimate</w:t>
      </w:r>
      <w:r>
        <w:rPr>
          <w:rFonts w:ascii="Times New Roman" w:hAnsi="Times New Roman" w:cs="Times New Roman"/>
          <w:noProof/>
          <w:sz w:val="20"/>
          <w:szCs w:val="20"/>
        </w:rPr>
        <w:t>d; p: provisional; u: low reliability.</w:t>
      </w:r>
    </w:p>
    <w:p w:rsidR="00CB01DD" w:rsidRDefault="00D75BDB">
      <w:pPr>
        <w:rPr>
          <w:rFonts w:ascii="Times New Roman" w:hAnsi="Times New Roman" w:cs="Times New Roman"/>
          <w:noProof/>
          <w:sz w:val="24"/>
          <w:szCs w:val="24"/>
        </w:rPr>
      </w:pPr>
      <w:r>
        <w:rPr>
          <w:rFonts w:ascii="Times New Roman" w:hAnsi="Times New Roman" w:cs="Times New Roman"/>
          <w:noProof/>
          <w:sz w:val="24"/>
          <w:szCs w:val="24"/>
        </w:rPr>
        <w:br w:type="page"/>
      </w:r>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t>Annex 1 (continued). Social scoreboard headline indicators, levels</w:t>
      </w:r>
    </w:p>
    <w:p w:rsidR="00CB01DD" w:rsidRDefault="00D75BDB">
      <w:pPr>
        <w:rPr>
          <w:rFonts w:ascii="Times New Roman" w:hAnsi="Times New Roman" w:cs="Times New Roman"/>
          <w:b/>
          <w:noProof/>
          <w:sz w:val="24"/>
          <w:szCs w:val="24"/>
        </w:rPr>
      </w:pPr>
      <w:r>
        <w:rPr>
          <w:noProof/>
          <w:lang w:eastAsia="en-GB"/>
        </w:rPr>
        <w:drawing>
          <wp:inline distT="0" distB="0" distL="0" distR="0" wp14:anchorId="736E23C9" wp14:editId="635FBBEC">
            <wp:extent cx="4649638" cy="612548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407" cy="6123861"/>
                    </a:xfrm>
                    <a:prstGeom prst="rect">
                      <a:avLst/>
                    </a:prstGeom>
                    <a:noFill/>
                    <a:ln>
                      <a:noFill/>
                    </a:ln>
                  </pic:spPr>
                </pic:pic>
              </a:graphicData>
            </a:graphic>
          </wp:inline>
        </w:drawing>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indicates indicators previously included in the scoreboard of key employment and social indicators.</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Note: EUnw and EAnw refer </w:t>
      </w:r>
      <w:r>
        <w:rPr>
          <w:rFonts w:ascii="Times New Roman" w:hAnsi="Times New Roman" w:cs="Times New Roman"/>
          <w:noProof/>
          <w:sz w:val="20"/>
          <w:szCs w:val="20"/>
        </w:rPr>
        <w:t>to the non-weighted averages for EU and the euro area.</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Flags – b: break in time series; e: estimated; p: provisional; u: low reliability.</w:t>
      </w:r>
    </w:p>
    <w:p w:rsidR="00CB01DD" w:rsidRDefault="00D75BDB">
      <w:pPr>
        <w:rPr>
          <w:rFonts w:ascii="Times New Roman" w:hAnsi="Times New Roman" w:cs="Times New Roman"/>
          <w:noProof/>
          <w:sz w:val="20"/>
          <w:szCs w:val="20"/>
        </w:rPr>
      </w:pPr>
      <w:r>
        <w:rPr>
          <w:rFonts w:ascii="Times New Roman" w:hAnsi="Times New Roman" w:cs="Times New Roman"/>
          <w:noProof/>
          <w:sz w:val="20"/>
          <w:szCs w:val="20"/>
        </w:rPr>
        <w:br w:type="page"/>
      </w:r>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t>Annex 2. Social scoreboard headline indicators, changes and distance to EU</w:t>
      </w:r>
    </w:p>
    <w:p w:rsidR="00CB01DD" w:rsidRDefault="00D75BDB">
      <w:pPr>
        <w:rPr>
          <w:rFonts w:ascii="Times New Roman" w:hAnsi="Times New Roman" w:cs="Times New Roman"/>
          <w:b/>
          <w:noProof/>
          <w:sz w:val="24"/>
          <w:szCs w:val="24"/>
        </w:rPr>
      </w:pPr>
      <w:r>
        <w:rPr>
          <w:noProof/>
          <w:lang w:eastAsia="en-GB"/>
        </w:rPr>
        <w:drawing>
          <wp:inline distT="0" distB="0" distL="0" distR="0" wp14:anchorId="6AB927C5" wp14:editId="5C37A501">
            <wp:extent cx="5760720" cy="5257211"/>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5257211"/>
                    </a:xfrm>
                    <a:prstGeom prst="rect">
                      <a:avLst/>
                    </a:prstGeom>
                    <a:noFill/>
                    <a:ln>
                      <a:noFill/>
                    </a:ln>
                  </pic:spPr>
                </pic:pic>
              </a:graphicData>
            </a:graphic>
          </wp:inline>
        </w:drawing>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indicates indicator</w:t>
      </w:r>
      <w:r>
        <w:rPr>
          <w:rFonts w:ascii="Times New Roman" w:hAnsi="Times New Roman" w:cs="Times New Roman"/>
          <w:noProof/>
          <w:sz w:val="20"/>
          <w:szCs w:val="20"/>
        </w:rPr>
        <w:t>s previously included in the scoreboard of key employment and social indicators.</w:t>
      </w:r>
    </w:p>
    <w:p w:rsidR="00CB01DD" w:rsidRDefault="00D75BDB">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Note: EUnw and EAnw refer to the non-weighted averages for EU and the euro area. A</w:t>
      </w:r>
      <w:r>
        <w:rPr>
          <w:rFonts w:ascii="Times New Roman" w:hAnsi="Times New Roman" w:cs="Times New Roman"/>
          <w:noProof/>
          <w:color w:val="000000"/>
          <w:sz w:val="20"/>
          <w:szCs w:val="20"/>
        </w:rPr>
        <w:t>t 31</w:t>
      </w:r>
      <w:r>
        <w:rPr>
          <w:rFonts w:ascii="Times New Roman" w:hAnsi="Times New Roman" w:cs="Times New Roman"/>
          <w:noProof/>
          <w:color w:val="000000"/>
          <w:sz w:val="20"/>
          <w:szCs w:val="20"/>
          <w:vertAlign w:val="superscript"/>
        </w:rPr>
        <w:t>th</w:t>
      </w:r>
      <w:r>
        <w:rPr>
          <w:rFonts w:ascii="Times New Roman" w:hAnsi="Times New Roman" w:cs="Times New Roman"/>
          <w:noProof/>
          <w:color w:val="000000"/>
          <w:sz w:val="20"/>
          <w:szCs w:val="20"/>
        </w:rPr>
        <w:t xml:space="preserve"> October 2017, statistical significance estimates for changes and differences to the EU</w:t>
      </w:r>
      <w:r>
        <w:rPr>
          <w:rFonts w:ascii="Times New Roman" w:hAnsi="Times New Roman" w:cs="Times New Roman"/>
          <w:noProof/>
          <w:color w:val="000000"/>
          <w:sz w:val="20"/>
          <w:szCs w:val="20"/>
        </w:rPr>
        <w:t xml:space="preserve"> average of SILC-based indicators are not yet available.</w:t>
      </w:r>
      <w:r>
        <w:rPr>
          <w:rFonts w:ascii="Times New Roman" w:hAnsi="Times New Roman" w:cs="Times New Roman"/>
          <w:noProof/>
          <w:sz w:val="20"/>
          <w:szCs w:val="20"/>
        </w:rPr>
        <w:tab/>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Flags – b: break in time series; e: estimated; p: provisional; u: low reliability.</w:t>
      </w:r>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br w:type="page"/>
      </w:r>
    </w:p>
    <w:p w:rsidR="00CB01DD" w:rsidRDefault="00D75BDB">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Annex 2 (continued). Social scoreboard headline indicators, changes and distance to EU</w:t>
      </w:r>
    </w:p>
    <w:p w:rsidR="00CB01DD" w:rsidRDefault="00CB01DD">
      <w:pPr>
        <w:rPr>
          <w:rFonts w:ascii="Times New Roman" w:hAnsi="Times New Roman" w:cs="Times New Roman"/>
          <w:b/>
          <w:noProof/>
          <w:sz w:val="24"/>
          <w:szCs w:val="24"/>
        </w:rPr>
      </w:pPr>
    </w:p>
    <w:p w:rsidR="00CB01DD" w:rsidRDefault="00D75BDB">
      <w:pPr>
        <w:rPr>
          <w:rFonts w:ascii="Times New Roman" w:hAnsi="Times New Roman" w:cs="Times New Roman"/>
          <w:b/>
          <w:noProof/>
          <w:sz w:val="24"/>
          <w:szCs w:val="24"/>
        </w:rPr>
      </w:pPr>
      <w:r>
        <w:rPr>
          <w:noProof/>
          <w:lang w:eastAsia="en-GB"/>
        </w:rPr>
        <w:drawing>
          <wp:inline distT="0" distB="0" distL="0" distR="0" wp14:anchorId="5DC1FB8A" wp14:editId="75DBD7B6">
            <wp:extent cx="5760720" cy="525721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5257211"/>
                    </a:xfrm>
                    <a:prstGeom prst="rect">
                      <a:avLst/>
                    </a:prstGeom>
                    <a:noFill/>
                    <a:ln>
                      <a:noFill/>
                    </a:ln>
                  </pic:spPr>
                </pic:pic>
              </a:graphicData>
            </a:graphic>
          </wp:inline>
        </w:drawing>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t>indicates indicators previously included in the scoreboard of key employment and social indicators.</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Flags – b: break in time series; e: estimated; p: provisional; u: low reliability.</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Note: real GDHI per capita is measured using 'unadjusted income' (i.e. wi</w:t>
      </w:r>
      <w:r>
        <w:rPr>
          <w:rFonts w:ascii="Times New Roman" w:hAnsi="Times New Roman" w:cs="Times New Roman"/>
          <w:noProof/>
          <w:sz w:val="20"/>
          <w:szCs w:val="20"/>
        </w:rPr>
        <w:t>thout including social transfers in kind) and without correction for purchasing power standards.</w:t>
      </w:r>
    </w:p>
    <w:p w:rsidR="00CB01DD" w:rsidRDefault="00D75BDB">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Note: EUnw and EAnw refer to the non-weighted averages for EU and the euro area. A</w:t>
      </w:r>
      <w:r>
        <w:rPr>
          <w:rFonts w:ascii="Times New Roman" w:hAnsi="Times New Roman" w:cs="Times New Roman"/>
          <w:noProof/>
          <w:color w:val="000000"/>
          <w:sz w:val="20"/>
          <w:szCs w:val="20"/>
        </w:rPr>
        <w:t>t 31</w:t>
      </w:r>
      <w:r>
        <w:rPr>
          <w:rFonts w:ascii="Times New Roman" w:hAnsi="Times New Roman" w:cs="Times New Roman"/>
          <w:noProof/>
          <w:color w:val="000000"/>
          <w:sz w:val="20"/>
          <w:szCs w:val="20"/>
          <w:vertAlign w:val="superscript"/>
        </w:rPr>
        <w:t>th</w:t>
      </w:r>
      <w:r>
        <w:rPr>
          <w:rFonts w:ascii="Times New Roman" w:hAnsi="Times New Roman" w:cs="Times New Roman"/>
          <w:noProof/>
          <w:color w:val="000000"/>
          <w:sz w:val="20"/>
          <w:szCs w:val="20"/>
        </w:rPr>
        <w:t xml:space="preserve"> October 2017, statistical significance estimates for changes and diffe</w:t>
      </w:r>
      <w:r>
        <w:rPr>
          <w:rFonts w:ascii="Times New Roman" w:hAnsi="Times New Roman" w:cs="Times New Roman"/>
          <w:noProof/>
          <w:color w:val="000000"/>
          <w:sz w:val="20"/>
          <w:szCs w:val="20"/>
        </w:rPr>
        <w:t>rences to the EU average of SILC-based indicators are not yet available.</w:t>
      </w:r>
      <w:r>
        <w:rPr>
          <w:rFonts w:ascii="Times New Roman" w:hAnsi="Times New Roman" w:cs="Times New Roman"/>
          <w:noProof/>
          <w:sz w:val="20"/>
          <w:szCs w:val="20"/>
        </w:rPr>
        <w:tab/>
      </w:r>
    </w:p>
    <w:p w:rsidR="00CB01DD" w:rsidRDefault="00D75BDB">
      <w:pPr>
        <w:rPr>
          <w:rFonts w:ascii="Times New Roman" w:hAnsi="Times New Roman" w:cs="Times New Roman"/>
          <w:b/>
          <w:noProof/>
          <w:sz w:val="24"/>
          <w:szCs w:val="24"/>
        </w:rPr>
      </w:pPr>
      <w:r>
        <w:rPr>
          <w:rFonts w:ascii="Times New Roman" w:hAnsi="Times New Roman" w:cs="Times New Roman"/>
          <w:b/>
          <w:noProof/>
          <w:sz w:val="24"/>
          <w:szCs w:val="24"/>
        </w:rPr>
        <w:br w:type="page"/>
      </w:r>
    </w:p>
    <w:p w:rsidR="00CB01DD" w:rsidRDefault="00D75BDB">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Annex 2 (continued). Social scoreboard headline indicators, changes and distance to EU</w:t>
      </w:r>
    </w:p>
    <w:p w:rsidR="00CB01DD" w:rsidRDefault="00CB01DD">
      <w:pPr>
        <w:rPr>
          <w:rFonts w:ascii="Times New Roman" w:hAnsi="Times New Roman" w:cs="Times New Roman"/>
          <w:b/>
          <w:noProof/>
          <w:sz w:val="24"/>
          <w:szCs w:val="24"/>
        </w:rPr>
      </w:pPr>
    </w:p>
    <w:p w:rsidR="00CB01DD" w:rsidRDefault="00D75BDB">
      <w:pPr>
        <w:rPr>
          <w:rFonts w:ascii="Times New Roman" w:hAnsi="Times New Roman" w:cs="Times New Roman"/>
          <w:b/>
          <w:noProof/>
          <w:sz w:val="24"/>
          <w:szCs w:val="24"/>
        </w:rPr>
      </w:pPr>
      <w:r>
        <w:rPr>
          <w:noProof/>
          <w:lang w:eastAsia="en-GB"/>
        </w:rPr>
        <w:drawing>
          <wp:inline distT="0" distB="0" distL="0" distR="0" wp14:anchorId="0DEF679E" wp14:editId="3466CDAC">
            <wp:extent cx="4876301" cy="54864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78586" cy="5488971"/>
                    </a:xfrm>
                    <a:prstGeom prst="rect">
                      <a:avLst/>
                    </a:prstGeom>
                    <a:noFill/>
                    <a:ln>
                      <a:noFill/>
                    </a:ln>
                  </pic:spPr>
                </pic:pic>
              </a:graphicData>
            </a:graphic>
          </wp:inline>
        </w:drawing>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 indicates indicators previously included in the scoreboard of key </w:t>
      </w:r>
      <w:r>
        <w:rPr>
          <w:rFonts w:ascii="Times New Roman" w:hAnsi="Times New Roman" w:cs="Times New Roman"/>
          <w:noProof/>
          <w:sz w:val="20"/>
          <w:szCs w:val="20"/>
        </w:rPr>
        <w:t>employment and social indicators.</w:t>
      </w:r>
    </w:p>
    <w:p w:rsidR="00CB01DD" w:rsidRDefault="00D75BDB">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Flags – b: break in time series; e: estimated; p: provisional; u: low reliability</w:t>
      </w:r>
    </w:p>
    <w:p w:rsidR="00CB01DD" w:rsidRDefault="00D75BDB">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Note: EUnw and EAnw refer to the non-weighted averages for EU and the euro area. A</w:t>
      </w:r>
      <w:r>
        <w:rPr>
          <w:rFonts w:ascii="Times New Roman" w:hAnsi="Times New Roman" w:cs="Times New Roman"/>
          <w:noProof/>
          <w:color w:val="000000"/>
          <w:sz w:val="20"/>
          <w:szCs w:val="20"/>
        </w:rPr>
        <w:t>t 31</w:t>
      </w:r>
      <w:r>
        <w:rPr>
          <w:rFonts w:ascii="Times New Roman" w:hAnsi="Times New Roman" w:cs="Times New Roman"/>
          <w:noProof/>
          <w:color w:val="000000"/>
          <w:sz w:val="20"/>
          <w:szCs w:val="20"/>
          <w:vertAlign w:val="superscript"/>
        </w:rPr>
        <w:t>th</w:t>
      </w:r>
      <w:r>
        <w:rPr>
          <w:rFonts w:ascii="Times New Roman" w:hAnsi="Times New Roman" w:cs="Times New Roman"/>
          <w:noProof/>
          <w:color w:val="000000"/>
          <w:sz w:val="20"/>
          <w:szCs w:val="20"/>
        </w:rPr>
        <w:t xml:space="preserve"> October 2017, statistical significance estimates fo</w:t>
      </w:r>
      <w:r>
        <w:rPr>
          <w:rFonts w:ascii="Times New Roman" w:hAnsi="Times New Roman" w:cs="Times New Roman"/>
          <w:noProof/>
          <w:color w:val="000000"/>
          <w:sz w:val="20"/>
          <w:szCs w:val="20"/>
        </w:rPr>
        <w:t>r changes and differences to the EU average of SILC-based indicators are not yet available.</w:t>
      </w:r>
      <w:r>
        <w:rPr>
          <w:rFonts w:ascii="Times New Roman" w:hAnsi="Times New Roman" w:cs="Times New Roman"/>
          <w:noProof/>
          <w:sz w:val="20"/>
          <w:szCs w:val="20"/>
        </w:rPr>
        <w:tab/>
      </w:r>
    </w:p>
    <w:p w:rsidR="00CB01DD" w:rsidRDefault="00CB01DD">
      <w:pPr>
        <w:rPr>
          <w:rFonts w:ascii="Times New Roman" w:hAnsi="Times New Roman" w:cs="Times New Roman"/>
          <w:b/>
          <w:noProof/>
          <w:sz w:val="24"/>
          <w:szCs w:val="24"/>
        </w:rPr>
      </w:pPr>
    </w:p>
    <w:p w:rsidR="00CB01DD" w:rsidRDefault="00CB01DD">
      <w:pPr>
        <w:rPr>
          <w:rFonts w:ascii="Times New Roman" w:hAnsi="Times New Roman" w:cs="Times New Roman"/>
          <w:b/>
          <w:noProof/>
          <w:sz w:val="24"/>
          <w:szCs w:val="24"/>
        </w:rPr>
        <w:sectPr w:rsidR="00CB01DD">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08"/>
          <w:docGrid w:linePitch="360"/>
        </w:sectPr>
      </w:pPr>
    </w:p>
    <w:p w:rsidR="00CB01DD" w:rsidRDefault="00D75BDB">
      <w:pPr>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Annex 3. Methodological note on the identification of trends and levels in the scoreboard </w:t>
      </w:r>
    </w:p>
    <w:p w:rsidR="00CB01DD" w:rsidRDefault="00D75BDB">
      <w:pPr>
        <w:jc w:val="both"/>
        <w:rPr>
          <w:rFonts w:cs="Times New Roman"/>
          <w:noProof/>
          <w:sz w:val="20"/>
          <w:szCs w:val="20"/>
          <w:lang w:val="en-US"/>
        </w:rPr>
      </w:pPr>
      <w:r>
        <w:rPr>
          <w:rFonts w:ascii="Times New Roman" w:hAnsi="Times New Roman" w:cs="Times New Roman"/>
          <w:noProof/>
          <w:sz w:val="20"/>
          <w:szCs w:val="20"/>
        </w:rPr>
        <w:t>In mid-2015 the European Commission, the Employment Committee and the Social Protection Committee agreed on a methodology for assessing Member States' performance on the scoreboard of key employment and social indicators. As part of the agreement, the meth</w:t>
      </w:r>
      <w:r>
        <w:rPr>
          <w:rFonts w:ascii="Times New Roman" w:hAnsi="Times New Roman" w:cs="Times New Roman"/>
          <w:noProof/>
          <w:sz w:val="20"/>
          <w:szCs w:val="20"/>
        </w:rPr>
        <w:t xml:space="preserve">odology </w:t>
      </w:r>
      <w:r>
        <w:rPr>
          <w:rFonts w:ascii="Times New Roman" w:hAnsi="Times New Roman" w:cs="Times New Roman"/>
          <w:noProof/>
          <w:sz w:val="20"/>
          <w:szCs w:val="20"/>
          <w:lang w:eastAsia="fr-BE"/>
        </w:rPr>
        <w:t>aimed at providing, for each indicator, a measure of the relative standing of each MS within the distribution of the indicator values (scores) of the EU. The methodology is applied jointly to year-levels (levels) as well as to one-year changes (cha</w:t>
      </w:r>
      <w:r>
        <w:rPr>
          <w:rFonts w:ascii="Times New Roman" w:hAnsi="Times New Roman" w:cs="Times New Roman"/>
          <w:noProof/>
          <w:sz w:val="20"/>
          <w:szCs w:val="20"/>
          <w:lang w:eastAsia="fr-BE"/>
        </w:rPr>
        <w:t>nges), thus enabling a holistic assessment of MS performance.</w:t>
      </w:r>
      <w:r>
        <w:rPr>
          <w:rFonts w:ascii="Times New Roman" w:hAnsi="Times New Roman" w:cs="Times New Roman"/>
          <w:noProof/>
          <w:sz w:val="20"/>
          <w:szCs w:val="20"/>
          <w:lang w:val="en-US"/>
        </w:rPr>
        <w:t xml:space="preserve"> </w:t>
      </w:r>
    </w:p>
    <w:p w:rsidR="00CB01DD" w:rsidRDefault="00D75BDB">
      <w:pPr>
        <w:jc w:val="both"/>
        <w:rPr>
          <w:rFonts w:cs="Times New Roman"/>
          <w:noProof/>
          <w:sz w:val="20"/>
          <w:szCs w:val="20"/>
          <w:lang w:val="en-US"/>
        </w:rPr>
      </w:pPr>
      <w:r>
        <w:rPr>
          <w:rFonts w:ascii="Times New Roman" w:hAnsi="Times New Roman" w:cs="Times New Roman"/>
          <w:noProof/>
          <w:sz w:val="20"/>
          <w:szCs w:val="20"/>
          <w:lang w:val="en-US"/>
        </w:rPr>
        <w:t>For the 2018 Joint Employment Report, the Commission in agreement with Member States, has decided to apply the methodology to the new social scoreboard accompanying the European Pillar of Socia</w:t>
      </w:r>
      <w:r>
        <w:rPr>
          <w:rFonts w:ascii="Times New Roman" w:hAnsi="Times New Roman" w:cs="Times New Roman"/>
          <w:noProof/>
          <w:sz w:val="20"/>
          <w:szCs w:val="20"/>
          <w:lang w:val="en-US"/>
        </w:rPr>
        <w:t>l Rights.</w:t>
      </w:r>
    </w:p>
    <w:p w:rsidR="00CB01DD" w:rsidRDefault="00D75BDB">
      <w:pPr>
        <w:jc w:val="both"/>
        <w:rPr>
          <w:rFonts w:ascii="Times New Roman" w:hAnsi="Times New Roman" w:cs="Times New Roman"/>
          <w:noProof/>
          <w:sz w:val="20"/>
        </w:rPr>
      </w:pPr>
      <w:r>
        <w:rPr>
          <w:rFonts w:ascii="Times New Roman" w:hAnsi="Times New Roman" w:cs="Times New Roman"/>
          <w:noProof/>
          <w:sz w:val="20"/>
          <w:szCs w:val="20"/>
        </w:rPr>
        <w:t xml:space="preserve">In detail, for each indicator, levels and changes are converted to standard scores (also known as z-scores), which allow </w:t>
      </w:r>
      <w:r>
        <w:rPr>
          <w:rFonts w:ascii="Times New Roman" w:hAnsi="Times New Roman" w:cs="Times New Roman"/>
          <w:noProof/>
          <w:sz w:val="20"/>
          <w:szCs w:val="20"/>
          <w:lang w:val="en-US"/>
        </w:rPr>
        <w:t xml:space="preserve">to apply the same metric to all the indicators. </w:t>
      </w:r>
      <w:r>
        <w:rPr>
          <w:rFonts w:ascii="Times New Roman" w:hAnsi="Times New Roman" w:cs="Times New Roman"/>
          <w:noProof/>
          <w:sz w:val="20"/>
        </w:rPr>
        <w:t>This is achieved by standardising raw values of both levels and changes accor</w:t>
      </w:r>
      <w:r>
        <w:rPr>
          <w:rFonts w:ascii="Times New Roman" w:hAnsi="Times New Roman" w:cs="Times New Roman"/>
          <w:noProof/>
          <w:sz w:val="20"/>
        </w:rPr>
        <w:t>ding to the formula:</w:t>
      </w:r>
    </w:p>
    <w:p w:rsidR="00CB01DD" w:rsidRDefault="00D75BDB">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m:t>
              </m:r>
              <m:r>
                <w:rPr>
                  <w:rFonts w:ascii="Cambria Math" w:hAnsi="Cambria Math" w:cs="Times New Roman"/>
                  <w:noProof/>
                  <w:sz w:val="20"/>
                </w:rPr>
                <m:t>-</m:t>
              </m:r>
              <m:r>
                <w:rPr>
                  <w:rFonts w:ascii="Cambria Math" w:hAnsi="Cambria Math" w:cs="Times New Roman"/>
                  <w:noProof/>
                  <w:sz w:val="20"/>
                </w:rPr>
                <m:t>score</m:t>
              </m:r>
              <m:r>
                <w:rPr>
                  <w:rFonts w:ascii="Cambria Math" w:hAnsi="Cambria Math" w:cs="Times New Roman"/>
                  <w:noProof/>
                  <w:sz w:val="20"/>
                </w:rPr>
                <m:t xml:space="preserve"> </m:t>
              </m:r>
              <m:r>
                <w:rPr>
                  <w:rFonts w:ascii="Cambria Math" w:hAnsi="Cambria Math" w:cs="Times New Roman"/>
                  <w:noProof/>
                  <w:sz w:val="20"/>
                </w:rPr>
                <m:t>for</m:t>
              </m:r>
              <m:r>
                <w:rPr>
                  <w:rFonts w:ascii="Cambria Math" w:hAnsi="Cambria Math" w:cs="Times New Roman"/>
                  <w:noProof/>
                  <w:sz w:val="20"/>
                </w:rPr>
                <m:t xml:space="preserve"> </m:t>
              </m:r>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 xml:space="preserve"> -</m:t>
                  </m:r>
                  <m:r>
                    <w:rPr>
                      <w:rFonts w:ascii="Cambria Math" w:hAnsi="Cambria Math" w:cs="Times New Roman"/>
                      <w:noProof/>
                      <w:sz w:val="20"/>
                    </w:rPr>
                    <m:t>average</m:t>
                  </m:r>
                  <m:r>
                    <w:rPr>
                      <w:rFonts w:ascii="Cambria Math" w:hAnsi="Cambria Math" w:cs="Times New Roman"/>
                      <w:noProof/>
                      <w:sz w:val="20"/>
                    </w:rPr>
                    <m:t xml:space="preserve"> </m:t>
                  </m:r>
                  <m:d>
                    <m:dPr>
                      <m:ctrlPr>
                        <w:rPr>
                          <w:rFonts w:ascii="Cambria Math" w:hAnsi="Cambria Math" w:cs="Times New Roman"/>
                          <w:i/>
                          <w:noProof/>
                          <w:sz w:val="20"/>
                        </w:rPr>
                      </m:ctrlPr>
                    </m:dPr>
                    <m:e>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e>
                  </m:d>
                </m:e>
              </m:d>
            </m:num>
            <m:den>
              <m:r>
                <w:rPr>
                  <w:rFonts w:ascii="Cambria Math" w:hAnsi="Cambria Math" w:cs="Times New Roman"/>
                  <w:noProof/>
                  <w:sz w:val="20"/>
                </w:rPr>
                <m:t>standard</m:t>
              </m:r>
              <m:r>
                <w:rPr>
                  <w:rFonts w:ascii="Cambria Math" w:hAnsi="Cambria Math" w:cs="Times New Roman"/>
                  <w:noProof/>
                  <w:sz w:val="20"/>
                </w:rPr>
                <m:t xml:space="preserve"> </m:t>
              </m:r>
              <m:r>
                <w:rPr>
                  <w:rFonts w:ascii="Cambria Math" w:hAnsi="Cambria Math" w:cs="Times New Roman"/>
                  <w:noProof/>
                  <w:sz w:val="20"/>
                </w:rPr>
                <m:t>deviation</m:t>
              </m:r>
              <m:r>
                <w:rPr>
                  <w:rFonts w:ascii="Cambria Math" w:hAnsi="Cambria Math" w:cs="Times New Roman"/>
                  <w:noProof/>
                  <w:sz w:val="20"/>
                </w:rPr>
                <m:t xml:space="preserve"> (</m:t>
              </m:r>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m:t>
              </m:r>
            </m:den>
          </m:f>
        </m:oMath>
      </m:oMathPara>
    </w:p>
    <w:p w:rsidR="00CB01DD" w:rsidRDefault="00D75BDB">
      <w:pPr>
        <w:spacing w:after="120" w:line="240" w:lineRule="auto"/>
        <w:jc w:val="both"/>
        <w:rPr>
          <w:rFonts w:ascii="Times New Roman" w:hAnsi="Times New Roman" w:cs="Times New Roman"/>
          <w:noProof/>
          <w:sz w:val="20"/>
          <w:lang w:val="en-US"/>
        </w:rPr>
      </w:pPr>
      <w:r>
        <w:rPr>
          <w:rFonts w:ascii="Times New Roman" w:hAnsi="Times New Roman" w:cs="Times New Roman"/>
          <w:noProof/>
          <w:sz w:val="20"/>
          <w:lang w:val="en-US"/>
        </w:rPr>
        <w:t xml:space="preserve">Then </w:t>
      </w:r>
      <w:r>
        <w:rPr>
          <w:rFonts w:ascii="Times New Roman" w:hAnsi="Times New Roman" w:cs="Times New Roman"/>
          <w:noProof/>
          <w:sz w:val="20"/>
        </w:rPr>
        <w:t>the distributions of scores (separately for levels and changes) are analis</w:t>
      </w:r>
      <w:r>
        <w:rPr>
          <w:rFonts w:ascii="Times New Roman" w:hAnsi="Times New Roman" w:cs="Times New Roman"/>
          <w:noProof/>
          <w:sz w:val="20"/>
        </w:rPr>
        <w:t>ed, and the observations that significantly deviate from the average level/change are detected.</w:t>
      </w:r>
    </w:p>
    <w:p w:rsidR="00CB01DD" w:rsidRDefault="00D75BDB">
      <w:pPr>
        <w:spacing w:before="120" w:after="120" w:line="240" w:lineRule="auto"/>
        <w:jc w:val="both"/>
        <w:rPr>
          <w:rFonts w:ascii="Times New Roman" w:hAnsi="Times New Roman" w:cs="Times New Roman"/>
          <w:noProof/>
          <w:sz w:val="20"/>
        </w:rPr>
      </w:pPr>
      <w:r>
        <w:rPr>
          <w:rFonts w:ascii="Times New Roman" w:hAnsi="Times New Roman" w:cs="Times New Roman"/>
          <w:noProof/>
          <w:sz w:val="20"/>
        </w:rPr>
        <w:t xml:space="preserve">This approach enables </w:t>
      </w:r>
      <w:r>
        <w:rPr>
          <w:rFonts w:ascii="Times New Roman" w:hAnsi="Times New Roman" w:cs="Times New Roman"/>
          <w:noProof/>
          <w:sz w:val="20"/>
          <w:lang w:val="en-US"/>
        </w:rPr>
        <w:t xml:space="preserve">expressing for each Member State its raw indicator value in terms of how many standard deviations it deviates from the (unweighted) average.  </w:t>
      </w:r>
      <w:r>
        <w:rPr>
          <w:rFonts w:ascii="Times New Roman" w:hAnsi="Times New Roman" w:cs="Times New Roman"/>
          <w:noProof/>
          <w:sz w:val="20"/>
        </w:rPr>
        <w:t>Then the performance of each  MS is assessed and classified on the basis of the resulting z-scores against a set o</w:t>
      </w:r>
      <w:r>
        <w:rPr>
          <w:rFonts w:ascii="Times New Roman" w:hAnsi="Times New Roman" w:cs="Times New Roman"/>
          <w:noProof/>
          <w:sz w:val="20"/>
        </w:rPr>
        <w:t xml:space="preserve">f pre-defined thresholds, set as standard deviation multiples. </w:t>
      </w:r>
    </w:p>
    <w:p w:rsidR="00CB01DD" w:rsidRDefault="00D75BDB">
      <w:pPr>
        <w:spacing w:after="120" w:line="240" w:lineRule="auto"/>
        <w:jc w:val="both"/>
        <w:rPr>
          <w:rFonts w:ascii="Times New Roman" w:hAnsi="Times New Roman" w:cs="Times New Roman"/>
          <w:noProof/>
          <w:sz w:val="20"/>
        </w:rPr>
      </w:pPr>
      <w:r>
        <w:rPr>
          <w:rFonts w:ascii="Times New Roman" w:hAnsi="Times New Roman" w:cs="Times New Roman"/>
          <w:noProof/>
          <w:sz w:val="20"/>
        </w:rPr>
        <w:t>The most important issue within this approach is setting cut-off points. Given that no parametric assumption can be made about the distribution of the observed raw values for the employment in</w:t>
      </w:r>
      <w:r>
        <w:rPr>
          <w:rFonts w:ascii="Times New Roman" w:hAnsi="Times New Roman" w:cs="Times New Roman"/>
          <w:noProof/>
          <w:sz w:val="20"/>
        </w:rPr>
        <w:t>dicators</w:t>
      </w:r>
      <w:r>
        <w:rPr>
          <w:rStyle w:val="FootnoteReference"/>
          <w:rFonts w:ascii="Times New Roman" w:hAnsi="Times New Roman" w:cs="Times New Roman"/>
          <w:noProof/>
          <w:sz w:val="20"/>
        </w:rPr>
        <w:footnoteReference w:id="86"/>
      </w:r>
      <w:r>
        <w:rPr>
          <w:rFonts w:ascii="Times New Roman" w:hAnsi="Times New Roman" w:cs="Times New Roman"/>
          <w:noProof/>
          <w:sz w:val="20"/>
        </w:rPr>
        <w:t xml:space="preserve">, it is common to use a “rule of thumb” in selecting the thresholds. According to the analysis of the key indicators used in the scoreboard, it was agreed to consider:  </w:t>
      </w:r>
    </w:p>
    <w:p w:rsidR="00CB01DD" w:rsidRDefault="00D75BDB">
      <w:pPr>
        <w:pStyle w:val="ListParagraph"/>
        <w:numPr>
          <w:ilvl w:val="0"/>
          <w:numId w:val="9"/>
        </w:numPr>
        <w:spacing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Any score below -1 as a very good performance </w:t>
      </w:r>
    </w:p>
    <w:p w:rsidR="00CB01DD" w:rsidRDefault="00D75BDB">
      <w:pPr>
        <w:pStyle w:val="ListParagraph"/>
        <w:numPr>
          <w:ilvl w:val="0"/>
          <w:numId w:val="9"/>
        </w:numPr>
        <w:spacing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Any score between -1 and -0.5 </w:t>
      </w:r>
      <w:r>
        <w:rPr>
          <w:rFonts w:ascii="Times New Roman" w:hAnsi="Times New Roman" w:cs="Times New Roman"/>
          <w:noProof/>
          <w:sz w:val="20"/>
          <w:szCs w:val="20"/>
        </w:rPr>
        <w:t>as a good performance</w:t>
      </w:r>
    </w:p>
    <w:p w:rsidR="00CB01DD" w:rsidRDefault="00D75BDB">
      <w:pPr>
        <w:pStyle w:val="ListParagraph"/>
        <w:numPr>
          <w:ilvl w:val="0"/>
          <w:numId w:val="9"/>
        </w:numPr>
        <w:spacing w:after="120" w:line="240" w:lineRule="auto"/>
        <w:rPr>
          <w:rFonts w:ascii="Times New Roman" w:hAnsi="Times New Roman" w:cs="Times New Roman"/>
          <w:noProof/>
          <w:sz w:val="20"/>
          <w:szCs w:val="20"/>
        </w:rPr>
      </w:pPr>
      <w:r>
        <w:rPr>
          <w:rFonts w:ascii="Times New Roman" w:hAnsi="Times New Roman" w:cs="Times New Roman"/>
          <w:noProof/>
          <w:sz w:val="20"/>
          <w:szCs w:val="20"/>
        </w:rPr>
        <w:t>Any score between -0.5 and 0.5 as a neutral performance</w:t>
      </w:r>
    </w:p>
    <w:p w:rsidR="00CB01DD" w:rsidRDefault="00D75BDB">
      <w:pPr>
        <w:pStyle w:val="ListParagraph"/>
        <w:numPr>
          <w:ilvl w:val="0"/>
          <w:numId w:val="9"/>
        </w:numPr>
        <w:spacing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Any score between 0.5 and 1 as a bad performance</w:t>
      </w:r>
    </w:p>
    <w:p w:rsidR="00CB01DD" w:rsidRDefault="00D75BDB">
      <w:pPr>
        <w:pStyle w:val="ListParagraph"/>
        <w:numPr>
          <w:ilvl w:val="0"/>
          <w:numId w:val="9"/>
        </w:numPr>
        <w:spacing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Any score higher than 1 as a very bad performance</w:t>
      </w:r>
      <w:r>
        <w:rPr>
          <w:rStyle w:val="FootnoteReference"/>
          <w:rFonts w:ascii="Times New Roman" w:hAnsi="Times New Roman" w:cs="Times New Roman"/>
          <w:noProof/>
          <w:sz w:val="20"/>
          <w:szCs w:val="20"/>
        </w:rPr>
        <w:footnoteReference w:id="87"/>
      </w:r>
    </w:p>
    <w:p w:rsidR="00CB01DD" w:rsidRDefault="00CB01DD">
      <w:pPr>
        <w:pStyle w:val="Caption"/>
        <w:rPr>
          <w:rFonts w:ascii="Times New Roman" w:hAnsi="Times New Roman"/>
          <w:noProof/>
          <w:sz w:val="20"/>
        </w:rPr>
      </w:pPr>
    </w:p>
    <w:p w:rsidR="00CB01DD" w:rsidRDefault="00D75BDB">
      <w:pPr>
        <w:pStyle w:val="Caption"/>
        <w:rPr>
          <w:rFonts w:ascii="Times New Roman" w:hAnsi="Times New Roman"/>
          <w:noProof/>
          <w:sz w:val="20"/>
          <w:szCs w:val="20"/>
        </w:rPr>
      </w:pPr>
      <w:r>
        <w:rPr>
          <w:rFonts w:ascii="Times New Roman" w:hAnsi="Times New Roman"/>
          <w:noProof/>
          <w:sz w:val="20"/>
          <w:szCs w:val="20"/>
        </w:rPr>
        <w:t xml:space="preserve">Table </w:t>
      </w:r>
      <w:r>
        <w:rPr>
          <w:rFonts w:ascii="Times New Roman" w:hAnsi="Times New Roman"/>
          <w:noProof/>
          <w:sz w:val="20"/>
          <w:szCs w:val="20"/>
        </w:rPr>
        <w:fldChar w:fldCharType="begin"/>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2</w:t>
      </w:r>
      <w:r>
        <w:rPr>
          <w:rFonts w:ascii="Times New Roman" w:hAnsi="Times New Roman"/>
          <w:noProof/>
          <w:sz w:val="20"/>
          <w:szCs w:val="20"/>
        </w:rPr>
        <w:fldChar w:fldCharType="end"/>
      </w:r>
      <w:r>
        <w:rPr>
          <w:rFonts w:ascii="Times New Roman" w:hAnsi="Times New Roman"/>
          <w:noProof/>
          <w:sz w:val="20"/>
          <w:szCs w:val="20"/>
        </w:rPr>
        <w:t xml:space="preserve">: </w:t>
      </w:r>
      <w:r>
        <w:rPr>
          <w:rFonts w:ascii="Times New Roman" w:hAnsi="Times New Roman"/>
          <w:noProof/>
          <w:sz w:val="20"/>
          <w:szCs w:val="20"/>
          <w:lang w:eastAsia="it-IT"/>
        </w:rPr>
        <w:t>Z-scores threshold values</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rsidR="00CB01DD" w:rsidTr="00CB01D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rsidR="00CB01DD" w:rsidRDefault="00D75BDB">
            <w:pPr>
              <w:jc w:val="center"/>
              <w:rPr>
                <w:rFonts w:ascii="Times New Roman" w:hAnsi="Times New Roman" w:cs="Times New Roman"/>
                <w:noProof/>
                <w:color w:val="000000"/>
                <w:sz w:val="20"/>
                <w:lang w:val="en-US" w:eastAsia="it-IT"/>
              </w:rPr>
            </w:pPr>
            <w:r>
              <w:rPr>
                <w:rFonts w:ascii="Times New Roman" w:hAnsi="Times New Roman" w:cs="Times New Roman"/>
                <w:noProof/>
                <w:color w:val="000000"/>
                <w:sz w:val="20"/>
                <w:lang w:val="en-US" w:eastAsia="it-IT"/>
              </w:rPr>
              <w:t> </w:t>
            </w:r>
          </w:p>
        </w:tc>
        <w:tc>
          <w:tcPr>
            <w:tcW w:w="7271" w:type="dxa"/>
            <w:gridSpan w:val="5"/>
            <w:hideMark/>
          </w:tcPr>
          <w:p w:rsidR="00CB01DD" w:rsidRDefault="00D75B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z-scores thresho</w:t>
            </w:r>
            <w:r>
              <w:rPr>
                <w:rFonts w:ascii="Times New Roman" w:hAnsi="Times New Roman" w:cs="Times New Roman"/>
                <w:noProof/>
                <w:color w:val="000000"/>
                <w:sz w:val="20"/>
                <w:lang w:eastAsia="it-IT"/>
              </w:rPr>
              <w:t>ld values</w:t>
            </w:r>
          </w:p>
        </w:tc>
      </w:tr>
      <w:tr w:rsidR="00CB01DD" w:rsidTr="00CB01DD">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rsidR="00CB01DD" w:rsidRDefault="00CB01DD">
            <w:pPr>
              <w:rPr>
                <w:rFonts w:ascii="Times New Roman" w:hAnsi="Times New Roman" w:cs="Times New Roman"/>
                <w:noProof/>
                <w:color w:val="000000"/>
                <w:sz w:val="20"/>
                <w:lang w:eastAsia="it-IT"/>
              </w:rPr>
            </w:pPr>
          </w:p>
        </w:tc>
        <w:tc>
          <w:tcPr>
            <w:tcW w:w="1428" w:type="dxa"/>
            <w:noWrap/>
            <w:hideMark/>
          </w:tcPr>
          <w:p w:rsidR="00CB01DD" w:rsidRDefault="00D75B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-1.0</w:t>
            </w:r>
          </w:p>
        </w:tc>
        <w:tc>
          <w:tcPr>
            <w:tcW w:w="1558" w:type="dxa"/>
            <w:noWrap/>
            <w:hideMark/>
          </w:tcPr>
          <w:p w:rsidR="00CB01DD" w:rsidRDefault="00D75B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- 0.5</w:t>
            </w:r>
          </w:p>
        </w:tc>
        <w:tc>
          <w:tcPr>
            <w:tcW w:w="1428" w:type="dxa"/>
            <w:noWrap/>
            <w:hideMark/>
          </w:tcPr>
          <w:p w:rsidR="00CB01DD" w:rsidRDefault="00D75B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0</w:t>
            </w:r>
          </w:p>
        </w:tc>
        <w:tc>
          <w:tcPr>
            <w:tcW w:w="1428" w:type="dxa"/>
            <w:noWrap/>
            <w:hideMark/>
          </w:tcPr>
          <w:p w:rsidR="00CB01DD" w:rsidRDefault="00D75B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0.5</w:t>
            </w:r>
          </w:p>
        </w:tc>
        <w:tc>
          <w:tcPr>
            <w:tcW w:w="1430" w:type="dxa"/>
            <w:noWrap/>
            <w:hideMark/>
          </w:tcPr>
          <w:p w:rsidR="00CB01DD" w:rsidRDefault="00D75B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1.0</w:t>
            </w:r>
          </w:p>
        </w:tc>
      </w:tr>
      <w:tr w:rsidR="00CB01DD" w:rsidTr="00CB01DD">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rsidR="00CB01DD" w:rsidRDefault="00CB01DD">
            <w:pPr>
              <w:rPr>
                <w:rFonts w:ascii="Times New Roman" w:hAnsi="Times New Roman" w:cs="Times New Roman"/>
                <w:noProof/>
                <w:color w:val="000000"/>
                <w:sz w:val="20"/>
                <w:lang w:eastAsia="it-IT"/>
              </w:rPr>
            </w:pPr>
          </w:p>
        </w:tc>
        <w:tc>
          <w:tcPr>
            <w:tcW w:w="1428" w:type="dxa"/>
            <w:noWrap/>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(lower than)</w:t>
            </w:r>
          </w:p>
        </w:tc>
        <w:tc>
          <w:tcPr>
            <w:tcW w:w="1558" w:type="dxa"/>
            <w:noWrap/>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(lower than)</w:t>
            </w:r>
          </w:p>
        </w:tc>
        <w:tc>
          <w:tcPr>
            <w:tcW w:w="1428" w:type="dxa"/>
            <w:noWrap/>
            <w:hideMark/>
          </w:tcPr>
          <w:p w:rsidR="00CB01DD" w:rsidRDefault="00D75B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65F91"/>
                <w:sz w:val="20"/>
                <w:lang w:eastAsia="it-IT"/>
              </w:rPr>
            </w:pPr>
            <w:r>
              <w:rPr>
                <w:rFonts w:ascii="Times New Roman" w:hAnsi="Times New Roman" w:cs="Times New Roman"/>
                <w:noProof/>
                <w:color w:val="365F91"/>
                <w:sz w:val="20"/>
                <w:lang w:eastAsia="it-IT"/>
              </w:rPr>
              <w:t>(between)</w:t>
            </w:r>
          </w:p>
        </w:tc>
        <w:tc>
          <w:tcPr>
            <w:tcW w:w="1428" w:type="dxa"/>
            <w:noWrap/>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(Higher than)</w:t>
            </w:r>
          </w:p>
        </w:tc>
        <w:tc>
          <w:tcPr>
            <w:tcW w:w="1430" w:type="dxa"/>
            <w:noWrap/>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(Higher than)</w:t>
            </w:r>
          </w:p>
        </w:tc>
      </w:tr>
      <w:tr w:rsidR="00CB01DD" w:rsidTr="00CB01D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rsidR="00CB01DD" w:rsidRDefault="00CB01DD">
            <w:pPr>
              <w:rPr>
                <w:rFonts w:ascii="Times New Roman" w:hAnsi="Times New Roman" w:cs="Times New Roman"/>
                <w:noProof/>
                <w:color w:val="000000"/>
                <w:sz w:val="20"/>
                <w:lang w:eastAsia="it-IT"/>
              </w:rPr>
            </w:pPr>
          </w:p>
        </w:tc>
        <w:tc>
          <w:tcPr>
            <w:tcW w:w="7271" w:type="dxa"/>
            <w:gridSpan w:val="5"/>
            <w:hideMark/>
          </w:tcPr>
          <w:p w:rsidR="00CB01DD" w:rsidRDefault="00D75B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lang w:eastAsia="it-IT"/>
              </w:rPr>
            </w:pPr>
            <w:r>
              <w:rPr>
                <w:rFonts w:ascii="Times New Roman" w:hAnsi="Times New Roman" w:cs="Times New Roman"/>
                <w:b/>
                <w:bCs/>
                <w:noProof/>
                <w:color w:val="000000"/>
                <w:sz w:val="20"/>
                <w:lang w:eastAsia="it-IT"/>
              </w:rPr>
              <w:t>Assessment</w:t>
            </w:r>
          </w:p>
        </w:tc>
      </w:tr>
      <w:tr w:rsidR="00CB01DD" w:rsidTr="00CB01DD">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rsidR="00CB01DD" w:rsidRDefault="00D75BDB">
            <w:pPr>
              <w:jc w:val="center"/>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Levels</w:t>
            </w:r>
          </w:p>
        </w:tc>
        <w:tc>
          <w:tcPr>
            <w:tcW w:w="142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Very Low</w:t>
            </w:r>
          </w:p>
        </w:tc>
        <w:tc>
          <w:tcPr>
            <w:tcW w:w="155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Low</w:t>
            </w:r>
          </w:p>
        </w:tc>
        <w:tc>
          <w:tcPr>
            <w:tcW w:w="142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On average</w:t>
            </w:r>
          </w:p>
        </w:tc>
        <w:tc>
          <w:tcPr>
            <w:tcW w:w="142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High</w:t>
            </w:r>
          </w:p>
        </w:tc>
        <w:tc>
          <w:tcPr>
            <w:tcW w:w="1430"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Very High</w:t>
            </w:r>
          </w:p>
        </w:tc>
      </w:tr>
      <w:tr w:rsidR="00CB01DD" w:rsidTr="00CB01D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rsidR="00CB01DD" w:rsidRDefault="00D75BDB">
            <w:pPr>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 </w:t>
            </w:r>
          </w:p>
        </w:tc>
        <w:tc>
          <w:tcPr>
            <w:tcW w:w="1428" w:type="dxa"/>
            <w:noWrap/>
            <w:hideMark/>
          </w:tcPr>
          <w:p w:rsidR="00CB01DD" w:rsidRDefault="00CB01D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558" w:type="dxa"/>
            <w:noWrap/>
            <w:hideMark/>
          </w:tcPr>
          <w:p w:rsidR="00CB01DD" w:rsidRDefault="00CB01D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rsidR="00CB01DD" w:rsidRDefault="00CB01D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rsidR="00CB01DD" w:rsidRDefault="00CB01D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30" w:type="dxa"/>
            <w:noWrap/>
            <w:hideMark/>
          </w:tcPr>
          <w:p w:rsidR="00CB01DD" w:rsidRDefault="00D75B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 </w:t>
            </w:r>
          </w:p>
        </w:tc>
      </w:tr>
      <w:tr w:rsidR="00CB01DD" w:rsidTr="00CB01DD">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rsidR="00CB01DD" w:rsidRDefault="00D75BDB">
            <w:pPr>
              <w:jc w:val="center"/>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Changes</w:t>
            </w:r>
          </w:p>
        </w:tc>
        <w:tc>
          <w:tcPr>
            <w:tcW w:w="142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Much lower than average</w:t>
            </w:r>
          </w:p>
        </w:tc>
        <w:tc>
          <w:tcPr>
            <w:tcW w:w="155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Lower than average</w:t>
            </w:r>
          </w:p>
        </w:tc>
        <w:tc>
          <w:tcPr>
            <w:tcW w:w="142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On average</w:t>
            </w:r>
          </w:p>
        </w:tc>
        <w:tc>
          <w:tcPr>
            <w:tcW w:w="1428"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Higher than average</w:t>
            </w:r>
          </w:p>
        </w:tc>
        <w:tc>
          <w:tcPr>
            <w:tcW w:w="1430" w:type="dxa"/>
            <w:hideMark/>
          </w:tcPr>
          <w:p w:rsidR="00CB01DD" w:rsidRDefault="00D75B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 xml:space="preserve">Much </w:t>
            </w:r>
            <w:r>
              <w:rPr>
                <w:rFonts w:ascii="Times New Roman" w:hAnsi="Times New Roman" w:cs="Times New Roman"/>
                <w:noProof/>
                <w:color w:val="002060"/>
                <w:sz w:val="20"/>
                <w:lang w:eastAsia="it-IT"/>
              </w:rPr>
              <w:t>higher than average</w:t>
            </w:r>
          </w:p>
        </w:tc>
      </w:tr>
    </w:tbl>
    <w:p w:rsidR="00CB01DD" w:rsidRDefault="00D75BDB">
      <w:pPr>
        <w:jc w:val="both"/>
        <w:rPr>
          <w:rFonts w:ascii="Times New Roman" w:hAnsi="Times New Roman" w:cs="Times New Roman"/>
          <w:noProof/>
          <w:sz w:val="20"/>
        </w:rPr>
      </w:pPr>
      <w:r>
        <w:rPr>
          <w:rFonts w:ascii="Times New Roman" w:hAnsi="Times New Roman" w:cs="Times New Roman"/>
          <w:bCs/>
          <w:noProof/>
          <w:sz w:val="20"/>
        </w:rPr>
        <w:br w:type="page"/>
        <w:t xml:space="preserve">By combining the evaluation of levels and changes it is then possible to classify the overall performance of a country according to each indicator within one of </w:t>
      </w:r>
      <w:r>
        <w:rPr>
          <w:rFonts w:ascii="Times New Roman" w:hAnsi="Times New Roman" w:cs="Times New Roman"/>
          <w:noProof/>
          <w:sz w:val="20"/>
        </w:rPr>
        <w:t>the following seven categories. The colour coding is reflected in the res</w:t>
      </w:r>
      <w:r>
        <w:rPr>
          <w:rFonts w:ascii="Times New Roman" w:hAnsi="Times New Roman" w:cs="Times New Roman"/>
          <w:noProof/>
          <w:sz w:val="20"/>
        </w:rPr>
        <w:t xml:space="preserve">pective figures in the body of the report. </w:t>
      </w:r>
    </w:p>
    <w:p w:rsidR="00CB01DD" w:rsidRDefault="00D75BDB">
      <w:pPr>
        <w:jc w:val="both"/>
        <w:rPr>
          <w:rFonts w:ascii="Times New Roman" w:hAnsi="Times New Roman" w:cs="Times New Roman"/>
          <w:noProof/>
          <w:sz w:val="20"/>
        </w:rPr>
      </w:pPr>
      <w:r>
        <w:rPr>
          <w:rFonts w:ascii="Times New Roman" w:hAnsi="Times New Roman" w:cs="Times New Roman"/>
          <w:noProof/>
          <w:sz w:val="20"/>
        </w:rPr>
        <w:t xml:space="preserve">The tables below provide the classification based on z-scores for those indicators for which a </w:t>
      </w:r>
      <w:r>
        <w:rPr>
          <w:rFonts w:ascii="Times New Roman" w:hAnsi="Times New Roman" w:cs="Times New Roman"/>
          <w:noProof/>
          <w:sz w:val="20"/>
          <w:u w:val="single"/>
        </w:rPr>
        <w:t>low value</w:t>
      </w:r>
      <w:r>
        <w:rPr>
          <w:rFonts w:ascii="Times New Roman" w:hAnsi="Times New Roman" w:cs="Times New Roman"/>
          <w:noProof/>
          <w:sz w:val="20"/>
        </w:rPr>
        <w:t xml:space="preserve"> is assessed as a </w:t>
      </w:r>
      <w:r>
        <w:rPr>
          <w:rFonts w:ascii="Times New Roman" w:hAnsi="Times New Roman" w:cs="Times New Roman"/>
          <w:noProof/>
          <w:sz w:val="20"/>
          <w:u w:val="single"/>
        </w:rPr>
        <w:t>good performance</w:t>
      </w:r>
      <w:r>
        <w:rPr>
          <w:rFonts w:ascii="Times New Roman" w:hAnsi="Times New Roman" w:cs="Times New Roman"/>
          <w:noProof/>
          <w:sz w:val="20"/>
        </w:rPr>
        <w:t xml:space="preserve"> (e.g. unemployment rate, AROPE, etc). </w:t>
      </w:r>
    </w:p>
    <w:tbl>
      <w:tblPr>
        <w:tblStyle w:val="TableGrid"/>
        <w:tblW w:w="0" w:type="auto"/>
        <w:tblLook w:val="04A0" w:firstRow="1" w:lastRow="0" w:firstColumn="1" w:lastColumn="0" w:noHBand="0" w:noVBand="1"/>
      </w:tblPr>
      <w:tblGrid>
        <w:gridCol w:w="1930"/>
        <w:gridCol w:w="3638"/>
        <w:gridCol w:w="3720"/>
      </w:tblGrid>
      <w:tr w:rsidR="00CB01DD">
        <w:tc>
          <w:tcPr>
            <w:tcW w:w="2508" w:type="dxa"/>
            <w:shd w:val="clear" w:color="auto" w:fill="00B05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Best performers</w:t>
            </w:r>
            <w:r>
              <w:rPr>
                <w:rFonts w:ascii="Times New Roman" w:hAnsi="Times New Roman" w:cs="Times New Roman"/>
                <w:noProof/>
                <w:sz w:val="20"/>
                <w:szCs w:val="20"/>
                <w:lang w:val="en-US"/>
              </w:rPr>
              <w:t xml:space="preserve">  </w:t>
            </w:r>
          </w:p>
        </w:tc>
        <w:tc>
          <w:tcPr>
            <w:tcW w:w="5640" w:type="dxa"/>
            <w:shd w:val="clear" w:color="auto" w:fill="00B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less </w:t>
            </w:r>
            <w:r>
              <w:rPr>
                <w:rFonts w:ascii="Times New Roman" w:hAnsi="Times New Roman" w:cs="Times New Roman"/>
                <w:noProof/>
                <w:sz w:val="20"/>
                <w:szCs w:val="20"/>
                <w:lang w:val="en-US"/>
              </w:rPr>
              <w:t>than -1.0 in levels and less than 1.0 in changes</w:t>
            </w:r>
          </w:p>
        </w:tc>
        <w:tc>
          <w:tcPr>
            <w:tcW w:w="5640" w:type="dxa"/>
            <w:shd w:val="clear" w:color="auto" w:fill="00B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much better than the EU average and with the situation improving or not deteriorating much faster than the EU average</w:t>
            </w:r>
          </w:p>
        </w:tc>
      </w:tr>
      <w:tr w:rsidR="00CB01DD">
        <w:tc>
          <w:tcPr>
            <w:tcW w:w="2508" w:type="dxa"/>
            <w:shd w:val="clear" w:color="auto" w:fill="92D05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Better than average</w:t>
            </w:r>
          </w:p>
        </w:tc>
        <w:tc>
          <w:tcPr>
            <w:tcW w:w="5640" w:type="dxa"/>
            <w:shd w:val="clear" w:color="auto" w:fill="92D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between -1.0 and -0.5 in levels and less than 1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less than -1.0 in changes</w:t>
            </w:r>
          </w:p>
        </w:tc>
        <w:tc>
          <w:tcPr>
            <w:tcW w:w="5640" w:type="dxa"/>
            <w:shd w:val="clear" w:color="auto" w:fill="92D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better than the EU average and with the situation improving or not deteriorating much faste</w:t>
            </w:r>
            <w:r>
              <w:rPr>
                <w:rFonts w:ascii="Times New Roman" w:hAnsi="Times New Roman" w:cs="Times New Roman"/>
                <w:noProof/>
                <w:sz w:val="20"/>
                <w:szCs w:val="20"/>
                <w:lang w:val="en-US"/>
              </w:rPr>
              <w:t>r than the EU average</w:t>
            </w:r>
          </w:p>
        </w:tc>
      </w:tr>
      <w:tr w:rsidR="00CB01DD">
        <w:tc>
          <w:tcPr>
            <w:tcW w:w="2508" w:type="dxa"/>
            <w:shd w:val="clear" w:color="auto" w:fill="4F81BD" w:themeFill="accent1"/>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Good but to monitor</w:t>
            </w:r>
          </w:p>
        </w:tc>
        <w:tc>
          <w:tcPr>
            <w:tcW w:w="5640" w:type="dxa"/>
            <w:shd w:val="clear" w:color="auto" w:fill="4F81BD" w:themeFill="accent1"/>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less than -0.5 in levels and more than 1 in changes, </w:t>
            </w:r>
            <w:r>
              <w:rPr>
                <w:rFonts w:ascii="Times New Roman" w:hAnsi="Times New Roman" w:cs="Times New Roman"/>
                <w:i/>
                <w:noProof/>
                <w:sz w:val="20"/>
                <w:szCs w:val="20"/>
                <w:lang w:val="en-US"/>
              </w:rPr>
              <w:t xml:space="preserve">and </w:t>
            </w:r>
            <w:r>
              <w:rPr>
                <w:rFonts w:ascii="Times New Roman" w:hAnsi="Times New Roman" w:cs="Times New Roman"/>
                <w:noProof/>
                <w:sz w:val="20"/>
                <w:szCs w:val="20"/>
                <w:lang w:val="en-US"/>
              </w:rPr>
              <w:t>presenting a change higher than zero</w:t>
            </w:r>
            <w:r>
              <w:rPr>
                <w:rStyle w:val="FootnoteReference"/>
                <w:rFonts w:ascii="Times New Roman" w:hAnsi="Times New Roman" w:cs="Times New Roman"/>
                <w:noProof/>
                <w:sz w:val="20"/>
                <w:szCs w:val="20"/>
                <w:lang w:val="en-US"/>
              </w:rPr>
              <w:footnoteReference w:id="88"/>
            </w:r>
          </w:p>
        </w:tc>
        <w:tc>
          <w:tcPr>
            <w:tcW w:w="5640" w:type="dxa"/>
            <w:shd w:val="clear" w:color="auto" w:fill="4F81BD" w:themeFill="accent1"/>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Member States with levels better or much better than the EU average but with the situation deteriorating much </w:t>
            </w:r>
            <w:r>
              <w:rPr>
                <w:rFonts w:ascii="Times New Roman" w:hAnsi="Times New Roman" w:cs="Times New Roman"/>
                <w:noProof/>
                <w:sz w:val="20"/>
                <w:szCs w:val="20"/>
                <w:lang w:val="en-US"/>
              </w:rPr>
              <w:t>faster than the EU average</w:t>
            </w:r>
          </w:p>
        </w:tc>
      </w:tr>
      <w:tr w:rsidR="00CB01DD">
        <w:tc>
          <w:tcPr>
            <w:tcW w:w="2508" w:type="dxa"/>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On average / neutral</w:t>
            </w:r>
          </w:p>
        </w:tc>
        <w:tc>
          <w:tcPr>
            <w:tcW w:w="5640" w:type="dxa"/>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between -0.5 and 0.5 in levels and between -1.0 and 1.0 in changes</w:t>
            </w:r>
          </w:p>
        </w:tc>
        <w:tc>
          <w:tcPr>
            <w:tcW w:w="5640" w:type="dxa"/>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on average and with the situation not improving nor deteriorating much faster than the EU average</w:t>
            </w:r>
          </w:p>
        </w:tc>
      </w:tr>
      <w:tr w:rsidR="00CB01DD">
        <w:tc>
          <w:tcPr>
            <w:tcW w:w="2508" w:type="dxa"/>
            <w:shd w:val="clear" w:color="auto" w:fill="FFFF0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Weak </w:t>
            </w:r>
            <w:r>
              <w:rPr>
                <w:rFonts w:ascii="Times New Roman" w:hAnsi="Times New Roman" w:cs="Times New Roman"/>
                <w:b/>
                <w:noProof/>
                <w:sz w:val="20"/>
                <w:szCs w:val="20"/>
                <w:lang w:val="en-US"/>
              </w:rPr>
              <w:t>but improving</w:t>
            </w:r>
          </w:p>
        </w:tc>
        <w:tc>
          <w:tcPr>
            <w:tcW w:w="5640" w:type="dxa"/>
            <w:shd w:val="clear" w:color="auto" w:fill="FFFF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more than 0.5 in levels and less than -1.0 in changes</w:t>
            </w:r>
          </w:p>
        </w:tc>
        <w:tc>
          <w:tcPr>
            <w:tcW w:w="5640" w:type="dxa"/>
            <w:shd w:val="clear" w:color="auto" w:fill="FFFF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worse or much worse than the EU average but with the situation improving much faster than the EU average</w:t>
            </w:r>
          </w:p>
        </w:tc>
      </w:tr>
      <w:tr w:rsidR="00CB01DD">
        <w:tc>
          <w:tcPr>
            <w:tcW w:w="2508" w:type="dxa"/>
            <w:shd w:val="clear" w:color="auto" w:fill="FFC00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To watch</w:t>
            </w:r>
          </w:p>
        </w:tc>
        <w:tc>
          <w:tcPr>
            <w:tcW w:w="5640" w:type="dxa"/>
            <w:shd w:val="clear" w:color="auto" w:fill="FFC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between 0.5 and 1.0 in levels and more than -1.0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more than 1.0 in changes</w:t>
            </w:r>
          </w:p>
        </w:tc>
        <w:tc>
          <w:tcPr>
            <w:tcW w:w="5640" w:type="dxa"/>
            <w:shd w:val="clear" w:color="auto" w:fill="FFC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This category groups two different cases: i) Member States with levels worse than the EU average and with the situat</w:t>
            </w:r>
            <w:r>
              <w:rPr>
                <w:rFonts w:ascii="Times New Roman" w:hAnsi="Times New Roman" w:cs="Times New Roman"/>
                <w:noProof/>
                <w:sz w:val="20"/>
                <w:szCs w:val="20"/>
                <w:lang w:val="en-US"/>
              </w:rPr>
              <w:t>ion deteriorating or not improving sufficiently fast; ii) Member States with levels in line with the EU average but with the situation deteriorating much faster than the EU average</w:t>
            </w:r>
          </w:p>
        </w:tc>
      </w:tr>
      <w:tr w:rsidR="00CB01DD">
        <w:tc>
          <w:tcPr>
            <w:tcW w:w="2508" w:type="dxa"/>
            <w:shd w:val="clear" w:color="auto" w:fill="FF000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Critical situations</w:t>
            </w:r>
          </w:p>
        </w:tc>
        <w:tc>
          <w:tcPr>
            <w:tcW w:w="5640" w:type="dxa"/>
            <w:shd w:val="clear" w:color="auto" w:fill="FF0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more than 1.0 in levels and more than -1.0 in </w:t>
            </w:r>
            <w:r>
              <w:rPr>
                <w:rFonts w:ascii="Times New Roman" w:hAnsi="Times New Roman" w:cs="Times New Roman"/>
                <w:noProof/>
                <w:sz w:val="20"/>
                <w:szCs w:val="20"/>
                <w:lang w:val="en-US"/>
              </w:rPr>
              <w:t>changes</w:t>
            </w:r>
          </w:p>
        </w:tc>
        <w:tc>
          <w:tcPr>
            <w:tcW w:w="5640" w:type="dxa"/>
            <w:shd w:val="clear" w:color="auto" w:fill="FF0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much worse than the EU average and with the situation deteriorating or not improving sufficiently fast</w:t>
            </w:r>
          </w:p>
        </w:tc>
      </w:tr>
    </w:tbl>
    <w:p w:rsidR="00CB01DD" w:rsidRDefault="00CB01DD">
      <w:pPr>
        <w:jc w:val="both"/>
        <w:rPr>
          <w:rFonts w:ascii="Times New Roman" w:hAnsi="Times New Roman" w:cs="Times New Roman"/>
          <w:noProof/>
          <w:sz w:val="20"/>
          <w:szCs w:val="20"/>
        </w:rPr>
      </w:pPr>
    </w:p>
    <w:p w:rsidR="00CB01DD" w:rsidRDefault="00CB01DD">
      <w:pPr>
        <w:rPr>
          <w:rFonts w:ascii="Times New Roman" w:hAnsi="Times New Roman" w:cs="Times New Roman"/>
          <w:noProof/>
          <w:sz w:val="24"/>
          <w:szCs w:val="24"/>
          <w:lang w:val="en-US"/>
        </w:rPr>
      </w:pPr>
    </w:p>
    <w:p w:rsidR="00CB01DD" w:rsidRDefault="00D75BDB">
      <w:pPr>
        <w:rPr>
          <w:rFonts w:ascii="Times New Roman" w:hAnsi="Times New Roman" w:cs="Times New Roman"/>
          <w:b/>
          <w:i/>
          <w:noProof/>
          <w:sz w:val="24"/>
          <w:szCs w:val="24"/>
          <w:lang w:val="en-US"/>
        </w:rPr>
      </w:pPr>
      <w:r>
        <w:rPr>
          <w:noProof/>
          <w:lang w:eastAsia="en-GB"/>
        </w:rPr>
        <w:drawing>
          <wp:inline distT="0" distB="0" distL="0" distR="0" wp14:anchorId="66ED1EF1" wp14:editId="31C8ED20">
            <wp:extent cx="5785286" cy="1330656"/>
            <wp:effectExtent l="0" t="0" r="635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86657" cy="1330971"/>
                    </a:xfrm>
                    <a:prstGeom prst="rect">
                      <a:avLst/>
                    </a:prstGeom>
                    <a:noFill/>
                    <a:ln>
                      <a:noFill/>
                    </a:ln>
                  </pic:spPr>
                </pic:pic>
              </a:graphicData>
            </a:graphic>
          </wp:inline>
        </w:drawing>
      </w:r>
    </w:p>
    <w:p w:rsidR="00CB01DD" w:rsidRDefault="00CB01DD">
      <w:pPr>
        <w:rPr>
          <w:rFonts w:ascii="Times New Roman" w:hAnsi="Times New Roman" w:cs="Times New Roman"/>
          <w:b/>
          <w:i/>
          <w:noProof/>
          <w:sz w:val="24"/>
          <w:szCs w:val="24"/>
          <w:lang w:val="en-US"/>
        </w:rPr>
      </w:pPr>
    </w:p>
    <w:p w:rsidR="00CB01DD" w:rsidRDefault="00D75BDB">
      <w:pPr>
        <w:jc w:val="both"/>
        <w:rPr>
          <w:rFonts w:ascii="Times New Roman" w:hAnsi="Times New Roman" w:cs="Times New Roman"/>
          <w:noProof/>
          <w:sz w:val="20"/>
        </w:rPr>
      </w:pPr>
      <w:r>
        <w:rPr>
          <w:rFonts w:ascii="Times New Roman" w:hAnsi="Times New Roman" w:cs="Times New Roman"/>
          <w:noProof/>
          <w:sz w:val="20"/>
        </w:rPr>
        <w:t xml:space="preserve">The tables below provide the classification based on z-scores for those indicators for which a </w:t>
      </w:r>
      <w:r>
        <w:rPr>
          <w:rFonts w:ascii="Times New Roman" w:hAnsi="Times New Roman" w:cs="Times New Roman"/>
          <w:noProof/>
          <w:sz w:val="20"/>
          <w:u w:val="single"/>
        </w:rPr>
        <w:t>high value</w:t>
      </w:r>
      <w:r>
        <w:rPr>
          <w:rFonts w:ascii="Times New Roman" w:hAnsi="Times New Roman" w:cs="Times New Roman"/>
          <w:noProof/>
          <w:sz w:val="20"/>
        </w:rPr>
        <w:t xml:space="preserve"> is assessed as a </w:t>
      </w:r>
      <w:r>
        <w:rPr>
          <w:rFonts w:ascii="Times New Roman" w:hAnsi="Times New Roman" w:cs="Times New Roman"/>
          <w:noProof/>
          <w:sz w:val="20"/>
          <w:u w:val="single"/>
        </w:rPr>
        <w:t>good performance</w:t>
      </w:r>
      <w:r>
        <w:rPr>
          <w:rFonts w:ascii="Times New Roman" w:hAnsi="Times New Roman" w:cs="Times New Roman"/>
          <w:noProof/>
          <w:sz w:val="20"/>
        </w:rPr>
        <w:t xml:space="preserve"> (e.g. employment rate, participation into childcare, etc). </w:t>
      </w:r>
    </w:p>
    <w:tbl>
      <w:tblPr>
        <w:tblStyle w:val="TableGrid"/>
        <w:tblW w:w="0" w:type="auto"/>
        <w:tblLook w:val="04A0" w:firstRow="1" w:lastRow="0" w:firstColumn="1" w:lastColumn="0" w:noHBand="0" w:noVBand="1"/>
      </w:tblPr>
      <w:tblGrid>
        <w:gridCol w:w="1930"/>
        <w:gridCol w:w="3638"/>
        <w:gridCol w:w="3720"/>
      </w:tblGrid>
      <w:tr w:rsidR="00CB01DD">
        <w:tc>
          <w:tcPr>
            <w:tcW w:w="2508" w:type="dxa"/>
            <w:shd w:val="clear" w:color="auto" w:fill="00B05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Best performers</w:t>
            </w:r>
            <w:r>
              <w:rPr>
                <w:rFonts w:ascii="Times New Roman" w:hAnsi="Times New Roman" w:cs="Times New Roman"/>
                <w:noProof/>
                <w:sz w:val="20"/>
                <w:szCs w:val="20"/>
                <w:lang w:val="en-US"/>
              </w:rPr>
              <w:t xml:space="preserve">  </w:t>
            </w:r>
          </w:p>
        </w:tc>
        <w:tc>
          <w:tcPr>
            <w:tcW w:w="5640" w:type="dxa"/>
            <w:shd w:val="clear" w:color="auto" w:fill="00B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more than 1.0 in levels and more than -1.0 in changes</w:t>
            </w:r>
          </w:p>
        </w:tc>
        <w:tc>
          <w:tcPr>
            <w:tcW w:w="5640" w:type="dxa"/>
            <w:shd w:val="clear" w:color="auto" w:fill="00B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Member States with levels much better than the EU average and with the situation </w:t>
            </w:r>
            <w:r>
              <w:rPr>
                <w:rFonts w:ascii="Times New Roman" w:hAnsi="Times New Roman" w:cs="Times New Roman"/>
                <w:noProof/>
                <w:sz w:val="20"/>
                <w:szCs w:val="20"/>
                <w:lang w:val="en-US"/>
              </w:rPr>
              <w:t>improving or not deteriorating much faster than the EU average</w:t>
            </w:r>
          </w:p>
        </w:tc>
      </w:tr>
      <w:tr w:rsidR="00CB01DD">
        <w:tc>
          <w:tcPr>
            <w:tcW w:w="2508" w:type="dxa"/>
            <w:shd w:val="clear" w:color="auto" w:fill="92D05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Better than average</w:t>
            </w:r>
          </w:p>
        </w:tc>
        <w:tc>
          <w:tcPr>
            <w:tcW w:w="5640" w:type="dxa"/>
            <w:shd w:val="clear" w:color="auto" w:fill="92D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between 1.0 and 0.5 in levels and more than -1.0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more than 1.0 in changes</w:t>
            </w:r>
          </w:p>
        </w:tc>
        <w:tc>
          <w:tcPr>
            <w:tcW w:w="5640" w:type="dxa"/>
            <w:shd w:val="clear" w:color="auto" w:fill="92D05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Member States with levels better </w:t>
            </w:r>
            <w:r>
              <w:rPr>
                <w:rFonts w:ascii="Times New Roman" w:hAnsi="Times New Roman" w:cs="Times New Roman"/>
                <w:noProof/>
                <w:sz w:val="20"/>
                <w:szCs w:val="20"/>
                <w:lang w:val="en-US"/>
              </w:rPr>
              <w:t>than the EU average and with the situation improving or not deteriorating much faster than the EU average</w:t>
            </w:r>
          </w:p>
        </w:tc>
      </w:tr>
      <w:tr w:rsidR="00CB01DD">
        <w:tc>
          <w:tcPr>
            <w:tcW w:w="2508" w:type="dxa"/>
            <w:shd w:val="clear" w:color="auto" w:fill="4F81BD" w:themeFill="accent1"/>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Good but to monitor</w:t>
            </w:r>
          </w:p>
        </w:tc>
        <w:tc>
          <w:tcPr>
            <w:tcW w:w="5640" w:type="dxa"/>
            <w:shd w:val="clear" w:color="auto" w:fill="4F81BD" w:themeFill="accent1"/>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more than 0.5 in levels and less than -1.0 in changes, </w:t>
            </w:r>
            <w:r>
              <w:rPr>
                <w:rFonts w:ascii="Times New Roman" w:hAnsi="Times New Roman" w:cs="Times New Roman"/>
                <w:i/>
                <w:noProof/>
                <w:sz w:val="20"/>
                <w:szCs w:val="20"/>
                <w:lang w:val="en-US"/>
              </w:rPr>
              <w:t xml:space="preserve">and </w:t>
            </w:r>
            <w:r>
              <w:rPr>
                <w:rFonts w:ascii="Times New Roman" w:hAnsi="Times New Roman" w:cs="Times New Roman"/>
                <w:noProof/>
                <w:sz w:val="20"/>
                <w:szCs w:val="20"/>
                <w:lang w:val="en-US"/>
              </w:rPr>
              <w:t>presenting a change lower than zero</w:t>
            </w:r>
            <w:r>
              <w:rPr>
                <w:rStyle w:val="FootnoteReference"/>
                <w:rFonts w:ascii="Times New Roman" w:hAnsi="Times New Roman" w:cs="Times New Roman"/>
                <w:noProof/>
                <w:sz w:val="20"/>
                <w:szCs w:val="20"/>
                <w:lang w:val="en-US"/>
              </w:rPr>
              <w:footnoteReference w:id="89"/>
            </w:r>
          </w:p>
        </w:tc>
        <w:tc>
          <w:tcPr>
            <w:tcW w:w="5640" w:type="dxa"/>
            <w:shd w:val="clear" w:color="auto" w:fill="4F81BD" w:themeFill="accent1"/>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w:t>
            </w:r>
            <w:r>
              <w:rPr>
                <w:rFonts w:ascii="Times New Roman" w:hAnsi="Times New Roman" w:cs="Times New Roman"/>
                <w:noProof/>
                <w:sz w:val="20"/>
                <w:szCs w:val="20"/>
                <w:lang w:val="en-US"/>
              </w:rPr>
              <w:t xml:space="preserve"> better or much better than the EU average but with the situation deteriorating much faster than the EU average</w:t>
            </w:r>
          </w:p>
        </w:tc>
      </w:tr>
      <w:tr w:rsidR="00CB01DD">
        <w:tc>
          <w:tcPr>
            <w:tcW w:w="2508" w:type="dxa"/>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On average / neutral</w:t>
            </w:r>
          </w:p>
        </w:tc>
        <w:tc>
          <w:tcPr>
            <w:tcW w:w="5640" w:type="dxa"/>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between -0.5 and 0.5 in levels and between -1.0 and 1.0 in changes</w:t>
            </w:r>
          </w:p>
        </w:tc>
        <w:tc>
          <w:tcPr>
            <w:tcW w:w="5640" w:type="dxa"/>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on average and with t</w:t>
            </w:r>
            <w:r>
              <w:rPr>
                <w:rFonts w:ascii="Times New Roman" w:hAnsi="Times New Roman" w:cs="Times New Roman"/>
                <w:noProof/>
                <w:sz w:val="20"/>
                <w:szCs w:val="20"/>
                <w:lang w:val="en-US"/>
              </w:rPr>
              <w:t>he situation not improving nor deteriorating much faster than the EU average</w:t>
            </w:r>
          </w:p>
        </w:tc>
      </w:tr>
      <w:tr w:rsidR="00CB01DD">
        <w:tc>
          <w:tcPr>
            <w:tcW w:w="2508" w:type="dxa"/>
            <w:shd w:val="clear" w:color="auto" w:fill="FFFF0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Weak but improving</w:t>
            </w:r>
          </w:p>
        </w:tc>
        <w:tc>
          <w:tcPr>
            <w:tcW w:w="5640" w:type="dxa"/>
            <w:shd w:val="clear" w:color="auto" w:fill="FFFF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less than -0.5 in levels and more than 1.0 in changes</w:t>
            </w:r>
          </w:p>
        </w:tc>
        <w:tc>
          <w:tcPr>
            <w:tcW w:w="5640" w:type="dxa"/>
            <w:shd w:val="clear" w:color="auto" w:fill="FFFF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Member States with levels worse or much worse than the EU average but with the situation </w:t>
            </w:r>
            <w:r>
              <w:rPr>
                <w:rFonts w:ascii="Times New Roman" w:hAnsi="Times New Roman" w:cs="Times New Roman"/>
                <w:noProof/>
                <w:sz w:val="20"/>
                <w:szCs w:val="20"/>
                <w:lang w:val="en-US"/>
              </w:rPr>
              <w:t>improving much faster than the EU average</w:t>
            </w:r>
          </w:p>
        </w:tc>
      </w:tr>
      <w:tr w:rsidR="00CB01DD">
        <w:tc>
          <w:tcPr>
            <w:tcW w:w="2508" w:type="dxa"/>
            <w:shd w:val="clear" w:color="auto" w:fill="FFC00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To watch</w:t>
            </w:r>
          </w:p>
        </w:tc>
        <w:tc>
          <w:tcPr>
            <w:tcW w:w="5640" w:type="dxa"/>
            <w:shd w:val="clear" w:color="auto" w:fill="FFC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between -0.5 and -1.0 in levels and less than 1.0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less than -1.0 in changes</w:t>
            </w:r>
          </w:p>
        </w:tc>
        <w:tc>
          <w:tcPr>
            <w:tcW w:w="5640" w:type="dxa"/>
            <w:shd w:val="clear" w:color="auto" w:fill="FFC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This category groups two different cases: i) Member States </w:t>
            </w:r>
            <w:r>
              <w:rPr>
                <w:rFonts w:ascii="Times New Roman" w:hAnsi="Times New Roman" w:cs="Times New Roman"/>
                <w:noProof/>
                <w:sz w:val="20"/>
                <w:szCs w:val="20"/>
                <w:lang w:val="en-US"/>
              </w:rPr>
              <w:t>with levels worse than the EU average and with the situation deteriorating or not improving sufficiently fast; ii) Member States with levels in line with the EU average but with the situation deteriorating much faster than the EU average</w:t>
            </w:r>
          </w:p>
        </w:tc>
      </w:tr>
      <w:tr w:rsidR="00CB01DD">
        <w:tc>
          <w:tcPr>
            <w:tcW w:w="2508" w:type="dxa"/>
            <w:shd w:val="clear" w:color="auto" w:fill="FF0000"/>
          </w:tcPr>
          <w:p w:rsidR="00CB01DD" w:rsidRDefault="00D75BDB">
            <w:pPr>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Critical </w:t>
            </w:r>
            <w:r>
              <w:rPr>
                <w:rFonts w:ascii="Times New Roman" w:hAnsi="Times New Roman" w:cs="Times New Roman"/>
                <w:b/>
                <w:noProof/>
                <w:sz w:val="20"/>
                <w:szCs w:val="20"/>
                <w:lang w:val="en-US"/>
              </w:rPr>
              <w:t>situations</w:t>
            </w:r>
          </w:p>
        </w:tc>
        <w:tc>
          <w:tcPr>
            <w:tcW w:w="5640" w:type="dxa"/>
            <w:shd w:val="clear" w:color="auto" w:fill="FF0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less than 1.0 in levels and less than 1.0 in changes</w:t>
            </w:r>
          </w:p>
        </w:tc>
        <w:tc>
          <w:tcPr>
            <w:tcW w:w="5640" w:type="dxa"/>
            <w:shd w:val="clear" w:color="auto" w:fill="FF0000"/>
          </w:tcPr>
          <w:p w:rsidR="00CB01DD" w:rsidRDefault="00D75BDB">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much worse than the EU average and with the situation deteriorating or not improving sufficiently fast</w:t>
            </w:r>
          </w:p>
        </w:tc>
      </w:tr>
    </w:tbl>
    <w:p w:rsidR="00CB01DD" w:rsidRDefault="00CB01DD">
      <w:pPr>
        <w:rPr>
          <w:rFonts w:ascii="Times New Roman" w:hAnsi="Times New Roman" w:cs="Times New Roman"/>
          <w:b/>
          <w:i/>
          <w:noProof/>
          <w:sz w:val="24"/>
          <w:szCs w:val="24"/>
        </w:rPr>
      </w:pPr>
    </w:p>
    <w:p w:rsidR="00CB01DD" w:rsidRDefault="00CB01DD">
      <w:pPr>
        <w:rPr>
          <w:rFonts w:ascii="Times New Roman" w:hAnsi="Times New Roman" w:cs="Times New Roman"/>
          <w:b/>
          <w:i/>
          <w:noProof/>
          <w:sz w:val="24"/>
          <w:szCs w:val="24"/>
        </w:rPr>
      </w:pPr>
    </w:p>
    <w:p w:rsidR="00CB01DD" w:rsidRDefault="00D75BDB">
      <w:pPr>
        <w:rPr>
          <w:rFonts w:ascii="Times New Roman" w:hAnsi="Times New Roman" w:cs="Times New Roman"/>
          <w:b/>
          <w:i/>
          <w:noProof/>
          <w:sz w:val="24"/>
          <w:szCs w:val="24"/>
        </w:rPr>
        <w:sectPr w:rsidR="00CB01DD">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08"/>
          <w:docGrid w:linePitch="360"/>
        </w:sectPr>
      </w:pPr>
      <w:r>
        <w:rPr>
          <w:noProof/>
          <w:lang w:eastAsia="en-GB"/>
        </w:rPr>
        <w:drawing>
          <wp:inline distT="0" distB="0" distL="0" distR="0" wp14:anchorId="043DBBD8" wp14:editId="4F5C116E">
            <wp:extent cx="5760720" cy="1325006"/>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1325006"/>
                    </a:xfrm>
                    <a:prstGeom prst="rect">
                      <a:avLst/>
                    </a:prstGeom>
                    <a:noFill/>
                    <a:ln>
                      <a:noFill/>
                    </a:ln>
                  </pic:spPr>
                </pic:pic>
              </a:graphicData>
            </a:graphic>
          </wp:inline>
        </w:drawing>
      </w:r>
    </w:p>
    <w:p w:rsidR="00CB01DD" w:rsidRDefault="00D75BDB">
      <w:pPr>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Cut-off points summary table</w:t>
      </w:r>
    </w:p>
    <w:tbl>
      <w:tblPr>
        <w:tblW w:w="127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74"/>
        <w:gridCol w:w="850"/>
        <w:gridCol w:w="1369"/>
        <w:gridCol w:w="1368"/>
        <w:gridCol w:w="2232"/>
        <w:gridCol w:w="1542"/>
        <w:gridCol w:w="1501"/>
      </w:tblGrid>
      <w:tr w:rsidR="00CB01DD">
        <w:trPr>
          <w:trHeight w:val="413"/>
        </w:trPr>
        <w:tc>
          <w:tcPr>
            <w:tcW w:w="3874" w:type="dxa"/>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20"/>
                <w:szCs w:val="20"/>
                <w:lang w:eastAsia="en-GB"/>
              </w:rPr>
            </w:pPr>
          </w:p>
        </w:tc>
        <w:tc>
          <w:tcPr>
            <w:tcW w:w="850" w:type="dxa"/>
            <w:shd w:val="clear" w:color="auto" w:fill="auto"/>
            <w:noWrap/>
            <w:vAlign w:val="center"/>
            <w:hideMark/>
          </w:tcPr>
          <w:p w:rsidR="00CB01DD" w:rsidRDefault="00CB01DD">
            <w:pPr>
              <w:spacing w:after="0" w:line="240" w:lineRule="auto"/>
              <w:jc w:val="center"/>
              <w:rPr>
                <w:rFonts w:ascii="Times New Roman" w:eastAsia="Times New Roman" w:hAnsi="Times New Roman" w:cs="Times New Roman"/>
                <w:b/>
                <w:noProof/>
                <w:color w:val="000000"/>
                <w:sz w:val="20"/>
                <w:szCs w:val="20"/>
                <w:lang w:eastAsia="en-GB"/>
              </w:rPr>
            </w:pP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Very low</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Low</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On average</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High</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Very high</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xml:space="preserve">Early leavers from education and training </w:t>
            </w:r>
          </w:p>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of poulation aged 18-24)</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5.1%</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7.3%</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7.3% and 11.7%</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11.7%</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13.9%</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eastAsia="en-GB"/>
              </w:rPr>
              <w:t>-1.4pps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-0.9pps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-0.9pps and 0.2pps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0.2pps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0.7pps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Gender employment gap (pps)</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4.9pps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7.8pps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7.8pps and 13.6pps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13.6pps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16.4pps</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-0.8pps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w:t>
            </w:r>
            <w:r>
              <w:rPr>
                <w:rFonts w:ascii="Times New Roman" w:eastAsia="Times New Roman" w:hAnsi="Times New Roman" w:cs="Times New Roman"/>
                <w:noProof/>
                <w:color w:val="000000"/>
                <w:sz w:val="16"/>
                <w:szCs w:val="16"/>
                <w:lang w:eastAsia="en-GB"/>
              </w:rPr>
              <w:t>than -0.4pps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-0.4pps and 0.3pps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0.3pps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0.7pps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val="pt-PT" w:eastAsia="en-GB"/>
              </w:rPr>
            </w:pPr>
            <w:r>
              <w:rPr>
                <w:rFonts w:ascii="Times New Roman" w:eastAsia="Times New Roman" w:hAnsi="Times New Roman" w:cs="Times New Roman"/>
                <w:b/>
                <w:noProof/>
                <w:color w:val="000000"/>
                <w:sz w:val="16"/>
                <w:szCs w:val="16"/>
                <w:lang w:val="pt-PT" w:eastAsia="en-GB"/>
              </w:rPr>
              <w:t>Income quintile ratio (S80/S20)</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3.8</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4.4</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4.4 and 5.7</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5.7</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6.3</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-0.4</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-0.2</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-0.2 and 0.1</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w:t>
            </w:r>
            <w:r>
              <w:rPr>
                <w:rFonts w:ascii="Times New Roman" w:eastAsia="Times New Roman" w:hAnsi="Times New Roman" w:cs="Times New Roman"/>
                <w:noProof/>
                <w:color w:val="000000"/>
                <w:sz w:val="16"/>
                <w:szCs w:val="16"/>
                <w:lang w:eastAsia="en-GB"/>
              </w:rPr>
              <w:t>than 0.1</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0.3</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At risk of poverty or social exclusion (%)</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16.7%</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20.2%</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20.2% and 27.3%</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27.3%</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30.8%</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-1.5pps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-1.0pps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-1.0pps and 0.0pps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0.0pps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w:t>
            </w:r>
            <w:r>
              <w:rPr>
                <w:rFonts w:ascii="Times New Roman" w:eastAsia="Times New Roman" w:hAnsi="Times New Roman" w:cs="Times New Roman"/>
                <w:noProof/>
                <w:color w:val="000000"/>
                <w:sz w:val="16"/>
                <w:szCs w:val="16"/>
                <w:lang w:eastAsia="en-GB"/>
              </w:rPr>
              <w:t xml:space="preserve"> than 0.5pps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Youth NEET (% of total population aged 15-24)</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6.9%</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9.0%</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9.0% and 13.1%</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13.1%</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15.2%</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-1.5pps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-1.1pps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-1.1pps and -0.3pps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-0.3pps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eastAsia="en-GB"/>
              </w:rPr>
              <w:t>0.1pps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xml:space="preserve">Employment rate (% population aged 20-64) </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65.2%</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68.1%</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68.1% and 73.8%</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73.8%</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76.7%</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0.4pps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0.7pps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0.7pps and 1.4pps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1.4pps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1.7pps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xml:space="preserve">Unemployment rate (% population aged 15-74) </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4.2%</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6.4%</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6.4% and 10.9%</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10.9%</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13.1%</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-1.7pps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-1.3pps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-1.3pps and -0.6pps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-0.6pps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-0.2pps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Participation in activation labour market policies (per 100 persons wanting to work)</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8.2%</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16.0%</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16.0% and 31.5%</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31.5%</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39.3%</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-4.9pps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-2.2pps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-2.2pps and 3.3pps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w:t>
            </w:r>
            <w:r>
              <w:rPr>
                <w:rFonts w:ascii="Times New Roman" w:eastAsia="Times New Roman" w:hAnsi="Times New Roman" w:cs="Times New Roman"/>
                <w:noProof/>
                <w:color w:val="000000"/>
                <w:sz w:val="16"/>
                <w:szCs w:val="16"/>
                <w:lang w:eastAsia="en-GB"/>
              </w:rPr>
              <w:t xml:space="preserve"> than 3.3pps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6.pps</w:t>
            </w:r>
          </w:p>
        </w:tc>
      </w:tr>
      <w:tr w:rsidR="00CB01DD">
        <w:trPr>
          <w:trHeight w:hRule="exact" w:val="260"/>
        </w:trPr>
        <w:tc>
          <w:tcPr>
            <w:tcW w:w="3874" w:type="dxa"/>
            <w:vMerge w:val="restart"/>
            <w:shd w:val="clear" w:color="auto" w:fill="auto"/>
            <w:vAlign w:val="center"/>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Real GDHI per capita (2008 = 100)</w:t>
            </w:r>
          </w:p>
        </w:tc>
        <w:tc>
          <w:tcPr>
            <w:tcW w:w="850"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94.8</w:t>
            </w:r>
          </w:p>
        </w:tc>
        <w:tc>
          <w:tcPr>
            <w:tcW w:w="1368"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98.5</w:t>
            </w:r>
          </w:p>
        </w:tc>
        <w:tc>
          <w:tcPr>
            <w:tcW w:w="2232"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98.5% and 105.9</w:t>
            </w:r>
          </w:p>
        </w:tc>
        <w:tc>
          <w:tcPr>
            <w:tcW w:w="1542"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105.9</w:t>
            </w:r>
          </w:p>
        </w:tc>
        <w:tc>
          <w:tcPr>
            <w:tcW w:w="1501"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109.5</w:t>
            </w:r>
          </w:p>
        </w:tc>
      </w:tr>
      <w:tr w:rsidR="00CB01DD">
        <w:trPr>
          <w:trHeight w:hRule="exact" w:val="260"/>
        </w:trPr>
        <w:tc>
          <w:tcPr>
            <w:tcW w:w="3874" w:type="dxa"/>
            <w:vMerge/>
            <w:shd w:val="clear" w:color="auto" w:fill="auto"/>
            <w:vAlign w:val="center"/>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0.8pps</w:t>
            </w:r>
          </w:p>
        </w:tc>
        <w:tc>
          <w:tcPr>
            <w:tcW w:w="1368"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1.1pps</w:t>
            </w:r>
          </w:p>
        </w:tc>
        <w:tc>
          <w:tcPr>
            <w:tcW w:w="2232"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1.1pps and 1.8pps</w:t>
            </w:r>
          </w:p>
        </w:tc>
        <w:tc>
          <w:tcPr>
            <w:tcW w:w="1542"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1.8pps</w:t>
            </w:r>
          </w:p>
        </w:tc>
        <w:tc>
          <w:tcPr>
            <w:tcW w:w="1501" w:type="dxa"/>
            <w:shd w:val="clear" w:color="auto" w:fill="auto"/>
            <w:noWrap/>
            <w:vAlign w:val="center"/>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eastAsia="en-GB"/>
              </w:rPr>
              <w:t>2.1pps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Compensation of employees per hour worked (EUR)</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7.8 €</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13.9 €</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13.9 € and 25.9 €</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25.9 €</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32.0 €</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-0.5pps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-0.1pps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-0.1pps and 0.6pps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0.6pps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eastAsia="en-GB"/>
              </w:rPr>
              <w:t>0.9pps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Impact of social transfers (other than pensions) on poverty reduction (%)</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21.9%</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27.7%</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27.7% and 39.5%</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39.5%</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45.3%</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-3.5pps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-2.2pps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-2.2pps and .5pps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w:t>
            </w:r>
            <w:r>
              <w:rPr>
                <w:rFonts w:ascii="Times New Roman" w:eastAsia="Times New Roman" w:hAnsi="Times New Roman" w:cs="Times New Roman"/>
                <w:noProof/>
                <w:color w:val="000000"/>
                <w:sz w:val="16"/>
                <w:szCs w:val="16"/>
                <w:lang w:eastAsia="en-GB"/>
              </w:rPr>
              <w:t>than 0.5pps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1.8pps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Children aged less than 3 years in formal childcare (%)</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8.9%</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18.5%</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18.5% and 37.5%</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37.5%</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47.0%</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-3.7pps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-1.5pps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-1.5pps and 2.8pps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2.8pps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5.0pps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Self-reported unmet need for medical care (%)</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0.2%</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1.6%</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1.6% and 4.4%</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4.4%</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5.8%</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-1.5pps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-1.5pps and -0.4pps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eastAsia="en-GB"/>
              </w:rPr>
              <w:t>-0.4pps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0.2pps</w:t>
            </w:r>
          </w:p>
        </w:tc>
      </w:tr>
      <w:tr w:rsidR="00CB01DD">
        <w:trPr>
          <w:trHeight w:hRule="exact" w:val="260"/>
        </w:trPr>
        <w:tc>
          <w:tcPr>
            <w:tcW w:w="3874" w:type="dxa"/>
            <w:vMerge w:val="restart"/>
            <w:shd w:val="clear" w:color="auto" w:fill="auto"/>
            <w:vAlign w:val="center"/>
            <w:hideMark/>
          </w:tcPr>
          <w:p w:rsidR="00CB01DD" w:rsidRDefault="00D75BDB">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Individuals who have basic or above basic overall digital skills (% of population aged 16-74)</w:t>
            </w: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41.6%</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48.6%</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48.6% and 62.6%</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62.6%</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69.6%</w:t>
            </w:r>
          </w:p>
        </w:tc>
      </w:tr>
      <w:tr w:rsidR="00CB01DD">
        <w:trPr>
          <w:trHeight w:hRule="exact" w:val="260"/>
        </w:trPr>
        <w:tc>
          <w:tcPr>
            <w:tcW w:w="3874" w:type="dxa"/>
            <w:vMerge/>
            <w:shd w:val="clear" w:color="auto" w:fill="auto"/>
            <w:vAlign w:val="center"/>
            <w:hideMark/>
          </w:tcPr>
          <w:p w:rsidR="00CB01DD" w:rsidRDefault="00CB01DD">
            <w:pPr>
              <w:spacing w:after="0" w:line="240" w:lineRule="auto"/>
              <w:rPr>
                <w:rFonts w:ascii="Times New Roman" w:eastAsia="Times New Roman" w:hAnsi="Times New Roman" w:cs="Times New Roman"/>
                <w:b/>
                <w:noProof/>
                <w:color w:val="000000"/>
                <w:sz w:val="16"/>
                <w:szCs w:val="16"/>
                <w:lang w:eastAsia="en-GB"/>
              </w:rPr>
            </w:pPr>
          </w:p>
        </w:tc>
        <w:tc>
          <w:tcPr>
            <w:tcW w:w="850"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9"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-2.1pps</w:t>
            </w:r>
          </w:p>
        </w:tc>
        <w:tc>
          <w:tcPr>
            <w:tcW w:w="1368"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eastAsia="en-GB"/>
              </w:rPr>
              <w:t>-0.9pps</w:t>
            </w:r>
          </w:p>
        </w:tc>
        <w:tc>
          <w:tcPr>
            <w:tcW w:w="223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-0.9pps and 1.6pps</w:t>
            </w:r>
          </w:p>
        </w:tc>
        <w:tc>
          <w:tcPr>
            <w:tcW w:w="1542"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1.6pps</w:t>
            </w:r>
          </w:p>
        </w:tc>
        <w:tc>
          <w:tcPr>
            <w:tcW w:w="1501" w:type="dxa"/>
            <w:shd w:val="clear" w:color="auto" w:fill="auto"/>
            <w:noWrap/>
            <w:vAlign w:val="center"/>
            <w:hideMark/>
          </w:tcPr>
          <w:p w:rsidR="00CB01DD" w:rsidRDefault="00D75BDB">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2.9pps</w:t>
            </w:r>
          </w:p>
        </w:tc>
      </w:tr>
    </w:tbl>
    <w:p w:rsidR="00CB01DD" w:rsidRDefault="00CB01DD">
      <w:pPr>
        <w:rPr>
          <w:noProof/>
          <w:lang w:val="en-US"/>
        </w:rPr>
      </w:pPr>
    </w:p>
    <w:p w:rsidR="00CB01DD" w:rsidRDefault="00CB01DD">
      <w:pPr>
        <w:jc w:val="both"/>
        <w:rPr>
          <w:rFonts w:ascii="Times New Roman" w:eastAsia="Calibri" w:hAnsi="Times New Roman" w:cs="Times New Roman"/>
          <w:b/>
          <w:noProof/>
          <w:sz w:val="24"/>
          <w:szCs w:val="24"/>
        </w:rPr>
        <w:sectPr w:rsidR="00CB01DD">
          <w:headerReference w:type="even" r:id="rId96"/>
          <w:headerReference w:type="default" r:id="rId97"/>
          <w:footerReference w:type="even" r:id="rId98"/>
          <w:footerReference w:type="default" r:id="rId99"/>
          <w:headerReference w:type="first" r:id="rId100"/>
          <w:footerReference w:type="first" r:id="rId101"/>
          <w:pgSz w:w="16838" w:h="11906" w:orient="landscape"/>
          <w:pgMar w:top="1417" w:right="1417" w:bottom="1417" w:left="1417" w:header="708" w:footer="708" w:gutter="0"/>
          <w:cols w:space="708"/>
          <w:docGrid w:linePitch="360"/>
        </w:sectPr>
      </w:pPr>
    </w:p>
    <w:p w:rsidR="00CB01DD" w:rsidRDefault="00D75BDB">
      <w:pPr>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Annex 4: Summary overview of the ‘employment trends to watch’ and number of Member States with deterioration or improvement as </w:t>
      </w:r>
      <w:r>
        <w:rPr>
          <w:rFonts w:ascii="Times New Roman" w:eastAsia="Calibri" w:hAnsi="Times New Roman" w:cs="Times New Roman"/>
          <w:b/>
          <w:noProof/>
          <w:sz w:val="24"/>
          <w:szCs w:val="24"/>
        </w:rPr>
        <w:t>identified by the Employment Performance Monitor 2017 (EPM), endorsed by the EPSCO Council in October 2017.</w:t>
      </w:r>
    </w:p>
    <w:p w:rsidR="00CB01DD" w:rsidRDefault="00D75BDB">
      <w:pPr>
        <w:jc w:val="both"/>
        <w:rPr>
          <w:rFonts w:ascii="Times New Roman" w:hAnsi="Times New Roman" w:cs="Times New Roman"/>
          <w:noProof/>
          <w:sz w:val="20"/>
          <w:szCs w:val="20"/>
        </w:rPr>
      </w:pPr>
      <w:r>
        <w:rPr>
          <w:rFonts w:ascii="Times New Roman" w:hAnsi="Times New Roman" w:cs="Times New Roman"/>
          <w:noProof/>
          <w:sz w:val="20"/>
          <w:szCs w:val="20"/>
          <w:lang w:eastAsia="en-GB"/>
        </w:rPr>
        <w:drawing>
          <wp:inline distT="0" distB="0" distL="0" distR="0" wp14:anchorId="1A157923" wp14:editId="44D4F4D4">
            <wp:extent cx="5803900" cy="3877310"/>
            <wp:effectExtent l="0" t="0" r="635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900" cy="3877310"/>
                    </a:xfrm>
                    <a:prstGeom prst="rect">
                      <a:avLst/>
                    </a:prstGeom>
                    <a:noFill/>
                  </pic:spPr>
                </pic:pic>
              </a:graphicData>
            </a:graphic>
          </wp:inline>
        </w:drawing>
      </w:r>
    </w:p>
    <w:p w:rsidR="00CB01DD" w:rsidRDefault="00D75BDB">
      <w:pPr>
        <w:jc w:val="both"/>
        <w:rPr>
          <w:rFonts w:ascii="Times New Roman" w:hAnsi="Times New Roman" w:cs="Times New Roman"/>
          <w:noProof/>
          <w:sz w:val="20"/>
        </w:rPr>
      </w:pPr>
      <w:r>
        <w:rPr>
          <w:rFonts w:ascii="Times New Roman" w:hAnsi="Times New Roman" w:cs="Times New Roman"/>
          <w:noProof/>
          <w:sz w:val="20"/>
        </w:rPr>
        <w:t>Note: 2015-2016 changes, except 2014-2015 for at-risk-of poverty rate of unemployed, unemployment trap and gender pay gap.</w:t>
      </w:r>
    </w:p>
    <w:p w:rsidR="00CB01DD" w:rsidRDefault="00D75BDB">
      <w:pPr>
        <w:rPr>
          <w:rFonts w:ascii="Times New Roman" w:hAnsi="Times New Roman" w:cs="Times New Roman"/>
          <w:noProof/>
          <w:sz w:val="20"/>
        </w:rPr>
      </w:pPr>
      <w:r>
        <w:rPr>
          <w:rFonts w:ascii="Times New Roman" w:hAnsi="Times New Roman" w:cs="Times New Roman"/>
          <w:noProof/>
          <w:sz w:val="20"/>
        </w:rPr>
        <w:br w:type="page"/>
      </w:r>
    </w:p>
    <w:p w:rsidR="00CB01DD" w:rsidRDefault="00D75BDB">
      <w:pPr>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Annex 5: Summary </w:t>
      </w:r>
      <w:r>
        <w:rPr>
          <w:rFonts w:ascii="Times New Roman" w:eastAsia="Calibri" w:hAnsi="Times New Roman" w:cs="Times New Roman"/>
          <w:b/>
          <w:noProof/>
          <w:sz w:val="24"/>
          <w:szCs w:val="24"/>
        </w:rPr>
        <w:t>overview of the ‘social trends to watch’ and number of Member States with deterioration or improvement as  identified by the Social Protection Performance Monitor 2017, endorsed by the EPSCO Council in October 2017.</w:t>
      </w:r>
    </w:p>
    <w:p w:rsidR="00CB01DD" w:rsidRDefault="00D75BDB">
      <w:pPr>
        <w:rPr>
          <w:rFonts w:ascii="Times New Roman" w:eastAsia="Calibri" w:hAnsi="Times New Roman" w:cs="Times New Roman"/>
          <w:b/>
          <w:noProof/>
          <w:sz w:val="24"/>
          <w:szCs w:val="24"/>
        </w:rPr>
      </w:pPr>
      <w:r>
        <w:rPr>
          <w:rFonts w:ascii="Segoe UI Light" w:hAnsi="Segoe UI Light"/>
          <w:i/>
          <w:iCs/>
          <w:noProof/>
          <w:lang w:eastAsia="en-GB"/>
        </w:rPr>
        <w:drawing>
          <wp:inline distT="0" distB="0" distL="0" distR="0" wp14:anchorId="38C13CF0" wp14:editId="684B8772">
            <wp:extent cx="5578602" cy="5538159"/>
            <wp:effectExtent l="0" t="0" r="3175" b="5715"/>
            <wp:docPr id="55" name="Picture 55" descr="cid:image001.png@01D356FF.4A75A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56FF.4A75A6F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582349" cy="5541879"/>
                    </a:xfrm>
                    <a:prstGeom prst="rect">
                      <a:avLst/>
                    </a:prstGeom>
                    <a:noFill/>
                    <a:ln>
                      <a:noFill/>
                    </a:ln>
                  </pic:spPr>
                </pic:pic>
              </a:graphicData>
            </a:graphic>
          </wp:inline>
        </w:drawing>
      </w:r>
    </w:p>
    <w:p w:rsidR="00CB01DD" w:rsidRDefault="00D75BDB">
      <w:pPr>
        <w:jc w:val="both"/>
        <w:rPr>
          <w:rFonts w:ascii="Times New Roman" w:hAnsi="Times New Roman" w:cs="Times New Roman"/>
          <w:noProof/>
          <w:sz w:val="20"/>
        </w:rPr>
      </w:pPr>
      <w:r>
        <w:rPr>
          <w:rFonts w:ascii="Times New Roman" w:hAnsi="Times New Roman" w:cs="Times New Roman"/>
          <w:noProof/>
          <w:sz w:val="20"/>
        </w:rPr>
        <w:t>Note: for EU-SILC based indicators the</w:t>
      </w:r>
      <w:r>
        <w:rPr>
          <w:rFonts w:ascii="Times New Roman" w:hAnsi="Times New Roman" w:cs="Times New Roman"/>
          <w:noProof/>
          <w:sz w:val="20"/>
        </w:rPr>
        <w:t xml:space="preserve"> changes generally actually refer to 2013-2014 for income and household work intensity indicators, and to 2014-2015 for unmet need for medical care. Changes in gross household disposable income refer to 2014-2015. LFS-based indicators (LTU rate, early scho</w:t>
      </w:r>
      <w:r>
        <w:rPr>
          <w:rFonts w:ascii="Times New Roman" w:hAnsi="Times New Roman" w:cs="Times New Roman"/>
          <w:noProof/>
          <w:sz w:val="20"/>
        </w:rPr>
        <w:t>ol leavers, youth unemployment ratio, NEETS (15-24), ER (55-64)) and SMD figures (not yet final for 2016 for several MS) refer to the period 2015-2016.</w:t>
      </w:r>
    </w:p>
    <w:p w:rsidR="00CB01DD" w:rsidRDefault="00CB01DD">
      <w:pPr>
        <w:spacing w:line="360" w:lineRule="auto"/>
        <w:jc w:val="both"/>
        <w:rPr>
          <w:rFonts w:ascii="Times New Roman" w:hAnsi="Times New Roman" w:cs="Times New Roman"/>
          <w:noProof/>
          <w:sz w:val="24"/>
          <w:szCs w:val="24"/>
        </w:rPr>
      </w:pPr>
    </w:p>
    <w:sectPr w:rsidR="00CB01DD">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1DD" w:rsidRDefault="00D75BDB">
      <w:pPr>
        <w:spacing w:after="0" w:line="240" w:lineRule="auto"/>
      </w:pPr>
      <w:r>
        <w:separator/>
      </w:r>
    </w:p>
  </w:endnote>
  <w:endnote w:type="continuationSeparator" w:id="0">
    <w:p w:rsidR="00CB01DD" w:rsidRDefault="00D75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DB" w:rsidRPr="00D75BDB" w:rsidRDefault="00D75BDB" w:rsidP="00D75BD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881535"/>
      <w:docPartObj>
        <w:docPartGallery w:val="Page Numbers (Bottom of Page)"/>
        <w:docPartUnique/>
      </w:docPartObj>
    </w:sdtPr>
    <w:sdtEndPr>
      <w:rPr>
        <w:noProof/>
      </w:rPr>
    </w:sdtEndPr>
    <w:sdtContent>
      <w:p w:rsidR="00CB01DD" w:rsidRDefault="00D75BDB">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rsidR="00CB01DD" w:rsidRDefault="00CB01D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692769"/>
      <w:docPartObj>
        <w:docPartGallery w:val="Page Numbers (Bottom of Page)"/>
        <w:docPartUnique/>
      </w:docPartObj>
    </w:sdtPr>
    <w:sdtEndPr>
      <w:rPr>
        <w:noProof/>
      </w:rPr>
    </w:sdtEndPr>
    <w:sdtContent>
      <w:p w:rsidR="00CB01DD" w:rsidRDefault="00D75BDB">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rsidR="00CB01DD" w:rsidRDefault="00CB01D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539347"/>
      <w:docPartObj>
        <w:docPartGallery w:val="Page Numbers (Bottom of Page)"/>
        <w:docPartUnique/>
      </w:docPartObj>
    </w:sdtPr>
    <w:sdtEndPr>
      <w:rPr>
        <w:noProof/>
      </w:rPr>
    </w:sdtEndPr>
    <w:sdtContent>
      <w:p w:rsidR="00CB01DD" w:rsidRDefault="00D75BDB">
        <w:pPr>
          <w:pStyle w:val="Footer"/>
          <w:jc w:val="right"/>
        </w:pPr>
        <w:r>
          <w:fldChar w:fldCharType="begin"/>
        </w:r>
        <w:r>
          <w:instrText xml:space="preserve"> PAGE   \* MERGEFORMAT </w:instrText>
        </w:r>
        <w:r>
          <w:fldChar w:fldCharType="separate"/>
        </w:r>
        <w:r>
          <w:rPr>
            <w:noProof/>
          </w:rPr>
          <w:t>127</w:t>
        </w:r>
        <w:r>
          <w:rPr>
            <w:noProof/>
          </w:rPr>
          <w:fldChar w:fldCharType="end"/>
        </w:r>
      </w:p>
    </w:sdtContent>
  </w:sdt>
  <w:p w:rsidR="00CB01DD" w:rsidRDefault="00CB01D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DB" w:rsidRPr="00D75BDB" w:rsidRDefault="00D75BDB" w:rsidP="00D75BDB">
    <w:pPr>
      <w:pStyle w:val="FooterCoverPage"/>
      <w:rPr>
        <w:rFonts w:ascii="Arial" w:hAnsi="Arial" w:cs="Arial"/>
        <w:b/>
        <w:sz w:val="48"/>
      </w:rPr>
    </w:pPr>
    <w:r w:rsidRPr="00D75BDB">
      <w:rPr>
        <w:rFonts w:ascii="Arial" w:hAnsi="Arial" w:cs="Arial"/>
        <w:b/>
        <w:sz w:val="48"/>
      </w:rPr>
      <w:t>EN</w:t>
    </w:r>
    <w:r w:rsidRPr="00D75BDB">
      <w:rPr>
        <w:rFonts w:ascii="Arial" w:hAnsi="Arial" w:cs="Arial"/>
        <w:b/>
        <w:sz w:val="48"/>
      </w:rPr>
      <w:tab/>
    </w:r>
    <w:r w:rsidRPr="00D75BDB">
      <w:rPr>
        <w:rFonts w:ascii="Arial" w:hAnsi="Arial" w:cs="Arial"/>
        <w:b/>
        <w:sz w:val="48"/>
      </w:rPr>
      <w:tab/>
    </w:r>
    <w:r w:rsidRPr="00D75BDB">
      <w:tab/>
    </w:r>
    <w:r w:rsidRPr="00D75BDB">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89053"/>
      <w:docPartObj>
        <w:docPartGallery w:val="Page Numbers (Bottom of Page)"/>
        <w:docPartUnique/>
      </w:docPartObj>
    </w:sdtPr>
    <w:sdtEndPr>
      <w:rPr>
        <w:noProof/>
      </w:rPr>
    </w:sdtEndPr>
    <w:sdtContent>
      <w:p w:rsidR="00CB01DD" w:rsidRDefault="00D75BDB">
        <w:pPr>
          <w:pStyle w:val="Footer"/>
          <w:jc w:val="right"/>
        </w:pPr>
        <w:r>
          <w:fldChar w:fldCharType="begin"/>
        </w:r>
        <w:r>
          <w:instrText xml:space="preserve"> PAGE   \* MERGEFORMAT </w:instrText>
        </w:r>
        <w:r>
          <w:fldChar w:fldCharType="separate"/>
        </w:r>
        <w:r>
          <w:rPr>
            <w:noProof/>
          </w:rPr>
          <w:t>128</w:t>
        </w:r>
        <w:r>
          <w:rPr>
            <w:noProof/>
          </w:rPr>
          <w:fldChar w:fldCharType="end"/>
        </w:r>
      </w:p>
    </w:sdtContent>
  </w:sdt>
  <w:p w:rsidR="00CB01DD" w:rsidRDefault="00CB01D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DB" w:rsidRPr="00D75BDB" w:rsidRDefault="00D75BDB" w:rsidP="00D75BDB">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504225"/>
      <w:docPartObj>
        <w:docPartGallery w:val="Page Numbers (Bottom of Page)"/>
        <w:docPartUnique/>
      </w:docPartObj>
    </w:sdtPr>
    <w:sdtEndPr>
      <w:rPr>
        <w:noProof/>
      </w:rPr>
    </w:sdtEndPr>
    <w:sdtContent>
      <w:p w:rsidR="00CB01DD" w:rsidRDefault="00D75BD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CB01DD" w:rsidRDefault="00CB01D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508879"/>
      <w:docPartObj>
        <w:docPartGallery w:val="Page Numbers (Bottom of Page)"/>
        <w:docPartUnique/>
      </w:docPartObj>
    </w:sdtPr>
    <w:sdtEndPr>
      <w:rPr>
        <w:noProof/>
      </w:rPr>
    </w:sdtEndPr>
    <w:sdtContent>
      <w:p w:rsidR="00CB01DD" w:rsidRDefault="00D75BDB">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rsidR="00CB01DD" w:rsidRDefault="00CB01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1DD" w:rsidRDefault="00D75BDB">
      <w:pPr>
        <w:spacing w:after="0" w:line="240" w:lineRule="auto"/>
      </w:pPr>
      <w:r>
        <w:separator/>
      </w:r>
    </w:p>
  </w:footnote>
  <w:footnote w:type="continuationSeparator" w:id="0">
    <w:p w:rsidR="00CB01DD" w:rsidRDefault="00D75BDB">
      <w:pPr>
        <w:spacing w:after="0" w:line="240" w:lineRule="auto"/>
      </w:pPr>
      <w:r>
        <w:continuationSeparator/>
      </w:r>
    </w:p>
  </w:footnote>
  <w:footnote w:id="1">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Together with the draft Joint Employment Report the Commission has adopted a proposal for revised Employment Guidelines (COM(2017) 677).</w:t>
      </w:r>
    </w:p>
  </w:footnote>
  <w:footnote w:id="2">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Seasonally adjusted quarterly figures [lfsi_emp_q] are used throughout this section.</w:t>
      </w:r>
    </w:p>
  </w:footnote>
  <w:footnote w:id="3">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details, see Employment a</w:t>
      </w:r>
      <w:r>
        <w:rPr>
          <w:rFonts w:ascii="Times New Roman" w:hAnsi="Times New Roman" w:cs="Times New Roman"/>
        </w:rPr>
        <w:t>nd Social Developments in Europe, Annual Review 2017 (p. 22) and Labour Market and Wage Developments in Europe, Annual Review 2017 (pp. 10 and 19).</w:t>
      </w:r>
    </w:p>
  </w:footnote>
  <w:footnote w:id="4">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Nonetheless, the employment rate of low-skilled workers has increased more than proportionally (by 1.1 pps</w:t>
      </w:r>
      <w:r>
        <w:rPr>
          <w:rFonts w:ascii="Times New Roman" w:hAnsi="Times New Roman" w:cs="Times New Roman"/>
        </w:rPr>
        <w:t>) in view of the decline of the population aged 25-64 with lower secondary education or below.</w:t>
      </w:r>
    </w:p>
  </w:footnote>
  <w:footnote w:id="5">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Employment and Social Developments in Europe, Annual Review 2017, p. 39.</w:t>
      </w:r>
    </w:p>
  </w:footnote>
  <w:footnote w:id="6">
    <w:p w:rsidR="00CB01DD" w:rsidRDefault="00D75BDB">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For more details, see Employment and Social Developments in Europe, Quarterly Review - October 2017, pp. 33-34.</w:t>
      </w:r>
    </w:p>
  </w:footnote>
  <w:footnote w:id="7">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Individuals who are at risk of poverty (AROP) and/or suffering from severe material deprivation and/or living in households with zero or very</w:t>
      </w:r>
      <w:r>
        <w:rPr>
          <w:rFonts w:ascii="Times New Roman" w:hAnsi="Times New Roman" w:cs="Times New Roman"/>
        </w:rPr>
        <w:t xml:space="preserve"> low work intensity.</w:t>
      </w:r>
    </w:p>
  </w:footnote>
  <w:footnote w:id="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average number of people at risk of poverty or social exclusion for EU-28 in 2008 is based on an estimation by Eurostat, as figures for Croatia are only available from 2010 on.</w:t>
      </w:r>
    </w:p>
  </w:footnote>
  <w:footnote w:id="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People are considered a</w:t>
      </w:r>
      <w:r>
        <w:rPr>
          <w:rFonts w:ascii="Times New Roman" w:hAnsi="Times New Roman" w:cs="Times New Roman"/>
          <w:noProof/>
          <w:lang w:eastAsia="en-GB"/>
        </w:rPr>
        <w:t>t-risk of poverty (AROP) if</w:t>
      </w:r>
      <w:r>
        <w:rPr>
          <w:rFonts w:ascii="Times New Roman" w:hAnsi="Times New Roman" w:cs="Times New Roman"/>
          <w:noProof/>
          <w:lang w:eastAsia="en-GB"/>
        </w:rPr>
        <w:t xml:space="preserve"> their equivalised disposable income is below 60% of the national equivalised median income.</w:t>
      </w:r>
    </w:p>
  </w:footnote>
  <w:footnote w:id="10">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figure is computed based on 2015 incomes, with the exception of United Kingdom (survey year) and Ireland (income of 12 months preceding the survey). NB: data</w:t>
      </w:r>
      <w:r>
        <w:rPr>
          <w:rFonts w:ascii="Times New Roman" w:hAnsi="Times New Roman" w:cs="Times New Roman"/>
        </w:rPr>
        <w:t xml:space="preserve"> for Ireland not available at 31 October 2017.</w:t>
      </w:r>
    </w:p>
  </w:footnote>
  <w:footnote w:id="11">
    <w:p w:rsidR="00CB01DD" w:rsidRDefault="00D75BDB">
      <w:pPr>
        <w:pStyle w:val="Default"/>
        <w:jc w:val="both"/>
        <w:rPr>
          <w:sz w:val="20"/>
          <w:szCs w:val="20"/>
        </w:rPr>
      </w:pPr>
      <w:r>
        <w:rPr>
          <w:rStyle w:val="FootnoteReference"/>
          <w:sz w:val="20"/>
          <w:szCs w:val="20"/>
        </w:rPr>
        <w:footnoteRef/>
      </w:r>
      <w:r>
        <w:rPr>
          <w:sz w:val="20"/>
          <w:szCs w:val="20"/>
        </w:rPr>
        <w:t xml:space="preserve"> Severe Material Deprivation (SMD) </w:t>
      </w:r>
      <w:r>
        <w:rPr>
          <w:color w:val="auto"/>
          <w:sz w:val="20"/>
          <w:szCs w:val="20"/>
        </w:rPr>
        <w:t>is defined as the enforced inability to pay for at leas</w:t>
      </w:r>
      <w:r>
        <w:rPr>
          <w:sz w:val="20"/>
          <w:szCs w:val="20"/>
        </w:rPr>
        <w:t>t four of the deprivation items: (1) pay rent/mortgage/ utility bills on time; (2) keep home adequately warm; (3) meet</w:t>
      </w:r>
      <w:r>
        <w:rPr>
          <w:sz w:val="20"/>
          <w:szCs w:val="20"/>
        </w:rPr>
        <w:t xml:space="preserve"> unexpected expenses; (4) eat meat, fish or a protein equivalent every second day; (5) one week holiday away from home; (6) own a car; (7) a washing machine; (8) a colour TV; (9) a telephone. </w:t>
      </w:r>
    </w:p>
  </w:footnote>
  <w:footnote w:id="12">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People aged 0-59 living in households where the adults (exclu</w:t>
      </w:r>
      <w:r>
        <w:rPr>
          <w:rFonts w:ascii="Times New Roman" w:hAnsi="Times New Roman" w:cs="Times New Roman"/>
        </w:rPr>
        <w:t>ding dependent children) worked less than 20 % of their total work-time potential in the previous 12 months.</w:t>
      </w:r>
    </w:p>
    <w:p w:rsidR="00CB01DD" w:rsidRDefault="00CB01DD">
      <w:pPr>
        <w:pStyle w:val="FootnoteText"/>
        <w:jc w:val="both"/>
        <w:rPr>
          <w:rFonts w:ascii="Times New Roman" w:hAnsi="Times New Roman" w:cs="Times New Roman"/>
        </w:rPr>
      </w:pPr>
    </w:p>
  </w:footnote>
  <w:footnote w:id="13">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SWD(2017) 200 final, accompanying the Communication COM(2017) 250 final of 26 April 2017.</w:t>
      </w:r>
    </w:p>
  </w:footnote>
  <w:footnote w:id="14">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Headline indicators which were also included in the </w:t>
      </w:r>
      <w:r>
        <w:rPr>
          <w:rFonts w:ascii="Times New Roman" w:hAnsi="Times New Roman" w:cs="Times New Roman"/>
        </w:rPr>
        <w:t>old scoreboard are marked with an asterisk in Annex 1.</w:t>
      </w:r>
    </w:p>
  </w:footnote>
  <w:footnote w:id="15">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Cs/>
        </w:rPr>
        <w:t>All but a few of these indicators are part of the existing assessment frameworks and tools jointly agreed with the Employment Committee and the Social Protection Committee,</w:t>
      </w:r>
      <w:r>
        <w:rPr>
          <w:rFonts w:ascii="Times New Roman" w:hAnsi="Times New Roman" w:cs="Times New Roman"/>
        </w:rPr>
        <w:t xml:space="preserve"> i.e. the Joint Assessment </w:t>
      </w:r>
      <w:r>
        <w:rPr>
          <w:rFonts w:ascii="Times New Roman" w:hAnsi="Times New Roman" w:cs="Times New Roman"/>
        </w:rPr>
        <w:t>Framework (JAF) and the dashboards included in the Employment Performance Monitor (EPM) and the Social Protection Performance Monitor (SPPM).</w:t>
      </w:r>
      <w:r>
        <w:rPr>
          <w:rFonts w:ascii="Times New Roman" w:hAnsi="Times New Roman" w:cs="Times New Roman"/>
          <w:iCs/>
        </w:rPr>
        <w:t xml:space="preserve"> The Employment Committee and the Social Protection Committee (and their Indicator Sub-Groups) have discussed the p</w:t>
      </w:r>
      <w:r>
        <w:rPr>
          <w:rFonts w:ascii="Times New Roman" w:hAnsi="Times New Roman" w:cs="Times New Roman"/>
          <w:iCs/>
        </w:rPr>
        <w:t>ractical implementation of the Scoreboard, following its adoption in April 2017. In this context, the Committees have agreed the use of headline indicators in the 2018 Joint Employment Report, and to assess Member States' performance through the commonly a</w:t>
      </w:r>
      <w:r>
        <w:rPr>
          <w:rFonts w:ascii="Times New Roman" w:hAnsi="Times New Roman" w:cs="Times New Roman"/>
          <w:iCs/>
        </w:rPr>
        <w:t xml:space="preserve">greed methodology applied in previous Joint Employment Reports. </w:t>
      </w:r>
    </w:p>
  </w:footnote>
  <w:footnote w:id="16">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part of the discussions with the Employment Committee and the Social Protection Committee on the full Social Scoreboard, (a number of) Member States have expressed a preference for findi</w:t>
      </w:r>
      <w:r>
        <w:rPr>
          <w:rFonts w:ascii="Times New Roman" w:hAnsi="Times New Roman" w:cs="Times New Roman"/>
        </w:rPr>
        <w:t>ng for indicators 8 and 10 two alternative indicators.</w:t>
      </w:r>
    </w:p>
  </w:footnote>
  <w:footnote w:id="17">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demanded by the Committees, this indicator is measured using 'unadjusted income' (i.e. without including social transfers in kind) and dropping reference to the use of purchasing power standards (</w:t>
      </w:r>
      <w:r>
        <w:rPr>
          <w:rFonts w:ascii="Times New Roman" w:hAnsi="Times New Roman" w:cs="Times New Roman"/>
        </w:rPr>
        <w:t>PPS) units.</w:t>
      </w:r>
    </w:p>
  </w:footnote>
  <w:footnote w:id="1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measured as the difference, among total population, between the share of people at risk of poverty rate before and after social transfers.</w:t>
      </w:r>
    </w:p>
  </w:footnote>
  <w:footnote w:id="1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With the exception of the Gross Disposable Household Income, which is measured as an index number (2008=100, thus reflecting a change compared to pre-crisis) and changes in the latest year.</w:t>
      </w:r>
    </w:p>
  </w:footnote>
  <w:footnote w:id="20">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 250 final.</w:t>
      </w:r>
    </w:p>
  </w:footnote>
  <w:footnote w:id="21">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COM(2015) 600 final.</w:t>
      </w:r>
    </w:p>
  </w:footnote>
  <w:footnote w:id="22">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guidelines ha</w:t>
      </w:r>
      <w:r>
        <w:rPr>
          <w:rFonts w:ascii="Times New Roman" w:hAnsi="Times New Roman" w:cs="Times New Roman"/>
        </w:rPr>
        <w:t>ve been fully reflected for the first time in the 2016 National Reform Programmes.</w:t>
      </w:r>
    </w:p>
  </w:footnote>
  <w:footnote w:id="23">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Including LABREF database, available at http://ec.europa.eu/social/main.jsp?catId=1143&amp;intPageId=3193. </w:t>
      </w:r>
    </w:p>
  </w:footnote>
  <w:footnote w:id="24">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(2017). </w:t>
      </w:r>
      <w:r>
        <w:rPr>
          <w:rFonts w:ascii="Times New Roman" w:hAnsi="Times New Roman" w:cs="Times New Roman"/>
          <w:i/>
        </w:rPr>
        <w:t>Labour Market and Wage Developments i</w:t>
      </w:r>
      <w:r>
        <w:rPr>
          <w:rFonts w:ascii="Times New Roman" w:hAnsi="Times New Roman" w:cs="Times New Roman"/>
          <w:i/>
        </w:rPr>
        <w:t xml:space="preserve">n Europe. Annual review 2017. </w:t>
      </w:r>
      <w:r>
        <w:rPr>
          <w:rFonts w:ascii="Times New Roman" w:hAnsi="Times New Roman" w:cs="Times New Roman"/>
        </w:rPr>
        <w:t>Luxembourg: Publications Office of the European Union.</w:t>
      </w:r>
    </w:p>
  </w:footnote>
  <w:footnote w:id="25">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(2017). </w:t>
      </w:r>
      <w:r>
        <w:rPr>
          <w:rFonts w:ascii="Times New Roman" w:hAnsi="Times New Roman" w:cs="Times New Roman"/>
          <w:i/>
        </w:rPr>
        <w:t>Employment and Social Developments in Europe. Annual Review 2017.</w:t>
      </w:r>
      <w:r>
        <w:rPr>
          <w:rFonts w:ascii="Times New Roman" w:hAnsi="Times New Roman" w:cs="Times New Roman"/>
        </w:rPr>
        <w:t xml:space="preserve"> Luxembourg: Publications Office of the European Union.</w:t>
      </w:r>
    </w:p>
  </w:footnote>
  <w:footnote w:id="26">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When looking at so</w:t>
      </w:r>
      <w:r>
        <w:rPr>
          <w:rFonts w:ascii="Times New Roman" w:hAnsi="Times New Roman" w:cs="Times New Roman"/>
        </w:rPr>
        <w:t>cial scoreboard figures according to the common methodology, the report uses the concept of convergence in levels, or "beta-convergence". This refers to the situation where indicators in worse-performing countries improve faster than in best performing one</w:t>
      </w:r>
      <w:r>
        <w:rPr>
          <w:rFonts w:ascii="Times New Roman" w:hAnsi="Times New Roman" w:cs="Times New Roman"/>
        </w:rPr>
        <w:t>s. It can be assessed by looking at the slope of the regression line in the scatterplot of levels against changes.</w:t>
      </w:r>
    </w:p>
  </w:footnote>
  <w:footnote w:id="27">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Chapter 2 and Annex 2 for details.</w:t>
      </w:r>
    </w:p>
  </w:footnote>
  <w:footnote w:id="2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Analysis in the Labour Market and Wage Developments report 2017 (p. 11) shows that dispersion of u</w:t>
      </w:r>
      <w:r>
        <w:rPr>
          <w:rFonts w:ascii="Times New Roman" w:hAnsi="Times New Roman" w:cs="Times New Roman"/>
        </w:rPr>
        <w:t>nemployment rates is decreasing since 2014.</w:t>
      </w:r>
    </w:p>
  </w:footnote>
  <w:footnote w:id="2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Developments report 2017 (p. 44).</w:t>
      </w:r>
    </w:p>
  </w:footnote>
  <w:footnote w:id="30">
    <w:p w:rsidR="00CB01DD" w:rsidRDefault="00D75BDB">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Labour productivity per hour worked grew by only 0.6% in 2016, both in the EU and in the euro area.</w:t>
      </w:r>
    </w:p>
  </w:footnote>
  <w:footnote w:id="31">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annual variation for the United Kingdom is st</w:t>
      </w:r>
      <w:r>
        <w:rPr>
          <w:rFonts w:ascii="Times New Roman" w:hAnsi="Times New Roman" w:cs="Times New Roman"/>
        </w:rPr>
        <w:t>rongly affected by the considerable changes in the EUR to GBP exchange rate.</w:t>
      </w:r>
    </w:p>
  </w:footnote>
  <w:footnote w:id="32">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Developments report 2017 (p. 45).</w:t>
      </w:r>
    </w:p>
  </w:footnote>
  <w:footnote w:id="33">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Developments report 2017 (p. 49).</w:t>
      </w:r>
    </w:p>
  </w:footnote>
  <w:footnote w:id="34">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Developments report 2017 (p. 16).</w:t>
      </w:r>
    </w:p>
  </w:footnote>
  <w:footnote w:id="35">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tax wedge on labour is composed of personal income taxes plus employers' and employees' social security contributions. Contributions to occupational and private pension schemes, as well as targeted tax reliefs, are not included in the calculation. For</w:t>
      </w:r>
      <w:r>
        <w:rPr>
          <w:rFonts w:ascii="Times New Roman" w:hAnsi="Times New Roman" w:cs="Times New Roman"/>
        </w:rPr>
        <w:t xml:space="preserve"> instance, in the case of France the impact of the CICE (</w:t>
      </w:r>
      <w:r>
        <w:rPr>
          <w:rFonts w:ascii="Times New Roman" w:hAnsi="Times New Roman" w:cs="Times New Roman"/>
          <w:i/>
        </w:rPr>
        <w:t>Crédit d'impôt pour la compétitivité et l'emploi</w:t>
      </w:r>
      <w:r>
        <w:rPr>
          <w:rFonts w:ascii="Times New Roman" w:hAnsi="Times New Roman" w:cs="Times New Roman"/>
        </w:rPr>
        <w:t>) is not accounted by the indicator.</w:t>
      </w:r>
    </w:p>
  </w:footnote>
  <w:footnote w:id="36">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Tax and benefits database, European Commission/OECD.</w:t>
      </w:r>
    </w:p>
  </w:footnote>
  <w:footnote w:id="37">
    <w:p w:rsidR="00CB01DD" w:rsidRDefault="00D75BDB">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Detailed information on recent trends including on differ</w:t>
      </w:r>
      <w:r>
        <w:rPr>
          <w:rFonts w:ascii="Times New Roman" w:hAnsi="Times New Roman" w:cs="Times New Roman"/>
        </w:rPr>
        <w:t>ent income groups can be found in: Tax Policies in the European Union – 2017 Survey, European Commission, DG TAXUD.</w:t>
      </w:r>
    </w:p>
  </w:footnote>
  <w:footnote w:id="38">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average exchange rate for 2017 up to 31 October is used here and in similar cases throughout the report.</w:t>
      </w:r>
    </w:p>
  </w:footnote>
  <w:footnote w:id="3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particular, non-EU born </w:t>
      </w:r>
      <w:r>
        <w:rPr>
          <w:rFonts w:ascii="Times New Roman" w:hAnsi="Times New Roman" w:cs="Times New Roman"/>
        </w:rPr>
        <w:t>young (18-24) faced in 2016 an early school leaving rate around 19.4%, almost double than the native-born (9.8%).</w:t>
      </w:r>
    </w:p>
  </w:footnote>
  <w:footnote w:id="40">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Based on EU-SILC data.</w:t>
      </w:r>
    </w:p>
  </w:footnote>
  <w:footnote w:id="41">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the PISA survey, students are considered as having a migrant background if they are either foreign-born (first-g</w:t>
      </w:r>
      <w:r>
        <w:rPr>
          <w:rFonts w:ascii="Times New Roman" w:hAnsi="Times New Roman" w:cs="Times New Roman"/>
        </w:rPr>
        <w:t>eneration) or natives whose parents are both foreign-born (second-generation).</w:t>
      </w:r>
    </w:p>
  </w:footnote>
  <w:footnote w:id="42">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Education and Training Monitor 2017, p. 38, Figure 15.</w:t>
      </w:r>
    </w:p>
  </w:footnote>
  <w:footnote w:id="43">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According to 2015 PISA, the share of low performers in EU Member States was 39.1% among foreign-born pupils and 29.5% </w:t>
      </w:r>
      <w:r>
        <w:rPr>
          <w:rFonts w:ascii="Times New Roman" w:hAnsi="Times New Roman" w:cs="Times New Roman"/>
        </w:rPr>
        <w:t>among natives with foreign-born parents, much higher than the 18.9% recorded for pupils without a migrant background.</w:t>
      </w:r>
    </w:p>
  </w:footnote>
  <w:footnote w:id="44">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r>
        <w:rPr>
          <w:rFonts w:ascii="Times New Roman" w:hAnsi="Times New Roman" w:cs="Times New Roman"/>
          <w:i/>
        </w:rPr>
        <w:t>Education and Training Monitor</w:t>
      </w:r>
      <w:r>
        <w:rPr>
          <w:rFonts w:ascii="Times New Roman" w:hAnsi="Times New Roman" w:cs="Times New Roman"/>
        </w:rPr>
        <w:t>, available at:</w:t>
      </w:r>
      <w:r>
        <w:rPr>
          <w:rFonts w:ascii="Times New Roman" w:hAnsi="Times New Roman" w:cs="Times New Roman"/>
          <w:i/>
        </w:rPr>
        <w:t xml:space="preserve"> </w:t>
      </w:r>
      <w:hyperlink r:id="rId1" w:history="1">
        <w:r>
          <w:rPr>
            <w:rStyle w:val="Hyperlink"/>
            <w:rFonts w:ascii="Times New Roman" w:hAnsi="Times New Roman" w:cs="Times New Roman"/>
            <w:color w:val="auto"/>
          </w:rPr>
          <w:t>http://ec.europa.eu/education/policy/strategic-framework/et-monitor_en</w:t>
        </w:r>
      </w:hyperlink>
      <w:r>
        <w:rPr>
          <w:rFonts w:ascii="Times New Roman" w:hAnsi="Times New Roman" w:cs="Times New Roman"/>
        </w:rPr>
        <w:t>.</w:t>
      </w:r>
    </w:p>
  </w:footnote>
  <w:footnote w:id="45">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Based on EU-SILC data.</w:t>
      </w:r>
    </w:p>
  </w:footnote>
  <w:footnote w:id="46">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Low level of education includes qualifications at ISCED levels 0-2; medi</w:t>
      </w:r>
      <w:r>
        <w:rPr>
          <w:rFonts w:ascii="Times New Roman" w:hAnsi="Times New Roman" w:cs="Times New Roman"/>
          <w:noProof/>
          <w:lang w:eastAsia="en-GB"/>
        </w:rPr>
        <w:t>um level at ISCED levels 3-4 and high level  at ISCED levels 5-8.</w:t>
      </w:r>
    </w:p>
  </w:footnote>
  <w:footnote w:id="47">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Though, in some countries (such as in Finland and Bulgaria) those with VET qualification are only able to secure salaries that are similar to people who even do not possess a medium-level </w:t>
      </w:r>
      <w:r>
        <w:rPr>
          <w:rFonts w:ascii="Times New Roman" w:hAnsi="Times New Roman" w:cs="Times New Roman"/>
        </w:rPr>
        <w:t>qualification, while in others those with VET qualification receive only slightly lower wages compared to those who graduate from higher education (such as in Denmark or Italy).</w:t>
      </w:r>
    </w:p>
  </w:footnote>
  <w:footnote w:id="4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Digital Economy and Society Index, European Commission.</w:t>
      </w:r>
    </w:p>
  </w:footnote>
  <w:footnote w:id="4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Eurofound (201</w:t>
      </w:r>
      <w:r>
        <w:rPr>
          <w:rFonts w:ascii="Times New Roman" w:hAnsi="Times New Roman" w:cs="Times New Roman"/>
        </w:rPr>
        <w:t>6) 'Exploring the Diversity of NEETs', Publications Office of the European Union, Luxembourg.</w:t>
      </w:r>
    </w:p>
  </w:footnote>
  <w:footnote w:id="50">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Ageing Report 2015.</w:t>
      </w:r>
    </w:p>
  </w:footnote>
  <w:footnote w:id="51">
    <w:p w:rsidR="00CB01DD" w:rsidRDefault="00D75BDB">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 xml:space="preserve">The reference indicator is the unadjusted gender pay gap (i.e. not adjusted according to individual characteristics that may explain part </w:t>
      </w:r>
      <w:r>
        <w:rPr>
          <w:rFonts w:ascii="Times New Roman" w:hAnsi="Times New Roman" w:cs="Times New Roman"/>
        </w:rPr>
        <w:t xml:space="preserve">of the earnings difference), which should give an overall picture of gender inequalities in terms of pay. Research shows that most of the gender pay gap persists even when differences in educational attainment, occupational choice, working hours and other </w:t>
      </w:r>
      <w:r>
        <w:rPr>
          <w:rFonts w:ascii="Times New Roman" w:hAnsi="Times New Roman" w:cs="Times New Roman"/>
        </w:rPr>
        <w:t>observable attributes are taken into account (e.g. http://ec.europa.eu/justice/gender-equality/files/gender_pay_gap/2016_factors_gpg_en.pdf).</w:t>
      </w:r>
    </w:p>
  </w:footnote>
  <w:footnote w:id="52">
    <w:p w:rsidR="00CB01DD" w:rsidRDefault="00D75BDB">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European Commission, 2017 Report on equality between women and men in the EU.</w:t>
      </w:r>
    </w:p>
  </w:footnote>
  <w:footnote w:id="53">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Employment and Social Develo</w:t>
      </w:r>
      <w:r>
        <w:rPr>
          <w:rFonts w:ascii="Times New Roman" w:hAnsi="Times New Roman" w:cs="Times New Roman"/>
        </w:rPr>
        <w:t>pments in Europe, Annual Review 2016, chapter 3.</w:t>
      </w:r>
    </w:p>
  </w:footnote>
  <w:footnote w:id="54">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Migrants for family reasons are the biggest share among non-EU born people (52% in 2014). Their employment rate was 53% in 2014, even lower than refugees (56%).</w:t>
      </w:r>
    </w:p>
  </w:footnote>
  <w:footnote w:id="55">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share of non-EU born (aged 25-54) with</w:t>
      </w:r>
      <w:r>
        <w:rPr>
          <w:rFonts w:ascii="Times New Roman" w:hAnsi="Times New Roman" w:cs="Times New Roman"/>
        </w:rPr>
        <w:t xml:space="preserve"> high level of education increased from 25.4% to 30.9% from 2010 to 2016, see </w:t>
      </w:r>
      <w:r>
        <w:rPr>
          <w:rStyle w:val="rightside"/>
          <w:rFonts w:ascii="Times New Roman" w:hAnsi="Times New Roman" w:cs="Times New Roman"/>
        </w:rPr>
        <w:t>[edat_lfs_9912].</w:t>
      </w:r>
    </w:p>
  </w:footnote>
  <w:footnote w:id="56">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gap in the employment rate among non-EU born and native-born is the most pronounced among those with tertiary education, highlighting that migrants face lo</w:t>
      </w:r>
      <w:r>
        <w:rPr>
          <w:rFonts w:ascii="Times New Roman" w:hAnsi="Times New Roman" w:cs="Times New Roman"/>
        </w:rPr>
        <w:t>wer returns on their education compared to natives (see also Employment and Social Developments in Europe 2015). In 2016, 35% of non-EU born with high education worked in low- or medium-skilled occupations compared to 21% among native-born. The rate of ove</w:t>
      </w:r>
      <w:r>
        <w:rPr>
          <w:rFonts w:ascii="Times New Roman" w:hAnsi="Times New Roman" w:cs="Times New Roman"/>
        </w:rPr>
        <w:t>r-qualification among non-EU born was higher than 50% in countries such as EL, IT, CY and ES.</w:t>
      </w:r>
    </w:p>
  </w:footnote>
  <w:footnote w:id="57">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share of people with a migrant background is about or somewhat above 20% in countries such as France and Germany, and above 30% among the children below 6 y</w:t>
      </w:r>
      <w:r>
        <w:rPr>
          <w:rFonts w:ascii="Times New Roman" w:hAnsi="Times New Roman" w:cs="Times New Roman"/>
        </w:rPr>
        <w:t>ears.</w:t>
      </w:r>
    </w:p>
  </w:footnote>
  <w:footnote w:id="5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Figures on employment of people with disabilities do not fully show how limited their participation in the labour market is; they need to be looked at together with activity rates which are also disproportionately low. In 2015, the activity gap (20</w:t>
      </w:r>
      <w:r>
        <w:rPr>
          <w:rFonts w:ascii="Times New Roman" w:hAnsi="Times New Roman" w:cs="Times New Roman"/>
        </w:rPr>
        <w:t>-64 age group) between people with and without disabilities in the EU amounted to 22.4 pps (59.5% versus 81.9%).</w:t>
      </w:r>
    </w:p>
  </w:footnote>
  <w:footnote w:id="5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rPr>
        <w:t>COM(2017) 247 final</w:t>
      </w:r>
      <w:r>
        <w:rPr>
          <w:rFonts w:ascii="Times New Roman" w:hAnsi="Times New Roman" w:cs="Times New Roman"/>
        </w:rPr>
        <w:t xml:space="preserve"> on "A renewed EU agenda for higher education" and COM(2017)248 final on "School development and excellent teaching for a </w:t>
      </w:r>
      <w:r>
        <w:rPr>
          <w:rFonts w:ascii="Times New Roman" w:hAnsi="Times New Roman" w:cs="Times New Roman"/>
        </w:rPr>
        <w:t>great start in life". The latter identifies three main school policy challenges which virtually all Member States are facing: 1) weaknesses in reading, mathematics and science skills; 2) the excessive impact of socio-economic background on educational achi</w:t>
      </w:r>
      <w:r>
        <w:rPr>
          <w:rFonts w:ascii="Times New Roman" w:hAnsi="Times New Roman" w:cs="Times New Roman"/>
        </w:rPr>
        <w:t xml:space="preserve">evement; 3) insufficient digital competences. It then indicates where EU and Member States' action is needed: to develop better and more inclusive schools; to support teachers and school leaders; and to make the governance of school education systems more </w:t>
      </w:r>
      <w:r>
        <w:rPr>
          <w:rFonts w:ascii="Times New Roman" w:hAnsi="Times New Roman" w:cs="Times New Roman"/>
        </w:rPr>
        <w:t>effective, equitable and efficient.</w:t>
      </w:r>
    </w:p>
  </w:footnote>
  <w:footnote w:id="60">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r>
          <w:rPr>
            <w:rStyle w:val="Hyperlink"/>
            <w:rFonts w:ascii="Times New Roman" w:hAnsi="Times New Roman" w:cs="Times New Roman"/>
          </w:rPr>
          <w:t>http://data.consilium.europa.eu/doc/document/ST-14441-2015-INIT/en/pdf</w:t>
        </w:r>
      </w:hyperlink>
      <w:r>
        <w:rPr>
          <w:rFonts w:ascii="Times New Roman" w:hAnsi="Times New Roman" w:cs="Times New Roman"/>
        </w:rPr>
        <w:t xml:space="preserve"> </w:t>
      </w:r>
    </w:p>
  </w:footnote>
  <w:footnote w:id="61">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COM(2017)247 final.</w:t>
      </w:r>
    </w:p>
  </w:footnote>
  <w:footnote w:id="62">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Notably, in 2016, the European Commission launched a new initiative to showcase excellence and quality of VET in Europe as well as to raise awareness of opportunities vocational training provides for both young and adults. In its first edition, the Europe</w:t>
      </w:r>
      <w:r>
        <w:rPr>
          <w:rFonts w:ascii="Times New Roman" w:hAnsi="Times New Roman" w:cs="Times New Roman"/>
        </w:rPr>
        <w:t>an Vocational Skills Week was able to mobilise 800 000 stakeholders in Europe with the aim to improve the image and attractiveness of VET.</w:t>
      </w:r>
    </w:p>
  </w:footnote>
  <w:footnote w:id="63">
    <w:p w:rsidR="00CB01DD" w:rsidRDefault="00D75BDB">
      <w:pPr>
        <w:pStyle w:val="FootnoteText"/>
        <w:jc w:val="both"/>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OJ C 484/1, 24.12.2016.</w:t>
      </w:r>
    </w:p>
    <w:p w:rsidR="00CB01DD" w:rsidRDefault="00D75BDB">
      <w:pPr>
        <w:pStyle w:val="FootnoteText"/>
        <w:jc w:val="both"/>
        <w:rPr>
          <w:rFonts w:ascii="Times New Roman" w:hAnsi="Times New Roman" w:cs="Times New Roman"/>
          <w:lang w:val="pl-PL"/>
        </w:rPr>
      </w:pPr>
      <w:r>
        <w:rPr>
          <w:rFonts w:ascii="Times New Roman" w:hAnsi="Times New Roman" w:cs="Times New Roman"/>
          <w:lang w:val="pl-PL"/>
        </w:rPr>
        <w:t>http://eur-lex.europa.eu/legal-content/EN/TXT/?uri=OJ:JOC_2016_484_R_0001</w:t>
      </w:r>
    </w:p>
  </w:footnote>
  <w:footnote w:id="64">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Recomme</w:t>
      </w:r>
      <w:r>
        <w:rPr>
          <w:rFonts w:ascii="Times New Roman" w:hAnsi="Times New Roman" w:cs="Times New Roman"/>
        </w:rPr>
        <w:t>ndation of 10 March 2014 on a Quality Framework for Traineeships, 2014/C 88/01.</w:t>
      </w:r>
    </w:p>
  </w:footnote>
  <w:footnote w:id="65">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Additional detailed analysis on labour market segmentation and its determinants can be found in Part 2 of European Commission (2017), </w:t>
      </w:r>
      <w:r>
        <w:rPr>
          <w:rFonts w:ascii="Times New Roman" w:hAnsi="Times New Roman" w:cs="Times New Roman"/>
          <w:i/>
        </w:rPr>
        <w:t>Labour Market and Wage Developments in E</w:t>
      </w:r>
      <w:r>
        <w:rPr>
          <w:rFonts w:ascii="Times New Roman" w:hAnsi="Times New Roman" w:cs="Times New Roman"/>
          <w:i/>
        </w:rPr>
        <w:t>urope. Annual Review 2017.</w:t>
      </w:r>
      <w:r>
        <w:rPr>
          <w:rFonts w:ascii="Times New Roman" w:hAnsi="Times New Roman" w:cs="Times New Roman"/>
        </w:rPr>
        <w:t xml:space="preserve"> Luxembourg: Publications Office of the European Union, 2017.</w:t>
      </w:r>
    </w:p>
  </w:footnote>
  <w:footnote w:id="66">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Those who have been unemployed for less than one year.</w:t>
      </w:r>
    </w:p>
  </w:footnote>
  <w:footnote w:id="67">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Venn (2012), “Eligibility Criteria for Unemployment Benefits: Quantitative Indicators for OECD and EU Co</w:t>
      </w:r>
      <w:r>
        <w:rPr>
          <w:rFonts w:ascii="Times New Roman" w:hAnsi="Times New Roman" w:cs="Times New Roman"/>
        </w:rPr>
        <w:t>untries”, OECD Social, Employment and Migration Working Papers, No. 131, OECD Publishing, Paris, and Langenbucher, K. (2015), “How demanding are eligibility criteria for unemployment benefits, quantitative indicators for OECD and EU countries”, OECD Social</w:t>
      </w:r>
      <w:r>
        <w:rPr>
          <w:rFonts w:ascii="Times New Roman" w:hAnsi="Times New Roman" w:cs="Times New Roman"/>
        </w:rPr>
        <w:t>, Employment and Migration Working Papers, No. 166, OECD Publishing, Paris.</w:t>
      </w:r>
    </w:p>
  </w:footnote>
  <w:footnote w:id="6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indicators are based on aggregation of a number of items, with score on a scale from 1 (least strict) to 5 (most strict).</w:t>
      </w:r>
    </w:p>
  </w:footnote>
  <w:footnote w:id="6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Also known as "El Khomri law". A detailed descript</w:t>
      </w:r>
      <w:r>
        <w:rPr>
          <w:rFonts w:ascii="Times New Roman" w:hAnsi="Times New Roman" w:cs="Times New Roman"/>
        </w:rPr>
        <w:t>ion of the law is provided in the 2017 JER.</w:t>
      </w:r>
    </w:p>
  </w:footnote>
  <w:footnote w:id="70">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first 2-year-cycle of the Benchlearning exercise, which consists of a self-assessment as well as an external peer and expert review of each PES, was finished in 2016. Each PES received customised recommenda</w:t>
      </w:r>
      <w:r>
        <w:rPr>
          <w:rFonts w:ascii="Times New Roman" w:hAnsi="Times New Roman" w:cs="Times New Roman"/>
        </w:rPr>
        <w:t>tions on how to improve their organisational capacity as well as their service provision. Based on these, PES initiated change processes on which they reported back to the network one year after the assessment had taken place. Furthermore the assessment re</w:t>
      </w:r>
      <w:r>
        <w:rPr>
          <w:rFonts w:ascii="Times New Roman" w:hAnsi="Times New Roman" w:cs="Times New Roman"/>
        </w:rPr>
        <w:t xml:space="preserve">sults are used to develop and steer the network’s mutual learning programme. In 2017 the second cycle of benchlearning was launched. This cycle will focus on how the PES are implementing and managing their change processes.  </w:t>
      </w:r>
    </w:p>
  </w:footnote>
  <w:footnote w:id="71">
    <w:p w:rsidR="00CB01DD" w:rsidRDefault="00D75BDB">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GDHI is measured using 'unad</w:t>
      </w:r>
      <w:r>
        <w:rPr>
          <w:rFonts w:ascii="Times New Roman" w:hAnsi="Times New Roman" w:cs="Times New Roman"/>
          <w:lang w:val="en-US"/>
        </w:rPr>
        <w:t>justed income' (i.e. without including social transfers in kind), in real terms. Data not available for HR, LU and MT. At 31</w:t>
      </w:r>
      <w:r>
        <w:rPr>
          <w:rFonts w:ascii="Times New Roman" w:hAnsi="Times New Roman" w:cs="Times New Roman"/>
          <w:vertAlign w:val="superscript"/>
          <w:lang w:val="en-US"/>
        </w:rPr>
        <w:t>st</w:t>
      </w:r>
      <w:r>
        <w:rPr>
          <w:rFonts w:ascii="Times New Roman" w:hAnsi="Times New Roman" w:cs="Times New Roman"/>
          <w:lang w:val="en-US"/>
        </w:rPr>
        <w:t xml:space="preserve"> October 2017, data for 2016 were only available for 18 Member States.</w:t>
      </w:r>
    </w:p>
  </w:footnote>
  <w:footnote w:id="72">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this chapter, for SILC-based indicators, 2009 is used </w:t>
      </w:r>
      <w:r>
        <w:rPr>
          <w:rFonts w:ascii="Times New Roman" w:hAnsi="Times New Roman" w:cs="Times New Roman"/>
        </w:rPr>
        <w:t>as a reference year for pre-crisis – as it encompasses 2008 incomes.</w:t>
      </w:r>
    </w:p>
  </w:footnote>
  <w:footnote w:id="73">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Chapter 1.2 for definitions of at-risk-of-poverty or social exclusion and its sub-components.</w:t>
      </w:r>
    </w:p>
  </w:footnote>
  <w:footnote w:id="74">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addition, Ireland presented a high share of people living in low-work intensity ho</w:t>
      </w:r>
      <w:r>
        <w:rPr>
          <w:rFonts w:ascii="Times New Roman" w:hAnsi="Times New Roman" w:cs="Times New Roman"/>
        </w:rPr>
        <w:t>useholds (19.2%) in 2015.</w:t>
      </w:r>
    </w:p>
  </w:footnote>
  <w:footnote w:id="75">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Based on EU-SILC 2015 data, 36.1% of people with severe disabilities (aged 16+) were at risk of poverty or social exclusion (compared to 27.4% of people with moderate disabilities) in the EU. The situation did not change signifi</w:t>
      </w:r>
      <w:r>
        <w:rPr>
          <w:rFonts w:ascii="Times New Roman" w:hAnsi="Times New Roman" w:cs="Times New Roman"/>
        </w:rPr>
        <w:t>cantly over the last years. Bulgaria had the highest risk of poverty or social exclusion for people with severe disabilities (59.9%),</w:t>
      </w:r>
      <w:r>
        <w:t xml:space="preserve"> </w:t>
      </w:r>
      <w:r>
        <w:rPr>
          <w:rFonts w:ascii="Times New Roman" w:hAnsi="Times New Roman" w:cs="Times New Roman"/>
        </w:rPr>
        <w:t>followed by Latvia (53.3%) and Lithuania (51.3%).</w:t>
      </w:r>
    </w:p>
  </w:footnote>
  <w:footnote w:id="76">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relative median at-risk-of-poverty gap is calculated as the difference between the median equivalised total net income of persons below the at-risk-of-poverty threshold and the at-risk-of-poverty threshold, expressed as a percentage of the at-risk-of-</w:t>
      </w:r>
      <w:r>
        <w:rPr>
          <w:rFonts w:ascii="Times New Roman" w:hAnsi="Times New Roman" w:cs="Times New Roman"/>
        </w:rPr>
        <w:t>poverty threshold (cut-off point: 60% of median equivalised income).</w:t>
      </w:r>
    </w:p>
  </w:footnote>
  <w:footnote w:id="77">
    <w:p w:rsidR="00CB01DD" w:rsidRDefault="00D75BD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topic is partly addressed also in Section 3.3.</w:t>
      </w:r>
    </w:p>
  </w:footnote>
  <w:footnote w:id="7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Social Policy Network (2017), </w:t>
      </w:r>
      <w:hyperlink r:id="rId3" w:history="1">
        <w:r>
          <w:rPr>
            <w:rStyle w:val="Hyperlink"/>
            <w:rFonts w:ascii="Times New Roman" w:hAnsi="Times New Roman" w:cs="Times New Roman"/>
            <w:i/>
            <w:color w:val="auto"/>
            <w:u w:val="none"/>
          </w:rPr>
          <w:t>Access to soci</w:t>
        </w:r>
        <w:r>
          <w:rPr>
            <w:rStyle w:val="Hyperlink"/>
            <w:rFonts w:ascii="Times New Roman" w:hAnsi="Times New Roman" w:cs="Times New Roman"/>
            <w:i/>
            <w:color w:val="auto"/>
            <w:u w:val="none"/>
          </w:rPr>
          <w:t>al protection for people working on non-standard contracts and as self-employed in Europe – a study of national policies</w:t>
        </w:r>
      </w:hyperlink>
      <w:r>
        <w:rPr>
          <w:rFonts w:ascii="Times New Roman" w:hAnsi="Times New Roman" w:cs="Times New Roman"/>
        </w:rPr>
        <w:t>, report prepared for the European Commission.</w:t>
      </w:r>
    </w:p>
  </w:footnote>
  <w:footnote w:id="7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Percentage of the population living in a household where total housing costs (net of ho</w:t>
      </w:r>
      <w:r>
        <w:rPr>
          <w:rFonts w:ascii="Times New Roman" w:hAnsi="Times New Roman" w:cs="Times New Roman"/>
        </w:rPr>
        <w:t>using allowances) represent more than 40% of the total disposable household income (net of housing allowances).</w:t>
      </w:r>
    </w:p>
  </w:footnote>
  <w:footnote w:id="80">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Ratio of the median individual gross pensions of 65-74 relative to the median individual gross earnings of 50-59.</w:t>
      </w:r>
    </w:p>
  </w:footnote>
  <w:footnote w:id="81">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Self-reported unmet needs </w:t>
      </w:r>
      <w:r>
        <w:rPr>
          <w:rFonts w:ascii="Times New Roman" w:hAnsi="Times New Roman" w:cs="Times New Roman"/>
        </w:rPr>
        <w:t>for medical care concern a person's own assessment of whether he or she needed examination or treatment for a specific type of health care, but did not have it or did not seek it because of the following three reasons: ‘Financial reasons’, ‘Waiting list’ a</w:t>
      </w:r>
      <w:r>
        <w:rPr>
          <w:rFonts w:ascii="Times New Roman" w:hAnsi="Times New Roman" w:cs="Times New Roman"/>
        </w:rPr>
        <w:t>nd ‘Too far to travel’. The problems that people report in obtaining care when they are ill often reflect significant barriers to care.</w:t>
      </w:r>
    </w:p>
  </w:footnote>
  <w:footnote w:id="82">
    <w:p w:rsidR="00CB01DD" w:rsidRDefault="00D75BDB">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With specific reference to Greece, the dramatic reduction of salaries and the surge in unemployment in a fragmented he</w:t>
      </w:r>
      <w:r>
        <w:rPr>
          <w:rFonts w:ascii="Times New Roman" w:hAnsi="Times New Roman" w:cs="Times New Roman"/>
        </w:rPr>
        <w:t>alth insurance system with weak redistribution caused a considerable drop in coverage and eligibility for public healthcare. While there is evidence of overconsumption of healthcare services before the crisis in Greece (as reflected by the high level of ou</w:t>
      </w:r>
      <w:r>
        <w:rPr>
          <w:rFonts w:ascii="Times New Roman" w:hAnsi="Times New Roman" w:cs="Times New Roman"/>
        </w:rPr>
        <w:t>t-of-pocket payments), this became no longer affordable with the crisis. Universal coverage was introduced by subsequent reforms in 2014 and in 2016. The impact of these reforms on unmet needs is not yet captured by available data.</w:t>
      </w:r>
    </w:p>
  </w:footnote>
  <w:footnote w:id="83">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Out-of-pocket spending</w:t>
      </w:r>
      <w:r>
        <w:rPr>
          <w:rFonts w:ascii="Times New Roman" w:hAnsi="Times New Roman" w:cs="Times New Roman"/>
        </w:rPr>
        <w:t xml:space="preserve"> refers to direct payments for goods and services from the household primary income or savings, where the payment is made by the user at the time of the purchased of goods or the use of the services either without any reimbursement or as cost-sharing with </w:t>
      </w:r>
      <w:r>
        <w:rPr>
          <w:rFonts w:ascii="Times New Roman" w:hAnsi="Times New Roman" w:cs="Times New Roman"/>
        </w:rPr>
        <w:t>an organised scheme.</w:t>
      </w:r>
    </w:p>
    <w:p w:rsidR="00CB01DD" w:rsidRDefault="00CB01DD">
      <w:pPr>
        <w:pStyle w:val="FootnoteText"/>
        <w:jc w:val="both"/>
        <w:rPr>
          <w:rFonts w:ascii="Times New Roman" w:hAnsi="Times New Roman" w:cs="Times New Roman"/>
        </w:rPr>
      </w:pPr>
    </w:p>
  </w:footnote>
  <w:footnote w:id="84">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rPr>
        <w:t>The access to social services and activation measures are supported by the European Social Fund (ESF).</w:t>
      </w:r>
    </w:p>
  </w:footnote>
  <w:footnote w:id="85">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Diagnosis-related group based payment system.</w:t>
      </w:r>
    </w:p>
  </w:footnote>
  <w:footnote w:id="86">
    <w:p w:rsidR="00CB01DD" w:rsidRDefault="00D75BDB">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Both normality and T-shaped distribution tests were carried out resulting in th</w:t>
      </w:r>
      <w:r>
        <w:rPr>
          <w:rFonts w:ascii="Times New Roman" w:hAnsi="Times New Roman" w:cs="Times New Roman"/>
          <w:lang w:val="en-US"/>
        </w:rPr>
        <w:t>e rejection of any distributional hypothesis.</w:t>
      </w:r>
    </w:p>
  </w:footnote>
  <w:footnote w:id="87">
    <w:p w:rsidR="00CB01DD" w:rsidRDefault="00D75BDB">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In case of normality, chosen cut-off points roughly corresponds to 15 %, 30%, 50%, 70% and 85% of cumulative distribution.</w:t>
      </w:r>
    </w:p>
  </w:footnote>
  <w:footnote w:id="88">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latter condition prevents a Member State presenting "low" or "very low" level to be flagged as "deteriorating" when showing a change "much higher than average", but still decreasing.</w:t>
      </w:r>
    </w:p>
  </w:footnote>
  <w:footnote w:id="89">
    <w:p w:rsidR="00CB01DD" w:rsidRDefault="00D75B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latter condition prevents a Member State presenting "high" or </w:t>
      </w:r>
      <w:r>
        <w:rPr>
          <w:rFonts w:ascii="Times New Roman" w:hAnsi="Times New Roman" w:cs="Times New Roman"/>
        </w:rPr>
        <w:t>"very high" level to be flagged as "deteriorating" when showing a change "much lower than average", but still increasing.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DB" w:rsidRPr="00D75BDB" w:rsidRDefault="00D75BDB" w:rsidP="00D75B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DB" w:rsidRPr="00D75BDB" w:rsidRDefault="00D75BDB" w:rsidP="00D75BD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DB" w:rsidRPr="00D75BDB" w:rsidRDefault="00D75BDB" w:rsidP="00D75BDB">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1DD" w:rsidRDefault="00CB01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10161A"/>
    <w:multiLevelType w:val="hybridMultilevel"/>
    <w:tmpl w:val="4178FB5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3">
    <w:nsid w:val="47845BB2"/>
    <w:multiLevelType w:val="hybridMultilevel"/>
    <w:tmpl w:val="29DE9716"/>
    <w:lvl w:ilvl="0" w:tplc="64E87840">
      <w:start w:val="1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0EE4C3F"/>
    <w:multiLevelType w:val="hybridMultilevel"/>
    <w:tmpl w:val="E7DC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D92818"/>
    <w:multiLevelType w:val="hybridMultilevel"/>
    <w:tmpl w:val="BC24367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7">
    <w:nsid w:val="71D53D88"/>
    <w:multiLevelType w:val="hybridMultilevel"/>
    <w:tmpl w:val="C69E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4"/>
  </w:num>
  <w:num w:numId="6">
    <w:abstractNumId w:val="7"/>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F400E25-40F2-47FC-ABC5-7ACD13BFFFA4"/>
    <w:docVar w:name="LW_COVERPAGE_TYPE" w:val="1"/>
    <w:docVar w:name="LW_CROSSREFERENCE" w:val="&lt;UNUSED&gt;"/>
    <w:docVar w:name="LW_DocType" w:val="NORMAL"/>
    <w:docVar w:name="LW_EMISSION" w:val="22.11.2017"/>
    <w:docVar w:name="LW_EMISSION_ISODATE" w:val="2017-11-22"/>
    <w:docVar w:name="LW_EMISSION_LOCATION" w:val="BRX"/>
    <w:docVar w:name="LW_EMISSION_PREFIX" w:val="Brussels,"/>
    <w:docVar w:name="LW_EMISSION_SUFFIX" w:val=" "/>
    <w:docVar w:name="LW_ID_DOCTYPE_NONLW" w:val="CP-035"/>
    <w:docVar w:name="LW_LANGUE" w:val="EN"/>
    <w:docVar w:name="LW_LEVEL_OF_SENSITIVITY" w:val="Standard treatment"/>
    <w:docVar w:name="LW_NOM.INST" w:val="EUROPEAN COMMISSION"/>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67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accompanying the Communication from the Commission on the _x000b_Annual Growth Survey 2018"/>
    <w:docVar w:name="LW_TYPE.DOC.CP" w:val="DRAFT JOINT EMPLOYMENT REPORT _x000b_FROM THE COMMISSION AND THE COUNCIL _x000b_"/>
  </w:docVars>
  <w:rsids>
    <w:rsidRoot w:val="00CB01DD"/>
    <w:rsid w:val="00CB01DD"/>
    <w:rsid w:val="00D75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440" w:after="240" w:line="360" w:lineRule="auto"/>
      <w:outlineLvl w:val="1"/>
    </w:pPr>
    <w:rPr>
      <w:rFonts w:ascii="Times New Roman" w:eastAsiaTheme="majorEastAsia" w:hAnsi="Times New Roman" w:cstheme="majorBidi"/>
      <w:b/>
      <w:bCs/>
      <w:sz w:val="24"/>
      <w:szCs w:val="26"/>
      <w:lang w:val="it-IT"/>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paragraph" w:customStyle="1" w:styleId="FootnoteReferneceCarcter">
    <w:name w:val="Footnote Refernece Carácter"/>
    <w:aliases w:val="ftref Carácter,4_G Carácter"/>
    <w:basedOn w:val="Normal"/>
    <w:uiPriority w:val="99"/>
    <w:pPr>
      <w:spacing w:before="120" w:after="160" w:line="240" w:lineRule="exact"/>
      <w:jc w:val="both"/>
    </w:pPr>
    <w:rPr>
      <w:vertAlign w:val="superscript"/>
    </w:rPr>
  </w:style>
  <w:style w:type="character" w:styleId="Hyperlink">
    <w:name w:val="Hyperlink"/>
    <w:uiPriority w:val="99"/>
    <w:rPr>
      <w:color w:val="000080"/>
      <w:u w:val="singl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styleId="Caption">
    <w:name w:val="caption"/>
    <w:aliases w:val="Caption Char1,Caption Char Char"/>
    <w:basedOn w:val="Normal"/>
    <w:next w:val="Normal"/>
    <w:unhideWhenUsed/>
    <w:qFormat/>
    <w:rPr>
      <w:rFonts w:ascii="Calibri" w:eastAsia="Times New Roman" w:hAnsi="Calibri" w:cs="Times New Roman"/>
      <w:b/>
      <w:bCs/>
      <w:sz w:val="18"/>
      <w:szCs w:val="18"/>
      <w:lang w:eastAsia="en-GB"/>
    </w:rPr>
  </w:style>
  <w:style w:type="character" w:customStyle="1" w:styleId="leaf">
    <w:name w:val="leaf"/>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rightside">
    <w:name w:val="right_side"/>
    <w:basedOn w:val="DefaultParagraphFont"/>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ascii="Times New Roman" w:eastAsia="Times New Roman" w:hAnsi="Times New Roman" w:cs="Times New Roman"/>
      <w:color w:val="000000"/>
      <w:sz w:val="20"/>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it-IT"/>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JERTitle1">
    <w:name w:val="JER Title 1"/>
    <w:basedOn w:val="Heading1"/>
    <w:link w:val="JERTitle1Char"/>
    <w:qFormat/>
    <w:rPr>
      <w:rFonts w:cs="Times New Roman"/>
      <w:szCs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customStyle="1" w:styleId="Style1">
    <w:name w:val="Style1"/>
    <w:basedOn w:val="Heading1"/>
    <w:link w:val="Style1Char"/>
    <w:qFormat/>
    <w:pPr>
      <w:spacing w:before="360"/>
    </w:pPr>
    <w:rPr>
      <w:rFonts w:cs="Times New Roman"/>
      <w:szCs w:val="24"/>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JERTitle1Char">
    <w:name w:val="JER Title 1 Char"/>
    <w:basedOn w:val="Heading1Char"/>
    <w:link w:val="JERTitle1"/>
    <w:rPr>
      <w:rFonts w:ascii="Times New Roman" w:eastAsiaTheme="majorEastAsia" w:hAnsi="Times New Roman" w:cs="Times New Roman"/>
      <w:b/>
      <w:bCs/>
      <w:sz w:val="24"/>
      <w:szCs w:val="24"/>
    </w:rPr>
  </w:style>
  <w:style w:type="character" w:customStyle="1" w:styleId="Style1Char">
    <w:name w:val="Style1 Char"/>
    <w:basedOn w:val="Heading1Char"/>
    <w:link w:val="Style1"/>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pPr>
      <w:outlineLvl w:val="9"/>
    </w:pPr>
    <w:rPr>
      <w:lang w:val="en-US" w:eastAsia="ja-JP"/>
    </w:rPr>
  </w:style>
  <w:style w:type="paragraph" w:styleId="TOC2">
    <w:name w:val="toc 2"/>
    <w:basedOn w:val="Normal"/>
    <w:next w:val="Normal"/>
    <w:autoRedefine/>
    <w:uiPriority w:val="39"/>
    <w:unhideWhenUsed/>
    <w:qFormat/>
    <w:pPr>
      <w:spacing w:after="100"/>
      <w:ind w:left="220"/>
    </w:pPr>
    <w:rPr>
      <w:rFonts w:ascii="Times New Roman" w:hAnsi="Times New Roman"/>
      <w:sz w:val="24"/>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440" w:after="240" w:line="360" w:lineRule="auto"/>
      <w:outlineLvl w:val="1"/>
    </w:pPr>
    <w:rPr>
      <w:rFonts w:ascii="Times New Roman" w:eastAsiaTheme="majorEastAsia" w:hAnsi="Times New Roman" w:cstheme="majorBidi"/>
      <w:b/>
      <w:bCs/>
      <w:sz w:val="24"/>
      <w:szCs w:val="26"/>
      <w:lang w:val="it-IT"/>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paragraph" w:customStyle="1" w:styleId="FootnoteReferneceCarcter">
    <w:name w:val="Footnote Refernece Carácter"/>
    <w:aliases w:val="ftref Carácter,4_G Carácter"/>
    <w:basedOn w:val="Normal"/>
    <w:uiPriority w:val="99"/>
    <w:pPr>
      <w:spacing w:before="120" w:after="160" w:line="240" w:lineRule="exact"/>
      <w:jc w:val="both"/>
    </w:pPr>
    <w:rPr>
      <w:vertAlign w:val="superscript"/>
    </w:rPr>
  </w:style>
  <w:style w:type="character" w:styleId="Hyperlink">
    <w:name w:val="Hyperlink"/>
    <w:uiPriority w:val="99"/>
    <w:rPr>
      <w:color w:val="000080"/>
      <w:u w:val="singl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styleId="Caption">
    <w:name w:val="caption"/>
    <w:aliases w:val="Caption Char1,Caption Char Char"/>
    <w:basedOn w:val="Normal"/>
    <w:next w:val="Normal"/>
    <w:unhideWhenUsed/>
    <w:qFormat/>
    <w:rPr>
      <w:rFonts w:ascii="Calibri" w:eastAsia="Times New Roman" w:hAnsi="Calibri" w:cs="Times New Roman"/>
      <w:b/>
      <w:bCs/>
      <w:sz w:val="18"/>
      <w:szCs w:val="18"/>
      <w:lang w:eastAsia="en-GB"/>
    </w:rPr>
  </w:style>
  <w:style w:type="character" w:customStyle="1" w:styleId="leaf">
    <w:name w:val="leaf"/>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rightside">
    <w:name w:val="right_side"/>
    <w:basedOn w:val="DefaultParagraphFont"/>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ascii="Times New Roman" w:eastAsia="Times New Roman" w:hAnsi="Times New Roman" w:cs="Times New Roman"/>
      <w:color w:val="000000"/>
      <w:sz w:val="20"/>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it-IT"/>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JERTitle1">
    <w:name w:val="JER Title 1"/>
    <w:basedOn w:val="Heading1"/>
    <w:link w:val="JERTitle1Char"/>
    <w:qFormat/>
    <w:rPr>
      <w:rFonts w:cs="Times New Roman"/>
      <w:szCs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customStyle="1" w:styleId="Style1">
    <w:name w:val="Style1"/>
    <w:basedOn w:val="Heading1"/>
    <w:link w:val="Style1Char"/>
    <w:qFormat/>
    <w:pPr>
      <w:spacing w:before="360"/>
    </w:pPr>
    <w:rPr>
      <w:rFonts w:cs="Times New Roman"/>
      <w:szCs w:val="24"/>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JERTitle1Char">
    <w:name w:val="JER Title 1 Char"/>
    <w:basedOn w:val="Heading1Char"/>
    <w:link w:val="JERTitle1"/>
    <w:rPr>
      <w:rFonts w:ascii="Times New Roman" w:eastAsiaTheme="majorEastAsia" w:hAnsi="Times New Roman" w:cs="Times New Roman"/>
      <w:b/>
      <w:bCs/>
      <w:sz w:val="24"/>
      <w:szCs w:val="24"/>
    </w:rPr>
  </w:style>
  <w:style w:type="character" w:customStyle="1" w:styleId="Style1Char">
    <w:name w:val="Style1 Char"/>
    <w:basedOn w:val="Heading1Char"/>
    <w:link w:val="Style1"/>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pPr>
      <w:outlineLvl w:val="9"/>
    </w:pPr>
    <w:rPr>
      <w:lang w:val="en-US" w:eastAsia="ja-JP"/>
    </w:rPr>
  </w:style>
  <w:style w:type="paragraph" w:styleId="TOC2">
    <w:name w:val="toc 2"/>
    <w:basedOn w:val="Normal"/>
    <w:next w:val="Normal"/>
    <w:autoRedefine/>
    <w:uiPriority w:val="39"/>
    <w:unhideWhenUsed/>
    <w:qFormat/>
    <w:pPr>
      <w:spacing w:after="100"/>
      <w:ind w:left="220"/>
    </w:pPr>
    <w:rPr>
      <w:rFonts w:ascii="Times New Roman" w:hAnsi="Times New Roman"/>
      <w:sz w:val="24"/>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4489">
      <w:bodyDiv w:val="1"/>
      <w:marLeft w:val="0"/>
      <w:marRight w:val="0"/>
      <w:marTop w:val="0"/>
      <w:marBottom w:val="0"/>
      <w:divBdr>
        <w:top w:val="none" w:sz="0" w:space="0" w:color="auto"/>
        <w:left w:val="none" w:sz="0" w:space="0" w:color="auto"/>
        <w:bottom w:val="none" w:sz="0" w:space="0" w:color="auto"/>
        <w:right w:val="none" w:sz="0" w:space="0" w:color="auto"/>
      </w:divBdr>
    </w:div>
    <w:div w:id="156191708">
      <w:bodyDiv w:val="1"/>
      <w:marLeft w:val="0"/>
      <w:marRight w:val="0"/>
      <w:marTop w:val="0"/>
      <w:marBottom w:val="0"/>
      <w:divBdr>
        <w:top w:val="none" w:sz="0" w:space="0" w:color="auto"/>
        <w:left w:val="none" w:sz="0" w:space="0" w:color="auto"/>
        <w:bottom w:val="none" w:sz="0" w:space="0" w:color="auto"/>
        <w:right w:val="none" w:sz="0" w:space="0" w:color="auto"/>
      </w:divBdr>
    </w:div>
    <w:div w:id="554390995">
      <w:bodyDiv w:val="1"/>
      <w:marLeft w:val="0"/>
      <w:marRight w:val="0"/>
      <w:marTop w:val="0"/>
      <w:marBottom w:val="0"/>
      <w:divBdr>
        <w:top w:val="none" w:sz="0" w:space="0" w:color="auto"/>
        <w:left w:val="none" w:sz="0" w:space="0" w:color="auto"/>
        <w:bottom w:val="none" w:sz="0" w:space="0" w:color="auto"/>
        <w:right w:val="none" w:sz="0" w:space="0" w:color="auto"/>
      </w:divBdr>
    </w:div>
    <w:div w:id="681128771">
      <w:bodyDiv w:val="1"/>
      <w:marLeft w:val="0"/>
      <w:marRight w:val="0"/>
      <w:marTop w:val="0"/>
      <w:marBottom w:val="0"/>
      <w:divBdr>
        <w:top w:val="none" w:sz="0" w:space="0" w:color="auto"/>
        <w:left w:val="none" w:sz="0" w:space="0" w:color="auto"/>
        <w:bottom w:val="none" w:sz="0" w:space="0" w:color="auto"/>
        <w:right w:val="none" w:sz="0" w:space="0" w:color="auto"/>
      </w:divBdr>
    </w:div>
    <w:div w:id="933442557">
      <w:bodyDiv w:val="1"/>
      <w:marLeft w:val="0"/>
      <w:marRight w:val="0"/>
      <w:marTop w:val="0"/>
      <w:marBottom w:val="0"/>
      <w:divBdr>
        <w:top w:val="none" w:sz="0" w:space="0" w:color="auto"/>
        <w:left w:val="none" w:sz="0" w:space="0" w:color="auto"/>
        <w:bottom w:val="none" w:sz="0" w:space="0" w:color="auto"/>
        <w:right w:val="none" w:sz="0" w:space="0" w:color="auto"/>
      </w:divBdr>
    </w:div>
    <w:div w:id="1054233615">
      <w:bodyDiv w:val="1"/>
      <w:marLeft w:val="0"/>
      <w:marRight w:val="0"/>
      <w:marTop w:val="0"/>
      <w:marBottom w:val="0"/>
      <w:divBdr>
        <w:top w:val="none" w:sz="0" w:space="0" w:color="auto"/>
        <w:left w:val="none" w:sz="0" w:space="0" w:color="auto"/>
        <w:bottom w:val="none" w:sz="0" w:space="0" w:color="auto"/>
        <w:right w:val="none" w:sz="0" w:space="0" w:color="auto"/>
      </w:divBdr>
    </w:div>
    <w:div w:id="1092552179">
      <w:bodyDiv w:val="1"/>
      <w:marLeft w:val="0"/>
      <w:marRight w:val="0"/>
      <w:marTop w:val="0"/>
      <w:marBottom w:val="0"/>
      <w:divBdr>
        <w:top w:val="none" w:sz="0" w:space="0" w:color="auto"/>
        <w:left w:val="none" w:sz="0" w:space="0" w:color="auto"/>
        <w:bottom w:val="none" w:sz="0" w:space="0" w:color="auto"/>
        <w:right w:val="none" w:sz="0" w:space="0" w:color="auto"/>
      </w:divBdr>
    </w:div>
    <w:div w:id="1365709583">
      <w:bodyDiv w:val="1"/>
      <w:marLeft w:val="0"/>
      <w:marRight w:val="0"/>
      <w:marTop w:val="0"/>
      <w:marBottom w:val="0"/>
      <w:divBdr>
        <w:top w:val="none" w:sz="0" w:space="0" w:color="auto"/>
        <w:left w:val="none" w:sz="0" w:space="0" w:color="auto"/>
        <w:bottom w:val="none" w:sz="0" w:space="0" w:color="auto"/>
        <w:right w:val="none" w:sz="0" w:space="0" w:color="auto"/>
      </w:divBdr>
    </w:div>
    <w:div w:id="1570075747">
      <w:bodyDiv w:val="1"/>
      <w:marLeft w:val="0"/>
      <w:marRight w:val="0"/>
      <w:marTop w:val="0"/>
      <w:marBottom w:val="0"/>
      <w:divBdr>
        <w:top w:val="none" w:sz="0" w:space="0" w:color="auto"/>
        <w:left w:val="none" w:sz="0" w:space="0" w:color="auto"/>
        <w:bottom w:val="none" w:sz="0" w:space="0" w:color="auto"/>
        <w:right w:val="none" w:sz="0" w:space="0" w:color="auto"/>
      </w:divBdr>
    </w:div>
    <w:div w:id="1679581554">
      <w:bodyDiv w:val="1"/>
      <w:marLeft w:val="0"/>
      <w:marRight w:val="0"/>
      <w:marTop w:val="0"/>
      <w:marBottom w:val="0"/>
      <w:divBdr>
        <w:top w:val="none" w:sz="0" w:space="0" w:color="auto"/>
        <w:left w:val="none" w:sz="0" w:space="0" w:color="auto"/>
        <w:bottom w:val="none" w:sz="0" w:space="0" w:color="auto"/>
        <w:right w:val="none" w:sz="0" w:space="0" w:color="auto"/>
      </w:divBdr>
    </w:div>
    <w:div w:id="1704093494">
      <w:bodyDiv w:val="1"/>
      <w:marLeft w:val="0"/>
      <w:marRight w:val="0"/>
      <w:marTop w:val="0"/>
      <w:marBottom w:val="0"/>
      <w:divBdr>
        <w:top w:val="none" w:sz="0" w:space="0" w:color="auto"/>
        <w:left w:val="none" w:sz="0" w:space="0" w:color="auto"/>
        <w:bottom w:val="none" w:sz="0" w:space="0" w:color="auto"/>
        <w:right w:val="none" w:sz="0" w:space="0" w:color="auto"/>
      </w:divBdr>
    </w:div>
    <w:div w:id="1750038861">
      <w:bodyDiv w:val="1"/>
      <w:marLeft w:val="0"/>
      <w:marRight w:val="0"/>
      <w:marTop w:val="0"/>
      <w:marBottom w:val="0"/>
      <w:divBdr>
        <w:top w:val="none" w:sz="0" w:space="0" w:color="auto"/>
        <w:left w:val="none" w:sz="0" w:space="0" w:color="auto"/>
        <w:bottom w:val="none" w:sz="0" w:space="0" w:color="auto"/>
        <w:right w:val="none" w:sz="0" w:space="0" w:color="auto"/>
      </w:divBdr>
    </w:div>
    <w:div w:id="1906599081">
      <w:bodyDiv w:val="1"/>
      <w:marLeft w:val="0"/>
      <w:marRight w:val="0"/>
      <w:marTop w:val="0"/>
      <w:marBottom w:val="0"/>
      <w:divBdr>
        <w:top w:val="none" w:sz="0" w:space="0" w:color="auto"/>
        <w:left w:val="none" w:sz="0" w:space="0" w:color="auto"/>
        <w:bottom w:val="none" w:sz="0" w:space="0" w:color="auto"/>
        <w:right w:val="none" w:sz="0" w:space="0" w:color="auto"/>
      </w:divBdr>
    </w:div>
    <w:div w:id="2062317283">
      <w:bodyDiv w:val="1"/>
      <w:marLeft w:val="0"/>
      <w:marRight w:val="0"/>
      <w:marTop w:val="0"/>
      <w:marBottom w:val="0"/>
      <w:divBdr>
        <w:top w:val="none" w:sz="0" w:space="0" w:color="auto"/>
        <w:left w:val="none" w:sz="0" w:space="0" w:color="auto"/>
        <w:bottom w:val="none" w:sz="0" w:space="0" w:color="auto"/>
        <w:right w:val="none" w:sz="0" w:space="0" w:color="auto"/>
      </w:divBdr>
    </w:div>
    <w:div w:id="211605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chart" Target="charts/chart2.xml"/><Relationship Id="rId68" Type="http://schemas.openxmlformats.org/officeDocument/2006/relationships/image" Target="media/image40.png"/><Relationship Id="rId84" Type="http://schemas.openxmlformats.org/officeDocument/2006/relationships/footer" Target="footer10.xml"/><Relationship Id="rId89" Type="http://schemas.openxmlformats.org/officeDocument/2006/relationships/header" Target="header13.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7.xml"/><Relationship Id="rId107" Type="http://schemas.openxmlformats.org/officeDocument/2006/relationships/footer" Target="footer19.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emf"/><Relationship Id="rId87" Type="http://schemas.openxmlformats.org/officeDocument/2006/relationships/footer" Target="footer12.xml"/><Relationship Id="rId102" Type="http://schemas.openxmlformats.org/officeDocument/2006/relationships/image" Target="media/image56.png"/><Relationship Id="rId110"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header" Target="header10.xml"/><Relationship Id="rId90" Type="http://schemas.openxmlformats.org/officeDocument/2006/relationships/header" Target="header14.xml"/><Relationship Id="rId95" Type="http://schemas.openxmlformats.org/officeDocument/2006/relationships/image" Target="media/image55.emf"/><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9.png"/><Relationship Id="rId43" Type="http://schemas.openxmlformats.org/officeDocument/2006/relationships/chart" Target="charts/chart1.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emf"/><Relationship Id="rId100" Type="http://schemas.openxmlformats.org/officeDocument/2006/relationships/header" Target="header18.xml"/><Relationship Id="rId105"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4.png"/><Relationship Id="rId80" Type="http://schemas.openxmlformats.org/officeDocument/2006/relationships/image" Target="media/image52.emf"/><Relationship Id="rId85" Type="http://schemas.openxmlformats.org/officeDocument/2006/relationships/footer" Target="footer11.xml"/><Relationship Id="rId93" Type="http://schemas.openxmlformats.org/officeDocument/2006/relationships/header" Target="header15.xml"/><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image" Target="media/image57.png"/><Relationship Id="rId108" Type="http://schemas.openxmlformats.org/officeDocument/2006/relationships/footer" Target="footer20.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eader" Target="header11.xml"/><Relationship Id="rId88" Type="http://schemas.openxmlformats.org/officeDocument/2006/relationships/image" Target="media/image54.emf"/><Relationship Id="rId91" Type="http://schemas.openxmlformats.org/officeDocument/2006/relationships/footer" Target="footer13.xml"/><Relationship Id="rId96" Type="http://schemas.openxmlformats.org/officeDocument/2006/relationships/header" Target="header16.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header" Target="header20.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header" Target="header12.xml"/><Relationship Id="rId94" Type="http://schemas.openxmlformats.org/officeDocument/2006/relationships/footer" Target="footer15.xml"/><Relationship Id="rId99" Type="http://schemas.openxmlformats.org/officeDocument/2006/relationships/footer" Target="footer17.xml"/><Relationship Id="rId10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emf"/><Relationship Id="rId109" Type="http://schemas.openxmlformats.org/officeDocument/2006/relationships/header" Target="header21.xml"/><Relationship Id="rId34" Type="http://schemas.openxmlformats.org/officeDocument/2006/relationships/image" Target="media/image8.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8.emf"/><Relationship Id="rId97" Type="http://schemas.openxmlformats.org/officeDocument/2006/relationships/header" Target="header17.xml"/><Relationship Id="rId104" Type="http://schemas.openxmlformats.org/officeDocument/2006/relationships/image" Target="cid:image001.png@01D356FF.4A75A6F0" TargetMode="Externa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main.jsp?catId=1135&amp;intPageId=3588" TargetMode="External"/><Relationship Id="rId2" Type="http://schemas.openxmlformats.org/officeDocument/2006/relationships/hyperlink" Target="http://data.consilium.europa.eu/doc/document/ST-14441-2015-INIT/en/pdf" TargetMode="External"/><Relationship Id="rId1" Type="http://schemas.openxmlformats.org/officeDocument/2006/relationships/hyperlink" Target="http://ec.europa.eu/education/policy/strategic-framework/et-monitor_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tamb\AppData\Local\Microsoft\Windows\Temporary%20Internet%20Files\Content.Outlook\67D0GRQW\PISA%20charts_EU2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3.8. '!$J$7</c:f>
              <c:strCache>
                <c:ptCount val="1"/>
                <c:pt idx="0">
                  <c:v>Bottom quarter of ESCS</c:v>
                </c:pt>
              </c:strCache>
            </c:strRef>
          </c:tx>
          <c:spPr>
            <a:ln>
              <a:noFill/>
            </a:ln>
          </c:spPr>
          <c:marker>
            <c:symbol val="triangle"/>
            <c:size val="7"/>
          </c:marker>
          <c:dPt>
            <c:idx val="11"/>
            <c:marker>
              <c:spPr>
                <a:solidFill>
                  <a:schemeClr val="accent1"/>
                </a:solidFill>
              </c:spPr>
            </c:marker>
            <c:bubble3D val="0"/>
            <c:extLst xmlns:c16r2="http://schemas.microsoft.com/office/drawing/2015/06/chart">
              <c:ext xmlns:c16="http://schemas.microsoft.com/office/drawing/2014/chart" uri="{C3380CC4-5D6E-409C-BE32-E72D297353CC}">
                <c16:uniqueId val="{00000000-43E7-4552-83A4-E87D4FB8EEAD}"/>
              </c:ext>
            </c:extLst>
          </c:dPt>
          <c:dPt>
            <c:idx val="15"/>
            <c:marker>
              <c:spPr>
                <a:pattFill prst="dkUpDiag">
                  <a:fgClr>
                    <a:schemeClr val="accent1"/>
                  </a:fgClr>
                  <a:bgClr>
                    <a:schemeClr val="bg1"/>
                  </a:bgClr>
                </a:pattFill>
              </c:spPr>
            </c:marker>
            <c:bubble3D val="0"/>
            <c:extLst xmlns:c16r2="http://schemas.microsoft.com/office/drawing/2015/06/chart">
              <c:ext xmlns:c16="http://schemas.microsoft.com/office/drawing/2014/chart" uri="{C3380CC4-5D6E-409C-BE32-E72D297353CC}">
                <c16:uniqueId val="{00000001-43E7-4552-83A4-E87D4FB8EEAD}"/>
              </c:ext>
            </c:extLst>
          </c:dPt>
          <c:dPt>
            <c:idx val="16"/>
            <c:marker>
              <c:spPr>
                <a:solidFill>
                  <a:schemeClr val="accent1"/>
                </a:solidFill>
              </c:spPr>
            </c:marker>
            <c:bubble3D val="0"/>
            <c:extLst xmlns:c16r2="http://schemas.microsoft.com/office/drawing/2015/06/chart">
              <c:ext xmlns:c16="http://schemas.microsoft.com/office/drawing/2014/chart" uri="{C3380CC4-5D6E-409C-BE32-E72D297353CC}">
                <c16:uniqueId val="{00000002-43E7-4552-83A4-E87D4FB8EEAD}"/>
              </c:ext>
            </c:extLst>
          </c:dPt>
          <c:dPt>
            <c:idx val="21"/>
            <c:marker>
              <c:spPr>
                <a:solidFill>
                  <a:schemeClr val="accent1"/>
                </a:solidFill>
              </c:spPr>
            </c:marker>
            <c:bubble3D val="0"/>
            <c:extLst xmlns:c16r2="http://schemas.microsoft.com/office/drawing/2015/06/chart">
              <c:ext xmlns:c16="http://schemas.microsoft.com/office/drawing/2014/chart" uri="{C3380CC4-5D6E-409C-BE32-E72D297353CC}">
                <c16:uniqueId val="{00000003-43E7-4552-83A4-E87D4FB8EEAD}"/>
              </c:ext>
            </c:extLst>
          </c:dPt>
          <c:cat>
            <c:strRef>
              <c:f>'Figure 3.8. '!$I$8:$I$36</c:f>
              <c:strCache>
                <c:ptCount val="29"/>
                <c:pt idx="0">
                  <c:v>BG</c:v>
                </c:pt>
                <c:pt idx="1">
                  <c:v>CY</c:v>
                </c:pt>
                <c:pt idx="2">
                  <c:v>RO</c:v>
                </c:pt>
                <c:pt idx="3">
                  <c:v>SK</c:v>
                </c:pt>
                <c:pt idx="4">
                  <c:v>EL</c:v>
                </c:pt>
                <c:pt idx="5">
                  <c:v>MT</c:v>
                </c:pt>
                <c:pt idx="6">
                  <c:v>HU</c:v>
                </c:pt>
                <c:pt idx="7">
                  <c:v>LU</c:v>
                </c:pt>
                <c:pt idx="8">
                  <c:v>FR</c:v>
                </c:pt>
                <c:pt idx="9">
                  <c:v>LT</c:v>
                </c:pt>
                <c:pt idx="10">
                  <c:v>IT</c:v>
                </c:pt>
                <c:pt idx="11">
                  <c:v>CZ</c:v>
                </c:pt>
                <c:pt idx="12">
                  <c:v>HR</c:v>
                </c:pt>
                <c:pt idx="13">
                  <c:v>BE</c:v>
                </c:pt>
                <c:pt idx="14">
                  <c:v>AT</c:v>
                </c:pt>
                <c:pt idx="15">
                  <c:v>EU</c:v>
                </c:pt>
                <c:pt idx="16">
                  <c:v>SE</c:v>
                </c:pt>
                <c:pt idx="17">
                  <c:v>ES</c:v>
                </c:pt>
                <c:pt idx="18">
                  <c:v>NL</c:v>
                </c:pt>
                <c:pt idx="19">
                  <c:v>PT</c:v>
                </c:pt>
                <c:pt idx="20">
                  <c:v>DE</c:v>
                </c:pt>
                <c:pt idx="21">
                  <c:v>PL</c:v>
                </c:pt>
                <c:pt idx="22">
                  <c:v>IE</c:v>
                </c:pt>
                <c:pt idx="23">
                  <c:v>UK</c:v>
                </c:pt>
                <c:pt idx="24">
                  <c:v>DK</c:v>
                </c:pt>
                <c:pt idx="25">
                  <c:v>SI</c:v>
                </c:pt>
                <c:pt idx="26">
                  <c:v>LV</c:v>
                </c:pt>
                <c:pt idx="27">
                  <c:v>FI</c:v>
                </c:pt>
                <c:pt idx="28">
                  <c:v>EE</c:v>
                </c:pt>
              </c:strCache>
            </c:strRef>
          </c:cat>
          <c:val>
            <c:numRef>
              <c:f>'Figure 3.8. '!$J$8:$J$36</c:f>
              <c:numCache>
                <c:formatCode>0.0%</c:formatCode>
                <c:ptCount val="29"/>
                <c:pt idx="0">
                  <c:v>0.5905441804748448</c:v>
                </c:pt>
                <c:pt idx="1">
                  <c:v>0.56930182421991404</c:v>
                </c:pt>
                <c:pt idx="2">
                  <c:v>0.56132818299538756</c:v>
                </c:pt>
                <c:pt idx="3">
                  <c:v>0.49904575357042463</c:v>
                </c:pt>
                <c:pt idx="4">
                  <c:v>0.49763839481471195</c:v>
                </c:pt>
                <c:pt idx="5">
                  <c:v>0.49631435373972943</c:v>
                </c:pt>
                <c:pt idx="6">
                  <c:v>0.47002345835571208</c:v>
                </c:pt>
                <c:pt idx="7">
                  <c:v>0.45136146689855733</c:v>
                </c:pt>
                <c:pt idx="8">
                  <c:v>0.39873624647204153</c:v>
                </c:pt>
                <c:pt idx="9">
                  <c:v>0.38683694407239444</c:v>
                </c:pt>
                <c:pt idx="10">
                  <c:v>0.36882699749297543</c:v>
                </c:pt>
                <c:pt idx="11">
                  <c:v>0.36478555068831653</c:v>
                </c:pt>
                <c:pt idx="12">
                  <c:v>0.36019755752339061</c:v>
                </c:pt>
                <c:pt idx="13">
                  <c:v>0.35151869185761114</c:v>
                </c:pt>
                <c:pt idx="14">
                  <c:v>0.35127112066940852</c:v>
                </c:pt>
                <c:pt idx="15">
                  <c:v>0.33786718461361043</c:v>
                </c:pt>
                <c:pt idx="16">
                  <c:v>0.33649553226691187</c:v>
                </c:pt>
                <c:pt idx="17">
                  <c:v>0.31571214023154281</c:v>
                </c:pt>
                <c:pt idx="18">
                  <c:v>0.30173943631021682</c:v>
                </c:pt>
                <c:pt idx="19">
                  <c:v>0.29906039986581273</c:v>
                </c:pt>
                <c:pt idx="20">
                  <c:v>0.27899999999999997</c:v>
                </c:pt>
                <c:pt idx="21">
                  <c:v>0.27801428913052545</c:v>
                </c:pt>
                <c:pt idx="22">
                  <c:v>0.26355205723227898</c:v>
                </c:pt>
                <c:pt idx="23">
                  <c:v>0.25700000000000001</c:v>
                </c:pt>
                <c:pt idx="24">
                  <c:v>0.25334625839863617</c:v>
                </c:pt>
                <c:pt idx="25">
                  <c:v>0.25084832957120384</c:v>
                </c:pt>
                <c:pt idx="26">
                  <c:v>0.25012713920553192</c:v>
                </c:pt>
                <c:pt idx="27">
                  <c:v>0.19656070005860551</c:v>
                </c:pt>
                <c:pt idx="28">
                  <c:v>0.13453661771066186</c:v>
                </c:pt>
              </c:numCache>
            </c:numRef>
          </c:val>
          <c:smooth val="0"/>
          <c:extLst xmlns:c16r2="http://schemas.microsoft.com/office/drawing/2015/06/chart">
            <c:ext xmlns:c16="http://schemas.microsoft.com/office/drawing/2014/chart" uri="{C3380CC4-5D6E-409C-BE32-E72D297353CC}">
              <c16:uniqueId val="{00000004-43E7-4552-83A4-E87D4FB8EEAD}"/>
            </c:ext>
          </c:extLst>
        </c:ser>
        <c:ser>
          <c:idx val="1"/>
          <c:order val="1"/>
          <c:tx>
            <c:strRef>
              <c:f>'Figure 3.8. '!$K$7</c:f>
              <c:strCache>
                <c:ptCount val="1"/>
                <c:pt idx="0">
                  <c:v>Top quarter of ESCS </c:v>
                </c:pt>
              </c:strCache>
            </c:strRef>
          </c:tx>
          <c:spPr>
            <a:ln>
              <a:noFill/>
            </a:ln>
          </c:spPr>
          <c:marker>
            <c:symbol val="diamond"/>
            <c:size val="7"/>
            <c:spPr>
              <a:solidFill>
                <a:srgbClr val="00B050"/>
              </a:solidFill>
              <a:ln>
                <a:noFill/>
              </a:ln>
            </c:spPr>
          </c:marker>
          <c:dPt>
            <c:idx val="11"/>
            <c:bubble3D val="0"/>
            <c:extLst xmlns:c16r2="http://schemas.microsoft.com/office/drawing/2015/06/chart">
              <c:ext xmlns:c16="http://schemas.microsoft.com/office/drawing/2014/chart" uri="{C3380CC4-5D6E-409C-BE32-E72D297353CC}">
                <c16:uniqueId val="{00000005-43E7-4552-83A4-E87D4FB8EEAD}"/>
              </c:ext>
            </c:extLst>
          </c:dPt>
          <c:dPt>
            <c:idx val="15"/>
            <c:marker>
              <c:spPr>
                <a:pattFill prst="dkUpDiag">
                  <a:fgClr>
                    <a:srgbClr val="00B050"/>
                  </a:fgClr>
                  <a:bgClr>
                    <a:schemeClr val="bg1"/>
                  </a:bgClr>
                </a:pattFill>
                <a:ln>
                  <a:noFill/>
                </a:ln>
              </c:spPr>
            </c:marker>
            <c:bubble3D val="0"/>
            <c:extLst xmlns:c16r2="http://schemas.microsoft.com/office/drawing/2015/06/chart">
              <c:ext xmlns:c16="http://schemas.microsoft.com/office/drawing/2014/chart" uri="{C3380CC4-5D6E-409C-BE32-E72D297353CC}">
                <c16:uniqueId val="{00000006-43E7-4552-83A4-E87D4FB8EEAD}"/>
              </c:ext>
            </c:extLst>
          </c:dPt>
          <c:dPt>
            <c:idx val="16"/>
            <c:bubble3D val="0"/>
            <c:extLst xmlns:c16r2="http://schemas.microsoft.com/office/drawing/2015/06/chart">
              <c:ext xmlns:c16="http://schemas.microsoft.com/office/drawing/2014/chart" uri="{C3380CC4-5D6E-409C-BE32-E72D297353CC}">
                <c16:uniqueId val="{00000007-43E7-4552-83A4-E87D4FB8EEAD}"/>
              </c:ext>
            </c:extLst>
          </c:dPt>
          <c:dPt>
            <c:idx val="21"/>
            <c:bubble3D val="0"/>
            <c:extLst xmlns:c16r2="http://schemas.microsoft.com/office/drawing/2015/06/chart">
              <c:ext xmlns:c16="http://schemas.microsoft.com/office/drawing/2014/chart" uri="{C3380CC4-5D6E-409C-BE32-E72D297353CC}">
                <c16:uniqueId val="{00000008-43E7-4552-83A4-E87D4FB8EEAD}"/>
              </c:ext>
            </c:extLst>
          </c:dPt>
          <c:cat>
            <c:strRef>
              <c:f>'Figure 3.8. '!$I$8:$I$36</c:f>
              <c:strCache>
                <c:ptCount val="29"/>
                <c:pt idx="0">
                  <c:v>BG</c:v>
                </c:pt>
                <c:pt idx="1">
                  <c:v>CY</c:v>
                </c:pt>
                <c:pt idx="2">
                  <c:v>RO</c:v>
                </c:pt>
                <c:pt idx="3">
                  <c:v>SK</c:v>
                </c:pt>
                <c:pt idx="4">
                  <c:v>EL</c:v>
                </c:pt>
                <c:pt idx="5">
                  <c:v>MT</c:v>
                </c:pt>
                <c:pt idx="6">
                  <c:v>HU</c:v>
                </c:pt>
                <c:pt idx="7">
                  <c:v>LU</c:v>
                </c:pt>
                <c:pt idx="8">
                  <c:v>FR</c:v>
                </c:pt>
                <c:pt idx="9">
                  <c:v>LT</c:v>
                </c:pt>
                <c:pt idx="10">
                  <c:v>IT</c:v>
                </c:pt>
                <c:pt idx="11">
                  <c:v>CZ</c:v>
                </c:pt>
                <c:pt idx="12">
                  <c:v>HR</c:v>
                </c:pt>
                <c:pt idx="13">
                  <c:v>BE</c:v>
                </c:pt>
                <c:pt idx="14">
                  <c:v>AT</c:v>
                </c:pt>
                <c:pt idx="15">
                  <c:v>EU</c:v>
                </c:pt>
                <c:pt idx="16">
                  <c:v>SE</c:v>
                </c:pt>
                <c:pt idx="17">
                  <c:v>ES</c:v>
                </c:pt>
                <c:pt idx="18">
                  <c:v>NL</c:v>
                </c:pt>
                <c:pt idx="19">
                  <c:v>PT</c:v>
                </c:pt>
                <c:pt idx="20">
                  <c:v>DE</c:v>
                </c:pt>
                <c:pt idx="21">
                  <c:v>PL</c:v>
                </c:pt>
                <c:pt idx="22">
                  <c:v>IE</c:v>
                </c:pt>
                <c:pt idx="23">
                  <c:v>UK</c:v>
                </c:pt>
                <c:pt idx="24">
                  <c:v>DK</c:v>
                </c:pt>
                <c:pt idx="25">
                  <c:v>SI</c:v>
                </c:pt>
                <c:pt idx="26">
                  <c:v>LV</c:v>
                </c:pt>
                <c:pt idx="27">
                  <c:v>FI</c:v>
                </c:pt>
                <c:pt idx="28">
                  <c:v>EE</c:v>
                </c:pt>
              </c:strCache>
            </c:strRef>
          </c:cat>
          <c:val>
            <c:numRef>
              <c:f>'Figure 3.8. '!$K$8:$K$36</c:f>
              <c:numCache>
                <c:formatCode>0.0%</c:formatCode>
                <c:ptCount val="29"/>
                <c:pt idx="0">
                  <c:v>0.16950954091604109</c:v>
                </c:pt>
                <c:pt idx="1">
                  <c:v>0.24888353196203727</c:v>
                </c:pt>
                <c:pt idx="2">
                  <c:v>0.19238957022696782</c:v>
                </c:pt>
                <c:pt idx="3">
                  <c:v>0.13529427803019825</c:v>
                </c:pt>
                <c:pt idx="4">
                  <c:v>0.14688854449402675</c:v>
                </c:pt>
                <c:pt idx="5">
                  <c:v>0.14860059291254488</c:v>
                </c:pt>
                <c:pt idx="6">
                  <c:v>8.0174070097389805E-2</c:v>
                </c:pt>
                <c:pt idx="7">
                  <c:v>7.494722210373593E-2</c:v>
                </c:pt>
                <c:pt idx="8">
                  <c:v>5.23679500723827E-2</c:v>
                </c:pt>
                <c:pt idx="9">
                  <c:v>0.11550381015293168</c:v>
                </c:pt>
                <c:pt idx="10">
                  <c:v>0.11486961044840999</c:v>
                </c:pt>
                <c:pt idx="11">
                  <c:v>6.0005547124641373E-2</c:v>
                </c:pt>
                <c:pt idx="12">
                  <c:v>0.11093174589464105</c:v>
                </c:pt>
                <c:pt idx="13">
                  <c:v>5.8872308947198471E-2</c:v>
                </c:pt>
                <c:pt idx="14">
                  <c:v>8.3701423661723173E-2</c:v>
                </c:pt>
                <c:pt idx="15">
                  <c:v>7.5658925187029158E-2</c:v>
                </c:pt>
                <c:pt idx="16">
                  <c:v>0.10749227628823257</c:v>
                </c:pt>
                <c:pt idx="17">
                  <c:v>5.9567723436137608E-2</c:v>
                </c:pt>
                <c:pt idx="18">
                  <c:v>6.9329388329466238E-2</c:v>
                </c:pt>
                <c:pt idx="19">
                  <c:v>4.522285749462663E-2</c:v>
                </c:pt>
                <c:pt idx="20">
                  <c:v>4.8000000000000001E-2</c:v>
                </c:pt>
                <c:pt idx="21">
                  <c:v>5.1729036170880024E-2</c:v>
                </c:pt>
                <c:pt idx="22">
                  <c:v>6.2722216112931412E-2</c:v>
                </c:pt>
                <c:pt idx="23">
                  <c:v>7.2000000000000008E-2</c:v>
                </c:pt>
                <c:pt idx="24">
                  <c:v>6.7924596276241769E-2</c:v>
                </c:pt>
                <c:pt idx="25">
                  <c:v>6.335638826439198E-2</c:v>
                </c:pt>
                <c:pt idx="26">
                  <c:v>8.3692098376347793E-2</c:v>
                </c:pt>
                <c:pt idx="27">
                  <c:v>4.5222679588680481E-2</c:v>
                </c:pt>
                <c:pt idx="28">
                  <c:v>3.6670498122001287E-2</c:v>
                </c:pt>
              </c:numCache>
            </c:numRef>
          </c:val>
          <c:smooth val="0"/>
          <c:extLst xmlns:c16r2="http://schemas.microsoft.com/office/drawing/2015/06/chart">
            <c:ext xmlns:c16="http://schemas.microsoft.com/office/drawing/2014/chart" uri="{C3380CC4-5D6E-409C-BE32-E72D297353CC}">
              <c16:uniqueId val="{00000009-43E7-4552-83A4-E87D4FB8EEAD}"/>
            </c:ext>
          </c:extLst>
        </c:ser>
        <c:ser>
          <c:idx val="2"/>
          <c:order val="2"/>
          <c:tx>
            <c:strRef>
              <c:f>'Figure 3.8. '!$L$7</c:f>
              <c:strCache>
                <c:ptCount val="1"/>
                <c:pt idx="0">
                  <c:v>Average low achievement in science</c:v>
                </c:pt>
              </c:strCache>
            </c:strRef>
          </c:tx>
          <c:spPr>
            <a:ln>
              <a:noFill/>
            </a:ln>
          </c:spPr>
          <c:marker>
            <c:symbol val="dash"/>
            <c:size val="7"/>
            <c:spPr>
              <a:solidFill>
                <a:srgbClr val="FFC000"/>
              </a:solidFill>
              <a:ln w="25400">
                <a:solidFill>
                  <a:srgbClr val="FFC000"/>
                </a:solidFill>
              </a:ln>
            </c:spPr>
          </c:marker>
          <c:cat>
            <c:strRef>
              <c:f>'Figure 3.8. '!$I$8:$I$36</c:f>
              <c:strCache>
                <c:ptCount val="29"/>
                <c:pt idx="0">
                  <c:v>BG</c:v>
                </c:pt>
                <c:pt idx="1">
                  <c:v>CY</c:v>
                </c:pt>
                <c:pt idx="2">
                  <c:v>RO</c:v>
                </c:pt>
                <c:pt idx="3">
                  <c:v>SK</c:v>
                </c:pt>
                <c:pt idx="4">
                  <c:v>EL</c:v>
                </c:pt>
                <c:pt idx="5">
                  <c:v>MT</c:v>
                </c:pt>
                <c:pt idx="6">
                  <c:v>HU</c:v>
                </c:pt>
                <c:pt idx="7">
                  <c:v>LU</c:v>
                </c:pt>
                <c:pt idx="8">
                  <c:v>FR</c:v>
                </c:pt>
                <c:pt idx="9">
                  <c:v>LT</c:v>
                </c:pt>
                <c:pt idx="10">
                  <c:v>IT</c:v>
                </c:pt>
                <c:pt idx="11">
                  <c:v>CZ</c:v>
                </c:pt>
                <c:pt idx="12">
                  <c:v>HR</c:v>
                </c:pt>
                <c:pt idx="13">
                  <c:v>BE</c:v>
                </c:pt>
                <c:pt idx="14">
                  <c:v>AT</c:v>
                </c:pt>
                <c:pt idx="15">
                  <c:v>EU</c:v>
                </c:pt>
                <c:pt idx="16">
                  <c:v>SE</c:v>
                </c:pt>
                <c:pt idx="17">
                  <c:v>ES</c:v>
                </c:pt>
                <c:pt idx="18">
                  <c:v>NL</c:v>
                </c:pt>
                <c:pt idx="19">
                  <c:v>PT</c:v>
                </c:pt>
                <c:pt idx="20">
                  <c:v>DE</c:v>
                </c:pt>
                <c:pt idx="21">
                  <c:v>PL</c:v>
                </c:pt>
                <c:pt idx="22">
                  <c:v>IE</c:v>
                </c:pt>
                <c:pt idx="23">
                  <c:v>UK</c:v>
                </c:pt>
                <c:pt idx="24">
                  <c:v>DK</c:v>
                </c:pt>
                <c:pt idx="25">
                  <c:v>SI</c:v>
                </c:pt>
                <c:pt idx="26">
                  <c:v>LV</c:v>
                </c:pt>
                <c:pt idx="27">
                  <c:v>FI</c:v>
                </c:pt>
                <c:pt idx="28">
                  <c:v>EE</c:v>
                </c:pt>
              </c:strCache>
            </c:strRef>
          </c:cat>
          <c:val>
            <c:numRef>
              <c:f>'Figure 3.8. '!$L$8:$L$36</c:f>
              <c:numCache>
                <c:formatCode>0.0%</c:formatCode>
                <c:ptCount val="29"/>
                <c:pt idx="0">
                  <c:v>0.37837355371774689</c:v>
                </c:pt>
                <c:pt idx="1">
                  <c:v>0.42121655264252889</c:v>
                </c:pt>
                <c:pt idx="2">
                  <c:v>0.38510802630692148</c:v>
                </c:pt>
                <c:pt idx="3">
                  <c:v>0.30690139385454923</c:v>
                </c:pt>
                <c:pt idx="4">
                  <c:v>0.32690225338575696</c:v>
                </c:pt>
                <c:pt idx="5">
                  <c:v>0.32511976746707155</c:v>
                </c:pt>
                <c:pt idx="6">
                  <c:v>0.25984853858410412</c:v>
                </c:pt>
                <c:pt idx="7">
                  <c:v>0.25840916931833174</c:v>
                </c:pt>
                <c:pt idx="8">
                  <c:v>0.22049392019046116</c:v>
                </c:pt>
                <c:pt idx="9">
                  <c:v>0.24716025057367236</c:v>
                </c:pt>
                <c:pt idx="10">
                  <c:v>0.2320699222597063</c:v>
                </c:pt>
                <c:pt idx="11">
                  <c:v>0.2064437892064489</c:v>
                </c:pt>
                <c:pt idx="12">
                  <c:v>0.24622497398280291</c:v>
                </c:pt>
                <c:pt idx="13">
                  <c:v>0.19772364235821471</c:v>
                </c:pt>
                <c:pt idx="14">
                  <c:v>0.20819789535151634</c:v>
                </c:pt>
                <c:pt idx="15">
                  <c:v>0.20590360449162839</c:v>
                </c:pt>
                <c:pt idx="16">
                  <c:v>0.21628656060069307</c:v>
                </c:pt>
                <c:pt idx="17">
                  <c:v>0.1828547115556384</c:v>
                </c:pt>
                <c:pt idx="18">
                  <c:v>0.18534163277131285</c:v>
                </c:pt>
                <c:pt idx="19">
                  <c:v>0.17387309426306718</c:v>
                </c:pt>
                <c:pt idx="20">
                  <c:v>0.17</c:v>
                </c:pt>
                <c:pt idx="21">
                  <c:v>0.16244022329860996</c:v>
                </c:pt>
                <c:pt idx="22">
                  <c:v>0.15323784417232308</c:v>
                </c:pt>
                <c:pt idx="23">
                  <c:v>0.17399999999999999</c:v>
                </c:pt>
                <c:pt idx="24">
                  <c:v>0.15860679395451466</c:v>
                </c:pt>
                <c:pt idx="25">
                  <c:v>0.14997424233724266</c:v>
                </c:pt>
                <c:pt idx="26">
                  <c:v>0.172364264006303</c:v>
                </c:pt>
                <c:pt idx="27">
                  <c:v>0.11450060784254157</c:v>
                </c:pt>
                <c:pt idx="28">
                  <c:v>8.7713330077238499E-2</c:v>
                </c:pt>
              </c:numCache>
            </c:numRef>
          </c:val>
          <c:smooth val="0"/>
          <c:extLst xmlns:c16r2="http://schemas.microsoft.com/office/drawing/2015/06/chart">
            <c:ext xmlns:c16="http://schemas.microsoft.com/office/drawing/2014/chart" uri="{C3380CC4-5D6E-409C-BE32-E72D297353CC}">
              <c16:uniqueId val="{0000000A-43E7-4552-83A4-E87D4FB8EEAD}"/>
            </c:ext>
          </c:extLst>
        </c:ser>
        <c:dLbls>
          <c:showLegendKey val="0"/>
          <c:showVal val="0"/>
          <c:showCatName val="0"/>
          <c:showSerName val="0"/>
          <c:showPercent val="0"/>
          <c:showBubbleSize val="0"/>
        </c:dLbls>
        <c:hiLowLines>
          <c:spPr>
            <a:ln w="38100">
              <a:solidFill>
                <a:schemeClr val="accent2">
                  <a:lumMod val="20000"/>
                  <a:lumOff val="80000"/>
                </a:schemeClr>
              </a:solidFill>
            </a:ln>
          </c:spPr>
        </c:hiLowLines>
        <c:marker val="1"/>
        <c:smooth val="0"/>
        <c:axId val="235355520"/>
        <c:axId val="269466240"/>
      </c:lineChart>
      <c:catAx>
        <c:axId val="235355520"/>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269466240"/>
        <c:crosses val="autoZero"/>
        <c:auto val="1"/>
        <c:lblAlgn val="ctr"/>
        <c:lblOffset val="100"/>
        <c:noMultiLvlLbl val="0"/>
      </c:catAx>
      <c:valAx>
        <c:axId val="269466240"/>
        <c:scaling>
          <c:orientation val="minMax"/>
        </c:scaling>
        <c:delete val="0"/>
        <c:axPos val="l"/>
        <c:majorGridlines>
          <c:spPr>
            <a:ln>
              <a:prstDash val="sysDash"/>
            </a:ln>
          </c:spPr>
        </c:majorGridlines>
        <c:numFmt formatCode="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235355520"/>
        <c:crosses val="autoZero"/>
        <c:crossBetween val="between"/>
      </c:valAx>
    </c:plotArea>
    <c:legend>
      <c:legendPos val="t"/>
      <c:layout>
        <c:manualLayout>
          <c:xMode val="edge"/>
          <c:yMode val="edge"/>
          <c:x val="0.42330000597206796"/>
          <c:y val="9.3721671333323014E-2"/>
          <c:w val="0.46114948282334867"/>
          <c:h val="0.26099596246087736"/>
        </c:manualLayout>
      </c:layout>
      <c:overlay val="1"/>
      <c:spPr>
        <a:solidFill>
          <a:schemeClr val="bg1"/>
        </a:solidFill>
      </c:spPr>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968680298361914E-2"/>
          <c:y val="5.0458715596330278E-2"/>
          <c:w val="0.92543754579860005"/>
          <c:h val="0.76538019749946062"/>
        </c:manualLayout>
      </c:layout>
      <c:barChart>
        <c:barDir val="col"/>
        <c:grouping val="stacked"/>
        <c:varyColors val="0"/>
        <c:ser>
          <c:idx val="0"/>
          <c:order val="0"/>
          <c:tx>
            <c:strRef>
              <c:f>'OECD indicator'!$P$2</c:f>
              <c:strCache>
                <c:ptCount val="1"/>
                <c:pt idx="0">
                  <c:v>Availability requirements</c:v>
                </c:pt>
              </c:strCache>
            </c:strRef>
          </c:tx>
          <c:invertIfNegative val="0"/>
          <c:cat>
            <c:strRef>
              <c:f>'OECD indicator'!$B$36:$B$63</c:f>
              <c:strCache>
                <c:ptCount val="28"/>
                <c:pt idx="0">
                  <c:v>CY</c:v>
                </c:pt>
                <c:pt idx="1">
                  <c:v>HU</c:v>
                </c:pt>
                <c:pt idx="2">
                  <c:v>CZ</c:v>
                </c:pt>
                <c:pt idx="3">
                  <c:v>ES</c:v>
                </c:pt>
                <c:pt idx="4">
                  <c:v>FI</c:v>
                </c:pt>
                <c:pt idx="5">
                  <c:v>AT</c:v>
                </c:pt>
                <c:pt idx="6">
                  <c:v>BG</c:v>
                </c:pt>
                <c:pt idx="7">
                  <c:v>BE</c:v>
                </c:pt>
                <c:pt idx="8">
                  <c:v>EL</c:v>
                </c:pt>
                <c:pt idx="9">
                  <c:v>IT</c:v>
                </c:pt>
                <c:pt idx="10">
                  <c:v>IE</c:v>
                </c:pt>
                <c:pt idx="11">
                  <c:v>LT</c:v>
                </c:pt>
                <c:pt idx="12">
                  <c:v>PL</c:v>
                </c:pt>
                <c:pt idx="13">
                  <c:v>DE</c:v>
                </c:pt>
                <c:pt idx="14">
                  <c:v>FR</c:v>
                </c:pt>
                <c:pt idx="15">
                  <c:v>SK</c:v>
                </c:pt>
                <c:pt idx="16">
                  <c:v>SE</c:v>
                </c:pt>
                <c:pt idx="17">
                  <c:v>RO</c:v>
                </c:pt>
                <c:pt idx="18">
                  <c:v>DK</c:v>
                </c:pt>
                <c:pt idx="19">
                  <c:v>LV</c:v>
                </c:pt>
                <c:pt idx="20">
                  <c:v>UK</c:v>
                </c:pt>
                <c:pt idx="21">
                  <c:v>NL</c:v>
                </c:pt>
                <c:pt idx="22">
                  <c:v>SI</c:v>
                </c:pt>
                <c:pt idx="23">
                  <c:v>LU</c:v>
                </c:pt>
                <c:pt idx="24">
                  <c:v>PT</c:v>
                </c:pt>
                <c:pt idx="25">
                  <c:v>EE</c:v>
                </c:pt>
                <c:pt idx="26">
                  <c:v>HR</c:v>
                </c:pt>
                <c:pt idx="27">
                  <c:v>MT</c:v>
                </c:pt>
              </c:strCache>
            </c:strRef>
          </c:cat>
          <c:val>
            <c:numRef>
              <c:f>'OECD indicator'!$P$36:$P$63</c:f>
              <c:numCache>
                <c:formatCode>General</c:formatCode>
                <c:ptCount val="28"/>
                <c:pt idx="0">
                  <c:v>0.83333333333333337</c:v>
                </c:pt>
                <c:pt idx="1">
                  <c:v>1.1666666666666667</c:v>
                </c:pt>
                <c:pt idx="2">
                  <c:v>1.3333333333333333</c:v>
                </c:pt>
                <c:pt idx="3">
                  <c:v>0.83333333333333337</c:v>
                </c:pt>
                <c:pt idx="4">
                  <c:v>0.83333333333333337</c:v>
                </c:pt>
                <c:pt idx="5">
                  <c:v>1</c:v>
                </c:pt>
                <c:pt idx="6">
                  <c:v>0.83333333333333337</c:v>
                </c:pt>
                <c:pt idx="7">
                  <c:v>0.75</c:v>
                </c:pt>
                <c:pt idx="8">
                  <c:v>0.91666666666666663</c:v>
                </c:pt>
                <c:pt idx="9">
                  <c:v>1.1666666666666667</c:v>
                </c:pt>
                <c:pt idx="10">
                  <c:v>1.0833333333333333</c:v>
                </c:pt>
                <c:pt idx="11">
                  <c:v>0.83333333333333337</c:v>
                </c:pt>
                <c:pt idx="12">
                  <c:v>1.4166666666666667</c:v>
                </c:pt>
                <c:pt idx="13">
                  <c:v>1.25</c:v>
                </c:pt>
                <c:pt idx="14">
                  <c:v>1.125</c:v>
                </c:pt>
                <c:pt idx="15">
                  <c:v>0.91666666666666663</c:v>
                </c:pt>
                <c:pt idx="16">
                  <c:v>1.25</c:v>
                </c:pt>
                <c:pt idx="17">
                  <c:v>1.5833333333333333</c:v>
                </c:pt>
                <c:pt idx="18">
                  <c:v>1.375</c:v>
                </c:pt>
                <c:pt idx="19">
                  <c:v>0.875</c:v>
                </c:pt>
                <c:pt idx="20">
                  <c:v>1.1666666666666667</c:v>
                </c:pt>
                <c:pt idx="21">
                  <c:v>1.2083333333333333</c:v>
                </c:pt>
                <c:pt idx="22">
                  <c:v>1.1666666666666667</c:v>
                </c:pt>
                <c:pt idx="23">
                  <c:v>1.0833333333333333</c:v>
                </c:pt>
                <c:pt idx="24">
                  <c:v>1.0833333333333333</c:v>
                </c:pt>
                <c:pt idx="25">
                  <c:v>1.25</c:v>
                </c:pt>
                <c:pt idx="26">
                  <c:v>1.3333333333333333</c:v>
                </c:pt>
                <c:pt idx="27">
                  <c:v>1.4166666666666667</c:v>
                </c:pt>
              </c:numCache>
            </c:numRef>
          </c:val>
        </c:ser>
        <c:ser>
          <c:idx val="1"/>
          <c:order val="1"/>
          <c:tx>
            <c:strRef>
              <c:f>'OECD indicator'!$Q$2</c:f>
              <c:strCache>
                <c:ptCount val="1"/>
                <c:pt idx="0">
                  <c:v>Job-search requirements</c:v>
                </c:pt>
              </c:strCache>
            </c:strRef>
          </c:tx>
          <c:invertIfNegative val="0"/>
          <c:cat>
            <c:strRef>
              <c:f>'OECD indicator'!$B$36:$B$63</c:f>
              <c:strCache>
                <c:ptCount val="28"/>
                <c:pt idx="0">
                  <c:v>CY</c:v>
                </c:pt>
                <c:pt idx="1">
                  <c:v>HU</c:v>
                </c:pt>
                <c:pt idx="2">
                  <c:v>CZ</c:v>
                </c:pt>
                <c:pt idx="3">
                  <c:v>ES</c:v>
                </c:pt>
                <c:pt idx="4">
                  <c:v>FI</c:v>
                </c:pt>
                <c:pt idx="5">
                  <c:v>AT</c:v>
                </c:pt>
                <c:pt idx="6">
                  <c:v>BG</c:v>
                </c:pt>
                <c:pt idx="7">
                  <c:v>BE</c:v>
                </c:pt>
                <c:pt idx="8">
                  <c:v>EL</c:v>
                </c:pt>
                <c:pt idx="9">
                  <c:v>IT</c:v>
                </c:pt>
                <c:pt idx="10">
                  <c:v>IE</c:v>
                </c:pt>
                <c:pt idx="11">
                  <c:v>LT</c:v>
                </c:pt>
                <c:pt idx="12">
                  <c:v>PL</c:v>
                </c:pt>
                <c:pt idx="13">
                  <c:v>DE</c:v>
                </c:pt>
                <c:pt idx="14">
                  <c:v>FR</c:v>
                </c:pt>
                <c:pt idx="15">
                  <c:v>SK</c:v>
                </c:pt>
                <c:pt idx="16">
                  <c:v>SE</c:v>
                </c:pt>
                <c:pt idx="17">
                  <c:v>RO</c:v>
                </c:pt>
                <c:pt idx="18">
                  <c:v>DK</c:v>
                </c:pt>
                <c:pt idx="19">
                  <c:v>LV</c:v>
                </c:pt>
                <c:pt idx="20">
                  <c:v>UK</c:v>
                </c:pt>
                <c:pt idx="21">
                  <c:v>NL</c:v>
                </c:pt>
                <c:pt idx="22">
                  <c:v>SI</c:v>
                </c:pt>
                <c:pt idx="23">
                  <c:v>LU</c:v>
                </c:pt>
                <c:pt idx="24">
                  <c:v>PT</c:v>
                </c:pt>
                <c:pt idx="25">
                  <c:v>EE</c:v>
                </c:pt>
                <c:pt idx="26">
                  <c:v>HR</c:v>
                </c:pt>
                <c:pt idx="27">
                  <c:v>MT</c:v>
                </c:pt>
              </c:strCache>
            </c:strRef>
          </c:cat>
          <c:val>
            <c:numRef>
              <c:f>'OECD indicator'!$Q$36:$Q$63</c:f>
              <c:numCache>
                <c:formatCode>General</c:formatCode>
                <c:ptCount val="28"/>
                <c:pt idx="0">
                  <c:v>0.33333333333333331</c:v>
                </c:pt>
                <c:pt idx="1">
                  <c:v>0.33333333333333331</c:v>
                </c:pt>
                <c:pt idx="2">
                  <c:v>0.33333333333333331</c:v>
                </c:pt>
                <c:pt idx="3">
                  <c:v>0.5</c:v>
                </c:pt>
                <c:pt idx="4">
                  <c:v>0.83333333333333337</c:v>
                </c:pt>
                <c:pt idx="5">
                  <c:v>1.3333333333333333</c:v>
                </c:pt>
                <c:pt idx="6">
                  <c:v>0.83333333333333337</c:v>
                </c:pt>
                <c:pt idx="7">
                  <c:v>1</c:v>
                </c:pt>
                <c:pt idx="8">
                  <c:v>0.33333333333333331</c:v>
                </c:pt>
                <c:pt idx="9">
                  <c:v>0.33333333333333331</c:v>
                </c:pt>
                <c:pt idx="10">
                  <c:v>1</c:v>
                </c:pt>
                <c:pt idx="11">
                  <c:v>1.1666666666666667</c:v>
                </c:pt>
                <c:pt idx="12">
                  <c:v>0.33333333333333331</c:v>
                </c:pt>
                <c:pt idx="13">
                  <c:v>1.1666666666666667</c:v>
                </c:pt>
                <c:pt idx="14">
                  <c:v>1.1666666666666667</c:v>
                </c:pt>
                <c:pt idx="15">
                  <c:v>1.1666666666666667</c:v>
                </c:pt>
                <c:pt idx="16">
                  <c:v>1.3333333333333333</c:v>
                </c:pt>
                <c:pt idx="17">
                  <c:v>0.83333333333333337</c:v>
                </c:pt>
                <c:pt idx="18">
                  <c:v>1.3333333333333333</c:v>
                </c:pt>
                <c:pt idx="19">
                  <c:v>1.3333333333333333</c:v>
                </c:pt>
                <c:pt idx="20">
                  <c:v>1.4166666666666667</c:v>
                </c:pt>
                <c:pt idx="21">
                  <c:v>1.3333333333333333</c:v>
                </c:pt>
                <c:pt idx="22">
                  <c:v>1.1666666666666667</c:v>
                </c:pt>
                <c:pt idx="23">
                  <c:v>1.3333333333333333</c:v>
                </c:pt>
                <c:pt idx="24">
                  <c:v>1.3333333333333333</c:v>
                </c:pt>
                <c:pt idx="25">
                  <c:v>1.3333333333333333</c:v>
                </c:pt>
                <c:pt idx="26">
                  <c:v>1.1666666666666667</c:v>
                </c:pt>
                <c:pt idx="27">
                  <c:v>1.5</c:v>
                </c:pt>
              </c:numCache>
            </c:numRef>
          </c:val>
        </c:ser>
        <c:ser>
          <c:idx val="2"/>
          <c:order val="2"/>
          <c:tx>
            <c:strRef>
              <c:f>'OECD indicator'!$R$2</c:f>
              <c:strCache>
                <c:ptCount val="1"/>
                <c:pt idx="0">
                  <c:v>Sanctions</c:v>
                </c:pt>
              </c:strCache>
            </c:strRef>
          </c:tx>
          <c:invertIfNegative val="0"/>
          <c:cat>
            <c:strRef>
              <c:f>'OECD indicator'!$B$36:$B$63</c:f>
              <c:strCache>
                <c:ptCount val="28"/>
                <c:pt idx="0">
                  <c:v>CY</c:v>
                </c:pt>
                <c:pt idx="1">
                  <c:v>HU</c:v>
                </c:pt>
                <c:pt idx="2">
                  <c:v>CZ</c:v>
                </c:pt>
                <c:pt idx="3">
                  <c:v>ES</c:v>
                </c:pt>
                <c:pt idx="4">
                  <c:v>FI</c:v>
                </c:pt>
                <c:pt idx="5">
                  <c:v>AT</c:v>
                </c:pt>
                <c:pt idx="6">
                  <c:v>BG</c:v>
                </c:pt>
                <c:pt idx="7">
                  <c:v>BE</c:v>
                </c:pt>
                <c:pt idx="8">
                  <c:v>EL</c:v>
                </c:pt>
                <c:pt idx="9">
                  <c:v>IT</c:v>
                </c:pt>
                <c:pt idx="10">
                  <c:v>IE</c:v>
                </c:pt>
                <c:pt idx="11">
                  <c:v>LT</c:v>
                </c:pt>
                <c:pt idx="12">
                  <c:v>PL</c:v>
                </c:pt>
                <c:pt idx="13">
                  <c:v>DE</c:v>
                </c:pt>
                <c:pt idx="14">
                  <c:v>FR</c:v>
                </c:pt>
                <c:pt idx="15">
                  <c:v>SK</c:v>
                </c:pt>
                <c:pt idx="16">
                  <c:v>SE</c:v>
                </c:pt>
                <c:pt idx="17">
                  <c:v>RO</c:v>
                </c:pt>
                <c:pt idx="18">
                  <c:v>DK</c:v>
                </c:pt>
                <c:pt idx="19">
                  <c:v>LV</c:v>
                </c:pt>
                <c:pt idx="20">
                  <c:v>UK</c:v>
                </c:pt>
                <c:pt idx="21">
                  <c:v>NL</c:v>
                </c:pt>
                <c:pt idx="22">
                  <c:v>SI</c:v>
                </c:pt>
                <c:pt idx="23">
                  <c:v>LU</c:v>
                </c:pt>
                <c:pt idx="24">
                  <c:v>PT</c:v>
                </c:pt>
                <c:pt idx="25">
                  <c:v>EE</c:v>
                </c:pt>
                <c:pt idx="26">
                  <c:v>HR</c:v>
                </c:pt>
                <c:pt idx="27">
                  <c:v>MT</c:v>
                </c:pt>
              </c:strCache>
            </c:strRef>
          </c:cat>
          <c:val>
            <c:numRef>
              <c:f>'OECD indicator'!$R$36:$R$63</c:f>
              <c:numCache>
                <c:formatCode>General</c:formatCode>
                <c:ptCount val="28"/>
                <c:pt idx="0">
                  <c:v>0.66666666666666663</c:v>
                </c:pt>
                <c:pt idx="1">
                  <c:v>0.55555555555555547</c:v>
                </c:pt>
                <c:pt idx="2">
                  <c:v>0.99999999999999989</c:v>
                </c:pt>
                <c:pt idx="3">
                  <c:v>1.3333333333333333</c:v>
                </c:pt>
                <c:pt idx="4">
                  <c:v>1.0555555555555556</c:v>
                </c:pt>
                <c:pt idx="5">
                  <c:v>0.55555555555555547</c:v>
                </c:pt>
                <c:pt idx="6">
                  <c:v>1.2222222222222221</c:v>
                </c:pt>
                <c:pt idx="7">
                  <c:v>1.1666666666666667</c:v>
                </c:pt>
                <c:pt idx="8">
                  <c:v>1.6666666666666663</c:v>
                </c:pt>
                <c:pt idx="9">
                  <c:v>1.4444444444444444</c:v>
                </c:pt>
                <c:pt idx="10">
                  <c:v>0.86111111111111105</c:v>
                </c:pt>
                <c:pt idx="11">
                  <c:v>0.99999999999999989</c:v>
                </c:pt>
                <c:pt idx="12">
                  <c:v>1.3333333333333333</c:v>
                </c:pt>
                <c:pt idx="13">
                  <c:v>0.72222222222222232</c:v>
                </c:pt>
                <c:pt idx="14">
                  <c:v>0.88888888888888884</c:v>
                </c:pt>
                <c:pt idx="15">
                  <c:v>1.2222222222222221</c:v>
                </c:pt>
                <c:pt idx="16">
                  <c:v>0.77777777777777779</c:v>
                </c:pt>
                <c:pt idx="17">
                  <c:v>1</c:v>
                </c:pt>
                <c:pt idx="18">
                  <c:v>0.72222222222222232</c:v>
                </c:pt>
                <c:pt idx="19">
                  <c:v>1.2222222222222221</c:v>
                </c:pt>
                <c:pt idx="20">
                  <c:v>1.0277777777777779</c:v>
                </c:pt>
                <c:pt idx="21">
                  <c:v>1.2222222222222221</c:v>
                </c:pt>
                <c:pt idx="22">
                  <c:v>1.6666666666666663</c:v>
                </c:pt>
                <c:pt idx="23">
                  <c:v>1.6666666666666663</c:v>
                </c:pt>
                <c:pt idx="24">
                  <c:v>1.6666666666666663</c:v>
                </c:pt>
                <c:pt idx="25">
                  <c:v>1.5555555555555554</c:v>
                </c:pt>
                <c:pt idx="26">
                  <c:v>1.6666666666666663</c:v>
                </c:pt>
                <c:pt idx="27">
                  <c:v>1.3333333333333333</c:v>
                </c:pt>
              </c:numCache>
            </c:numRef>
          </c:val>
        </c:ser>
        <c:dLbls>
          <c:showLegendKey val="0"/>
          <c:showVal val="0"/>
          <c:showCatName val="0"/>
          <c:showSerName val="0"/>
          <c:showPercent val="0"/>
          <c:showBubbleSize val="0"/>
        </c:dLbls>
        <c:gapWidth val="150"/>
        <c:overlap val="100"/>
        <c:axId val="305865472"/>
        <c:axId val="307995008"/>
      </c:barChart>
      <c:catAx>
        <c:axId val="30586547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307995008"/>
        <c:crosses val="autoZero"/>
        <c:auto val="1"/>
        <c:lblAlgn val="ctr"/>
        <c:lblOffset val="100"/>
        <c:noMultiLvlLbl val="0"/>
      </c:catAx>
      <c:valAx>
        <c:axId val="307995008"/>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305865472"/>
        <c:crosses val="autoZero"/>
        <c:crossBetween val="between"/>
        <c:majorUnit val="1"/>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30329-1C9D-453F-99F6-9DCDF8AB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35630</Words>
  <Characters>197136</Characters>
  <Application>Microsoft Office Word</Application>
  <DocSecurity>0</DocSecurity>
  <Lines>3261</Lines>
  <Paragraphs>698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2017-11-16T14:25:00Z</dcterms:created>
  <dcterms:modified xsi:type="dcterms:W3CDTF">2017-11-21T16:46:00Z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DocStatus">
    <vt:lpwstr>Green</vt:lpwstr>
  </property>
  <property fmtid="{D5CDD505-2E9C-101B-9397-08002B2CF9AE}" pid="4" name="Part">
    <vt:lpwstr>1</vt:lpwstr>
  </property>
  <property fmtid="{D5CDD505-2E9C-101B-9397-08002B2CF9AE}" pid="5" name="Total parts">
    <vt:lpwstr>1</vt:lpwstr>
  </property>
</Properties>
</file>