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95B708E-A457-44AA-9A7F-FE6CDB6EC055"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2"/>
          <w:cols w:space="720"/>
          <w:docGrid w:linePitch="326"/>
        </w:sectPr>
      </w:pPr>
    </w:p>
    <w:p>
      <w:pPr>
        <w:spacing w:before="0"/>
        <w:jc w:val="center"/>
        <w:rPr>
          <w:b/>
          <w:smallCaps/>
          <w:noProof/>
          <w:sz w:val="28"/>
          <w:szCs w:val="28"/>
        </w:rPr>
      </w:pPr>
      <w:bookmarkStart w:id="1" w:name="_GoBack"/>
      <w:bookmarkEnd w:id="1"/>
      <w:r>
        <w:rPr>
          <w:b/>
          <w:smallCaps/>
          <w:noProof/>
          <w:sz w:val="28"/>
        </w:rPr>
        <w:lastRenderedPageBreak/>
        <w:t>Rapport de la Commission au Parlement européen et au Conseil</w:t>
      </w:r>
    </w:p>
    <w:p>
      <w:pPr>
        <w:spacing w:before="0"/>
        <w:jc w:val="center"/>
        <w:rPr>
          <w:rFonts w:ascii="Times New Roman Bold" w:hAnsi="Times New Roman Bold"/>
          <w:b/>
          <w:noProof/>
        </w:rPr>
      </w:pPr>
    </w:p>
    <w:p>
      <w:pPr>
        <w:spacing w:before="0"/>
        <w:jc w:val="center"/>
        <w:rPr>
          <w:noProof/>
        </w:rPr>
      </w:pPr>
      <w:r>
        <w:rPr>
          <w:rFonts w:ascii="Times New Roman Bold" w:hAnsi="Times New Roman Bold"/>
          <w:b/>
          <w:noProof/>
        </w:rPr>
        <w:t>sur l’application du règlement (UE) nº 260/2012 établissant des exigences techniques et commerciales pour les virements et les prélèvements en euros et modifiant le règlement (CE) nº 924/2009</w:t>
      </w:r>
    </w:p>
    <w:p>
      <w:pPr>
        <w:pStyle w:val="Heading1"/>
        <w:rPr>
          <w:noProof/>
        </w:rPr>
      </w:pPr>
      <w:r>
        <w:rPr>
          <w:noProof/>
        </w:rPr>
        <w:t>Introduction et résumé</w:t>
      </w:r>
    </w:p>
    <w:p>
      <w:pPr>
        <w:rPr>
          <w:noProof/>
        </w:rPr>
      </w:pPr>
      <w:bookmarkStart w:id="2" w:name="_Toc415757538"/>
      <w:bookmarkStart w:id="3" w:name="_Toc421107921"/>
      <w:bookmarkStart w:id="4" w:name="_Toc421698629"/>
      <w:bookmarkStart w:id="5" w:name="_Toc421714608"/>
      <w:bookmarkStart w:id="6" w:name="_Toc423970783"/>
      <w:bookmarkStart w:id="7" w:name="_Toc430010962"/>
      <w:bookmarkStart w:id="8" w:name="_Ref414452041"/>
      <w:r>
        <w:rPr>
          <w:noProof/>
        </w:rPr>
        <w:t>Le règlement (UE) nº 260/2012</w:t>
      </w:r>
      <w:r>
        <w:rPr>
          <w:rStyle w:val="FootnoteReference"/>
          <w:noProof/>
        </w:rPr>
        <w:footnoteReference w:id="1"/>
      </w:r>
      <w:r>
        <w:rPr>
          <w:noProof/>
        </w:rPr>
        <w:t xml:space="preserve"> établissant des exigences techniques et commerciales pour les virements et les prélèvements en euros et modifiant le règlement (CE) nº 924/2009, également appelé «règlement SEPA» (le terme «SEPA» désignant l’espace unique de paiement en euros), a été adopté en 2012 et constitue une avancée majeure pour le bon fonctionnement du marché intérieur, avec la création d’un marché intégré pour les paiements électroniques en euros où il n’existe aucune différence entre paiements nationaux et paiements transfrontières.</w:t>
      </w:r>
    </w:p>
    <w:p>
      <w:pPr>
        <w:rPr>
          <w:iCs/>
          <w:noProof/>
        </w:rPr>
      </w:pPr>
      <w:r>
        <w:rPr>
          <w:noProof/>
        </w:rPr>
        <w:t>Le règlement imposait le 1</w:t>
      </w:r>
      <w:r>
        <w:rPr>
          <w:noProof/>
          <w:vertAlign w:val="superscript"/>
        </w:rPr>
        <w:t>er</w:t>
      </w:r>
      <w:r>
        <w:rPr>
          <w:noProof/>
        </w:rPr>
        <w:t> février 2014 comme date butoir pour la migration de la zone euro. Un mois avant la date butoir initialement prévue pour la migration, celle-ci a été reportée de six mois, soit au 1</w:t>
      </w:r>
      <w:r>
        <w:rPr>
          <w:noProof/>
          <w:vertAlign w:val="superscript"/>
        </w:rPr>
        <w:t>er</w:t>
      </w:r>
      <w:r>
        <w:rPr>
          <w:noProof/>
        </w:rPr>
        <w:t> août 2014, afin de tenir compte des retards dans la migration observés dans différents États membres. Ce report de six mois a suffi pour assurer une transition en douceur des anciens virements et prélèvements en euros vers les virements et prélèvements SEPA.</w:t>
      </w:r>
    </w:p>
    <w:p>
      <w:pPr>
        <w:rPr>
          <w:iCs/>
          <w:noProof/>
        </w:rPr>
      </w:pPr>
      <w:r>
        <w:rPr>
          <w:noProof/>
        </w:rPr>
        <w:t>Les États membres n’appartenant pas à la zone euro avaient jusqu’au 31 octobre 2016 pour effectuer la migration vers les virements et prélèvements SEPA.</w:t>
      </w:r>
    </w:p>
    <w:p>
      <w:pPr>
        <w:rPr>
          <w:i/>
          <w:iCs/>
          <w:noProof/>
        </w:rPr>
      </w:pPr>
      <w:r>
        <w:rPr>
          <w:noProof/>
        </w:rPr>
        <w:t>L’article 15 du règlement SEPA impose à la Commission de soumettre un rapport sur l’application du règlement:</w:t>
      </w:r>
      <w:r>
        <w:rPr>
          <w:i/>
          <w:noProof/>
        </w:rPr>
        <w:t xml:space="preserve"> </w:t>
      </w:r>
      <w:r>
        <w:rPr>
          <w:noProof/>
        </w:rPr>
        <w:t>«Au plus tard le 1</w:t>
      </w:r>
      <w:r>
        <w:rPr>
          <w:noProof/>
          <w:vertAlign w:val="superscript"/>
        </w:rPr>
        <w:t>er</w:t>
      </w:r>
      <w:r>
        <w:rPr>
          <w:noProof/>
        </w:rPr>
        <w:t> février 2017, la Commission soumet au Parlement européen, au Conseil, au Comité économique et social européen, à la BCE et à l’ABE un rapport sur l’application du présent règlement, accompagné, le cas échéant, d’une proposition.»</w:t>
      </w:r>
    </w:p>
    <w:p>
      <w:pPr>
        <w:rPr>
          <w:iCs/>
          <w:noProof/>
        </w:rPr>
      </w:pPr>
      <w:r>
        <w:rPr>
          <w:noProof/>
        </w:rPr>
        <w:t>Le 15 décembre, la Commission européenne a envoyé un questionnaire aux États membres, à retourner pour le 31 janvier 2017 au plus tard, sur différents points relatifs à l’application du règlement, comme la migration des anciens virements et prélèvements vers les virements et prélèvements SEPA pour chaque État membre, l’utilisation d’options par les États membres, les autorités désignées pour assurer le respect du règlement et les compétences de ces dernières, ou les problèmes susceptibles de persister dans les différents pays de l’Union en ce qui concerne l’application du règlement.</w:t>
      </w:r>
    </w:p>
    <w:p>
      <w:pPr>
        <w:rPr>
          <w:iCs/>
          <w:noProof/>
        </w:rPr>
      </w:pPr>
      <w:r>
        <w:rPr>
          <w:noProof/>
        </w:rPr>
        <w:t>Les réponses adressées par les États membres ont servi de base au présent rapport.</w:t>
      </w:r>
    </w:p>
    <w:p>
      <w:pPr>
        <w:rPr>
          <w:iCs/>
          <w:noProof/>
        </w:rPr>
      </w:pPr>
      <w:r>
        <w:rPr>
          <w:noProof/>
        </w:rPr>
        <w:t>Le rapport a également été présenté et examiné lors du forum européen des comités de coordination SEPA nationaux du 21 avril 2017, un groupe d’experts créé par la Commission européenne pour assurer le suivi de la mise en œuvre du SEPA dans toute l’Union.</w:t>
      </w:r>
    </w:p>
    <w:p>
      <w:pPr>
        <w:rPr>
          <w:b/>
          <w:iCs/>
          <w:noProof/>
        </w:rPr>
      </w:pPr>
      <w:r>
        <w:rPr>
          <w:b/>
          <w:noProof/>
        </w:rPr>
        <w:lastRenderedPageBreak/>
        <w:t>Le présent rapport conclut, d’une manière générale, que le règlement SEPA est correctement appliqué dans l’ensemble de l’Union. Aucune proposition législative n’est nécessaire à l’heure actuelle. Les États membres ont pris des mesures à l’égard des rares problèmes, bien circonscrits (discrimination concernant l’IBAN et compétences des autorités compétentes), qui persistent et dont il convient de surveiller étroitement la résolution. Le principal problème à suivre de près est la discrimination concernant l’IBAN opérée par certains bénéficiaires (par exemple, le fait d’imposer aux payeurs de régler depuis un compte situé dans un pays spécifique, ce qui est contraire à l’article 9 du règlement) car, si le nombre de cas a diminué, de nouveaux cas pourraient toutefois apparaître.</w:t>
      </w:r>
    </w:p>
    <w:p>
      <w:pPr>
        <w:rPr>
          <w:iCs/>
          <w:noProof/>
        </w:rPr>
      </w:pPr>
      <w:r>
        <w:rPr>
          <w:noProof/>
        </w:rPr>
        <w:t>Le projet SEPA n’a pas pris fin avec la migration réussie vers les normes SEPA pour les virements et les prélèvements. Il est plus que jamais d’actualité, à travers des initiatives qui contribuent à bâtir l’espace unique de paiement en euros, comme «SCT inst», projet européen pour les paiements instantanés en euros qui sera lancé en novembre 2017, ou encore le «Mobile Proxy Forum», initiative qui vise l’interopérabilité des solutions de paiement mobile entre particuliers dans toute l’Union. Ces projets sont soutenus par le comité des paiements de détail en euros, présidé par la Banque centrale européenne et auquel participe la Commission européenne en qualité d’observateur.</w:t>
      </w:r>
    </w:p>
    <w:p>
      <w:pPr>
        <w:pStyle w:val="Heading1"/>
        <w:rPr>
          <w:noProof/>
        </w:rPr>
      </w:pPr>
      <w:r>
        <w:rPr>
          <w:noProof/>
        </w:rPr>
        <w:t>Rapports des États membres</w:t>
      </w:r>
    </w:p>
    <w:bookmarkEnd w:id="2"/>
    <w:bookmarkEnd w:id="3"/>
    <w:bookmarkEnd w:id="4"/>
    <w:bookmarkEnd w:id="5"/>
    <w:bookmarkEnd w:id="6"/>
    <w:bookmarkEnd w:id="7"/>
    <w:p>
      <w:pPr>
        <w:pStyle w:val="Heading1"/>
        <w:numPr>
          <w:ilvl w:val="1"/>
          <w:numId w:val="3"/>
        </w:numPr>
        <w:rPr>
          <w:noProof/>
        </w:rPr>
      </w:pPr>
      <w:r>
        <w:rPr>
          <w:noProof/>
        </w:rPr>
        <w:t>Migration vers les virements SEPA et les prélèvements SEPA</w:t>
      </w:r>
    </w:p>
    <w:bookmarkEnd w:id="8"/>
    <w:p>
      <w:pPr>
        <w:rPr>
          <w:noProof/>
        </w:rPr>
      </w:pPr>
      <w:r>
        <w:rPr>
          <w:noProof/>
        </w:rPr>
        <w:t>Les chiffres indiqués ci-dessous ont été communiqués par les États membres et rendent compte de la situation, en décembre 2016, en ce qui concerne le recours aux instruments SEPA plutôt qu’aux virements et prélèvements utilisés auparavant. Ces chiffres montrent que, dans l’ensemble de l’Union, la quasi-totalité des virements et prélèvements en euros est à présent conforme aux normes SEPA (tableaux 1 et 2). Des efforts supplémentaires doivent être consentis pour parvenir à un respect total du règlement dans quelques États membres hors zone euro, pour lesquels la date butoir pour la migration était le 31 octobre 2016.</w:t>
      </w:r>
    </w:p>
    <w:p>
      <w:pPr>
        <w:rPr>
          <w:noProof/>
        </w:rPr>
      </w:pPr>
      <w:r>
        <w:rPr>
          <w:noProof/>
        </w:rPr>
        <w:t>S’agissant des prélèvements SEPA, certains États membres ont décidé de mettre fin aux anciens prélèvements et ont adopté des solutions associant des virements SEPA et une facturation électronique. Dans ces pays, les prélèvements SEPA peuvent encore être proposés par les prestataires de services de paiement au sein même du pays mais sont plutôt utilisés pour des opérations transfrontières et non plus pour des opérations nationales, principalement pour répondre à la demande de sociétés qui en auraient besoin dans le cadre de leurs activités transfrontières. La mention «sans objet» est indiquée pour tous ces pays dans les tableaux 2, 5 et 6, même si ceux-ci sont susceptibles d’utiliser, de manière très limitée, les prélèvements SEPA.</w:t>
      </w:r>
    </w:p>
    <w:p>
      <w:pPr>
        <w:spacing w:before="0" w:line="240" w:lineRule="auto"/>
        <w:jc w:val="left"/>
        <w:rPr>
          <w:b/>
          <w:noProof/>
          <w:u w:val="single"/>
        </w:rPr>
      </w:pPr>
    </w:p>
    <w:p>
      <w:pPr>
        <w:spacing w:before="0" w:line="240" w:lineRule="auto"/>
        <w:jc w:val="left"/>
        <w:rPr>
          <w:b/>
          <w:noProof/>
          <w:u w:val="single"/>
        </w:rPr>
      </w:pPr>
      <w:r>
        <w:rPr>
          <w:noProof/>
        </w:rPr>
        <w:br w:type="page"/>
      </w:r>
    </w:p>
    <w:p>
      <w:pPr>
        <w:rPr>
          <w:noProof/>
        </w:rPr>
      </w:pPr>
      <w:r>
        <w:rPr>
          <w:b/>
          <w:noProof/>
          <w:u w:val="single"/>
        </w:rPr>
        <w:t>Tableau 1</w:t>
      </w:r>
      <w:r>
        <w:rPr>
          <w:b/>
          <w:noProof/>
        </w:rPr>
        <w:t>:</w:t>
      </w:r>
      <w:r>
        <w:rPr>
          <w:noProof/>
        </w:rPr>
        <w:t xml:space="preserve"> Taux de migration vers les virements SEPA fin 2016, communiqués par les États membres</w:t>
      </w:r>
    </w:p>
    <w:tbl>
      <w:tblPr>
        <w:tblStyle w:val="TableGrid"/>
        <w:tblW w:w="0" w:type="auto"/>
        <w:tblInd w:w="392" w:type="dxa"/>
        <w:tblLook w:val="04A0" w:firstRow="1" w:lastRow="0" w:firstColumn="1" w:lastColumn="0" w:noHBand="0" w:noVBand="1"/>
      </w:tblPr>
      <w:tblGrid>
        <w:gridCol w:w="1250"/>
        <w:gridCol w:w="2425"/>
        <w:gridCol w:w="956"/>
        <w:gridCol w:w="1457"/>
        <w:gridCol w:w="2466"/>
      </w:tblGrid>
      <w:tr>
        <w:trPr>
          <w:trHeight w:val="227"/>
        </w:trPr>
        <w:tc>
          <w:tcPr>
            <w:tcW w:w="0" w:type="auto"/>
            <w:vAlign w:val="center"/>
          </w:tcPr>
          <w:p>
            <w:pPr>
              <w:spacing w:before="0"/>
              <w:jc w:val="center"/>
              <w:rPr>
                <w:b/>
                <w:noProof/>
                <w:sz w:val="20"/>
              </w:rPr>
            </w:pPr>
            <w:r>
              <w:rPr>
                <w:b/>
                <w:noProof/>
                <w:sz w:val="20"/>
              </w:rPr>
              <w:t>Zone euro</w:t>
            </w:r>
          </w:p>
        </w:tc>
        <w:tc>
          <w:tcPr>
            <w:tcW w:w="0" w:type="auto"/>
            <w:vAlign w:val="center"/>
          </w:tcPr>
          <w:p>
            <w:pPr>
              <w:spacing w:before="0"/>
              <w:jc w:val="center"/>
              <w:rPr>
                <w:b/>
                <w:noProof/>
                <w:sz w:val="20"/>
              </w:rPr>
            </w:pPr>
            <w:r>
              <w:rPr>
                <w:b/>
                <w:noProof/>
                <w:sz w:val="20"/>
              </w:rPr>
              <w:t>Taux de migration vers les virements SEPA</w:t>
            </w:r>
          </w:p>
        </w:tc>
        <w:tc>
          <w:tcPr>
            <w:tcW w:w="956" w:type="dxa"/>
            <w:tcBorders>
              <w:top w:val="nil"/>
              <w:bottom w:val="nil"/>
            </w:tcBorders>
            <w:vAlign w:val="center"/>
          </w:tcPr>
          <w:p>
            <w:pPr>
              <w:spacing w:before="0"/>
              <w:jc w:val="center"/>
              <w:rPr>
                <w:b/>
                <w:noProof/>
              </w:rPr>
            </w:pPr>
          </w:p>
        </w:tc>
        <w:tc>
          <w:tcPr>
            <w:tcW w:w="0" w:type="auto"/>
            <w:vAlign w:val="center"/>
          </w:tcPr>
          <w:p>
            <w:pPr>
              <w:spacing w:before="0"/>
              <w:jc w:val="center"/>
              <w:rPr>
                <w:b/>
                <w:noProof/>
                <w:sz w:val="20"/>
              </w:rPr>
            </w:pPr>
            <w:r>
              <w:rPr>
                <w:b/>
                <w:noProof/>
                <w:sz w:val="20"/>
              </w:rPr>
              <w:t>Hors zone euro</w:t>
            </w:r>
          </w:p>
        </w:tc>
        <w:tc>
          <w:tcPr>
            <w:tcW w:w="0" w:type="auto"/>
            <w:vAlign w:val="center"/>
          </w:tcPr>
          <w:p>
            <w:pPr>
              <w:spacing w:before="0"/>
              <w:jc w:val="center"/>
              <w:rPr>
                <w:b/>
                <w:noProof/>
                <w:sz w:val="20"/>
              </w:rPr>
            </w:pPr>
            <w:r>
              <w:rPr>
                <w:b/>
                <w:noProof/>
                <w:sz w:val="20"/>
              </w:rPr>
              <w:t>Taux de migration vers les virements SEPA</w:t>
            </w:r>
          </w:p>
        </w:tc>
      </w:tr>
      <w:tr>
        <w:trPr>
          <w:trHeight w:val="227"/>
        </w:trPr>
        <w:tc>
          <w:tcPr>
            <w:tcW w:w="0" w:type="auto"/>
            <w:vAlign w:val="center"/>
          </w:tcPr>
          <w:p>
            <w:pPr>
              <w:spacing w:before="0"/>
              <w:jc w:val="center"/>
              <w:rPr>
                <w:noProof/>
                <w:sz w:val="20"/>
              </w:rPr>
            </w:pPr>
            <w:r>
              <w:rPr>
                <w:noProof/>
                <w:sz w:val="20"/>
              </w:rPr>
              <w:t>Autriche</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Bulgarie</w:t>
            </w:r>
          </w:p>
        </w:tc>
        <w:tc>
          <w:tcPr>
            <w:tcW w:w="0" w:type="auto"/>
            <w:vAlign w:val="center"/>
          </w:tcPr>
          <w:p>
            <w:pPr>
              <w:spacing w:before="0"/>
              <w:jc w:val="center"/>
              <w:rPr>
                <w:noProof/>
                <w:sz w:val="20"/>
              </w:rPr>
            </w:pPr>
            <w:r>
              <w:rPr>
                <w:noProof/>
                <w:sz w:val="20"/>
              </w:rPr>
              <w:t>64 %</w:t>
            </w:r>
            <w:r>
              <w:rPr>
                <w:rStyle w:val="FootnoteReference"/>
                <w:noProof/>
                <w:sz w:val="20"/>
              </w:rPr>
              <w:footnoteReference w:id="2"/>
            </w:r>
          </w:p>
        </w:tc>
      </w:tr>
      <w:tr>
        <w:trPr>
          <w:trHeight w:val="227"/>
        </w:trPr>
        <w:tc>
          <w:tcPr>
            <w:tcW w:w="0" w:type="auto"/>
            <w:vAlign w:val="center"/>
          </w:tcPr>
          <w:p>
            <w:pPr>
              <w:spacing w:before="0"/>
              <w:jc w:val="center"/>
              <w:rPr>
                <w:noProof/>
                <w:sz w:val="20"/>
              </w:rPr>
            </w:pPr>
            <w:r>
              <w:rPr>
                <w:noProof/>
                <w:sz w:val="20"/>
              </w:rPr>
              <w:t>Belgique</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Croatie</w:t>
            </w:r>
          </w:p>
        </w:tc>
        <w:tc>
          <w:tcPr>
            <w:tcW w:w="0" w:type="auto"/>
            <w:vAlign w:val="center"/>
          </w:tcPr>
          <w:p>
            <w:pPr>
              <w:spacing w:before="0"/>
              <w:jc w:val="center"/>
              <w:rPr>
                <w:noProof/>
                <w:sz w:val="20"/>
              </w:rPr>
            </w:pPr>
            <w:r>
              <w:rPr>
                <w:noProof/>
                <w:sz w:val="20"/>
              </w:rPr>
              <w:t>100 %</w:t>
            </w:r>
          </w:p>
        </w:tc>
      </w:tr>
      <w:tr>
        <w:trPr>
          <w:trHeight w:val="227"/>
        </w:trPr>
        <w:tc>
          <w:tcPr>
            <w:tcW w:w="0" w:type="auto"/>
            <w:vAlign w:val="center"/>
          </w:tcPr>
          <w:p>
            <w:pPr>
              <w:spacing w:before="0"/>
              <w:jc w:val="center"/>
              <w:rPr>
                <w:noProof/>
                <w:sz w:val="20"/>
              </w:rPr>
            </w:pPr>
            <w:r>
              <w:rPr>
                <w:noProof/>
                <w:sz w:val="20"/>
              </w:rPr>
              <w:t>Chypre</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République tchèque</w:t>
            </w:r>
          </w:p>
        </w:tc>
        <w:tc>
          <w:tcPr>
            <w:tcW w:w="0" w:type="auto"/>
            <w:vAlign w:val="center"/>
          </w:tcPr>
          <w:p>
            <w:pPr>
              <w:spacing w:before="0"/>
              <w:jc w:val="center"/>
              <w:rPr>
                <w:noProof/>
                <w:sz w:val="20"/>
              </w:rPr>
            </w:pPr>
            <w:r>
              <w:rPr>
                <w:noProof/>
                <w:sz w:val="20"/>
              </w:rPr>
              <w:t>100 %</w:t>
            </w:r>
          </w:p>
        </w:tc>
      </w:tr>
      <w:tr>
        <w:trPr>
          <w:trHeight w:val="227"/>
        </w:trPr>
        <w:tc>
          <w:tcPr>
            <w:tcW w:w="0" w:type="auto"/>
            <w:vAlign w:val="center"/>
          </w:tcPr>
          <w:p>
            <w:pPr>
              <w:spacing w:before="0"/>
              <w:jc w:val="center"/>
              <w:rPr>
                <w:noProof/>
                <w:sz w:val="20"/>
              </w:rPr>
            </w:pPr>
            <w:r>
              <w:rPr>
                <w:noProof/>
                <w:sz w:val="20"/>
              </w:rPr>
              <w:t>Estonie</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Danemark</w:t>
            </w:r>
          </w:p>
        </w:tc>
        <w:tc>
          <w:tcPr>
            <w:tcW w:w="0" w:type="auto"/>
            <w:vAlign w:val="center"/>
          </w:tcPr>
          <w:p>
            <w:pPr>
              <w:spacing w:before="0"/>
              <w:jc w:val="center"/>
              <w:rPr>
                <w:noProof/>
                <w:sz w:val="20"/>
              </w:rPr>
            </w:pPr>
            <w:r>
              <w:rPr>
                <w:noProof/>
                <w:sz w:val="20"/>
              </w:rPr>
              <w:t>100 %</w:t>
            </w:r>
          </w:p>
        </w:tc>
      </w:tr>
      <w:tr>
        <w:trPr>
          <w:trHeight w:val="227"/>
        </w:trPr>
        <w:tc>
          <w:tcPr>
            <w:tcW w:w="0" w:type="auto"/>
            <w:vAlign w:val="center"/>
          </w:tcPr>
          <w:p>
            <w:pPr>
              <w:spacing w:before="0"/>
              <w:jc w:val="center"/>
              <w:rPr>
                <w:noProof/>
                <w:sz w:val="20"/>
              </w:rPr>
            </w:pPr>
            <w:r>
              <w:rPr>
                <w:noProof/>
                <w:sz w:val="20"/>
              </w:rPr>
              <w:t>Finlande</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Hongrie</w:t>
            </w:r>
          </w:p>
        </w:tc>
        <w:tc>
          <w:tcPr>
            <w:tcW w:w="0" w:type="auto"/>
            <w:vAlign w:val="center"/>
          </w:tcPr>
          <w:p>
            <w:pPr>
              <w:spacing w:before="0"/>
              <w:jc w:val="center"/>
              <w:rPr>
                <w:noProof/>
                <w:sz w:val="20"/>
              </w:rPr>
            </w:pPr>
            <w:r>
              <w:rPr>
                <w:noProof/>
                <w:sz w:val="20"/>
              </w:rPr>
              <w:t>100 %</w:t>
            </w:r>
          </w:p>
        </w:tc>
      </w:tr>
      <w:tr>
        <w:trPr>
          <w:trHeight w:val="227"/>
        </w:trPr>
        <w:tc>
          <w:tcPr>
            <w:tcW w:w="0" w:type="auto"/>
            <w:vAlign w:val="center"/>
          </w:tcPr>
          <w:p>
            <w:pPr>
              <w:spacing w:before="0"/>
              <w:jc w:val="center"/>
              <w:rPr>
                <w:noProof/>
                <w:sz w:val="20"/>
              </w:rPr>
            </w:pPr>
            <w:r>
              <w:rPr>
                <w:noProof/>
                <w:sz w:val="20"/>
              </w:rPr>
              <w:t>France</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Pologne</w:t>
            </w:r>
          </w:p>
        </w:tc>
        <w:tc>
          <w:tcPr>
            <w:tcW w:w="0" w:type="auto"/>
            <w:vAlign w:val="center"/>
          </w:tcPr>
          <w:p>
            <w:pPr>
              <w:spacing w:before="0"/>
              <w:jc w:val="center"/>
              <w:rPr>
                <w:noProof/>
                <w:sz w:val="20"/>
              </w:rPr>
            </w:pPr>
            <w:r>
              <w:rPr>
                <w:noProof/>
                <w:sz w:val="20"/>
              </w:rPr>
              <w:t>100 %</w:t>
            </w:r>
          </w:p>
        </w:tc>
      </w:tr>
      <w:tr>
        <w:trPr>
          <w:trHeight w:val="227"/>
        </w:trPr>
        <w:tc>
          <w:tcPr>
            <w:tcW w:w="0" w:type="auto"/>
            <w:vAlign w:val="center"/>
          </w:tcPr>
          <w:p>
            <w:pPr>
              <w:spacing w:before="0"/>
              <w:jc w:val="center"/>
              <w:rPr>
                <w:noProof/>
                <w:sz w:val="20"/>
              </w:rPr>
            </w:pPr>
            <w:r>
              <w:rPr>
                <w:noProof/>
                <w:sz w:val="20"/>
              </w:rPr>
              <w:t>Allemagne</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Roumanie</w:t>
            </w:r>
          </w:p>
        </w:tc>
        <w:tc>
          <w:tcPr>
            <w:tcW w:w="0" w:type="auto"/>
            <w:vAlign w:val="center"/>
          </w:tcPr>
          <w:p>
            <w:pPr>
              <w:spacing w:before="0"/>
              <w:jc w:val="center"/>
              <w:rPr>
                <w:noProof/>
                <w:sz w:val="20"/>
              </w:rPr>
            </w:pPr>
            <w:r>
              <w:rPr>
                <w:noProof/>
                <w:sz w:val="20"/>
              </w:rPr>
              <w:t>Conformité partielle</w:t>
            </w:r>
            <w:r>
              <w:rPr>
                <w:rStyle w:val="FootnoteReference"/>
                <w:noProof/>
                <w:sz w:val="20"/>
              </w:rPr>
              <w:footnoteReference w:id="3"/>
            </w:r>
          </w:p>
        </w:tc>
      </w:tr>
      <w:tr>
        <w:trPr>
          <w:trHeight w:val="227"/>
        </w:trPr>
        <w:tc>
          <w:tcPr>
            <w:tcW w:w="0" w:type="auto"/>
            <w:vAlign w:val="center"/>
          </w:tcPr>
          <w:p>
            <w:pPr>
              <w:spacing w:before="0"/>
              <w:jc w:val="center"/>
              <w:rPr>
                <w:noProof/>
                <w:sz w:val="20"/>
              </w:rPr>
            </w:pPr>
            <w:r>
              <w:rPr>
                <w:noProof/>
                <w:sz w:val="20"/>
              </w:rPr>
              <w:t>Grèce</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tcBorders>
              <w:bottom w:val="single" w:sz="4" w:space="0" w:color="auto"/>
            </w:tcBorders>
            <w:vAlign w:val="center"/>
          </w:tcPr>
          <w:p>
            <w:pPr>
              <w:spacing w:before="0"/>
              <w:jc w:val="center"/>
              <w:rPr>
                <w:noProof/>
                <w:sz w:val="20"/>
              </w:rPr>
            </w:pPr>
            <w:r>
              <w:rPr>
                <w:noProof/>
                <w:sz w:val="20"/>
              </w:rPr>
              <w:t>Suède</w:t>
            </w:r>
          </w:p>
        </w:tc>
        <w:tc>
          <w:tcPr>
            <w:tcW w:w="0" w:type="auto"/>
            <w:tcBorders>
              <w:bottom w:val="single" w:sz="4" w:space="0" w:color="auto"/>
            </w:tcBorders>
            <w:vAlign w:val="center"/>
          </w:tcPr>
          <w:p>
            <w:pPr>
              <w:spacing w:before="0"/>
              <w:jc w:val="center"/>
              <w:rPr>
                <w:noProof/>
                <w:sz w:val="20"/>
              </w:rPr>
            </w:pPr>
            <w:r>
              <w:rPr>
                <w:noProof/>
                <w:sz w:val="20"/>
              </w:rPr>
              <w:t>100 %</w:t>
            </w:r>
          </w:p>
        </w:tc>
      </w:tr>
      <w:tr>
        <w:trPr>
          <w:trHeight w:val="227"/>
        </w:trPr>
        <w:tc>
          <w:tcPr>
            <w:tcW w:w="0" w:type="auto"/>
            <w:vAlign w:val="center"/>
          </w:tcPr>
          <w:p>
            <w:pPr>
              <w:spacing w:before="0"/>
              <w:jc w:val="center"/>
              <w:rPr>
                <w:noProof/>
                <w:sz w:val="20"/>
              </w:rPr>
            </w:pPr>
            <w:r>
              <w:rPr>
                <w:noProof/>
                <w:sz w:val="20"/>
              </w:rPr>
              <w:t>Irlande</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tcBorders>
              <w:bottom w:val="single" w:sz="4" w:space="0" w:color="auto"/>
            </w:tcBorders>
            <w:vAlign w:val="center"/>
          </w:tcPr>
          <w:p>
            <w:pPr>
              <w:spacing w:before="0"/>
              <w:jc w:val="center"/>
              <w:rPr>
                <w:noProof/>
                <w:sz w:val="20"/>
              </w:rPr>
            </w:pPr>
            <w:r>
              <w:rPr>
                <w:noProof/>
                <w:sz w:val="20"/>
              </w:rPr>
              <w:t>Royaume-Uni</w:t>
            </w:r>
          </w:p>
        </w:tc>
        <w:tc>
          <w:tcPr>
            <w:tcW w:w="0" w:type="auto"/>
            <w:tcBorders>
              <w:bottom w:val="single" w:sz="4" w:space="0" w:color="auto"/>
            </w:tcBorders>
            <w:vAlign w:val="center"/>
          </w:tcPr>
          <w:p>
            <w:pPr>
              <w:spacing w:before="0"/>
              <w:jc w:val="center"/>
              <w:rPr>
                <w:noProof/>
                <w:sz w:val="20"/>
              </w:rPr>
            </w:pPr>
            <w:r>
              <w:rPr>
                <w:noProof/>
                <w:sz w:val="20"/>
              </w:rPr>
              <w:t>100 %</w:t>
            </w:r>
          </w:p>
        </w:tc>
      </w:tr>
      <w:tr>
        <w:trPr>
          <w:trHeight w:val="227"/>
        </w:trPr>
        <w:tc>
          <w:tcPr>
            <w:tcW w:w="0" w:type="auto"/>
            <w:vAlign w:val="center"/>
          </w:tcPr>
          <w:p>
            <w:pPr>
              <w:spacing w:before="0"/>
              <w:jc w:val="center"/>
              <w:rPr>
                <w:noProof/>
                <w:sz w:val="20"/>
              </w:rPr>
            </w:pPr>
            <w:r>
              <w:rPr>
                <w:noProof/>
                <w:sz w:val="20"/>
              </w:rPr>
              <w:t>Italie</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single" w:sz="4" w:space="0" w:color="auto"/>
              <w:left w:val="nil"/>
              <w:bottom w:val="nil"/>
              <w:right w:val="nil"/>
            </w:tcBorders>
            <w:vAlign w:val="center"/>
          </w:tcPr>
          <w:p>
            <w:pPr>
              <w:spacing w:before="0"/>
              <w:jc w:val="center"/>
              <w:rPr>
                <w:noProof/>
                <w:sz w:val="20"/>
              </w:rPr>
            </w:pPr>
          </w:p>
        </w:tc>
        <w:tc>
          <w:tcPr>
            <w:tcW w:w="0" w:type="auto"/>
            <w:tcBorders>
              <w:top w:val="single" w:sz="4" w:space="0" w:color="auto"/>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Lettonie</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Lituanie</w:t>
            </w:r>
          </w:p>
        </w:tc>
        <w:tc>
          <w:tcPr>
            <w:tcW w:w="0" w:type="auto"/>
            <w:vAlign w:val="center"/>
          </w:tcPr>
          <w:p>
            <w:pPr>
              <w:spacing w:before="0"/>
              <w:jc w:val="center"/>
              <w:rPr>
                <w:noProof/>
                <w:sz w:val="20"/>
              </w:rPr>
            </w:pPr>
            <w:r>
              <w:rPr>
                <w:noProof/>
                <w:sz w:val="20"/>
              </w:rPr>
              <w:t>100 %</w:t>
            </w:r>
            <w:r>
              <w:rPr>
                <w:rStyle w:val="FootnoteReference"/>
                <w:noProof/>
                <w:sz w:val="20"/>
              </w:rPr>
              <w:footnoteReference w:id="4"/>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Luxembourg</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Malte</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Pays-Bas</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Portugal</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Slovaquie</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Slovénie</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Espagne</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bl>
    <w:p>
      <w:pPr>
        <w:rPr>
          <w:noProof/>
          <w:u w:val="single"/>
        </w:rPr>
      </w:pPr>
    </w:p>
    <w:p>
      <w:pPr>
        <w:spacing w:before="0" w:line="240" w:lineRule="auto"/>
        <w:jc w:val="left"/>
        <w:rPr>
          <w:b/>
          <w:noProof/>
          <w:u w:val="single"/>
        </w:rPr>
      </w:pPr>
      <w:r>
        <w:rPr>
          <w:noProof/>
        </w:rPr>
        <w:br w:type="page"/>
      </w:r>
    </w:p>
    <w:p>
      <w:pPr>
        <w:rPr>
          <w:noProof/>
        </w:rPr>
      </w:pPr>
      <w:r>
        <w:rPr>
          <w:b/>
          <w:noProof/>
          <w:u w:val="single"/>
        </w:rPr>
        <w:t>Tableau 2</w:t>
      </w:r>
      <w:r>
        <w:rPr>
          <w:b/>
          <w:noProof/>
        </w:rPr>
        <w:t>:</w:t>
      </w:r>
      <w:r>
        <w:rPr>
          <w:noProof/>
        </w:rPr>
        <w:t xml:space="preserve"> Taux de migration vers les prélèvements SEPA fin 2016, communiqués par les États membres</w:t>
      </w:r>
    </w:p>
    <w:tbl>
      <w:tblPr>
        <w:tblStyle w:val="TableGrid"/>
        <w:tblW w:w="0" w:type="auto"/>
        <w:tblInd w:w="392" w:type="dxa"/>
        <w:tblLook w:val="04A0" w:firstRow="1" w:lastRow="0" w:firstColumn="1" w:lastColumn="0" w:noHBand="0" w:noVBand="1"/>
      </w:tblPr>
      <w:tblGrid>
        <w:gridCol w:w="1251"/>
        <w:gridCol w:w="2478"/>
        <w:gridCol w:w="945"/>
        <w:gridCol w:w="1402"/>
        <w:gridCol w:w="2478"/>
      </w:tblGrid>
      <w:tr>
        <w:tc>
          <w:tcPr>
            <w:tcW w:w="0" w:type="auto"/>
            <w:vAlign w:val="center"/>
          </w:tcPr>
          <w:p>
            <w:pPr>
              <w:spacing w:before="0"/>
              <w:jc w:val="center"/>
              <w:rPr>
                <w:b/>
                <w:noProof/>
                <w:sz w:val="20"/>
              </w:rPr>
            </w:pPr>
            <w:r>
              <w:rPr>
                <w:b/>
                <w:noProof/>
                <w:sz w:val="20"/>
              </w:rPr>
              <w:t>Zone euro</w:t>
            </w:r>
          </w:p>
        </w:tc>
        <w:tc>
          <w:tcPr>
            <w:tcW w:w="0" w:type="auto"/>
            <w:vAlign w:val="center"/>
          </w:tcPr>
          <w:p>
            <w:pPr>
              <w:spacing w:before="0"/>
              <w:jc w:val="center"/>
              <w:rPr>
                <w:b/>
                <w:noProof/>
                <w:sz w:val="20"/>
              </w:rPr>
            </w:pPr>
            <w:r>
              <w:rPr>
                <w:b/>
                <w:noProof/>
                <w:sz w:val="20"/>
              </w:rPr>
              <w:t>Taux de migration vers les prélèvements SEPA</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b/>
                <w:noProof/>
                <w:sz w:val="20"/>
              </w:rPr>
            </w:pPr>
            <w:r>
              <w:rPr>
                <w:b/>
                <w:noProof/>
                <w:sz w:val="20"/>
              </w:rPr>
              <w:t>Hors zone euro</w:t>
            </w:r>
          </w:p>
        </w:tc>
        <w:tc>
          <w:tcPr>
            <w:tcW w:w="0" w:type="auto"/>
            <w:vAlign w:val="center"/>
          </w:tcPr>
          <w:p>
            <w:pPr>
              <w:spacing w:before="0"/>
              <w:jc w:val="center"/>
              <w:rPr>
                <w:b/>
                <w:noProof/>
                <w:sz w:val="20"/>
              </w:rPr>
            </w:pPr>
            <w:r>
              <w:rPr>
                <w:b/>
                <w:noProof/>
                <w:sz w:val="20"/>
              </w:rPr>
              <w:t>Taux de migration vers les prélèvements SEPA</w:t>
            </w:r>
          </w:p>
        </w:tc>
      </w:tr>
      <w:tr>
        <w:tc>
          <w:tcPr>
            <w:tcW w:w="0" w:type="auto"/>
            <w:vAlign w:val="center"/>
          </w:tcPr>
          <w:p>
            <w:pPr>
              <w:spacing w:before="0"/>
              <w:jc w:val="center"/>
              <w:rPr>
                <w:noProof/>
                <w:sz w:val="20"/>
              </w:rPr>
            </w:pPr>
            <w:r>
              <w:rPr>
                <w:noProof/>
                <w:sz w:val="20"/>
              </w:rPr>
              <w:t>Autriche</w:t>
            </w:r>
          </w:p>
        </w:tc>
        <w:tc>
          <w:tcPr>
            <w:tcW w:w="0" w:type="auto"/>
            <w:vAlign w:val="center"/>
          </w:tcPr>
          <w:p>
            <w:pPr>
              <w:spacing w:before="0"/>
              <w:jc w:val="center"/>
              <w:rPr>
                <w:noProof/>
                <w:sz w:val="20"/>
              </w:rPr>
            </w:pPr>
            <w:r>
              <w:rPr>
                <w:noProof/>
                <w:sz w:val="20"/>
              </w:rPr>
              <w:t>100 %</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Bulgarie</w:t>
            </w:r>
          </w:p>
        </w:tc>
        <w:tc>
          <w:tcPr>
            <w:tcW w:w="0" w:type="auto"/>
            <w:vAlign w:val="center"/>
          </w:tcPr>
          <w:p>
            <w:pPr>
              <w:spacing w:before="0"/>
              <w:jc w:val="center"/>
              <w:rPr>
                <w:noProof/>
                <w:sz w:val="20"/>
              </w:rPr>
            </w:pPr>
            <w:r>
              <w:rPr>
                <w:noProof/>
                <w:sz w:val="20"/>
              </w:rPr>
              <w:t>Sans objet</w:t>
            </w:r>
            <w:r>
              <w:rPr>
                <w:rStyle w:val="FootnoteReference"/>
                <w:noProof/>
                <w:sz w:val="20"/>
              </w:rPr>
              <w:footnoteReference w:id="5"/>
            </w:r>
          </w:p>
        </w:tc>
      </w:tr>
      <w:tr>
        <w:tc>
          <w:tcPr>
            <w:tcW w:w="0" w:type="auto"/>
            <w:vAlign w:val="center"/>
          </w:tcPr>
          <w:p>
            <w:pPr>
              <w:spacing w:before="0"/>
              <w:jc w:val="center"/>
              <w:rPr>
                <w:noProof/>
                <w:sz w:val="20"/>
              </w:rPr>
            </w:pPr>
            <w:r>
              <w:rPr>
                <w:noProof/>
                <w:sz w:val="20"/>
              </w:rPr>
              <w:t>Belgique</w:t>
            </w:r>
          </w:p>
        </w:tc>
        <w:tc>
          <w:tcPr>
            <w:tcW w:w="0" w:type="auto"/>
            <w:vAlign w:val="center"/>
          </w:tcPr>
          <w:p>
            <w:pPr>
              <w:spacing w:before="0"/>
              <w:jc w:val="center"/>
              <w:rPr>
                <w:noProof/>
                <w:sz w:val="20"/>
              </w:rPr>
            </w:pPr>
            <w:r>
              <w:rPr>
                <w:noProof/>
                <w:sz w:val="20"/>
              </w:rPr>
              <w:t>100 %</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Croatie</w:t>
            </w:r>
          </w:p>
        </w:tc>
        <w:tc>
          <w:tcPr>
            <w:tcW w:w="0" w:type="auto"/>
            <w:vAlign w:val="center"/>
          </w:tcPr>
          <w:p>
            <w:pPr>
              <w:spacing w:before="0"/>
              <w:jc w:val="center"/>
              <w:rPr>
                <w:noProof/>
                <w:sz w:val="20"/>
              </w:rPr>
            </w:pPr>
            <w:r>
              <w:rPr>
                <w:noProof/>
                <w:sz w:val="20"/>
              </w:rPr>
              <w:t>Sans objet</w:t>
            </w:r>
            <w:r>
              <w:rPr>
                <w:rStyle w:val="FootnoteReference"/>
                <w:noProof/>
                <w:sz w:val="20"/>
              </w:rPr>
              <w:footnoteReference w:id="6"/>
            </w:r>
          </w:p>
        </w:tc>
      </w:tr>
      <w:tr>
        <w:tc>
          <w:tcPr>
            <w:tcW w:w="0" w:type="auto"/>
            <w:vAlign w:val="center"/>
          </w:tcPr>
          <w:p>
            <w:pPr>
              <w:spacing w:before="0"/>
              <w:jc w:val="center"/>
              <w:rPr>
                <w:noProof/>
                <w:sz w:val="20"/>
              </w:rPr>
            </w:pPr>
            <w:r>
              <w:rPr>
                <w:noProof/>
                <w:sz w:val="20"/>
              </w:rPr>
              <w:t>Chypre</w:t>
            </w:r>
          </w:p>
        </w:tc>
        <w:tc>
          <w:tcPr>
            <w:tcW w:w="0" w:type="auto"/>
            <w:vAlign w:val="center"/>
          </w:tcPr>
          <w:p>
            <w:pPr>
              <w:spacing w:before="0"/>
              <w:jc w:val="center"/>
              <w:rPr>
                <w:noProof/>
                <w:sz w:val="20"/>
              </w:rPr>
            </w:pPr>
            <w:r>
              <w:rPr>
                <w:noProof/>
                <w:sz w:val="20"/>
              </w:rPr>
              <w:t>100 %</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République tchèque</w:t>
            </w:r>
          </w:p>
        </w:tc>
        <w:tc>
          <w:tcPr>
            <w:tcW w:w="0" w:type="auto"/>
            <w:vAlign w:val="center"/>
          </w:tcPr>
          <w:p>
            <w:pPr>
              <w:spacing w:before="0"/>
              <w:jc w:val="center"/>
              <w:rPr>
                <w:noProof/>
                <w:sz w:val="20"/>
              </w:rPr>
            </w:pPr>
            <w:r>
              <w:rPr>
                <w:noProof/>
                <w:sz w:val="20"/>
              </w:rPr>
              <w:t>100 %</w:t>
            </w:r>
          </w:p>
        </w:tc>
      </w:tr>
      <w:tr>
        <w:tc>
          <w:tcPr>
            <w:tcW w:w="0" w:type="auto"/>
            <w:vAlign w:val="center"/>
          </w:tcPr>
          <w:p>
            <w:pPr>
              <w:spacing w:before="0"/>
              <w:jc w:val="center"/>
              <w:rPr>
                <w:noProof/>
                <w:sz w:val="20"/>
              </w:rPr>
            </w:pPr>
            <w:r>
              <w:rPr>
                <w:noProof/>
                <w:sz w:val="20"/>
              </w:rPr>
              <w:t>Estonie</w:t>
            </w:r>
          </w:p>
        </w:tc>
        <w:tc>
          <w:tcPr>
            <w:tcW w:w="0" w:type="auto"/>
            <w:vAlign w:val="center"/>
          </w:tcPr>
          <w:p>
            <w:pPr>
              <w:spacing w:before="0"/>
              <w:jc w:val="center"/>
              <w:rPr>
                <w:noProof/>
                <w:sz w:val="20"/>
              </w:rPr>
            </w:pPr>
            <w:r>
              <w:rPr>
                <w:noProof/>
                <w:sz w:val="20"/>
              </w:rPr>
              <w:t>Sans objet</w:t>
            </w:r>
            <w:bookmarkStart w:id="9" w:name="_Ref478377609"/>
            <w:r>
              <w:rPr>
                <w:rStyle w:val="FootnoteReference"/>
                <w:noProof/>
                <w:sz w:val="20"/>
              </w:rPr>
              <w:footnoteReference w:id="7"/>
            </w:r>
            <w:bookmarkEnd w:id="9"/>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Danemark</w:t>
            </w:r>
          </w:p>
        </w:tc>
        <w:tc>
          <w:tcPr>
            <w:tcW w:w="0" w:type="auto"/>
            <w:vAlign w:val="center"/>
          </w:tcPr>
          <w:p>
            <w:pPr>
              <w:spacing w:before="0"/>
              <w:jc w:val="center"/>
              <w:rPr>
                <w:noProof/>
                <w:sz w:val="20"/>
              </w:rPr>
            </w:pPr>
            <w:r>
              <w:rPr>
                <w:noProof/>
                <w:sz w:val="20"/>
              </w:rPr>
              <w:t>100 %</w:t>
            </w:r>
          </w:p>
        </w:tc>
      </w:tr>
      <w:tr>
        <w:tc>
          <w:tcPr>
            <w:tcW w:w="0" w:type="auto"/>
            <w:vAlign w:val="center"/>
          </w:tcPr>
          <w:p>
            <w:pPr>
              <w:spacing w:before="0"/>
              <w:jc w:val="center"/>
              <w:rPr>
                <w:noProof/>
                <w:sz w:val="20"/>
              </w:rPr>
            </w:pPr>
            <w:r>
              <w:rPr>
                <w:noProof/>
                <w:sz w:val="20"/>
              </w:rPr>
              <w:t>Finlande</w:t>
            </w:r>
          </w:p>
        </w:tc>
        <w:tc>
          <w:tcPr>
            <w:tcW w:w="0" w:type="auto"/>
            <w:vAlign w:val="center"/>
          </w:tcPr>
          <w:p>
            <w:pPr>
              <w:spacing w:before="0"/>
              <w:jc w:val="center"/>
              <w:rPr>
                <w:noProof/>
                <w:sz w:val="20"/>
              </w:rPr>
            </w:pPr>
            <w:r>
              <w:rPr>
                <w:noProof/>
                <w:sz w:val="20"/>
              </w:rPr>
              <w:t>100 %</w:t>
            </w:r>
            <w:r>
              <w:rPr>
                <w:rStyle w:val="FootnoteReference"/>
                <w:noProof/>
                <w:sz w:val="20"/>
              </w:rPr>
              <w:footnoteReference w:id="8"/>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Hongrie</w:t>
            </w:r>
          </w:p>
        </w:tc>
        <w:tc>
          <w:tcPr>
            <w:tcW w:w="0" w:type="auto"/>
            <w:vAlign w:val="center"/>
          </w:tcPr>
          <w:p>
            <w:pPr>
              <w:spacing w:before="0"/>
              <w:jc w:val="center"/>
              <w:rPr>
                <w:noProof/>
                <w:sz w:val="20"/>
              </w:rPr>
            </w:pPr>
            <w:r>
              <w:rPr>
                <w:noProof/>
                <w:sz w:val="20"/>
              </w:rPr>
              <w:t>100 %</w:t>
            </w:r>
            <w:r>
              <w:rPr>
                <w:rStyle w:val="FootnoteReference"/>
                <w:noProof/>
                <w:sz w:val="20"/>
              </w:rPr>
              <w:footnoteReference w:id="9"/>
            </w:r>
          </w:p>
        </w:tc>
      </w:tr>
      <w:tr>
        <w:tc>
          <w:tcPr>
            <w:tcW w:w="0" w:type="auto"/>
            <w:vAlign w:val="center"/>
          </w:tcPr>
          <w:p>
            <w:pPr>
              <w:spacing w:before="0"/>
              <w:jc w:val="center"/>
              <w:rPr>
                <w:noProof/>
                <w:sz w:val="20"/>
              </w:rPr>
            </w:pPr>
            <w:r>
              <w:rPr>
                <w:noProof/>
                <w:sz w:val="20"/>
              </w:rPr>
              <w:t>France</w:t>
            </w:r>
          </w:p>
        </w:tc>
        <w:tc>
          <w:tcPr>
            <w:tcW w:w="0" w:type="auto"/>
            <w:vAlign w:val="center"/>
          </w:tcPr>
          <w:p>
            <w:pPr>
              <w:spacing w:before="0"/>
              <w:jc w:val="center"/>
              <w:rPr>
                <w:noProof/>
                <w:sz w:val="20"/>
              </w:rPr>
            </w:pPr>
            <w:r>
              <w:rPr>
                <w:noProof/>
                <w:sz w:val="20"/>
              </w:rPr>
              <w:t>100 %</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Pologne</w:t>
            </w:r>
          </w:p>
        </w:tc>
        <w:tc>
          <w:tcPr>
            <w:tcW w:w="0" w:type="auto"/>
            <w:vAlign w:val="center"/>
          </w:tcPr>
          <w:p>
            <w:pPr>
              <w:spacing w:before="0"/>
              <w:jc w:val="center"/>
              <w:rPr>
                <w:noProof/>
                <w:sz w:val="20"/>
              </w:rPr>
            </w:pPr>
            <w:r>
              <w:rPr>
                <w:noProof/>
                <w:sz w:val="20"/>
              </w:rPr>
              <w:t>100 %</w:t>
            </w:r>
          </w:p>
        </w:tc>
      </w:tr>
      <w:tr>
        <w:tc>
          <w:tcPr>
            <w:tcW w:w="0" w:type="auto"/>
            <w:vAlign w:val="center"/>
          </w:tcPr>
          <w:p>
            <w:pPr>
              <w:spacing w:before="0"/>
              <w:jc w:val="center"/>
              <w:rPr>
                <w:noProof/>
                <w:sz w:val="20"/>
              </w:rPr>
            </w:pPr>
            <w:r>
              <w:rPr>
                <w:noProof/>
                <w:sz w:val="20"/>
              </w:rPr>
              <w:t>Allemagne</w:t>
            </w:r>
          </w:p>
        </w:tc>
        <w:tc>
          <w:tcPr>
            <w:tcW w:w="0" w:type="auto"/>
            <w:vAlign w:val="center"/>
          </w:tcPr>
          <w:p>
            <w:pPr>
              <w:spacing w:before="0"/>
              <w:jc w:val="center"/>
              <w:rPr>
                <w:noProof/>
                <w:sz w:val="20"/>
              </w:rPr>
            </w:pPr>
            <w:r>
              <w:rPr>
                <w:noProof/>
                <w:sz w:val="20"/>
              </w:rPr>
              <w:t>100 %</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Roumanie</w:t>
            </w:r>
          </w:p>
        </w:tc>
        <w:tc>
          <w:tcPr>
            <w:tcW w:w="0" w:type="auto"/>
            <w:vAlign w:val="center"/>
          </w:tcPr>
          <w:p>
            <w:pPr>
              <w:spacing w:before="0"/>
              <w:jc w:val="center"/>
              <w:rPr>
                <w:noProof/>
                <w:sz w:val="20"/>
              </w:rPr>
            </w:pPr>
            <w:r>
              <w:rPr>
                <w:noProof/>
                <w:sz w:val="20"/>
              </w:rPr>
              <w:t>100 %</w:t>
            </w:r>
          </w:p>
        </w:tc>
      </w:tr>
      <w:tr>
        <w:tc>
          <w:tcPr>
            <w:tcW w:w="0" w:type="auto"/>
            <w:vAlign w:val="center"/>
          </w:tcPr>
          <w:p>
            <w:pPr>
              <w:spacing w:before="0"/>
              <w:jc w:val="center"/>
              <w:rPr>
                <w:noProof/>
                <w:sz w:val="20"/>
              </w:rPr>
            </w:pPr>
            <w:r>
              <w:rPr>
                <w:noProof/>
                <w:sz w:val="20"/>
              </w:rPr>
              <w:t>Grèce</w:t>
            </w:r>
          </w:p>
        </w:tc>
        <w:tc>
          <w:tcPr>
            <w:tcW w:w="0" w:type="auto"/>
            <w:vAlign w:val="center"/>
          </w:tcPr>
          <w:p>
            <w:pPr>
              <w:spacing w:before="0"/>
              <w:jc w:val="center"/>
              <w:rPr>
                <w:noProof/>
                <w:sz w:val="20"/>
              </w:rPr>
            </w:pPr>
            <w:r>
              <w:rPr>
                <w:noProof/>
                <w:sz w:val="20"/>
              </w:rPr>
              <w:t>100 %</w:t>
            </w:r>
          </w:p>
        </w:tc>
        <w:tc>
          <w:tcPr>
            <w:tcW w:w="945" w:type="dxa"/>
            <w:tcBorders>
              <w:top w:val="nil"/>
              <w:bottom w:val="nil"/>
            </w:tcBorders>
            <w:vAlign w:val="center"/>
          </w:tcPr>
          <w:p>
            <w:pPr>
              <w:spacing w:before="0"/>
              <w:jc w:val="center"/>
              <w:rPr>
                <w:noProof/>
              </w:rPr>
            </w:pPr>
          </w:p>
        </w:tc>
        <w:tc>
          <w:tcPr>
            <w:tcW w:w="0" w:type="auto"/>
            <w:tcBorders>
              <w:bottom w:val="single" w:sz="4" w:space="0" w:color="auto"/>
            </w:tcBorders>
            <w:vAlign w:val="center"/>
          </w:tcPr>
          <w:p>
            <w:pPr>
              <w:spacing w:before="0"/>
              <w:jc w:val="center"/>
              <w:rPr>
                <w:noProof/>
                <w:sz w:val="20"/>
              </w:rPr>
            </w:pPr>
            <w:r>
              <w:rPr>
                <w:noProof/>
                <w:sz w:val="20"/>
              </w:rPr>
              <w:t>Suède</w:t>
            </w:r>
          </w:p>
        </w:tc>
        <w:tc>
          <w:tcPr>
            <w:tcW w:w="0" w:type="auto"/>
            <w:tcBorders>
              <w:bottom w:val="single" w:sz="4" w:space="0" w:color="auto"/>
            </w:tcBorders>
            <w:vAlign w:val="center"/>
          </w:tcPr>
          <w:p>
            <w:pPr>
              <w:spacing w:before="0"/>
              <w:jc w:val="center"/>
              <w:rPr>
                <w:noProof/>
                <w:sz w:val="20"/>
              </w:rPr>
            </w:pPr>
            <w:r>
              <w:rPr>
                <w:noProof/>
                <w:sz w:val="20"/>
              </w:rPr>
              <w:t>Sans objet</w:t>
            </w:r>
            <w:r>
              <w:rPr>
                <w:rStyle w:val="FootnoteReference"/>
                <w:noProof/>
                <w:sz w:val="20"/>
              </w:rPr>
              <w:footnoteReference w:id="10"/>
            </w:r>
          </w:p>
        </w:tc>
      </w:tr>
      <w:tr>
        <w:tc>
          <w:tcPr>
            <w:tcW w:w="0" w:type="auto"/>
            <w:vAlign w:val="center"/>
          </w:tcPr>
          <w:p>
            <w:pPr>
              <w:spacing w:before="0"/>
              <w:jc w:val="center"/>
              <w:rPr>
                <w:noProof/>
                <w:sz w:val="20"/>
              </w:rPr>
            </w:pPr>
            <w:r>
              <w:rPr>
                <w:noProof/>
                <w:sz w:val="20"/>
              </w:rPr>
              <w:t>Irlande</w:t>
            </w:r>
          </w:p>
        </w:tc>
        <w:tc>
          <w:tcPr>
            <w:tcW w:w="0" w:type="auto"/>
            <w:vAlign w:val="center"/>
          </w:tcPr>
          <w:p>
            <w:pPr>
              <w:spacing w:before="0"/>
              <w:jc w:val="center"/>
              <w:rPr>
                <w:noProof/>
                <w:sz w:val="20"/>
              </w:rPr>
            </w:pPr>
            <w:r>
              <w:rPr>
                <w:noProof/>
                <w:sz w:val="20"/>
              </w:rPr>
              <w:t>100 %</w:t>
            </w:r>
          </w:p>
        </w:tc>
        <w:tc>
          <w:tcPr>
            <w:tcW w:w="945" w:type="dxa"/>
            <w:tcBorders>
              <w:top w:val="nil"/>
              <w:bottom w:val="nil"/>
            </w:tcBorders>
            <w:vAlign w:val="center"/>
          </w:tcPr>
          <w:p>
            <w:pPr>
              <w:spacing w:before="0"/>
              <w:jc w:val="center"/>
              <w:rPr>
                <w:noProof/>
              </w:rPr>
            </w:pPr>
          </w:p>
        </w:tc>
        <w:tc>
          <w:tcPr>
            <w:tcW w:w="0" w:type="auto"/>
            <w:tcBorders>
              <w:bottom w:val="single" w:sz="4" w:space="0" w:color="auto"/>
            </w:tcBorders>
            <w:vAlign w:val="center"/>
          </w:tcPr>
          <w:p>
            <w:pPr>
              <w:spacing w:before="0"/>
              <w:jc w:val="center"/>
              <w:rPr>
                <w:noProof/>
                <w:sz w:val="20"/>
              </w:rPr>
            </w:pPr>
            <w:r>
              <w:rPr>
                <w:noProof/>
                <w:sz w:val="20"/>
              </w:rPr>
              <w:t>Royaume-Uni</w:t>
            </w:r>
          </w:p>
        </w:tc>
        <w:tc>
          <w:tcPr>
            <w:tcW w:w="0" w:type="auto"/>
            <w:tcBorders>
              <w:bottom w:val="single" w:sz="4" w:space="0" w:color="auto"/>
            </w:tcBorders>
            <w:vAlign w:val="center"/>
          </w:tcPr>
          <w:p>
            <w:pPr>
              <w:spacing w:before="0"/>
              <w:jc w:val="center"/>
              <w:rPr>
                <w:noProof/>
                <w:sz w:val="20"/>
              </w:rPr>
            </w:pPr>
            <w:r>
              <w:rPr>
                <w:noProof/>
                <w:sz w:val="20"/>
              </w:rPr>
              <w:t>100 %</w:t>
            </w:r>
          </w:p>
        </w:tc>
      </w:tr>
      <w:tr>
        <w:tc>
          <w:tcPr>
            <w:tcW w:w="0" w:type="auto"/>
            <w:vAlign w:val="center"/>
          </w:tcPr>
          <w:p>
            <w:pPr>
              <w:spacing w:before="0"/>
              <w:jc w:val="center"/>
              <w:rPr>
                <w:noProof/>
                <w:sz w:val="20"/>
              </w:rPr>
            </w:pPr>
            <w:r>
              <w:rPr>
                <w:noProof/>
                <w:sz w:val="20"/>
              </w:rPr>
              <w:t>Italie</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single" w:sz="4" w:space="0" w:color="auto"/>
              <w:left w:val="nil"/>
              <w:bottom w:val="nil"/>
              <w:right w:val="nil"/>
            </w:tcBorders>
            <w:vAlign w:val="center"/>
          </w:tcPr>
          <w:p>
            <w:pPr>
              <w:spacing w:before="0"/>
              <w:jc w:val="center"/>
              <w:rPr>
                <w:noProof/>
                <w:sz w:val="20"/>
              </w:rPr>
            </w:pPr>
          </w:p>
        </w:tc>
        <w:tc>
          <w:tcPr>
            <w:tcW w:w="0" w:type="auto"/>
            <w:tcBorders>
              <w:top w:val="single" w:sz="4" w:space="0" w:color="auto"/>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Lettonie</w:t>
            </w:r>
          </w:p>
        </w:tc>
        <w:tc>
          <w:tcPr>
            <w:tcW w:w="0" w:type="auto"/>
            <w:vAlign w:val="center"/>
          </w:tcPr>
          <w:p>
            <w:pPr>
              <w:spacing w:before="0"/>
              <w:jc w:val="center"/>
              <w:rPr>
                <w:noProof/>
                <w:sz w:val="20"/>
              </w:rPr>
            </w:pPr>
            <w:r>
              <w:rPr>
                <w:noProof/>
                <w:sz w:val="20"/>
              </w:rPr>
              <w:t>Sans objet</w:t>
            </w:r>
            <w:r>
              <w:rPr>
                <w:noProof/>
                <w:sz w:val="20"/>
                <w:vertAlign w:val="superscript"/>
              </w:rPr>
              <w:fldChar w:fldCharType="begin"/>
            </w:r>
            <w:r>
              <w:rPr>
                <w:noProof/>
                <w:sz w:val="20"/>
                <w:vertAlign w:val="superscript"/>
              </w:rPr>
              <w:instrText xml:space="preserve"> NOTEREF _Ref478377609 \h  * MERGEFORMAT </w:instrText>
            </w:r>
            <w:r>
              <w:rPr>
                <w:noProof/>
                <w:sz w:val="20"/>
                <w:vertAlign w:val="superscript"/>
              </w:rPr>
            </w:r>
            <w:r>
              <w:rPr>
                <w:noProof/>
                <w:sz w:val="20"/>
                <w:vertAlign w:val="superscript"/>
              </w:rPr>
              <w:fldChar w:fldCharType="separate"/>
            </w:r>
            <w:r>
              <w:rPr>
                <w:noProof/>
                <w:sz w:val="20"/>
                <w:vertAlign w:val="superscript"/>
              </w:rPr>
              <w:t>7</w:t>
            </w:r>
            <w:r>
              <w:rPr>
                <w:noProof/>
                <w:sz w:val="20"/>
                <w:vertAlign w:val="superscript"/>
              </w:rPr>
              <w:fldChar w:fldCharType="end"/>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Lituanie</w:t>
            </w:r>
          </w:p>
        </w:tc>
        <w:tc>
          <w:tcPr>
            <w:tcW w:w="0" w:type="auto"/>
            <w:vAlign w:val="center"/>
          </w:tcPr>
          <w:p>
            <w:pPr>
              <w:spacing w:before="0"/>
              <w:jc w:val="center"/>
              <w:rPr>
                <w:noProof/>
                <w:sz w:val="20"/>
              </w:rPr>
            </w:pPr>
            <w:r>
              <w:rPr>
                <w:noProof/>
                <w:sz w:val="20"/>
              </w:rPr>
              <w:t>Sans objet</w:t>
            </w:r>
            <w:r>
              <w:rPr>
                <w:noProof/>
                <w:sz w:val="20"/>
                <w:vertAlign w:val="superscript"/>
              </w:rPr>
              <w:fldChar w:fldCharType="begin"/>
            </w:r>
            <w:r>
              <w:rPr>
                <w:noProof/>
                <w:sz w:val="20"/>
                <w:vertAlign w:val="superscript"/>
              </w:rPr>
              <w:instrText xml:space="preserve"> NOTEREF _Ref478377609 \h  * MERGEFORMAT </w:instrText>
            </w:r>
            <w:r>
              <w:rPr>
                <w:noProof/>
                <w:sz w:val="20"/>
                <w:vertAlign w:val="superscript"/>
              </w:rPr>
            </w:r>
            <w:r>
              <w:rPr>
                <w:noProof/>
                <w:sz w:val="20"/>
                <w:vertAlign w:val="superscript"/>
              </w:rPr>
              <w:fldChar w:fldCharType="separate"/>
            </w:r>
            <w:r>
              <w:rPr>
                <w:noProof/>
                <w:sz w:val="20"/>
                <w:vertAlign w:val="superscript"/>
              </w:rPr>
              <w:t>7</w:t>
            </w:r>
            <w:r>
              <w:rPr>
                <w:noProof/>
                <w:sz w:val="20"/>
                <w:vertAlign w:val="superscript"/>
              </w:rPr>
              <w:fldChar w:fldCharType="end"/>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Luxembourg</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Malte</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Pays-Bas</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Portugal</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Slovaquie</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Slovénie</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Espagne</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bl>
    <w:p>
      <w:pPr>
        <w:rPr>
          <w:noProof/>
        </w:rPr>
      </w:pPr>
      <w:r>
        <w:rPr>
          <w:noProof/>
        </w:rPr>
        <w:t>L’évolution historique des taux de migration (tableaux 3, 4, 5 et 6) montre que, suivant l’État membre concerné, le passage aux instruments SEPA s’est fait soit sans transition (par exemple en Estonie) soit progressivement (par exemple en Allemagne). Les mêmes tableaux indiquent également que le report de six mois était effectivement nécessaire, puisque les taux de migration communiqués pour janvier 2014, qui étaient déjà relativement élevés pour les virements SEPA, n’étaient en revanche pas suffisants pour assurer un traitement intégral des paiements dans le cas des prélèvements SEPA. Des problèmes imprévus auraient pu surgir le 1</w:t>
      </w:r>
      <w:r>
        <w:rPr>
          <w:noProof/>
          <w:vertAlign w:val="superscript"/>
        </w:rPr>
        <w:t>er</w:t>
      </w:r>
      <w:r>
        <w:rPr>
          <w:noProof/>
        </w:rPr>
        <w:t> février 2014, date à laquelle le règlement SEPA était censé entrer en application, le risque potentiel étant un non-traitement des paiements après cette date.</w:t>
      </w:r>
    </w:p>
    <w:p>
      <w:pPr>
        <w:spacing w:before="0" w:line="240" w:lineRule="auto"/>
        <w:jc w:val="left"/>
        <w:rPr>
          <w:b/>
          <w:noProof/>
          <w:u w:val="single"/>
        </w:rPr>
      </w:pPr>
      <w:r>
        <w:rPr>
          <w:noProof/>
        </w:rPr>
        <w:br w:type="page"/>
      </w:r>
    </w:p>
    <w:p>
      <w:pPr>
        <w:rPr>
          <w:noProof/>
        </w:rPr>
      </w:pPr>
      <w:r>
        <w:rPr>
          <w:b/>
          <w:noProof/>
          <w:u w:val="single"/>
        </w:rPr>
        <w:t>Tableau 3</w:t>
      </w:r>
      <w:r>
        <w:rPr>
          <w:rStyle w:val="FootnoteReference"/>
          <w:b/>
          <w:noProof/>
          <w:u w:val="single"/>
        </w:rPr>
        <w:footnoteReference w:id="11"/>
      </w:r>
      <w:r>
        <w:rPr>
          <w:b/>
          <w:noProof/>
        </w:rPr>
        <w:t>:</w:t>
      </w:r>
      <w:r>
        <w:rPr>
          <w:noProof/>
        </w:rPr>
        <w:t xml:space="preserve"> Évolution des taux de migration vers les virements SEPA de 2008 à aujourd’hui pour les États membres de la zone euro</w:t>
      </w:r>
    </w:p>
    <w:tbl>
      <w:tblPr>
        <w:tblStyle w:val="TableGrid"/>
        <w:tblW w:w="0" w:type="auto"/>
        <w:tblInd w:w="-34" w:type="dxa"/>
        <w:tblLook w:val="04A0" w:firstRow="1" w:lastRow="0" w:firstColumn="1" w:lastColumn="0" w:noHBand="0" w:noVBand="1"/>
      </w:tblPr>
      <w:tblGrid>
        <w:gridCol w:w="1373"/>
        <w:gridCol w:w="1173"/>
        <w:gridCol w:w="1173"/>
        <w:gridCol w:w="1311"/>
        <w:gridCol w:w="1299"/>
        <w:gridCol w:w="1118"/>
        <w:gridCol w:w="1533"/>
      </w:tblGrid>
      <w:tr>
        <w:tc>
          <w:tcPr>
            <w:tcW w:w="1769" w:type="dxa"/>
            <w:vAlign w:val="center"/>
          </w:tcPr>
          <w:p>
            <w:pPr>
              <w:spacing w:before="0"/>
              <w:jc w:val="center"/>
              <w:rPr>
                <w:b/>
                <w:noProof/>
                <w:sz w:val="20"/>
              </w:rPr>
            </w:pPr>
            <w:r>
              <w:rPr>
                <w:b/>
                <w:noProof/>
                <w:sz w:val="20"/>
              </w:rPr>
              <w:t>Zone euro</w:t>
            </w:r>
          </w:p>
        </w:tc>
        <w:tc>
          <w:tcPr>
            <w:tcW w:w="1187" w:type="dxa"/>
            <w:tcBorders>
              <w:top w:val="single" w:sz="4" w:space="0" w:color="auto"/>
              <w:bottom w:val="single" w:sz="4" w:space="0" w:color="auto"/>
            </w:tcBorders>
            <w:vAlign w:val="center"/>
          </w:tcPr>
          <w:p>
            <w:pPr>
              <w:spacing w:before="0"/>
              <w:jc w:val="center"/>
              <w:rPr>
                <w:b/>
                <w:noProof/>
                <w:sz w:val="20"/>
              </w:rPr>
            </w:pPr>
            <w:r>
              <w:rPr>
                <w:b/>
                <w:noProof/>
                <w:sz w:val="20"/>
              </w:rPr>
              <w:t>2</w:t>
            </w:r>
            <w:r>
              <w:rPr>
                <w:b/>
                <w:noProof/>
                <w:sz w:val="20"/>
                <w:vertAlign w:val="superscript"/>
              </w:rPr>
              <w:t>e</w:t>
            </w:r>
            <w:r>
              <w:rPr>
                <w:b/>
                <w:noProof/>
                <w:sz w:val="20"/>
              </w:rPr>
              <w:t> semestre 2008</w:t>
            </w:r>
          </w:p>
        </w:tc>
        <w:tc>
          <w:tcPr>
            <w:tcW w:w="1187" w:type="dxa"/>
            <w:tcBorders>
              <w:top w:val="single" w:sz="4" w:space="0" w:color="auto"/>
              <w:bottom w:val="single" w:sz="4" w:space="0" w:color="auto"/>
            </w:tcBorders>
            <w:vAlign w:val="center"/>
          </w:tcPr>
          <w:p>
            <w:pPr>
              <w:spacing w:before="0"/>
              <w:jc w:val="center"/>
              <w:rPr>
                <w:b/>
                <w:noProof/>
                <w:sz w:val="20"/>
              </w:rPr>
            </w:pPr>
            <w:r>
              <w:rPr>
                <w:b/>
                <w:noProof/>
                <w:sz w:val="20"/>
              </w:rPr>
              <w:t>2</w:t>
            </w:r>
            <w:r>
              <w:rPr>
                <w:b/>
                <w:noProof/>
                <w:sz w:val="20"/>
                <w:vertAlign w:val="superscript"/>
              </w:rPr>
              <w:t>e</w:t>
            </w:r>
            <w:r>
              <w:rPr>
                <w:b/>
                <w:noProof/>
                <w:sz w:val="20"/>
              </w:rPr>
              <w:t> semestre 2011</w:t>
            </w:r>
          </w:p>
        </w:tc>
        <w:tc>
          <w:tcPr>
            <w:tcW w:w="1207" w:type="dxa"/>
            <w:tcBorders>
              <w:top w:val="single" w:sz="4" w:space="0" w:color="auto"/>
              <w:bottom w:val="single" w:sz="4" w:space="0" w:color="auto"/>
            </w:tcBorders>
            <w:vAlign w:val="center"/>
          </w:tcPr>
          <w:p>
            <w:pPr>
              <w:tabs>
                <w:tab w:val="left" w:pos="269"/>
                <w:tab w:val="center" w:pos="514"/>
              </w:tabs>
              <w:spacing w:before="0"/>
              <w:jc w:val="center"/>
              <w:rPr>
                <w:b/>
                <w:noProof/>
                <w:sz w:val="20"/>
              </w:rPr>
            </w:pPr>
            <w:r>
              <w:rPr>
                <w:b/>
                <w:noProof/>
                <w:sz w:val="20"/>
              </w:rPr>
              <w:t>Janvier 2014</w:t>
            </w:r>
          </w:p>
        </w:tc>
        <w:tc>
          <w:tcPr>
            <w:tcW w:w="1208" w:type="dxa"/>
            <w:tcBorders>
              <w:top w:val="single" w:sz="4" w:space="0" w:color="auto"/>
              <w:bottom w:val="single" w:sz="4" w:space="0" w:color="auto"/>
            </w:tcBorders>
            <w:shd w:val="clear" w:color="auto" w:fill="FFC000"/>
            <w:vAlign w:val="center"/>
          </w:tcPr>
          <w:p>
            <w:pPr>
              <w:spacing w:before="0"/>
              <w:jc w:val="center"/>
              <w:rPr>
                <w:b/>
                <w:noProof/>
                <w:sz w:val="20"/>
              </w:rPr>
            </w:pPr>
            <w:r>
              <w:rPr>
                <w:b/>
                <w:noProof/>
                <w:sz w:val="20"/>
              </w:rPr>
              <w:t>Février 2014</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b/>
                <w:noProof/>
                <w:sz w:val="20"/>
              </w:rPr>
            </w:pPr>
            <w:r>
              <w:rPr>
                <w:b/>
                <w:noProof/>
                <w:sz w:val="20"/>
              </w:rPr>
              <w:t>Août 2014</w:t>
            </w:r>
          </w:p>
        </w:tc>
        <w:tc>
          <w:tcPr>
            <w:tcW w:w="1209" w:type="dxa"/>
            <w:tcBorders>
              <w:top w:val="single" w:sz="4" w:space="0" w:color="auto"/>
              <w:bottom w:val="single" w:sz="4" w:space="0" w:color="auto"/>
            </w:tcBorders>
            <w:vAlign w:val="center"/>
          </w:tcPr>
          <w:p>
            <w:pPr>
              <w:spacing w:before="0"/>
              <w:jc w:val="center"/>
              <w:rPr>
                <w:b/>
                <w:noProof/>
                <w:sz w:val="20"/>
              </w:rPr>
            </w:pPr>
            <w:r>
              <w:rPr>
                <w:b/>
                <w:noProof/>
                <w:sz w:val="20"/>
              </w:rPr>
              <w:t>Décembre 2016</w:t>
            </w:r>
          </w:p>
        </w:tc>
      </w:tr>
      <w:tr>
        <w:tc>
          <w:tcPr>
            <w:tcW w:w="1769" w:type="dxa"/>
            <w:vAlign w:val="center"/>
          </w:tcPr>
          <w:p>
            <w:pPr>
              <w:spacing w:before="0"/>
              <w:jc w:val="center"/>
              <w:rPr>
                <w:noProof/>
                <w:sz w:val="20"/>
              </w:rPr>
            </w:pPr>
            <w:r>
              <w:rPr>
                <w:noProof/>
                <w:sz w:val="20"/>
              </w:rPr>
              <w:t>Autriche</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1,44 %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11,89 %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66,2 %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74,95 %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90 %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Belgique</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2,76 %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44,79 %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86,79 %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95,64 %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Chypre</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29,85 %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60,06 %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100 %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100 %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Estonie</w:t>
            </w:r>
          </w:p>
        </w:tc>
        <w:tc>
          <w:tcPr>
            <w:tcW w:w="1187" w:type="dxa"/>
            <w:tcBorders>
              <w:top w:val="single" w:sz="4" w:space="0" w:color="auto"/>
              <w:bottom w:val="single" w:sz="4" w:space="0" w:color="auto"/>
            </w:tcBorders>
            <w:vAlign w:val="center"/>
          </w:tcPr>
          <w:p>
            <w:pPr>
              <w:spacing w:before="0"/>
              <w:jc w:val="center"/>
              <w:rPr>
                <w:noProof/>
                <w:sz w:val="20"/>
              </w:rPr>
            </w:pP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0,95 %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2,65 %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99,7 %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Finlande</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1,35 %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67,57 %</w:t>
            </w:r>
          </w:p>
        </w:tc>
        <w:tc>
          <w:tcPr>
            <w:tcW w:w="1207" w:type="dxa"/>
            <w:tcBorders>
              <w:top w:val="single" w:sz="4" w:space="0" w:color="auto"/>
              <w:bottom w:val="single" w:sz="4" w:space="0" w:color="auto"/>
            </w:tcBorders>
            <w:vAlign w:val="center"/>
          </w:tcPr>
          <w:p>
            <w:pPr>
              <w:spacing w:before="0"/>
              <w:jc w:val="center"/>
              <w:rPr>
                <w:noProof/>
              </w:rPr>
            </w:pPr>
            <w:r>
              <w:rPr>
                <w:noProof/>
                <w:sz w:val="20"/>
              </w:rPr>
              <w:t>100 %</w:t>
            </w:r>
          </w:p>
        </w:tc>
        <w:tc>
          <w:tcPr>
            <w:tcW w:w="1208" w:type="dxa"/>
            <w:tcBorders>
              <w:top w:val="single" w:sz="4" w:space="0" w:color="auto"/>
              <w:bottom w:val="single" w:sz="4" w:space="0" w:color="auto"/>
            </w:tcBorders>
            <w:shd w:val="clear" w:color="auto" w:fill="FFC000"/>
            <w:vAlign w:val="center"/>
          </w:tcPr>
          <w:p>
            <w:pPr>
              <w:spacing w:before="0"/>
              <w:jc w:val="center"/>
              <w:rPr>
                <w:noProof/>
              </w:rPr>
            </w:pPr>
            <w:r>
              <w:rPr>
                <w:noProof/>
                <w:sz w:val="20"/>
              </w:rPr>
              <w:t>100 %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France</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0,58 %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24,72 %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84,0 %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91,7 %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Allemagne</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0,29 %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5,56 %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58,51 %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77,85 %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Grèce</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0,54 %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1,71 %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81,53 %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83,12 %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99,38 %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Irlande</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0,19 %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2,34 %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60,89 %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90,61 %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Italie</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0,73 %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10,62 %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61,49 %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89,86 %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Lettonie</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100 %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Lituanie</w:t>
            </w:r>
            <w:r>
              <w:rPr>
                <w:rStyle w:val="FootnoteReference"/>
                <w:noProof/>
                <w:sz w:val="20"/>
              </w:rPr>
              <w:footnoteReference w:id="12"/>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Luxembourg</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85,76 %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90,27 %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96,3 %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96,3 %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97,81 %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Malte</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3,28 %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9,71 %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68,72 %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80,16 %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Pays-Bas</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0,15 %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0,88 %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86,38 %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91,75 %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99,08 %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Portugal</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0,68 %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1,48 %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89,16 %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92,32 %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98,91 %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Slovaquie</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0 %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1,03 %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100 %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Slovénie</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0,1 %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55,74 %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99,3 %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99,36 %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Espagne</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1,51 %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31,77 %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82,71 %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90,5 %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bl>
    <w:p>
      <w:pPr>
        <w:rPr>
          <w:noProof/>
        </w:rPr>
      </w:pPr>
      <w:r>
        <w:rPr>
          <w:noProof/>
        </w:rPr>
        <w:t>Les chiffres de février 2014 et d’août 2014 sont en surbrillance pour montrer l’écart des taux de migration entre la date butoir initiale de février 2014 et la date butoir effective d'août 2014 (soit six mois plus tard) fixée en janvier 2014.</w:t>
      </w:r>
    </w:p>
    <w:p>
      <w:pPr>
        <w:rPr>
          <w:noProof/>
        </w:rPr>
      </w:pPr>
      <w:r>
        <w:rPr>
          <w:noProof/>
        </w:rPr>
        <w:t>Pour les États membres n’appartenant pas à la zone euro, le règlement SEPA imposait une migration pour le 31 octobre 2016 au plus tard, comme le prévoit son article 16, paragraphe 8: «</w:t>
      </w:r>
      <w:r>
        <w:rPr>
          <w:i/>
          <w:noProof/>
        </w:rPr>
        <w:t>Les prestataires de services de paiement situés dans un État membre dont la monnaie n’est pas l’euro et les utilisateurs de services de paiement faisant usage d’un service de paiement dans un tel État membre se conforment aux exigences des articles 4 et 5, au plus tard le 31 octobre 2016. Les opérateurs de systèmes de paiement de détail pour un État membre dont la monnaie n’est pas l’euro se conforment à l’article 4, paragraphe 2, au plus tard le 31 octobre 2016.</w:t>
      </w:r>
      <w:r>
        <w:rPr>
          <w:noProof/>
        </w:rPr>
        <w:t>»</w:t>
      </w:r>
    </w:p>
    <w:p>
      <w:pPr>
        <w:spacing w:before="0" w:line="240" w:lineRule="auto"/>
        <w:jc w:val="left"/>
        <w:rPr>
          <w:b/>
          <w:noProof/>
          <w:u w:val="single"/>
        </w:rPr>
      </w:pPr>
    </w:p>
    <w:p>
      <w:pPr>
        <w:rPr>
          <w:noProof/>
        </w:rPr>
      </w:pPr>
      <w:r>
        <w:rPr>
          <w:b/>
          <w:noProof/>
          <w:u w:val="single"/>
        </w:rPr>
        <w:t>Tableau 4</w:t>
      </w:r>
      <w:r>
        <w:rPr>
          <w:b/>
          <w:noProof/>
        </w:rPr>
        <w:t>:</w:t>
      </w:r>
      <w:r>
        <w:rPr>
          <w:noProof/>
        </w:rPr>
        <w:t xml:space="preserve"> Évolution des taux de migration vers les virements SEPA en 2015 et en 2016 pour les États membres hors zone euro</w:t>
      </w:r>
    </w:p>
    <w:tbl>
      <w:tblPr>
        <w:tblStyle w:val="TableGrid"/>
        <w:tblW w:w="0" w:type="auto"/>
        <w:tblInd w:w="-34" w:type="dxa"/>
        <w:tblLook w:val="04A0" w:firstRow="1" w:lastRow="0" w:firstColumn="1" w:lastColumn="0" w:noHBand="0" w:noVBand="1"/>
      </w:tblPr>
      <w:tblGrid>
        <w:gridCol w:w="1854"/>
        <w:gridCol w:w="1618"/>
        <w:gridCol w:w="1720"/>
        <w:gridCol w:w="1662"/>
        <w:gridCol w:w="1924"/>
      </w:tblGrid>
      <w:tr>
        <w:tc>
          <w:tcPr>
            <w:tcW w:w="1854" w:type="dxa"/>
          </w:tcPr>
          <w:p>
            <w:pPr>
              <w:spacing w:before="0"/>
              <w:jc w:val="center"/>
              <w:rPr>
                <w:b/>
                <w:noProof/>
                <w:sz w:val="20"/>
              </w:rPr>
            </w:pPr>
            <w:r>
              <w:rPr>
                <w:b/>
                <w:noProof/>
                <w:sz w:val="20"/>
              </w:rPr>
              <w:t>Hors zone euro</w:t>
            </w:r>
          </w:p>
        </w:tc>
        <w:tc>
          <w:tcPr>
            <w:tcW w:w="1245" w:type="dxa"/>
            <w:tcBorders>
              <w:top w:val="single" w:sz="4" w:space="0" w:color="auto"/>
              <w:bottom w:val="single" w:sz="4" w:space="0" w:color="auto"/>
            </w:tcBorders>
          </w:tcPr>
          <w:p>
            <w:pPr>
              <w:spacing w:before="0"/>
              <w:jc w:val="center"/>
              <w:rPr>
                <w:b/>
                <w:noProof/>
                <w:sz w:val="20"/>
              </w:rPr>
            </w:pPr>
            <w:r>
              <w:rPr>
                <w:b/>
                <w:noProof/>
                <w:sz w:val="20"/>
              </w:rPr>
              <w:t>2</w:t>
            </w:r>
            <w:r>
              <w:rPr>
                <w:b/>
                <w:noProof/>
                <w:sz w:val="20"/>
                <w:vertAlign w:val="superscript"/>
              </w:rPr>
              <w:t>e</w:t>
            </w:r>
            <w:r>
              <w:rPr>
                <w:b/>
                <w:noProof/>
                <w:sz w:val="20"/>
              </w:rPr>
              <w:t> semestre 2015</w:t>
            </w:r>
          </w:p>
        </w:tc>
        <w:tc>
          <w:tcPr>
            <w:tcW w:w="1245" w:type="dxa"/>
            <w:tcBorders>
              <w:top w:val="single" w:sz="4" w:space="0" w:color="auto"/>
              <w:bottom w:val="single" w:sz="4" w:space="0" w:color="auto"/>
            </w:tcBorders>
          </w:tcPr>
          <w:p>
            <w:pPr>
              <w:spacing w:before="0"/>
              <w:jc w:val="center"/>
              <w:rPr>
                <w:b/>
                <w:noProof/>
                <w:sz w:val="20"/>
              </w:rPr>
            </w:pPr>
            <w:r>
              <w:rPr>
                <w:b/>
                <w:noProof/>
                <w:sz w:val="20"/>
              </w:rPr>
              <w:t>1</w:t>
            </w:r>
            <w:r>
              <w:rPr>
                <w:b/>
                <w:noProof/>
                <w:sz w:val="20"/>
                <w:vertAlign w:val="superscript"/>
              </w:rPr>
              <w:t>er</w:t>
            </w:r>
            <w:r>
              <w:rPr>
                <w:b/>
                <w:noProof/>
                <w:sz w:val="20"/>
              </w:rPr>
              <w:t> trimestre 2016</w:t>
            </w:r>
          </w:p>
        </w:tc>
        <w:tc>
          <w:tcPr>
            <w:tcW w:w="1245" w:type="dxa"/>
            <w:tcBorders>
              <w:top w:val="single" w:sz="4" w:space="0" w:color="auto"/>
              <w:bottom w:val="single" w:sz="4" w:space="0" w:color="auto"/>
            </w:tcBorders>
          </w:tcPr>
          <w:p>
            <w:pPr>
              <w:tabs>
                <w:tab w:val="left" w:pos="269"/>
                <w:tab w:val="center" w:pos="514"/>
              </w:tabs>
              <w:spacing w:before="0"/>
              <w:jc w:val="center"/>
              <w:rPr>
                <w:b/>
                <w:noProof/>
                <w:sz w:val="20"/>
              </w:rPr>
            </w:pPr>
            <w:r>
              <w:rPr>
                <w:b/>
                <w:noProof/>
                <w:sz w:val="20"/>
              </w:rPr>
              <w:t>2</w:t>
            </w:r>
            <w:r>
              <w:rPr>
                <w:b/>
                <w:noProof/>
                <w:sz w:val="20"/>
                <w:vertAlign w:val="superscript"/>
              </w:rPr>
              <w:t>e</w:t>
            </w:r>
            <w:r>
              <w:rPr>
                <w:b/>
                <w:noProof/>
                <w:sz w:val="20"/>
              </w:rPr>
              <w:t> trimestre 2016</w:t>
            </w:r>
          </w:p>
        </w:tc>
        <w:tc>
          <w:tcPr>
            <w:tcW w:w="1924" w:type="dxa"/>
            <w:tcBorders>
              <w:top w:val="single" w:sz="4" w:space="0" w:color="auto"/>
              <w:bottom w:val="single" w:sz="4" w:space="0" w:color="auto"/>
            </w:tcBorders>
            <w:shd w:val="clear" w:color="auto" w:fill="E5B8B7" w:themeFill="accent2" w:themeFillTint="66"/>
          </w:tcPr>
          <w:p>
            <w:pPr>
              <w:spacing w:before="0"/>
              <w:jc w:val="center"/>
              <w:rPr>
                <w:b/>
                <w:noProof/>
                <w:sz w:val="20"/>
              </w:rPr>
            </w:pPr>
            <w:r>
              <w:rPr>
                <w:b/>
                <w:noProof/>
                <w:sz w:val="20"/>
              </w:rPr>
              <w:t>Décembre 2016</w:t>
            </w:r>
          </w:p>
        </w:tc>
      </w:tr>
      <w:tr>
        <w:tc>
          <w:tcPr>
            <w:tcW w:w="1854" w:type="dxa"/>
          </w:tcPr>
          <w:p>
            <w:pPr>
              <w:spacing w:before="0"/>
              <w:jc w:val="center"/>
              <w:rPr>
                <w:noProof/>
                <w:sz w:val="20"/>
              </w:rPr>
            </w:pPr>
            <w:r>
              <w:rPr>
                <w:noProof/>
                <w:sz w:val="20"/>
              </w:rPr>
              <w:t>Bulgarie</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59,21 %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60,7 %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61,9 %</w:t>
            </w:r>
          </w:p>
        </w:tc>
        <w:tc>
          <w:tcPr>
            <w:tcW w:w="1924" w:type="dxa"/>
            <w:tcBorders>
              <w:top w:val="single" w:sz="4" w:space="0" w:color="auto"/>
              <w:bottom w:val="single" w:sz="4" w:space="0" w:color="auto"/>
            </w:tcBorders>
            <w:shd w:val="clear" w:color="auto" w:fill="E5B8B7" w:themeFill="accent2" w:themeFillTint="66"/>
            <w:vAlign w:val="bottom"/>
          </w:tcPr>
          <w:p>
            <w:pPr>
              <w:spacing w:before="0"/>
              <w:jc w:val="center"/>
              <w:rPr>
                <w:noProof/>
                <w:sz w:val="20"/>
              </w:rPr>
            </w:pPr>
            <w:r>
              <w:rPr>
                <w:noProof/>
                <w:sz w:val="20"/>
              </w:rPr>
              <w:t>100 %</w:t>
            </w:r>
          </w:p>
        </w:tc>
      </w:tr>
      <w:tr>
        <w:tc>
          <w:tcPr>
            <w:tcW w:w="1854" w:type="dxa"/>
          </w:tcPr>
          <w:p>
            <w:pPr>
              <w:spacing w:before="0"/>
              <w:jc w:val="center"/>
              <w:rPr>
                <w:noProof/>
                <w:sz w:val="20"/>
              </w:rPr>
            </w:pPr>
            <w:r>
              <w:rPr>
                <w:noProof/>
                <w:sz w:val="20"/>
              </w:rPr>
              <w:t>Croatie</w:t>
            </w:r>
          </w:p>
        </w:tc>
        <w:tc>
          <w:tcPr>
            <w:tcW w:w="1245" w:type="dxa"/>
            <w:tcBorders>
              <w:top w:val="single" w:sz="4" w:space="0" w:color="auto"/>
              <w:bottom w:val="single" w:sz="4" w:space="0" w:color="auto"/>
            </w:tcBorders>
            <w:vAlign w:val="bottom"/>
          </w:tcPr>
          <w:p>
            <w:pPr>
              <w:spacing w:before="0"/>
              <w:jc w:val="center"/>
              <w:rPr>
                <w:noProof/>
                <w:sz w:val="20"/>
              </w:rPr>
            </w:pPr>
          </w:p>
        </w:tc>
        <w:tc>
          <w:tcPr>
            <w:tcW w:w="1245" w:type="dxa"/>
            <w:tcBorders>
              <w:top w:val="single" w:sz="4" w:space="0" w:color="auto"/>
              <w:bottom w:val="single" w:sz="4" w:space="0" w:color="auto"/>
            </w:tcBorders>
            <w:vAlign w:val="bottom"/>
          </w:tcPr>
          <w:p>
            <w:pPr>
              <w:spacing w:before="0"/>
              <w:jc w:val="center"/>
              <w:rPr>
                <w:noProof/>
                <w:sz w:val="20"/>
              </w:rPr>
            </w:pPr>
          </w:p>
        </w:tc>
        <w:tc>
          <w:tcPr>
            <w:tcW w:w="1245" w:type="dxa"/>
            <w:tcBorders>
              <w:top w:val="single" w:sz="4" w:space="0" w:color="auto"/>
              <w:bottom w:val="single" w:sz="4" w:space="0" w:color="auto"/>
            </w:tcBorders>
            <w:vAlign w:val="bottom"/>
          </w:tcPr>
          <w:p>
            <w:pPr>
              <w:spacing w:before="0"/>
              <w:jc w:val="center"/>
              <w:rPr>
                <w:noProof/>
                <w:sz w:val="20"/>
              </w:rPr>
            </w:pPr>
          </w:p>
        </w:tc>
        <w:tc>
          <w:tcPr>
            <w:tcW w:w="1924" w:type="dxa"/>
            <w:tcBorders>
              <w:top w:val="single" w:sz="4" w:space="0" w:color="auto"/>
              <w:bottom w:val="single" w:sz="4" w:space="0" w:color="auto"/>
            </w:tcBorders>
            <w:shd w:val="clear" w:color="auto" w:fill="E5B8B7" w:themeFill="accent2" w:themeFillTint="66"/>
            <w:vAlign w:val="bottom"/>
          </w:tcPr>
          <w:p>
            <w:pPr>
              <w:spacing w:before="0"/>
              <w:jc w:val="center"/>
              <w:rPr>
                <w:noProof/>
                <w:sz w:val="20"/>
              </w:rPr>
            </w:pPr>
            <w:r>
              <w:rPr>
                <w:noProof/>
                <w:sz w:val="20"/>
              </w:rPr>
              <w:t>100 %</w:t>
            </w:r>
          </w:p>
        </w:tc>
      </w:tr>
      <w:tr>
        <w:tc>
          <w:tcPr>
            <w:tcW w:w="1854" w:type="dxa"/>
          </w:tcPr>
          <w:p>
            <w:pPr>
              <w:spacing w:before="0"/>
              <w:jc w:val="center"/>
              <w:rPr>
                <w:noProof/>
                <w:sz w:val="20"/>
              </w:rPr>
            </w:pPr>
            <w:r>
              <w:rPr>
                <w:noProof/>
                <w:sz w:val="20"/>
              </w:rPr>
              <w:t>République tchèque</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87,18 %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89,5 %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90,02 %</w:t>
            </w:r>
          </w:p>
        </w:tc>
        <w:tc>
          <w:tcPr>
            <w:tcW w:w="1924" w:type="dxa"/>
            <w:tcBorders>
              <w:top w:val="single" w:sz="4" w:space="0" w:color="auto"/>
              <w:bottom w:val="single" w:sz="4" w:space="0" w:color="auto"/>
            </w:tcBorders>
            <w:shd w:val="clear" w:color="auto" w:fill="E5B8B7" w:themeFill="accent2" w:themeFillTint="66"/>
            <w:vAlign w:val="bottom"/>
          </w:tcPr>
          <w:p>
            <w:pPr>
              <w:spacing w:before="0"/>
              <w:jc w:val="center"/>
              <w:rPr>
                <w:noProof/>
                <w:sz w:val="20"/>
              </w:rPr>
            </w:pPr>
            <w:r>
              <w:rPr>
                <w:noProof/>
                <w:sz w:val="20"/>
              </w:rPr>
              <w:t>100 %</w:t>
            </w:r>
          </w:p>
        </w:tc>
      </w:tr>
      <w:tr>
        <w:tc>
          <w:tcPr>
            <w:tcW w:w="1854" w:type="dxa"/>
          </w:tcPr>
          <w:p>
            <w:pPr>
              <w:spacing w:before="0"/>
              <w:jc w:val="center"/>
              <w:rPr>
                <w:noProof/>
                <w:sz w:val="20"/>
              </w:rPr>
            </w:pPr>
            <w:r>
              <w:rPr>
                <w:noProof/>
                <w:sz w:val="20"/>
              </w:rPr>
              <w:t>Danemark</w:t>
            </w:r>
          </w:p>
        </w:tc>
        <w:tc>
          <w:tcPr>
            <w:tcW w:w="1245" w:type="dxa"/>
            <w:tcBorders>
              <w:top w:val="single" w:sz="4" w:space="0" w:color="auto"/>
              <w:bottom w:val="single" w:sz="4" w:space="0" w:color="auto"/>
            </w:tcBorders>
          </w:tcPr>
          <w:p>
            <w:pPr>
              <w:spacing w:before="0"/>
              <w:jc w:val="center"/>
              <w:rPr>
                <w:noProof/>
                <w:sz w:val="20"/>
              </w:rPr>
            </w:pPr>
            <w:r>
              <w:rPr>
                <w:noProof/>
                <w:sz w:val="20"/>
              </w:rPr>
              <w:t>100 %</w:t>
            </w:r>
          </w:p>
        </w:tc>
        <w:tc>
          <w:tcPr>
            <w:tcW w:w="1245" w:type="dxa"/>
            <w:tcBorders>
              <w:top w:val="single" w:sz="4" w:space="0" w:color="auto"/>
              <w:bottom w:val="single" w:sz="4" w:space="0" w:color="auto"/>
            </w:tcBorders>
          </w:tcPr>
          <w:p>
            <w:pPr>
              <w:spacing w:before="0"/>
              <w:jc w:val="center"/>
              <w:rPr>
                <w:noProof/>
                <w:sz w:val="20"/>
              </w:rPr>
            </w:pPr>
            <w:r>
              <w:rPr>
                <w:noProof/>
                <w:sz w:val="20"/>
              </w:rPr>
              <w:t>100 %</w:t>
            </w:r>
          </w:p>
        </w:tc>
        <w:tc>
          <w:tcPr>
            <w:tcW w:w="1245" w:type="dxa"/>
            <w:tcBorders>
              <w:top w:val="single" w:sz="4" w:space="0" w:color="auto"/>
              <w:bottom w:val="single" w:sz="4" w:space="0" w:color="auto"/>
            </w:tcBorders>
          </w:tcPr>
          <w:p>
            <w:pPr>
              <w:spacing w:before="0"/>
              <w:jc w:val="center"/>
              <w:rPr>
                <w:noProof/>
                <w:sz w:val="20"/>
              </w:rPr>
            </w:pPr>
            <w:r>
              <w:rPr>
                <w:noProof/>
                <w:sz w:val="20"/>
              </w:rPr>
              <w:t>100 %</w:t>
            </w:r>
          </w:p>
        </w:tc>
        <w:tc>
          <w:tcPr>
            <w:tcW w:w="1924" w:type="dxa"/>
            <w:tcBorders>
              <w:top w:val="single" w:sz="4" w:space="0" w:color="auto"/>
              <w:bottom w:val="single" w:sz="4" w:space="0" w:color="auto"/>
            </w:tcBorders>
            <w:shd w:val="clear" w:color="auto" w:fill="E5B8B7" w:themeFill="accent2" w:themeFillTint="66"/>
          </w:tcPr>
          <w:p>
            <w:pPr>
              <w:spacing w:before="0"/>
              <w:jc w:val="center"/>
              <w:rPr>
                <w:noProof/>
                <w:sz w:val="20"/>
              </w:rPr>
            </w:pPr>
            <w:r>
              <w:rPr>
                <w:noProof/>
                <w:sz w:val="20"/>
              </w:rPr>
              <w:t>100 %</w:t>
            </w:r>
          </w:p>
        </w:tc>
      </w:tr>
      <w:tr>
        <w:tc>
          <w:tcPr>
            <w:tcW w:w="1854" w:type="dxa"/>
          </w:tcPr>
          <w:p>
            <w:pPr>
              <w:spacing w:before="0"/>
              <w:jc w:val="center"/>
              <w:rPr>
                <w:noProof/>
                <w:sz w:val="20"/>
              </w:rPr>
            </w:pPr>
            <w:r>
              <w:rPr>
                <w:noProof/>
                <w:sz w:val="20"/>
              </w:rPr>
              <w:t>Hongrie</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84,35 %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84,16 %</w:t>
            </w:r>
          </w:p>
        </w:tc>
        <w:tc>
          <w:tcPr>
            <w:tcW w:w="1245" w:type="dxa"/>
            <w:tcBorders>
              <w:top w:val="single" w:sz="4" w:space="0" w:color="auto"/>
              <w:bottom w:val="single" w:sz="4" w:space="0" w:color="auto"/>
            </w:tcBorders>
            <w:vAlign w:val="bottom"/>
          </w:tcPr>
          <w:p>
            <w:pPr>
              <w:spacing w:before="0"/>
              <w:jc w:val="center"/>
              <w:rPr>
                <w:noProof/>
                <w:sz w:val="20"/>
              </w:rPr>
            </w:pPr>
          </w:p>
        </w:tc>
        <w:tc>
          <w:tcPr>
            <w:tcW w:w="1924" w:type="dxa"/>
            <w:tcBorders>
              <w:top w:val="single" w:sz="4" w:space="0" w:color="auto"/>
              <w:bottom w:val="single" w:sz="4" w:space="0" w:color="auto"/>
            </w:tcBorders>
            <w:shd w:val="clear" w:color="auto" w:fill="E5B8B7" w:themeFill="accent2" w:themeFillTint="66"/>
            <w:vAlign w:val="bottom"/>
          </w:tcPr>
          <w:p>
            <w:pPr>
              <w:spacing w:before="0"/>
              <w:jc w:val="center"/>
              <w:rPr>
                <w:noProof/>
                <w:sz w:val="20"/>
              </w:rPr>
            </w:pPr>
            <w:r>
              <w:rPr>
                <w:noProof/>
                <w:sz w:val="20"/>
              </w:rPr>
              <w:t>100 %</w:t>
            </w:r>
          </w:p>
        </w:tc>
      </w:tr>
      <w:tr>
        <w:tc>
          <w:tcPr>
            <w:tcW w:w="1854" w:type="dxa"/>
          </w:tcPr>
          <w:p>
            <w:pPr>
              <w:spacing w:before="0"/>
              <w:jc w:val="center"/>
              <w:rPr>
                <w:noProof/>
                <w:sz w:val="20"/>
              </w:rPr>
            </w:pPr>
            <w:r>
              <w:rPr>
                <w:noProof/>
                <w:sz w:val="20"/>
              </w:rPr>
              <w:t>Pologne</w:t>
            </w:r>
          </w:p>
        </w:tc>
        <w:tc>
          <w:tcPr>
            <w:tcW w:w="1245" w:type="dxa"/>
            <w:tcBorders>
              <w:top w:val="single" w:sz="4" w:space="0" w:color="auto"/>
              <w:bottom w:val="single" w:sz="4" w:space="0" w:color="auto"/>
            </w:tcBorders>
            <w:vAlign w:val="bottom"/>
          </w:tcPr>
          <w:p>
            <w:pPr>
              <w:spacing w:before="0"/>
              <w:jc w:val="center"/>
              <w:rPr>
                <w:noProof/>
                <w:sz w:val="20"/>
              </w:rPr>
            </w:pPr>
          </w:p>
        </w:tc>
        <w:tc>
          <w:tcPr>
            <w:tcW w:w="1245" w:type="dxa"/>
            <w:tcBorders>
              <w:top w:val="single" w:sz="4" w:space="0" w:color="auto"/>
              <w:bottom w:val="single" w:sz="4" w:space="0" w:color="auto"/>
            </w:tcBorders>
            <w:vAlign w:val="bottom"/>
          </w:tcPr>
          <w:p>
            <w:pPr>
              <w:spacing w:before="0"/>
              <w:jc w:val="center"/>
              <w:rPr>
                <w:noProof/>
                <w:sz w:val="20"/>
              </w:rPr>
            </w:pPr>
          </w:p>
        </w:tc>
        <w:tc>
          <w:tcPr>
            <w:tcW w:w="1245" w:type="dxa"/>
            <w:tcBorders>
              <w:top w:val="single" w:sz="4" w:space="0" w:color="auto"/>
              <w:bottom w:val="single" w:sz="4" w:space="0" w:color="auto"/>
            </w:tcBorders>
            <w:vAlign w:val="bottom"/>
          </w:tcPr>
          <w:p>
            <w:pPr>
              <w:spacing w:before="0"/>
              <w:jc w:val="center"/>
              <w:rPr>
                <w:noProof/>
                <w:sz w:val="20"/>
              </w:rPr>
            </w:pPr>
          </w:p>
        </w:tc>
        <w:tc>
          <w:tcPr>
            <w:tcW w:w="1924" w:type="dxa"/>
            <w:tcBorders>
              <w:top w:val="single" w:sz="4" w:space="0" w:color="auto"/>
              <w:bottom w:val="single" w:sz="4" w:space="0" w:color="auto"/>
            </w:tcBorders>
            <w:shd w:val="clear" w:color="auto" w:fill="E5B8B7" w:themeFill="accent2" w:themeFillTint="66"/>
          </w:tcPr>
          <w:p>
            <w:pPr>
              <w:spacing w:before="0"/>
              <w:jc w:val="center"/>
              <w:rPr>
                <w:noProof/>
                <w:sz w:val="20"/>
              </w:rPr>
            </w:pPr>
            <w:r>
              <w:rPr>
                <w:noProof/>
                <w:sz w:val="20"/>
              </w:rPr>
              <w:t>100 %</w:t>
            </w:r>
          </w:p>
        </w:tc>
      </w:tr>
      <w:tr>
        <w:tc>
          <w:tcPr>
            <w:tcW w:w="1854" w:type="dxa"/>
          </w:tcPr>
          <w:p>
            <w:pPr>
              <w:spacing w:before="0"/>
              <w:jc w:val="center"/>
              <w:rPr>
                <w:noProof/>
                <w:sz w:val="20"/>
              </w:rPr>
            </w:pPr>
            <w:r>
              <w:rPr>
                <w:noProof/>
                <w:sz w:val="20"/>
              </w:rPr>
              <w:t>Roumanie</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44,66 %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46,01 %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45,38 %</w:t>
            </w:r>
          </w:p>
        </w:tc>
        <w:tc>
          <w:tcPr>
            <w:tcW w:w="1924" w:type="dxa"/>
            <w:tcBorders>
              <w:top w:val="single" w:sz="4" w:space="0" w:color="auto"/>
              <w:bottom w:val="single" w:sz="4" w:space="0" w:color="auto"/>
            </w:tcBorders>
            <w:shd w:val="clear" w:color="auto" w:fill="E5B8B7" w:themeFill="accent2" w:themeFillTint="66"/>
          </w:tcPr>
          <w:p>
            <w:pPr>
              <w:spacing w:before="0"/>
              <w:jc w:val="center"/>
              <w:rPr>
                <w:noProof/>
                <w:sz w:val="20"/>
              </w:rPr>
            </w:pPr>
            <w:r>
              <w:rPr>
                <w:noProof/>
                <w:sz w:val="20"/>
              </w:rPr>
              <w:t>Conformité partielle</w:t>
            </w:r>
          </w:p>
        </w:tc>
      </w:tr>
      <w:tr>
        <w:tc>
          <w:tcPr>
            <w:tcW w:w="1854" w:type="dxa"/>
          </w:tcPr>
          <w:p>
            <w:pPr>
              <w:spacing w:before="0"/>
              <w:jc w:val="center"/>
              <w:rPr>
                <w:noProof/>
                <w:sz w:val="20"/>
              </w:rPr>
            </w:pPr>
            <w:r>
              <w:rPr>
                <w:noProof/>
                <w:sz w:val="20"/>
              </w:rPr>
              <w:t>Suède</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95 %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95 %</w:t>
            </w:r>
          </w:p>
        </w:tc>
        <w:tc>
          <w:tcPr>
            <w:tcW w:w="1245" w:type="dxa"/>
            <w:tcBorders>
              <w:top w:val="single" w:sz="4" w:space="0" w:color="auto"/>
              <w:bottom w:val="single" w:sz="4" w:space="0" w:color="auto"/>
            </w:tcBorders>
            <w:vAlign w:val="bottom"/>
          </w:tcPr>
          <w:p>
            <w:pPr>
              <w:spacing w:before="0"/>
              <w:jc w:val="center"/>
              <w:rPr>
                <w:noProof/>
                <w:sz w:val="20"/>
              </w:rPr>
            </w:pPr>
          </w:p>
        </w:tc>
        <w:tc>
          <w:tcPr>
            <w:tcW w:w="1924" w:type="dxa"/>
            <w:tcBorders>
              <w:top w:val="single" w:sz="4" w:space="0" w:color="auto"/>
              <w:bottom w:val="single" w:sz="4" w:space="0" w:color="auto"/>
            </w:tcBorders>
            <w:shd w:val="clear" w:color="auto" w:fill="E5B8B7" w:themeFill="accent2" w:themeFillTint="66"/>
          </w:tcPr>
          <w:p>
            <w:pPr>
              <w:spacing w:before="0"/>
              <w:jc w:val="center"/>
              <w:rPr>
                <w:noProof/>
                <w:sz w:val="20"/>
              </w:rPr>
            </w:pPr>
            <w:r>
              <w:rPr>
                <w:noProof/>
                <w:sz w:val="20"/>
              </w:rPr>
              <w:t>99 %</w:t>
            </w:r>
          </w:p>
        </w:tc>
      </w:tr>
      <w:tr>
        <w:trPr>
          <w:trHeight w:val="240"/>
        </w:trPr>
        <w:tc>
          <w:tcPr>
            <w:tcW w:w="1854" w:type="dxa"/>
          </w:tcPr>
          <w:p>
            <w:pPr>
              <w:spacing w:before="0"/>
              <w:jc w:val="center"/>
              <w:rPr>
                <w:noProof/>
                <w:sz w:val="20"/>
              </w:rPr>
            </w:pPr>
            <w:r>
              <w:rPr>
                <w:noProof/>
                <w:sz w:val="20"/>
              </w:rPr>
              <w:t>Royaume-Uni</w:t>
            </w:r>
          </w:p>
        </w:tc>
        <w:tc>
          <w:tcPr>
            <w:tcW w:w="1245" w:type="dxa"/>
            <w:tcBorders>
              <w:top w:val="single" w:sz="4" w:space="0" w:color="auto"/>
              <w:bottom w:val="single" w:sz="4" w:space="0" w:color="auto"/>
            </w:tcBorders>
          </w:tcPr>
          <w:p>
            <w:pPr>
              <w:spacing w:before="0"/>
              <w:jc w:val="center"/>
              <w:rPr>
                <w:noProof/>
                <w:sz w:val="20"/>
              </w:rPr>
            </w:pPr>
            <w:r>
              <w:rPr>
                <w:noProof/>
                <w:sz w:val="20"/>
              </w:rPr>
              <w:t>100 %</w:t>
            </w:r>
          </w:p>
        </w:tc>
        <w:tc>
          <w:tcPr>
            <w:tcW w:w="1245" w:type="dxa"/>
            <w:tcBorders>
              <w:top w:val="single" w:sz="4" w:space="0" w:color="auto"/>
              <w:bottom w:val="single" w:sz="4" w:space="0" w:color="auto"/>
            </w:tcBorders>
          </w:tcPr>
          <w:p>
            <w:pPr>
              <w:spacing w:before="0"/>
              <w:jc w:val="center"/>
              <w:rPr>
                <w:noProof/>
                <w:sz w:val="20"/>
              </w:rPr>
            </w:pPr>
            <w:r>
              <w:rPr>
                <w:noProof/>
                <w:sz w:val="20"/>
              </w:rPr>
              <w:t>100 %</w:t>
            </w:r>
          </w:p>
        </w:tc>
        <w:tc>
          <w:tcPr>
            <w:tcW w:w="1245" w:type="dxa"/>
            <w:tcBorders>
              <w:top w:val="single" w:sz="4" w:space="0" w:color="auto"/>
              <w:bottom w:val="single" w:sz="4" w:space="0" w:color="auto"/>
            </w:tcBorders>
          </w:tcPr>
          <w:p>
            <w:pPr>
              <w:spacing w:before="0"/>
              <w:jc w:val="center"/>
              <w:rPr>
                <w:noProof/>
                <w:sz w:val="20"/>
              </w:rPr>
            </w:pPr>
            <w:r>
              <w:rPr>
                <w:noProof/>
                <w:sz w:val="20"/>
              </w:rPr>
              <w:t>100 %</w:t>
            </w:r>
          </w:p>
        </w:tc>
        <w:tc>
          <w:tcPr>
            <w:tcW w:w="1924" w:type="dxa"/>
            <w:tcBorders>
              <w:top w:val="single" w:sz="4" w:space="0" w:color="auto"/>
              <w:bottom w:val="single" w:sz="4" w:space="0" w:color="auto"/>
            </w:tcBorders>
            <w:shd w:val="clear" w:color="auto" w:fill="E5B8B7" w:themeFill="accent2" w:themeFillTint="66"/>
          </w:tcPr>
          <w:p>
            <w:pPr>
              <w:spacing w:before="0"/>
              <w:jc w:val="center"/>
              <w:rPr>
                <w:noProof/>
                <w:sz w:val="20"/>
              </w:rPr>
            </w:pPr>
            <w:r>
              <w:rPr>
                <w:noProof/>
                <w:sz w:val="20"/>
              </w:rPr>
              <w:t>100 %</w:t>
            </w:r>
          </w:p>
        </w:tc>
      </w:tr>
    </w:tbl>
    <w:p>
      <w:pPr>
        <w:rPr>
          <w:noProof/>
        </w:rPr>
      </w:pPr>
      <w:r>
        <w:rPr>
          <w:b/>
          <w:noProof/>
          <w:u w:val="single"/>
        </w:rPr>
        <w:t>Tableau 5</w:t>
      </w:r>
      <w:r>
        <w:rPr>
          <w:b/>
          <w:noProof/>
        </w:rPr>
        <w:t>:</w:t>
      </w:r>
      <w:r>
        <w:rPr>
          <w:noProof/>
        </w:rPr>
        <w:t xml:space="preserve"> Évolution des taux de migration vers les prélèvements SEPA de 2013 à aujourd’hui pour les États membres de la zone euro</w:t>
      </w:r>
    </w:p>
    <w:tbl>
      <w:tblPr>
        <w:tblStyle w:val="TableGrid"/>
        <w:tblW w:w="0" w:type="auto"/>
        <w:tblInd w:w="-34" w:type="dxa"/>
        <w:tblLook w:val="04A0" w:firstRow="1" w:lastRow="0" w:firstColumn="1" w:lastColumn="0" w:noHBand="0" w:noVBand="1"/>
      </w:tblPr>
      <w:tblGrid>
        <w:gridCol w:w="1140"/>
        <w:gridCol w:w="1561"/>
        <w:gridCol w:w="1509"/>
        <w:gridCol w:w="1195"/>
        <w:gridCol w:w="1184"/>
        <w:gridCol w:w="997"/>
        <w:gridCol w:w="1394"/>
      </w:tblGrid>
      <w:tr>
        <w:tc>
          <w:tcPr>
            <w:tcW w:w="1769" w:type="dxa"/>
            <w:vAlign w:val="center"/>
          </w:tcPr>
          <w:p>
            <w:pPr>
              <w:spacing w:before="0"/>
              <w:jc w:val="center"/>
              <w:rPr>
                <w:b/>
                <w:noProof/>
                <w:sz w:val="20"/>
              </w:rPr>
            </w:pPr>
            <w:r>
              <w:rPr>
                <w:b/>
                <w:noProof/>
                <w:sz w:val="20"/>
              </w:rPr>
              <w:t>Zone euro</w:t>
            </w:r>
          </w:p>
        </w:tc>
        <w:tc>
          <w:tcPr>
            <w:tcW w:w="1187" w:type="dxa"/>
            <w:tcBorders>
              <w:top w:val="single" w:sz="4" w:space="0" w:color="auto"/>
              <w:bottom w:val="single" w:sz="4" w:space="0" w:color="auto"/>
            </w:tcBorders>
            <w:vAlign w:val="center"/>
          </w:tcPr>
          <w:p>
            <w:pPr>
              <w:spacing w:before="0"/>
              <w:jc w:val="center"/>
              <w:rPr>
                <w:b/>
                <w:noProof/>
                <w:sz w:val="20"/>
              </w:rPr>
            </w:pPr>
            <w:r>
              <w:rPr>
                <w:b/>
                <w:noProof/>
                <w:sz w:val="20"/>
              </w:rPr>
              <w:t>1</w:t>
            </w:r>
            <w:r>
              <w:rPr>
                <w:b/>
                <w:noProof/>
                <w:sz w:val="20"/>
                <w:vertAlign w:val="superscript"/>
              </w:rPr>
              <w:t>er</w:t>
            </w:r>
            <w:r>
              <w:rPr>
                <w:b/>
                <w:noProof/>
                <w:sz w:val="20"/>
              </w:rPr>
              <w:t> trimestre 2013</w:t>
            </w:r>
          </w:p>
        </w:tc>
        <w:tc>
          <w:tcPr>
            <w:tcW w:w="1187" w:type="dxa"/>
            <w:tcBorders>
              <w:top w:val="single" w:sz="4" w:space="0" w:color="auto"/>
              <w:bottom w:val="single" w:sz="4" w:space="0" w:color="auto"/>
            </w:tcBorders>
            <w:vAlign w:val="center"/>
          </w:tcPr>
          <w:p>
            <w:pPr>
              <w:spacing w:before="0"/>
              <w:jc w:val="center"/>
              <w:rPr>
                <w:b/>
                <w:noProof/>
                <w:sz w:val="20"/>
              </w:rPr>
            </w:pPr>
            <w:r>
              <w:rPr>
                <w:b/>
                <w:noProof/>
                <w:sz w:val="20"/>
              </w:rPr>
              <w:t>4</w:t>
            </w:r>
            <w:r>
              <w:rPr>
                <w:b/>
                <w:noProof/>
                <w:sz w:val="20"/>
                <w:vertAlign w:val="superscript"/>
              </w:rPr>
              <w:t>e</w:t>
            </w:r>
            <w:r>
              <w:rPr>
                <w:b/>
                <w:noProof/>
                <w:sz w:val="20"/>
              </w:rPr>
              <w:t> trimestre 2013</w:t>
            </w:r>
          </w:p>
        </w:tc>
        <w:tc>
          <w:tcPr>
            <w:tcW w:w="1207" w:type="dxa"/>
            <w:tcBorders>
              <w:top w:val="single" w:sz="4" w:space="0" w:color="auto"/>
              <w:bottom w:val="single" w:sz="4" w:space="0" w:color="auto"/>
            </w:tcBorders>
            <w:vAlign w:val="center"/>
          </w:tcPr>
          <w:p>
            <w:pPr>
              <w:tabs>
                <w:tab w:val="left" w:pos="269"/>
                <w:tab w:val="center" w:pos="514"/>
              </w:tabs>
              <w:spacing w:before="0"/>
              <w:jc w:val="center"/>
              <w:rPr>
                <w:b/>
                <w:noProof/>
                <w:sz w:val="20"/>
              </w:rPr>
            </w:pPr>
            <w:r>
              <w:rPr>
                <w:b/>
                <w:noProof/>
                <w:sz w:val="20"/>
              </w:rPr>
              <w:t>Janvier 2014</w:t>
            </w:r>
          </w:p>
        </w:tc>
        <w:tc>
          <w:tcPr>
            <w:tcW w:w="1208" w:type="dxa"/>
            <w:tcBorders>
              <w:top w:val="single" w:sz="4" w:space="0" w:color="auto"/>
              <w:bottom w:val="single" w:sz="4" w:space="0" w:color="auto"/>
            </w:tcBorders>
            <w:shd w:val="clear" w:color="auto" w:fill="FFC000"/>
            <w:vAlign w:val="center"/>
          </w:tcPr>
          <w:p>
            <w:pPr>
              <w:spacing w:before="0"/>
              <w:jc w:val="center"/>
              <w:rPr>
                <w:b/>
                <w:noProof/>
                <w:sz w:val="20"/>
              </w:rPr>
            </w:pPr>
            <w:r>
              <w:rPr>
                <w:b/>
                <w:noProof/>
                <w:sz w:val="20"/>
              </w:rPr>
              <w:t>Février 2014</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b/>
                <w:noProof/>
                <w:sz w:val="20"/>
              </w:rPr>
            </w:pPr>
            <w:r>
              <w:rPr>
                <w:b/>
                <w:noProof/>
                <w:sz w:val="20"/>
              </w:rPr>
              <w:t>Août 2014</w:t>
            </w:r>
          </w:p>
        </w:tc>
        <w:tc>
          <w:tcPr>
            <w:tcW w:w="1209" w:type="dxa"/>
            <w:tcBorders>
              <w:top w:val="single" w:sz="4" w:space="0" w:color="auto"/>
              <w:bottom w:val="single" w:sz="4" w:space="0" w:color="auto"/>
            </w:tcBorders>
            <w:vAlign w:val="center"/>
          </w:tcPr>
          <w:p>
            <w:pPr>
              <w:spacing w:before="0"/>
              <w:jc w:val="center"/>
              <w:rPr>
                <w:b/>
                <w:noProof/>
                <w:sz w:val="20"/>
              </w:rPr>
            </w:pPr>
            <w:r>
              <w:rPr>
                <w:b/>
                <w:noProof/>
                <w:sz w:val="20"/>
              </w:rPr>
              <w:t>Décembre 2016</w:t>
            </w:r>
          </w:p>
        </w:tc>
      </w:tr>
      <w:tr>
        <w:tc>
          <w:tcPr>
            <w:tcW w:w="1769" w:type="dxa"/>
            <w:vAlign w:val="center"/>
          </w:tcPr>
          <w:p>
            <w:pPr>
              <w:spacing w:before="0"/>
              <w:jc w:val="center"/>
              <w:rPr>
                <w:noProof/>
                <w:sz w:val="20"/>
              </w:rPr>
            </w:pPr>
            <w:r>
              <w:rPr>
                <w:noProof/>
                <w:sz w:val="20"/>
              </w:rPr>
              <w:t>Autriche</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11,15 %</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34,65 %</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73,95 %</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87,89 %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99 %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Belgique</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19,17 %</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38,54 %</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64,09 %</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89,89 %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Chypre</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0 %</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0 %</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0 %</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0 %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Estonie</w:t>
            </w:r>
          </w:p>
        </w:tc>
        <w:tc>
          <w:tcPr>
            <w:tcW w:w="1187" w:type="dxa"/>
            <w:tcBorders>
              <w:top w:val="single" w:sz="4" w:space="0" w:color="auto"/>
              <w:bottom w:val="single" w:sz="4" w:space="0" w:color="auto"/>
            </w:tcBorders>
            <w:vAlign w:val="center"/>
          </w:tcPr>
          <w:p>
            <w:pPr>
              <w:spacing w:before="0"/>
              <w:jc w:val="center"/>
              <w:rPr>
                <w:noProof/>
                <w:sz w:val="20"/>
              </w:rPr>
            </w:pPr>
          </w:p>
        </w:tc>
        <w:tc>
          <w:tcPr>
            <w:tcW w:w="1187" w:type="dxa"/>
            <w:tcBorders>
              <w:top w:val="single" w:sz="4" w:space="0" w:color="auto"/>
              <w:bottom w:val="single" w:sz="4" w:space="0" w:color="auto"/>
            </w:tcBorders>
            <w:vAlign w:val="center"/>
          </w:tcPr>
          <w:p>
            <w:pPr>
              <w:spacing w:before="0"/>
              <w:jc w:val="center"/>
              <w:rPr>
                <w:noProof/>
                <w:sz w:val="20"/>
              </w:rPr>
            </w:pPr>
          </w:p>
        </w:tc>
        <w:tc>
          <w:tcPr>
            <w:tcW w:w="1207" w:type="dxa"/>
            <w:tcBorders>
              <w:top w:val="single" w:sz="4" w:space="0" w:color="auto"/>
              <w:bottom w:val="single" w:sz="4" w:space="0" w:color="auto"/>
            </w:tcBorders>
            <w:vAlign w:val="center"/>
          </w:tcPr>
          <w:p>
            <w:pPr>
              <w:spacing w:before="0"/>
              <w:jc w:val="center"/>
              <w:rPr>
                <w:noProof/>
                <w:sz w:val="20"/>
              </w:rPr>
            </w:pP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Sans objet</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Sans objet</w:t>
            </w:r>
          </w:p>
        </w:tc>
      </w:tr>
      <w:tr>
        <w:tc>
          <w:tcPr>
            <w:tcW w:w="1769" w:type="dxa"/>
            <w:vAlign w:val="center"/>
          </w:tcPr>
          <w:p>
            <w:pPr>
              <w:spacing w:before="0"/>
              <w:jc w:val="center"/>
              <w:rPr>
                <w:noProof/>
                <w:sz w:val="20"/>
              </w:rPr>
            </w:pPr>
            <w:r>
              <w:rPr>
                <w:noProof/>
                <w:sz w:val="20"/>
              </w:rPr>
              <w:t>Finlande</w:t>
            </w:r>
          </w:p>
        </w:tc>
        <w:tc>
          <w:tcPr>
            <w:tcW w:w="1187" w:type="dxa"/>
            <w:tcBorders>
              <w:top w:val="single" w:sz="4" w:space="0" w:color="auto"/>
              <w:bottom w:val="single" w:sz="4" w:space="0" w:color="auto"/>
            </w:tcBorders>
            <w:vAlign w:val="center"/>
          </w:tcPr>
          <w:p>
            <w:pPr>
              <w:spacing w:before="0"/>
              <w:jc w:val="center"/>
              <w:rPr>
                <w:noProof/>
                <w:sz w:val="20"/>
              </w:rPr>
            </w:pPr>
          </w:p>
        </w:tc>
        <w:tc>
          <w:tcPr>
            <w:tcW w:w="1187" w:type="dxa"/>
            <w:tcBorders>
              <w:top w:val="single" w:sz="4" w:space="0" w:color="auto"/>
              <w:bottom w:val="single" w:sz="4" w:space="0" w:color="auto"/>
            </w:tcBorders>
            <w:vAlign w:val="center"/>
          </w:tcPr>
          <w:p>
            <w:pPr>
              <w:spacing w:before="0"/>
              <w:jc w:val="center"/>
              <w:rPr>
                <w:noProof/>
                <w:sz w:val="20"/>
              </w:rPr>
            </w:pPr>
          </w:p>
        </w:tc>
        <w:tc>
          <w:tcPr>
            <w:tcW w:w="1207" w:type="dxa"/>
            <w:tcBorders>
              <w:top w:val="single" w:sz="4" w:space="0" w:color="auto"/>
              <w:bottom w:val="single" w:sz="4" w:space="0" w:color="auto"/>
            </w:tcBorders>
            <w:vAlign w:val="center"/>
          </w:tcPr>
          <w:p>
            <w:pPr>
              <w:spacing w:before="0"/>
              <w:jc w:val="center"/>
              <w:rPr>
                <w:noProof/>
                <w:sz w:val="20"/>
              </w:rPr>
            </w:pP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Sans objet</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Sans objet</w:t>
            </w:r>
          </w:p>
        </w:tc>
      </w:tr>
      <w:tr>
        <w:tc>
          <w:tcPr>
            <w:tcW w:w="1769" w:type="dxa"/>
            <w:vAlign w:val="center"/>
          </w:tcPr>
          <w:p>
            <w:pPr>
              <w:spacing w:before="0"/>
              <w:jc w:val="center"/>
              <w:rPr>
                <w:noProof/>
                <w:sz w:val="20"/>
              </w:rPr>
            </w:pPr>
            <w:r>
              <w:rPr>
                <w:noProof/>
                <w:sz w:val="20"/>
              </w:rPr>
              <w:t>France</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0,78 %</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17,94 %</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72,51 %</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87,02 %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Allemagne</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0,14 %</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10,51 %</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29,4 %</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53,4 %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Grèce</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50,13 %</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67,84 %</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70,1 %</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69,53 %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99,64 %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Irlande</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0,42 %</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22,09 %</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61,35 %</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89,65 %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Italie</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0,01 %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2,83 %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34,3 %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53,28 %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Lettonie</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0 %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0 %</w:t>
            </w:r>
            <w:r>
              <w:rPr>
                <w:rStyle w:val="FootnoteReference"/>
                <w:noProof/>
                <w:color w:val="000000"/>
                <w:sz w:val="20"/>
              </w:rPr>
              <w:footnoteReference w:id="13"/>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Sans objet</w:t>
            </w:r>
          </w:p>
        </w:tc>
      </w:tr>
      <w:tr>
        <w:tc>
          <w:tcPr>
            <w:tcW w:w="1769" w:type="dxa"/>
            <w:vAlign w:val="center"/>
          </w:tcPr>
          <w:p>
            <w:pPr>
              <w:spacing w:before="0"/>
              <w:jc w:val="center"/>
              <w:rPr>
                <w:noProof/>
                <w:sz w:val="20"/>
              </w:rPr>
            </w:pPr>
            <w:r>
              <w:rPr>
                <w:noProof/>
                <w:sz w:val="20"/>
              </w:rPr>
              <w:t>Lituanie</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Sans objet</w:t>
            </w:r>
          </w:p>
        </w:tc>
      </w:tr>
      <w:tr>
        <w:tc>
          <w:tcPr>
            <w:tcW w:w="1769" w:type="dxa"/>
            <w:vAlign w:val="center"/>
          </w:tcPr>
          <w:p>
            <w:pPr>
              <w:spacing w:before="0"/>
              <w:jc w:val="center"/>
              <w:rPr>
                <w:noProof/>
                <w:sz w:val="20"/>
              </w:rPr>
            </w:pPr>
            <w:r>
              <w:rPr>
                <w:noProof/>
                <w:sz w:val="20"/>
              </w:rPr>
              <w:t>Luxembourg</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0,06 %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15,92 %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49,09 %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74,37 %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98,05 %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Malte</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23,35 %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47,79 %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Pays-Bas</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0,01 %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32,62 %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73,62 %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84,38 %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99,81 %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Portugal</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0,1 %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7,55 %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26,68 %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53,14 %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99,88 %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Slovaquie</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0,01 %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100 %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Slovénie</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86,81 %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99,33 %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100 %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100 %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Espagne</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0,02 %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1,8 %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15,34 %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48,82 %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bl>
    <w:p>
      <w:pPr>
        <w:rPr>
          <w:noProof/>
        </w:rPr>
      </w:pPr>
      <w:r>
        <w:rPr>
          <w:b/>
          <w:noProof/>
          <w:u w:val="single"/>
        </w:rPr>
        <w:t>Tableau 6</w:t>
      </w:r>
      <w:r>
        <w:rPr>
          <w:b/>
          <w:noProof/>
        </w:rPr>
        <w:t>:</w:t>
      </w:r>
      <w:r>
        <w:rPr>
          <w:noProof/>
        </w:rPr>
        <w:t xml:space="preserve"> Évolution des taux de migration vers les prélèvements SEPA en 2015 et en 2016 pour les États membres hors zone euro</w:t>
      </w:r>
    </w:p>
    <w:tbl>
      <w:tblPr>
        <w:tblStyle w:val="TableGrid"/>
        <w:tblW w:w="0" w:type="auto"/>
        <w:tblInd w:w="-34" w:type="dxa"/>
        <w:tblLook w:val="04A0" w:firstRow="1" w:lastRow="0" w:firstColumn="1" w:lastColumn="0" w:noHBand="0" w:noVBand="1"/>
      </w:tblPr>
      <w:tblGrid>
        <w:gridCol w:w="1854"/>
        <w:gridCol w:w="1618"/>
        <w:gridCol w:w="1720"/>
        <w:gridCol w:w="1662"/>
        <w:gridCol w:w="1533"/>
      </w:tblGrid>
      <w:tr>
        <w:tc>
          <w:tcPr>
            <w:tcW w:w="1854" w:type="dxa"/>
            <w:vAlign w:val="center"/>
          </w:tcPr>
          <w:p>
            <w:pPr>
              <w:spacing w:before="0"/>
              <w:jc w:val="center"/>
              <w:rPr>
                <w:b/>
                <w:noProof/>
                <w:sz w:val="20"/>
              </w:rPr>
            </w:pPr>
            <w:r>
              <w:rPr>
                <w:b/>
                <w:noProof/>
                <w:sz w:val="20"/>
              </w:rPr>
              <w:t>Hors zone euro</w:t>
            </w:r>
          </w:p>
        </w:tc>
        <w:tc>
          <w:tcPr>
            <w:tcW w:w="1245" w:type="dxa"/>
            <w:tcBorders>
              <w:top w:val="single" w:sz="4" w:space="0" w:color="auto"/>
              <w:bottom w:val="single" w:sz="4" w:space="0" w:color="auto"/>
            </w:tcBorders>
            <w:vAlign w:val="center"/>
          </w:tcPr>
          <w:p>
            <w:pPr>
              <w:spacing w:before="0"/>
              <w:jc w:val="center"/>
              <w:rPr>
                <w:b/>
                <w:noProof/>
                <w:sz w:val="20"/>
              </w:rPr>
            </w:pPr>
            <w:r>
              <w:rPr>
                <w:b/>
                <w:noProof/>
                <w:sz w:val="20"/>
              </w:rPr>
              <w:t>2</w:t>
            </w:r>
            <w:r>
              <w:rPr>
                <w:b/>
                <w:noProof/>
                <w:sz w:val="20"/>
                <w:vertAlign w:val="superscript"/>
              </w:rPr>
              <w:t>e</w:t>
            </w:r>
            <w:r>
              <w:rPr>
                <w:b/>
                <w:noProof/>
                <w:sz w:val="20"/>
              </w:rPr>
              <w:t> semestre 2015</w:t>
            </w:r>
          </w:p>
        </w:tc>
        <w:tc>
          <w:tcPr>
            <w:tcW w:w="1245" w:type="dxa"/>
            <w:tcBorders>
              <w:top w:val="single" w:sz="4" w:space="0" w:color="auto"/>
              <w:bottom w:val="single" w:sz="4" w:space="0" w:color="auto"/>
            </w:tcBorders>
            <w:vAlign w:val="center"/>
          </w:tcPr>
          <w:p>
            <w:pPr>
              <w:spacing w:before="0"/>
              <w:jc w:val="center"/>
              <w:rPr>
                <w:b/>
                <w:noProof/>
                <w:sz w:val="20"/>
              </w:rPr>
            </w:pPr>
            <w:r>
              <w:rPr>
                <w:b/>
                <w:noProof/>
                <w:sz w:val="20"/>
              </w:rPr>
              <w:t>1</w:t>
            </w:r>
            <w:r>
              <w:rPr>
                <w:b/>
                <w:noProof/>
                <w:sz w:val="20"/>
                <w:vertAlign w:val="superscript"/>
              </w:rPr>
              <w:t>er</w:t>
            </w:r>
            <w:r>
              <w:rPr>
                <w:b/>
                <w:noProof/>
                <w:sz w:val="20"/>
              </w:rPr>
              <w:t> trimestre 2016</w:t>
            </w:r>
          </w:p>
        </w:tc>
        <w:tc>
          <w:tcPr>
            <w:tcW w:w="1245" w:type="dxa"/>
            <w:tcBorders>
              <w:top w:val="single" w:sz="4" w:space="0" w:color="auto"/>
              <w:bottom w:val="single" w:sz="4" w:space="0" w:color="auto"/>
            </w:tcBorders>
            <w:vAlign w:val="center"/>
          </w:tcPr>
          <w:p>
            <w:pPr>
              <w:tabs>
                <w:tab w:val="left" w:pos="269"/>
                <w:tab w:val="center" w:pos="514"/>
              </w:tabs>
              <w:spacing w:before="0"/>
              <w:jc w:val="center"/>
              <w:rPr>
                <w:b/>
                <w:noProof/>
                <w:sz w:val="20"/>
              </w:rPr>
            </w:pPr>
            <w:r>
              <w:rPr>
                <w:b/>
                <w:noProof/>
                <w:sz w:val="20"/>
              </w:rPr>
              <w:t>2</w:t>
            </w:r>
            <w:r>
              <w:rPr>
                <w:b/>
                <w:noProof/>
                <w:sz w:val="20"/>
                <w:vertAlign w:val="superscript"/>
              </w:rPr>
              <w:t>e</w:t>
            </w:r>
            <w:r>
              <w:rPr>
                <w:b/>
                <w:noProof/>
                <w:sz w:val="20"/>
              </w:rPr>
              <w:t> trimestre 2016</w:t>
            </w: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b/>
                <w:noProof/>
                <w:sz w:val="20"/>
              </w:rPr>
            </w:pPr>
            <w:r>
              <w:rPr>
                <w:b/>
                <w:noProof/>
                <w:sz w:val="20"/>
              </w:rPr>
              <w:t>Décembre 2016</w:t>
            </w:r>
          </w:p>
        </w:tc>
      </w:tr>
      <w:tr>
        <w:tc>
          <w:tcPr>
            <w:tcW w:w="1854" w:type="dxa"/>
            <w:vAlign w:val="center"/>
          </w:tcPr>
          <w:p>
            <w:pPr>
              <w:spacing w:before="0"/>
              <w:jc w:val="center"/>
              <w:rPr>
                <w:noProof/>
                <w:sz w:val="20"/>
              </w:rPr>
            </w:pPr>
            <w:r>
              <w:rPr>
                <w:noProof/>
                <w:sz w:val="20"/>
              </w:rPr>
              <w:t>Bulgarie</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Sans objet</w:t>
            </w:r>
          </w:p>
        </w:tc>
      </w:tr>
      <w:tr>
        <w:tc>
          <w:tcPr>
            <w:tcW w:w="1854" w:type="dxa"/>
            <w:vAlign w:val="center"/>
          </w:tcPr>
          <w:p>
            <w:pPr>
              <w:spacing w:before="0"/>
              <w:jc w:val="center"/>
              <w:rPr>
                <w:noProof/>
                <w:sz w:val="20"/>
              </w:rPr>
            </w:pPr>
            <w:r>
              <w:rPr>
                <w:noProof/>
                <w:sz w:val="20"/>
              </w:rPr>
              <w:t>Croatie</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Sans objet</w:t>
            </w:r>
          </w:p>
        </w:tc>
      </w:tr>
      <w:tr>
        <w:tc>
          <w:tcPr>
            <w:tcW w:w="1854" w:type="dxa"/>
            <w:vAlign w:val="center"/>
          </w:tcPr>
          <w:p>
            <w:pPr>
              <w:spacing w:before="0"/>
              <w:jc w:val="center"/>
              <w:rPr>
                <w:noProof/>
                <w:sz w:val="20"/>
              </w:rPr>
            </w:pPr>
            <w:r>
              <w:rPr>
                <w:noProof/>
                <w:sz w:val="20"/>
              </w:rPr>
              <w:t>République tchèque</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r>
      <w:tr>
        <w:tc>
          <w:tcPr>
            <w:tcW w:w="1854" w:type="dxa"/>
            <w:vAlign w:val="center"/>
          </w:tcPr>
          <w:p>
            <w:pPr>
              <w:spacing w:before="0"/>
              <w:jc w:val="center"/>
              <w:rPr>
                <w:noProof/>
                <w:sz w:val="20"/>
              </w:rPr>
            </w:pPr>
            <w:r>
              <w:rPr>
                <w:noProof/>
                <w:sz w:val="20"/>
              </w:rPr>
              <w:t>Danemark</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r>
      <w:tr>
        <w:tc>
          <w:tcPr>
            <w:tcW w:w="1854" w:type="dxa"/>
            <w:vAlign w:val="center"/>
          </w:tcPr>
          <w:p>
            <w:pPr>
              <w:spacing w:before="0"/>
              <w:jc w:val="center"/>
              <w:rPr>
                <w:noProof/>
                <w:sz w:val="20"/>
              </w:rPr>
            </w:pPr>
            <w:r>
              <w:rPr>
                <w:noProof/>
                <w:sz w:val="20"/>
              </w:rPr>
              <w:t>Hongrie</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r>
      <w:tr>
        <w:tc>
          <w:tcPr>
            <w:tcW w:w="1854" w:type="dxa"/>
            <w:vAlign w:val="center"/>
          </w:tcPr>
          <w:p>
            <w:pPr>
              <w:spacing w:before="0"/>
              <w:jc w:val="center"/>
              <w:rPr>
                <w:noProof/>
                <w:sz w:val="20"/>
              </w:rPr>
            </w:pPr>
            <w:r>
              <w:rPr>
                <w:noProof/>
                <w:sz w:val="20"/>
              </w:rPr>
              <w:t>Pologne</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100 %</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100 %</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100 %</w:t>
            </w: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r>
      <w:tr>
        <w:tc>
          <w:tcPr>
            <w:tcW w:w="1854" w:type="dxa"/>
            <w:vAlign w:val="center"/>
          </w:tcPr>
          <w:p>
            <w:pPr>
              <w:spacing w:before="0"/>
              <w:jc w:val="center"/>
              <w:rPr>
                <w:noProof/>
                <w:sz w:val="20"/>
              </w:rPr>
            </w:pPr>
            <w:r>
              <w:rPr>
                <w:noProof/>
                <w:sz w:val="20"/>
              </w:rPr>
              <w:t>Roumanie</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0,04 %</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0 %</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0,02 %</w:t>
            </w: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r>
      <w:tr>
        <w:tc>
          <w:tcPr>
            <w:tcW w:w="1854" w:type="dxa"/>
            <w:vAlign w:val="center"/>
          </w:tcPr>
          <w:p>
            <w:pPr>
              <w:spacing w:before="0"/>
              <w:jc w:val="center"/>
              <w:rPr>
                <w:noProof/>
                <w:sz w:val="20"/>
              </w:rPr>
            </w:pPr>
            <w:r>
              <w:rPr>
                <w:noProof/>
                <w:sz w:val="20"/>
              </w:rPr>
              <w:t>Suède</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Sans objet</w:t>
            </w:r>
          </w:p>
        </w:tc>
      </w:tr>
      <w:tr>
        <w:trPr>
          <w:trHeight w:val="240"/>
        </w:trPr>
        <w:tc>
          <w:tcPr>
            <w:tcW w:w="1854" w:type="dxa"/>
            <w:vAlign w:val="center"/>
          </w:tcPr>
          <w:p>
            <w:pPr>
              <w:spacing w:before="0"/>
              <w:jc w:val="center"/>
              <w:rPr>
                <w:noProof/>
                <w:sz w:val="20"/>
              </w:rPr>
            </w:pPr>
            <w:r>
              <w:rPr>
                <w:noProof/>
                <w:sz w:val="20"/>
              </w:rPr>
              <w:t>Royaume-Uni</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100 %</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100 %</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100 %</w:t>
            </w: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r>
    </w:tbl>
    <w:p>
      <w:pPr>
        <w:pStyle w:val="Heading1"/>
        <w:numPr>
          <w:ilvl w:val="1"/>
          <w:numId w:val="3"/>
        </w:numPr>
        <w:rPr>
          <w:noProof/>
        </w:rPr>
      </w:pPr>
      <w:r>
        <w:rPr>
          <w:noProof/>
        </w:rPr>
        <w:t>Options utilisées par les États membres</w:t>
      </w:r>
    </w:p>
    <w:p>
      <w:pPr>
        <w:rPr>
          <w:noProof/>
        </w:rPr>
      </w:pPr>
      <w:bookmarkStart w:id="10" w:name="_Toc430010965"/>
      <w:r>
        <w:rPr>
          <w:noProof/>
        </w:rPr>
        <w:t>Afin de garantir une transition harmonieuse vers les virements et prélèvements SEPA, le règlement SEPA autorisait les États membres de la zone euro à activer diverses options jusqu’en février 2016.</w:t>
      </w:r>
    </w:p>
    <w:p>
      <w:pPr>
        <w:rPr>
          <w:noProof/>
        </w:rPr>
      </w:pPr>
      <w:r>
        <w:rPr>
          <w:noProof/>
        </w:rPr>
        <w:t>Ces options sont présentées ci-après.</w:t>
      </w:r>
    </w:p>
    <w:p>
      <w:pPr>
        <w:rPr>
          <w:noProof/>
        </w:rPr>
      </w:pPr>
    </w:p>
    <w:p>
      <w:pPr>
        <w:pStyle w:val="ListParagraph"/>
        <w:numPr>
          <w:ilvl w:val="0"/>
          <w:numId w:val="39"/>
        </w:numPr>
        <w:spacing w:before="0" w:after="200"/>
        <w:contextualSpacing/>
        <w:rPr>
          <w:noProof/>
        </w:rPr>
      </w:pPr>
      <w:r>
        <w:rPr>
          <w:b/>
          <w:noProof/>
        </w:rPr>
        <w:t>Option nº 1:</w:t>
      </w:r>
      <w:r>
        <w:rPr>
          <w:noProof/>
        </w:rPr>
        <w:t xml:space="preserve"> </w:t>
      </w:r>
      <w:r>
        <w:rPr>
          <w:b/>
          <w:noProof/>
        </w:rPr>
        <w:t>des facilités de conversion pour les consommateurs</w:t>
      </w:r>
      <w:r>
        <w:rPr>
          <w:noProof/>
        </w:rPr>
        <w:t>. En règle générale, les prestataires de services de paiement destinés à des consommateurs acceptaient un numéro de compte national (BBAN) pour initier une opération et convertissaient ce numéro en un numéro de compte international (IBAN).</w:t>
      </w:r>
    </w:p>
    <w:p>
      <w:pPr>
        <w:pStyle w:val="ListParagraph"/>
        <w:numPr>
          <w:ilvl w:val="0"/>
          <w:numId w:val="0"/>
        </w:numPr>
        <w:ind w:left="357"/>
        <w:jc w:val="both"/>
        <w:rPr>
          <w:noProof/>
        </w:rPr>
      </w:pPr>
    </w:p>
    <w:p>
      <w:pPr>
        <w:pStyle w:val="ListParagraph"/>
        <w:keepLines w:val="0"/>
        <w:numPr>
          <w:ilvl w:val="0"/>
          <w:numId w:val="39"/>
        </w:numPr>
        <w:spacing w:before="0" w:after="200"/>
        <w:contextualSpacing/>
        <w:jc w:val="both"/>
        <w:rPr>
          <w:noProof/>
        </w:rPr>
      </w:pPr>
      <w:r>
        <w:rPr>
          <w:b/>
          <w:noProof/>
        </w:rPr>
        <w:t>Option nº 2: le maintien des produits de niche</w:t>
      </w:r>
      <w:r>
        <w:rPr>
          <w:noProof/>
        </w:rPr>
        <w:t>.</w:t>
      </w:r>
      <w:r>
        <w:rPr>
          <w:b/>
          <w:noProof/>
        </w:rPr>
        <w:t xml:space="preserve"> </w:t>
      </w:r>
      <w:r>
        <w:rPr>
          <w:noProof/>
        </w:rPr>
        <w:t>Les opérations nationales effectuées au moyen d’anciens virements et prélèvements dont la part de marché cumulée, d’après les statistiques officielles des paiements publiées chaque année par la BCE, représentait moins de 10 % du nombre total respectif d’opérations de virements ou de prélèvements pouvaient être maintenues jusqu’au 1</w:t>
      </w:r>
      <w:r>
        <w:rPr>
          <w:noProof/>
          <w:vertAlign w:val="superscript"/>
        </w:rPr>
        <w:t>er</w:t>
      </w:r>
      <w:r>
        <w:rPr>
          <w:noProof/>
        </w:rPr>
        <w:t> février 2016 (par exemple, le TIP en France, le RID Finanziario en Italie, le prélèvement sans remboursement aux Pays-Bas).</w:t>
      </w:r>
    </w:p>
    <w:p>
      <w:pPr>
        <w:pStyle w:val="ListParagraph"/>
        <w:numPr>
          <w:ilvl w:val="0"/>
          <w:numId w:val="0"/>
        </w:numPr>
        <w:ind w:left="357"/>
        <w:jc w:val="both"/>
        <w:rPr>
          <w:noProof/>
        </w:rPr>
      </w:pPr>
    </w:p>
    <w:p>
      <w:pPr>
        <w:pStyle w:val="ListParagraph"/>
        <w:keepLines w:val="0"/>
        <w:numPr>
          <w:ilvl w:val="0"/>
          <w:numId w:val="39"/>
        </w:numPr>
        <w:spacing w:before="0" w:after="200"/>
        <w:contextualSpacing/>
        <w:jc w:val="both"/>
        <w:rPr>
          <w:noProof/>
        </w:rPr>
      </w:pPr>
      <w:r>
        <w:rPr>
          <w:b/>
          <w:noProof/>
        </w:rPr>
        <w:t>Option nº 3:</w:t>
      </w:r>
      <w:r>
        <w:rPr>
          <w:noProof/>
        </w:rPr>
        <w:t xml:space="preserve"> </w:t>
      </w:r>
      <w:r>
        <w:rPr>
          <w:b/>
          <w:noProof/>
        </w:rPr>
        <w:t>les prélèvements uniques</w:t>
      </w:r>
      <w:r>
        <w:rPr>
          <w:noProof/>
        </w:rPr>
        <w:t>. Ces services permettant aux consommateurs de payer par carte de paiement au point de vente, qui entraînaient un prélèvement vers et depuis un compte de paiement identifié par un BBAN ou un IBAN, pouvaient être maintenus jusqu’au 1</w:t>
      </w:r>
      <w:r>
        <w:rPr>
          <w:noProof/>
          <w:vertAlign w:val="superscript"/>
        </w:rPr>
        <w:t>er</w:t>
      </w:r>
      <w:r>
        <w:rPr>
          <w:noProof/>
        </w:rPr>
        <w:t> février 2016 [par exemple, les paiements Elektronisches Lastschriftverfahren (ELV) en Autriche et en Allemagne], sauf s’ils étaient déjà conformes aux exigences SEPA.</w:t>
      </w:r>
    </w:p>
    <w:p>
      <w:pPr>
        <w:pStyle w:val="ListParagraph"/>
        <w:numPr>
          <w:ilvl w:val="0"/>
          <w:numId w:val="0"/>
        </w:numPr>
        <w:ind w:left="357"/>
        <w:jc w:val="both"/>
        <w:rPr>
          <w:noProof/>
        </w:rPr>
      </w:pPr>
    </w:p>
    <w:p>
      <w:pPr>
        <w:pStyle w:val="ListParagraph"/>
        <w:keepLines w:val="0"/>
        <w:numPr>
          <w:ilvl w:val="0"/>
          <w:numId w:val="39"/>
        </w:numPr>
        <w:spacing w:before="0" w:after="200"/>
        <w:contextualSpacing/>
        <w:jc w:val="both"/>
        <w:rPr>
          <w:noProof/>
        </w:rPr>
      </w:pPr>
      <w:r>
        <w:rPr>
          <w:b/>
          <w:noProof/>
        </w:rPr>
        <w:t>Option nº 4:</w:t>
      </w:r>
      <w:r>
        <w:rPr>
          <w:noProof/>
        </w:rPr>
        <w:t xml:space="preserve"> </w:t>
      </w:r>
      <w:r>
        <w:rPr>
          <w:b/>
          <w:noProof/>
        </w:rPr>
        <w:t>l’utilisation différée de la norme ISO 20022 XML sur le format de message</w:t>
      </w:r>
      <w:r>
        <w:rPr>
          <w:noProof/>
        </w:rPr>
        <w:t xml:space="preserve"> pour les utilisateurs de services de paiement qui initient ou reçoivent des virements ou prélèvements individuels regroupés en vue de leur transmission.</w:t>
      </w:r>
    </w:p>
    <w:p>
      <w:pPr>
        <w:pStyle w:val="ListParagraph"/>
        <w:numPr>
          <w:ilvl w:val="0"/>
          <w:numId w:val="0"/>
        </w:numPr>
        <w:ind w:left="357"/>
        <w:jc w:val="both"/>
        <w:rPr>
          <w:noProof/>
        </w:rPr>
      </w:pPr>
    </w:p>
    <w:p>
      <w:pPr>
        <w:pStyle w:val="ListParagraph"/>
        <w:keepLines w:val="0"/>
        <w:numPr>
          <w:ilvl w:val="0"/>
          <w:numId w:val="39"/>
        </w:numPr>
        <w:spacing w:before="0" w:after="200"/>
        <w:contextualSpacing/>
        <w:jc w:val="both"/>
        <w:rPr>
          <w:noProof/>
        </w:rPr>
      </w:pPr>
      <w:r>
        <w:rPr>
          <w:b/>
          <w:noProof/>
        </w:rPr>
        <w:t>Option nº 5:</w:t>
      </w:r>
      <w:r>
        <w:rPr>
          <w:noProof/>
        </w:rPr>
        <w:t xml:space="preserve"> </w:t>
      </w:r>
      <w:r>
        <w:rPr>
          <w:b/>
          <w:noProof/>
        </w:rPr>
        <w:t>la suppression différée du code BIC pour les opérations de paiement nationales</w:t>
      </w:r>
      <w:r>
        <w:rPr>
          <w:noProof/>
        </w:rPr>
        <w:t>, étant donné que les payeurs ne doivent plus, désormais, fournir un code BIC pour les paiements exécutés à l’intérieur de l’Union, l’IBAN étant suffisant.</w:t>
      </w:r>
    </w:p>
    <w:p>
      <w:pPr>
        <w:rPr>
          <w:noProof/>
        </w:rPr>
      </w:pPr>
      <w:r>
        <w:rPr>
          <w:noProof/>
        </w:rPr>
        <w:t>La plupart des États membres ont utilisé au moins l’une de ces options, le tableau 7 indiquant, le cas échéant, l’utilisation et la désactivation ultérieure de celles-ci par les États membres.</w:t>
      </w:r>
    </w:p>
    <w:p>
      <w:pPr>
        <w:rPr>
          <w:noProof/>
        </w:rPr>
      </w:pPr>
      <w:r>
        <w:rPr>
          <w:noProof/>
        </w:rPr>
        <w:t>Ces options ne présentaient d’intérêt que pour les États membres de la zone euro puisqu’elles étaient valides jusqu’au 1</w:t>
      </w:r>
      <w:r>
        <w:rPr>
          <w:noProof/>
          <w:vertAlign w:val="superscript"/>
        </w:rPr>
        <w:t>er</w:t>
      </w:r>
      <w:r>
        <w:rPr>
          <w:noProof/>
        </w:rPr>
        <w:t> février 2016 pour les États membres ayant effectué la migration avant cette date. Ces options ne s’appliquaient pas aux États membres</w:t>
      </w:r>
      <w:r>
        <w:rPr>
          <w:noProof/>
          <w:vertAlign w:val="superscript"/>
        </w:rPr>
        <w:footnoteReference w:id="14"/>
      </w:r>
      <w:r>
        <w:rPr>
          <w:noProof/>
        </w:rPr>
        <w:t xml:space="preserve"> hors zone euro, leur date butoir pour la migration étant fixée au 31 octobre 2016.</w:t>
      </w:r>
    </w:p>
    <w:p>
      <w:pPr>
        <w:rPr>
          <w:noProof/>
        </w:rPr>
      </w:pPr>
      <w:r>
        <w:rPr>
          <w:b/>
          <w:noProof/>
          <w:u w:val="single"/>
        </w:rPr>
        <w:t>Tableau 7</w:t>
      </w:r>
      <w:r>
        <w:rPr>
          <w:b/>
          <w:noProof/>
        </w:rPr>
        <w:t>:</w:t>
      </w:r>
      <w:r>
        <w:rPr>
          <w:noProof/>
        </w:rPr>
        <w:t xml:space="preserve"> Utilisation des options par les États membres et état actuel de ces options</w:t>
      </w:r>
    </w:p>
    <w:tbl>
      <w:tblPr>
        <w:tblStyle w:val="TableGrid"/>
        <w:tblW w:w="9640" w:type="dxa"/>
        <w:tblInd w:w="-176" w:type="dxa"/>
        <w:tblLook w:val="04A0" w:firstRow="1" w:lastRow="0" w:firstColumn="1" w:lastColumn="0" w:noHBand="0" w:noVBand="1"/>
      </w:tblPr>
      <w:tblGrid>
        <w:gridCol w:w="1702"/>
        <w:gridCol w:w="1134"/>
        <w:gridCol w:w="1134"/>
        <w:gridCol w:w="1134"/>
        <w:gridCol w:w="1134"/>
        <w:gridCol w:w="1134"/>
        <w:gridCol w:w="2268"/>
      </w:tblGrid>
      <w:tr>
        <w:tc>
          <w:tcPr>
            <w:tcW w:w="1702" w:type="dxa"/>
            <w:vAlign w:val="center"/>
          </w:tcPr>
          <w:p>
            <w:pPr>
              <w:spacing w:before="0"/>
              <w:jc w:val="center"/>
              <w:rPr>
                <w:b/>
                <w:noProof/>
                <w:sz w:val="22"/>
              </w:rPr>
            </w:pPr>
            <w:r>
              <w:rPr>
                <w:b/>
                <w:noProof/>
                <w:sz w:val="22"/>
              </w:rPr>
              <w:t>Zone euro</w:t>
            </w:r>
          </w:p>
        </w:tc>
        <w:tc>
          <w:tcPr>
            <w:tcW w:w="1134" w:type="dxa"/>
            <w:tcBorders>
              <w:top w:val="single" w:sz="4" w:space="0" w:color="auto"/>
              <w:bottom w:val="single" w:sz="4" w:space="0" w:color="auto"/>
            </w:tcBorders>
            <w:vAlign w:val="center"/>
          </w:tcPr>
          <w:p>
            <w:pPr>
              <w:spacing w:before="0"/>
              <w:jc w:val="center"/>
              <w:rPr>
                <w:b/>
                <w:noProof/>
                <w:sz w:val="22"/>
              </w:rPr>
            </w:pPr>
            <w:r>
              <w:rPr>
                <w:b/>
                <w:noProof/>
                <w:sz w:val="22"/>
              </w:rPr>
              <w:t>Option nº 1</w:t>
            </w:r>
          </w:p>
        </w:tc>
        <w:tc>
          <w:tcPr>
            <w:tcW w:w="1134" w:type="dxa"/>
            <w:tcBorders>
              <w:top w:val="single" w:sz="4" w:space="0" w:color="auto"/>
              <w:bottom w:val="single" w:sz="4" w:space="0" w:color="auto"/>
            </w:tcBorders>
            <w:vAlign w:val="center"/>
          </w:tcPr>
          <w:p>
            <w:pPr>
              <w:spacing w:before="0"/>
              <w:jc w:val="center"/>
              <w:rPr>
                <w:b/>
                <w:noProof/>
                <w:sz w:val="22"/>
              </w:rPr>
            </w:pPr>
            <w:r>
              <w:rPr>
                <w:b/>
                <w:noProof/>
                <w:sz w:val="22"/>
              </w:rPr>
              <w:t>Option nº 2</w:t>
            </w:r>
          </w:p>
        </w:tc>
        <w:tc>
          <w:tcPr>
            <w:tcW w:w="1134" w:type="dxa"/>
            <w:tcBorders>
              <w:top w:val="single" w:sz="4" w:space="0" w:color="auto"/>
              <w:bottom w:val="single" w:sz="4" w:space="0" w:color="auto"/>
            </w:tcBorders>
            <w:vAlign w:val="center"/>
          </w:tcPr>
          <w:p>
            <w:pPr>
              <w:spacing w:before="0"/>
              <w:jc w:val="center"/>
              <w:rPr>
                <w:b/>
                <w:noProof/>
                <w:sz w:val="22"/>
              </w:rPr>
            </w:pPr>
            <w:r>
              <w:rPr>
                <w:b/>
                <w:noProof/>
                <w:sz w:val="22"/>
              </w:rPr>
              <w:t>Option nº 3</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b/>
                <w:noProof/>
                <w:sz w:val="22"/>
              </w:rPr>
            </w:pPr>
            <w:r>
              <w:rPr>
                <w:b/>
                <w:noProof/>
                <w:sz w:val="22"/>
              </w:rPr>
              <w:t>Option nº 4</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b/>
                <w:noProof/>
                <w:sz w:val="22"/>
              </w:rPr>
            </w:pPr>
            <w:r>
              <w:rPr>
                <w:b/>
                <w:noProof/>
                <w:sz w:val="22"/>
              </w:rPr>
              <w:t>Option nº 5</w:t>
            </w:r>
          </w:p>
        </w:tc>
        <w:tc>
          <w:tcPr>
            <w:tcW w:w="2268" w:type="dxa"/>
            <w:tcBorders>
              <w:top w:val="single" w:sz="4" w:space="0" w:color="auto"/>
              <w:bottom w:val="single" w:sz="4" w:space="0" w:color="auto"/>
            </w:tcBorders>
            <w:shd w:val="clear" w:color="auto" w:fill="FFFFFF" w:themeFill="background1"/>
            <w:vAlign w:val="center"/>
          </w:tcPr>
          <w:p>
            <w:pPr>
              <w:spacing w:before="0"/>
              <w:jc w:val="center"/>
              <w:rPr>
                <w:b/>
                <w:noProof/>
                <w:sz w:val="22"/>
              </w:rPr>
            </w:pPr>
            <w:r>
              <w:rPr>
                <w:b/>
                <w:noProof/>
                <w:sz w:val="22"/>
              </w:rPr>
              <w:t>État en mai 2017</w:t>
            </w:r>
          </w:p>
        </w:tc>
      </w:tr>
      <w:tr>
        <w:tc>
          <w:tcPr>
            <w:tcW w:w="1702" w:type="dxa"/>
            <w:vAlign w:val="center"/>
          </w:tcPr>
          <w:p>
            <w:pPr>
              <w:spacing w:before="0"/>
              <w:jc w:val="center"/>
              <w:rPr>
                <w:noProof/>
                <w:sz w:val="22"/>
              </w:rPr>
            </w:pPr>
            <w:r>
              <w:rPr>
                <w:noProof/>
                <w:sz w:val="22"/>
              </w:rPr>
              <w:t>Autriche</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Toutes désactivées</w:t>
            </w:r>
          </w:p>
        </w:tc>
      </w:tr>
      <w:tr>
        <w:tc>
          <w:tcPr>
            <w:tcW w:w="1702" w:type="dxa"/>
            <w:vAlign w:val="center"/>
          </w:tcPr>
          <w:p>
            <w:pPr>
              <w:spacing w:before="0"/>
              <w:jc w:val="center"/>
              <w:rPr>
                <w:noProof/>
                <w:sz w:val="22"/>
              </w:rPr>
            </w:pPr>
            <w:r>
              <w:rPr>
                <w:noProof/>
                <w:sz w:val="22"/>
              </w:rPr>
              <w:t>Belgique</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Aucune activée</w:t>
            </w:r>
          </w:p>
        </w:tc>
      </w:tr>
      <w:tr>
        <w:tc>
          <w:tcPr>
            <w:tcW w:w="1702" w:type="dxa"/>
            <w:vAlign w:val="center"/>
          </w:tcPr>
          <w:p>
            <w:pPr>
              <w:spacing w:before="0"/>
              <w:jc w:val="center"/>
              <w:rPr>
                <w:noProof/>
                <w:sz w:val="22"/>
              </w:rPr>
            </w:pPr>
            <w:r>
              <w:rPr>
                <w:noProof/>
                <w:sz w:val="22"/>
              </w:rPr>
              <w:t>Chypre</w:t>
            </w: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Toutes désactivées</w:t>
            </w:r>
          </w:p>
        </w:tc>
      </w:tr>
      <w:tr>
        <w:tc>
          <w:tcPr>
            <w:tcW w:w="1702" w:type="dxa"/>
            <w:vAlign w:val="center"/>
          </w:tcPr>
          <w:p>
            <w:pPr>
              <w:spacing w:before="0"/>
              <w:jc w:val="center"/>
              <w:rPr>
                <w:noProof/>
                <w:sz w:val="22"/>
              </w:rPr>
            </w:pPr>
            <w:r>
              <w:rPr>
                <w:noProof/>
                <w:sz w:val="22"/>
              </w:rPr>
              <w:t>Estonie</w:t>
            </w: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Partiellement désactivée</w:t>
            </w:r>
            <w:r>
              <w:rPr>
                <w:rStyle w:val="FootnoteReference"/>
                <w:noProof/>
                <w:sz w:val="22"/>
              </w:rPr>
              <w:footnoteReference w:id="15"/>
            </w:r>
          </w:p>
        </w:tc>
      </w:tr>
      <w:tr>
        <w:tc>
          <w:tcPr>
            <w:tcW w:w="1702" w:type="dxa"/>
            <w:vAlign w:val="center"/>
          </w:tcPr>
          <w:p>
            <w:pPr>
              <w:spacing w:before="0"/>
              <w:jc w:val="center"/>
              <w:rPr>
                <w:noProof/>
                <w:sz w:val="22"/>
              </w:rPr>
            </w:pPr>
            <w:r>
              <w:rPr>
                <w:noProof/>
                <w:sz w:val="22"/>
              </w:rPr>
              <w:t>Finlande</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Aucune activée</w:t>
            </w:r>
          </w:p>
        </w:tc>
      </w:tr>
      <w:tr>
        <w:tc>
          <w:tcPr>
            <w:tcW w:w="1702" w:type="dxa"/>
            <w:vAlign w:val="center"/>
          </w:tcPr>
          <w:p>
            <w:pPr>
              <w:spacing w:before="0"/>
              <w:jc w:val="center"/>
              <w:rPr>
                <w:noProof/>
                <w:sz w:val="22"/>
              </w:rPr>
            </w:pPr>
            <w:r>
              <w:rPr>
                <w:noProof/>
                <w:sz w:val="22"/>
              </w:rPr>
              <w:t>France</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Désactivée</w:t>
            </w:r>
          </w:p>
        </w:tc>
      </w:tr>
      <w:tr>
        <w:tc>
          <w:tcPr>
            <w:tcW w:w="1702" w:type="dxa"/>
            <w:vAlign w:val="center"/>
          </w:tcPr>
          <w:p>
            <w:pPr>
              <w:spacing w:before="0"/>
              <w:jc w:val="center"/>
              <w:rPr>
                <w:noProof/>
                <w:sz w:val="22"/>
              </w:rPr>
            </w:pPr>
            <w:r>
              <w:rPr>
                <w:noProof/>
                <w:sz w:val="22"/>
              </w:rPr>
              <w:t>Allemagne</w:t>
            </w: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Toutes désactivées</w:t>
            </w:r>
          </w:p>
        </w:tc>
      </w:tr>
      <w:tr>
        <w:tc>
          <w:tcPr>
            <w:tcW w:w="1702" w:type="dxa"/>
            <w:vAlign w:val="center"/>
          </w:tcPr>
          <w:p>
            <w:pPr>
              <w:spacing w:before="0"/>
              <w:jc w:val="center"/>
              <w:rPr>
                <w:noProof/>
                <w:sz w:val="22"/>
              </w:rPr>
            </w:pPr>
            <w:r>
              <w:rPr>
                <w:noProof/>
                <w:sz w:val="22"/>
              </w:rPr>
              <w:t>Grèce</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Toutes désactivées</w:t>
            </w:r>
          </w:p>
        </w:tc>
      </w:tr>
      <w:tr>
        <w:tc>
          <w:tcPr>
            <w:tcW w:w="1702" w:type="dxa"/>
            <w:vAlign w:val="center"/>
          </w:tcPr>
          <w:p>
            <w:pPr>
              <w:spacing w:before="0"/>
              <w:jc w:val="center"/>
              <w:rPr>
                <w:noProof/>
                <w:sz w:val="22"/>
              </w:rPr>
            </w:pPr>
            <w:r>
              <w:rPr>
                <w:noProof/>
                <w:sz w:val="22"/>
              </w:rPr>
              <w:t>Irlande</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Désactivée</w:t>
            </w:r>
          </w:p>
        </w:tc>
      </w:tr>
      <w:tr>
        <w:tc>
          <w:tcPr>
            <w:tcW w:w="1702" w:type="dxa"/>
            <w:vAlign w:val="center"/>
          </w:tcPr>
          <w:p>
            <w:pPr>
              <w:spacing w:before="0"/>
              <w:jc w:val="center"/>
              <w:rPr>
                <w:noProof/>
                <w:sz w:val="22"/>
              </w:rPr>
            </w:pPr>
            <w:r>
              <w:rPr>
                <w:noProof/>
                <w:sz w:val="22"/>
              </w:rPr>
              <w:t>Italie</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Toutes désactivées</w:t>
            </w:r>
          </w:p>
        </w:tc>
      </w:tr>
      <w:tr>
        <w:tc>
          <w:tcPr>
            <w:tcW w:w="1702" w:type="dxa"/>
            <w:vAlign w:val="center"/>
          </w:tcPr>
          <w:p>
            <w:pPr>
              <w:spacing w:before="0"/>
              <w:jc w:val="center"/>
              <w:rPr>
                <w:noProof/>
                <w:sz w:val="22"/>
              </w:rPr>
            </w:pPr>
            <w:r>
              <w:rPr>
                <w:noProof/>
                <w:sz w:val="22"/>
              </w:rPr>
              <w:t>Lettonie</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Désactivée</w:t>
            </w:r>
          </w:p>
        </w:tc>
      </w:tr>
      <w:tr>
        <w:tc>
          <w:tcPr>
            <w:tcW w:w="1702" w:type="dxa"/>
            <w:vAlign w:val="center"/>
          </w:tcPr>
          <w:p>
            <w:pPr>
              <w:spacing w:before="0"/>
              <w:jc w:val="center"/>
              <w:rPr>
                <w:noProof/>
                <w:sz w:val="22"/>
              </w:rPr>
            </w:pPr>
            <w:r>
              <w:rPr>
                <w:noProof/>
                <w:sz w:val="22"/>
              </w:rPr>
              <w:t>Lituanie</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Aucune activée</w:t>
            </w:r>
          </w:p>
        </w:tc>
      </w:tr>
      <w:tr>
        <w:tc>
          <w:tcPr>
            <w:tcW w:w="1702" w:type="dxa"/>
            <w:vAlign w:val="center"/>
          </w:tcPr>
          <w:p>
            <w:pPr>
              <w:spacing w:before="0"/>
              <w:jc w:val="center"/>
              <w:rPr>
                <w:noProof/>
                <w:sz w:val="22"/>
              </w:rPr>
            </w:pPr>
            <w:r>
              <w:rPr>
                <w:noProof/>
                <w:sz w:val="22"/>
              </w:rPr>
              <w:t>Luxembourg</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Aucune activée</w:t>
            </w:r>
          </w:p>
        </w:tc>
      </w:tr>
      <w:tr>
        <w:tc>
          <w:tcPr>
            <w:tcW w:w="1702" w:type="dxa"/>
            <w:vAlign w:val="center"/>
          </w:tcPr>
          <w:p>
            <w:pPr>
              <w:spacing w:before="0"/>
              <w:jc w:val="center"/>
              <w:rPr>
                <w:noProof/>
                <w:sz w:val="22"/>
              </w:rPr>
            </w:pPr>
            <w:r>
              <w:rPr>
                <w:noProof/>
                <w:sz w:val="22"/>
              </w:rPr>
              <w:t>Malte</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Désactivée</w:t>
            </w:r>
          </w:p>
        </w:tc>
      </w:tr>
      <w:tr>
        <w:tc>
          <w:tcPr>
            <w:tcW w:w="1702" w:type="dxa"/>
            <w:vAlign w:val="center"/>
          </w:tcPr>
          <w:p>
            <w:pPr>
              <w:spacing w:before="0"/>
              <w:jc w:val="center"/>
              <w:rPr>
                <w:noProof/>
                <w:sz w:val="22"/>
              </w:rPr>
            </w:pPr>
            <w:r>
              <w:rPr>
                <w:noProof/>
                <w:sz w:val="22"/>
              </w:rPr>
              <w:t>Pays-Bas</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Toutes désactivées</w:t>
            </w:r>
          </w:p>
        </w:tc>
      </w:tr>
      <w:tr>
        <w:tc>
          <w:tcPr>
            <w:tcW w:w="1702" w:type="dxa"/>
            <w:vAlign w:val="center"/>
          </w:tcPr>
          <w:p>
            <w:pPr>
              <w:spacing w:before="0"/>
              <w:jc w:val="center"/>
              <w:rPr>
                <w:noProof/>
                <w:sz w:val="22"/>
              </w:rPr>
            </w:pPr>
            <w:r>
              <w:rPr>
                <w:noProof/>
                <w:sz w:val="22"/>
              </w:rPr>
              <w:t>Portugal</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Toutes désactivées</w:t>
            </w:r>
          </w:p>
        </w:tc>
      </w:tr>
      <w:tr>
        <w:tc>
          <w:tcPr>
            <w:tcW w:w="1702" w:type="dxa"/>
            <w:vAlign w:val="center"/>
          </w:tcPr>
          <w:p>
            <w:pPr>
              <w:spacing w:before="0"/>
              <w:jc w:val="center"/>
              <w:rPr>
                <w:noProof/>
                <w:sz w:val="22"/>
              </w:rPr>
            </w:pPr>
            <w:r>
              <w:rPr>
                <w:noProof/>
                <w:sz w:val="22"/>
              </w:rPr>
              <w:t>Slovaquie</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Toutes désactivées</w:t>
            </w:r>
          </w:p>
        </w:tc>
      </w:tr>
      <w:tr>
        <w:tc>
          <w:tcPr>
            <w:tcW w:w="1702" w:type="dxa"/>
            <w:vAlign w:val="center"/>
          </w:tcPr>
          <w:p>
            <w:pPr>
              <w:spacing w:before="0"/>
              <w:jc w:val="center"/>
              <w:rPr>
                <w:noProof/>
                <w:sz w:val="22"/>
              </w:rPr>
            </w:pPr>
            <w:r>
              <w:rPr>
                <w:noProof/>
                <w:sz w:val="22"/>
              </w:rPr>
              <w:t>Slovénie</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Aucune activée</w:t>
            </w:r>
          </w:p>
        </w:tc>
      </w:tr>
      <w:tr>
        <w:tc>
          <w:tcPr>
            <w:tcW w:w="1702" w:type="dxa"/>
            <w:vAlign w:val="center"/>
          </w:tcPr>
          <w:p>
            <w:pPr>
              <w:spacing w:before="0"/>
              <w:jc w:val="center"/>
              <w:rPr>
                <w:noProof/>
                <w:sz w:val="22"/>
              </w:rPr>
            </w:pPr>
            <w:r>
              <w:rPr>
                <w:noProof/>
                <w:sz w:val="22"/>
              </w:rPr>
              <w:t>Espagne</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Toutes désactivées</w:t>
            </w:r>
          </w:p>
        </w:tc>
      </w:tr>
    </w:tbl>
    <w:p>
      <w:pPr>
        <w:pStyle w:val="Heading1"/>
        <w:numPr>
          <w:ilvl w:val="1"/>
          <w:numId w:val="3"/>
        </w:numPr>
        <w:jc w:val="both"/>
        <w:rPr>
          <w:noProof/>
        </w:rPr>
      </w:pPr>
      <w:r>
        <w:rPr>
          <w:noProof/>
        </w:rPr>
        <w:t>Discrimination concernant l’IBAN</w:t>
      </w:r>
    </w:p>
    <w:p>
      <w:pPr>
        <w:rPr>
          <w:noProof/>
        </w:rPr>
      </w:pPr>
      <w:r>
        <w:rPr>
          <w:noProof/>
        </w:rPr>
        <w:t>Dans l’ensemble de l’Union, des consommateurs se sont plaints que des entreprises imposaient que certains paiements (par exemple, le paiement des impôts, le paiement transfrontière de factures de services collectifs) soient uniquement effectués depuis ou vers un compte de paiement national en euros. Ces restrictions ne sont pas autorisées par l’article 3 (accessibilité) et l’article 9 (accessibilité des paiements) du règlement SEPA et constituent un véritable obstacle au bon fonctionnement du SEPA.</w:t>
      </w:r>
    </w:p>
    <w:p>
      <w:pPr>
        <w:rPr>
          <w:noProof/>
        </w:rPr>
      </w:pPr>
      <w:r>
        <w:rPr>
          <w:noProof/>
        </w:rPr>
        <w:t>Ce problème était et demeure la priorité numéro un de la Commission européenne pour l’application du règlement SEPA étant donné qu’il met à mal l’un des avantages les plus concrets que les consommateurs et les entreprises peuvent retirer de ce règlement: la liberté d’effectuer un paiement quel que soit l’endroit où ils se situent dans l’Union, la liberté d’utiliser un seul et même compte bancaire (en euros) pour toutes leurs opérations au sein de l’Union, ce qui leur permet également de réduire les coûts liés au maintien de plusieurs comptes de paiement.</w:t>
      </w:r>
    </w:p>
    <w:p>
      <w:pPr>
        <w:rPr>
          <w:noProof/>
        </w:rPr>
      </w:pPr>
      <w:r>
        <w:rPr>
          <w:noProof/>
        </w:rPr>
        <w:t>Pour sensibiliser à cette question les acteurs du secteur des paiements, mais aussi les États membres, la Commission européenne l'a évoquée au sein de différentes instances: le groupe d’experts du marché des systèmes de paiement, le forum européen des comités SEPA nationaux et le comité des paiements de détail en euros.</w:t>
      </w:r>
    </w:p>
    <w:p>
      <w:pPr>
        <w:rPr>
          <w:noProof/>
        </w:rPr>
      </w:pPr>
      <w:r>
        <w:rPr>
          <w:noProof/>
        </w:rPr>
        <w:t>De surcroît, les services de la Commission européenne ont informé individuellement les plaignants de leurs droits et les ont orientés vers les autorités nationales désignées pour veiller au respect du règlement SEPA au niveau national.</w:t>
      </w:r>
    </w:p>
    <w:p>
      <w:pPr>
        <w:rPr>
          <w:noProof/>
        </w:rPr>
      </w:pPr>
      <w:r>
        <w:rPr>
          <w:noProof/>
        </w:rPr>
        <w:t>Pour finir, en 2015 et 2016, les services de la Commission européenne ont adressé une quinzaine de lettres à des États membres dans lesquels des cas de discrimination concernant l’IBAN avaient été rapportés, s’enquérant de la persistance de certaines discriminations à l’égard desquelles les autorités nationales n’avaient pas pris de mesures. Il est apparu que divers États membres avaient désigné des autorités pour assurer le respect du règlement par les prestataires de services de paiement, mais pas par les utilisateurs de ces services (comme les fournisseurs de services collectifs) – voir le point 2.4 pour de plus amples détails.</w:t>
      </w:r>
    </w:p>
    <w:p>
      <w:pPr>
        <w:rPr>
          <w:noProof/>
        </w:rPr>
      </w:pPr>
      <w:r>
        <w:rPr>
          <w:noProof/>
        </w:rPr>
        <w:t xml:space="preserve">Certaines autorités nationales ont pris des mesures à l’égard de ces problèmes: </w:t>
      </w:r>
    </w:p>
    <w:p>
      <w:pPr>
        <w:pStyle w:val="ListParagraph"/>
        <w:numPr>
          <w:ilvl w:val="0"/>
          <w:numId w:val="46"/>
        </w:numPr>
        <w:jc w:val="both"/>
        <w:rPr>
          <w:noProof/>
        </w:rPr>
      </w:pPr>
      <w:r>
        <w:rPr>
          <w:noProof/>
        </w:rPr>
        <w:t>De Nederlandsche Bank (DNB), la banque centrale des Pays-Bas, a reçu plus de 250 plaintes d’utilisateurs de services de paiement à propos d’une discrimination concernant l’IBAN, principalement des plaintes de consommateurs dirigées contre des entreprises. DNB s'est montrée particulièrement diligente dans ce dossier, qu'il s'agisse de proposer une médiation ou de traiter les plaintes. Pour résoudre le problème de discrimination visant les utilisateurs étrangers de services de paiement, DNB a également mis en place des accords de coopération avec d’autres autorités compétentes, dont des banques centrales.</w:t>
      </w:r>
    </w:p>
    <w:p>
      <w:pPr>
        <w:pStyle w:val="ListParagraph"/>
        <w:numPr>
          <w:ilvl w:val="0"/>
          <w:numId w:val="46"/>
        </w:numPr>
        <w:jc w:val="both"/>
        <w:rPr>
          <w:noProof/>
        </w:rPr>
      </w:pPr>
      <w:r>
        <w:rPr>
          <w:noProof/>
        </w:rPr>
        <w:t>La BaFin et la Bundesbank avaient enregistré 75 plaintes fin 2016, dont 66 en rapport avec une discrimination concernant l’IBAN. Lorsque les plaintes étaient justifiées, des mesures ont pu être prises, que les infractions soient commises par des prestataires ou par des utilisateurs de services de paiement. Selon les informations transmises par des entreprises, des problèmes techniques liés à la conversion étaient souvent en cause, mais ils ont été progressivement éliminés. Il s’avère que les différentes mesures prises ont permis de résoudre ces problèmes.</w:t>
      </w:r>
    </w:p>
    <w:p>
      <w:pPr>
        <w:pStyle w:val="ListParagraph"/>
        <w:numPr>
          <w:ilvl w:val="0"/>
          <w:numId w:val="46"/>
        </w:numPr>
        <w:jc w:val="both"/>
        <w:rPr>
          <w:noProof/>
        </w:rPr>
      </w:pPr>
      <w:r>
        <w:rPr>
          <w:noProof/>
        </w:rPr>
        <w:t>La Banca d’Italia a été saisie de 4 plaintes en 2013, de 35 plaintes en 2014, de 14 plaintes en 2015 et de 6 plaintes en 2016. L’autorité italienne de la concurrence n’a reçu aucune plainte à ce jour. En 2017, la Banca d’Italia a été saisie de deux plaintes pour une discrimination concernant l’IBAN. Comme dans des cas similaires, la Banca d’Italia aide à résoudre ces problèmes en contactant les parties concernées et en facilitant le dialogue.</w:t>
      </w:r>
    </w:p>
    <w:p>
      <w:pPr>
        <w:rPr>
          <w:noProof/>
        </w:rPr>
      </w:pPr>
      <w:r>
        <w:rPr>
          <w:noProof/>
        </w:rPr>
        <w:t>Des cas de discrimination concernant l’IBAN ont surtout été signalés dans des pays (comme la Belgique, la France, l’Italie, l’Allemagne, l’Espagne ou les Pays-Bas) où le recours aux prélèvements SEPA est fréquent et/ou jugé pratique par les consommateurs ou les entreprises, qui saluent le fait de pouvoir également utiliser ces prélèvements dans différents pays, comme le prévoit le règlement SEPA. La plupart des cas signalés sont dus à une méconnaissance des exigences du règlement par les utilisateurs de services de paiement ou aux limites des anciens procédés, qui ne permettent pas l’utilisation d’IBAN étrangers (par exemple, les formulaires en ligne ou sur papier limitant le numéro IBAN à un nombre précis de chiffres ou affichant un préfixe national pré-rempli).</w:t>
      </w:r>
    </w:p>
    <w:p>
      <w:pPr>
        <w:rPr>
          <w:noProof/>
        </w:rPr>
      </w:pPr>
      <w:r>
        <w:rPr>
          <w:noProof/>
        </w:rPr>
        <w:t>En revanche, les pays où les prélèvements SEPA sont peu répandus ou qui n’appartiennent pas à la zone euro reçoivent généralement moins de plaintes. Par exemple, la Bulgarie, la Croatie, Chypre, la République tchèque, le Danemark, l’Estonie, la Grèce, la Hongrie, l’Irlande, la Lituanie, le Luxembourg, Malte, la Pologne, la Roumanie, la Slovénie et la Suède ont enregistré, en tout, moins de 20 plaintes depuis la date butoir (à savoir le 1</w:t>
      </w:r>
      <w:r>
        <w:rPr>
          <w:noProof/>
          <w:vertAlign w:val="superscript"/>
        </w:rPr>
        <w:t>er</w:t>
      </w:r>
      <w:r>
        <w:rPr>
          <w:noProof/>
        </w:rPr>
        <w:t> août 2014 ou le 31 octobre 2016 suivant les pays).</w:t>
      </w:r>
    </w:p>
    <w:bookmarkEnd w:id="10"/>
    <w:p>
      <w:pPr>
        <w:pStyle w:val="Heading1"/>
        <w:numPr>
          <w:ilvl w:val="1"/>
          <w:numId w:val="3"/>
        </w:numPr>
        <w:jc w:val="both"/>
        <w:rPr>
          <w:noProof/>
        </w:rPr>
      </w:pPr>
      <w:r>
        <w:rPr>
          <w:noProof/>
        </w:rPr>
        <w:t>Désignation des autorités compétentes et compétences de ces dernières</w:t>
      </w:r>
    </w:p>
    <w:p>
      <w:pPr>
        <w:rPr>
          <w:noProof/>
        </w:rPr>
      </w:pPr>
      <w:r>
        <w:rPr>
          <w:noProof/>
        </w:rPr>
        <w:t>Diverses autorités, comme la Banque centrale européenne et les banques centrales nationales, ont participé à la migration vers le SEPA. Les principales parties prenantes de la migration étaient les autorités compétentes nationales chargées d’assurer le respect du règlement.</w:t>
      </w:r>
    </w:p>
    <w:p>
      <w:pPr>
        <w:rPr>
          <w:noProof/>
        </w:rPr>
      </w:pPr>
      <w:r>
        <w:rPr>
          <w:noProof/>
        </w:rPr>
        <w:t>À cet égard, parmi les problèmes rencontrés lors du processus de migration et des mois ayant suivi le 1</w:t>
      </w:r>
      <w:r>
        <w:rPr>
          <w:noProof/>
          <w:vertAlign w:val="superscript"/>
        </w:rPr>
        <w:t>er</w:t>
      </w:r>
      <w:r>
        <w:rPr>
          <w:noProof/>
        </w:rPr>
        <w:t> août 2014 figure le champ d’intervention des autorités compétentes nationales. L’article 10 prévoit que les États membres désignent des autorités compétentes pour assurer le respect du règlement. Certains États membres ont interprété le règlement SEPA comme limitant l’obligation faite aux autorités compétentes nationales d’assurer le respect du règlement aux seuls prestataires de services de paiement, alors que le règlement énonce également, à l’article 9, des obligations à l’égard des utilisateurs de services de paiement (bénéficiaires).</w:t>
      </w:r>
    </w:p>
    <w:p>
      <w:pPr>
        <w:rPr>
          <w:noProof/>
        </w:rPr>
      </w:pPr>
      <w:r>
        <w:rPr>
          <w:noProof/>
        </w:rPr>
        <w:t>Dans la pratique, presque tous les prestataires de services de paiement respectaient le règlement à la date butoir, c’est-à-dire le 1</w:t>
      </w:r>
      <w:r>
        <w:rPr>
          <w:noProof/>
          <w:vertAlign w:val="superscript"/>
        </w:rPr>
        <w:t>er</w:t>
      </w:r>
      <w:r>
        <w:rPr>
          <w:noProof/>
        </w:rPr>
        <w:t> août 2014. Ce n’était toutefois pas le cas d’un bon nombre d’utilisateurs de services de paiement, qu’il s’agisse d’administrations fiscales, de fournisseurs d’énergie, d’opérateurs de télécommunications, de compagnies d’assurance ou d’autres entreprises de services collectifs, qui n’observaient pas le règlement et en particulier son article 9 relatif à l’acceptation de tout compte de paiement en euros situé au sein de l’Union pour effectuer ou recevoir des paiements.</w:t>
      </w:r>
    </w:p>
    <w:p>
      <w:pPr>
        <w:rPr>
          <w:noProof/>
        </w:rPr>
      </w:pPr>
      <w:r>
        <w:rPr>
          <w:noProof/>
        </w:rPr>
        <w:t>Dans plusieurs cas, les autorités compétentes désignées par les États membres, la plupart du temps des banques centrales, n’avaient pas été dotées des compétences nécessaires pour agir à l’égard de ces utilisateurs de services de paiement. En conséquence, la Commission a ouvert plusieurs procédures préalables à une procédure d'infraction (EU Pilot) pour que des autorités soient aussi désignées par les États membres en vue d'assurer le respect du règlement par les utilisateurs de services de paiement. À l’exception de trois États membres</w:t>
      </w:r>
      <w:r>
        <w:rPr>
          <w:rStyle w:val="FootnoteReference"/>
          <w:noProof/>
        </w:rPr>
        <w:footnoteReference w:id="16"/>
      </w:r>
      <w:r>
        <w:rPr>
          <w:noProof/>
        </w:rPr>
        <w:t>, tous respectent désormais les exigences du règlement.</w:t>
      </w:r>
    </w:p>
    <w:p>
      <w:pPr>
        <w:rPr>
          <w:noProof/>
        </w:rPr>
      </w:pPr>
      <w:r>
        <w:rPr>
          <w:noProof/>
        </w:rPr>
        <w:t>Les autorités compétentes et les coordonnées pour le dépôt des plaintes sont indiquées en annexe.</w:t>
      </w:r>
    </w:p>
    <w:p>
      <w:pPr>
        <w:pStyle w:val="Heading1"/>
        <w:rPr>
          <w:noProof/>
        </w:rPr>
      </w:pPr>
      <w:r>
        <w:rPr>
          <w:noProof/>
        </w:rPr>
        <w:t>Conclusions et étapes suivantes du projet SEPA</w:t>
      </w:r>
    </w:p>
    <w:p>
      <w:pPr>
        <w:rPr>
          <w:noProof/>
        </w:rPr>
      </w:pPr>
      <w:r>
        <w:rPr>
          <w:noProof/>
        </w:rPr>
        <w:t>Globalement, le règlement SEPA a été correctement appliqué et mis en œuvre dans l’ensemble de l’Union. Aucune proposition législative n’est nécessaire à l’heure actuelle. Toutefois, quelques problèmes à l’égard desquels des mesures ont déjà été prises continueront de faire l’objet d’une étroite surveillance jusqu’à ce qu’ils soient résolus de manière définitive, en particulier la discrimination concernant l’IBAN.</w:t>
      </w:r>
    </w:p>
    <w:p>
      <w:pPr>
        <w:rPr>
          <w:noProof/>
        </w:rPr>
      </w:pPr>
      <w:r>
        <w:rPr>
          <w:noProof/>
        </w:rPr>
        <w:t>Les virements et prélèvements SEPA permettent aux citoyens européens d’effectuer des virements et des prélèvements en euros de façon efficace au sein de l’Union européenne. Sur le fondement de cette norme, de nouveaux acteurs ont fait leur apparition sur le marché des paiements en proposant des services d’initiation de paiement ou des solutions de paiement mobile entre particuliers. De même, l’émergence de nouveaux types d’acteurs devrait être favorisée grâce à la révision de la directive sur les services de paiement et au développement de nouveaux projets au sein du SEPA, comme les paiements instantanés SEPA qui seront disponibles dès novembre 2017.</w:t>
      </w:r>
    </w:p>
    <w:p>
      <w:pPr>
        <w:rPr>
          <w:noProof/>
        </w:rPr>
      </w:pPr>
      <w:r>
        <w:rPr>
          <w:noProof/>
        </w:rPr>
        <w:t>Ces évolutions sont soutenues par le comité des paiements de détail en euros, présidé par la BCE. Cette nouvelle instance, qui remplace l’ancien Conseil SEPA, vise à encourager la création dans l’Union européenne d’un marché des paiements de détail en euros qui soit intégré, innovant et concurrentiel. Elle regroupe des acteurs du marché représentant aussi bien l'offre (secteur bancaire, établissements de paiement et établissements de monnaie électronique) que la demande (consommateurs, détaillants, détaillants en ligne, grandes et moyennes entreprises, PME et administrations publiques nationales). De surcroît, cinq banques centrales nationales représentant l’Eurosystème et une banque centrale nationale représentant la communauté hors zone euro prennent part aux réunions à tour de rôle. La Commission européenne y participe en qualité d’observateur.</w:t>
      </w:r>
    </w:p>
    <w:p>
      <w:pPr>
        <w:rPr>
          <w:noProof/>
        </w:rPr>
      </w:pPr>
      <w:r>
        <w:rPr>
          <w:noProof/>
        </w:rPr>
        <w:t>Les comités SEPA nationaux et leur forum européen institué par la Commission ont joué un rôle clé dans la mise en place de l’espace unique de paiement en euros et dans la réalisation de l'objectif consistant à permettre aux Européens d'effectuer toutes leurs opérations en euros, partout dans l’Union, avec un seul et même compte. Si aujourd’hui la transition vers le SEPA touche à sa fin, la transformation des systèmes de paiement se poursuit à grande vitesse. La plupart des comités SEPA nationaux sont devenus des comités ou conseils de paiement nationaux chargés de piloter cette transformation. Ces nouveaux comités et conseils mettent désormais l’accent sur de nouveaux défis, comme la transition vers les paiements instantanés ou les paiements mobiles. De plus, avec l’entrée en vigueur de la deuxième directive sur les services de paiement (PSD2) en janvier 2018, les comités nationaux devront surveiller d’autres évolutions et notamment l’arrivée, sur le marché des paiements, de nouveaux acteurs comme les agrégateurs d’informations sur les comptes et les prestataires de services d’initiation de paiement.</w:t>
      </w:r>
    </w:p>
    <w:p>
      <w:pPr>
        <w:rPr>
          <w:noProof/>
        </w:rPr>
      </w:pPr>
      <w:r>
        <w:rPr>
          <w:noProof/>
        </w:rPr>
        <w:t>Pour soutenir ces nouvelles évolutions dans le domaine des paiements, pour coordonner les initiatives nationales et pour échanger les informations et les bonnes pratiques, la Commission étudie, en coopération étroite avec la Banque centrale européenne, la manière de transformer le forum européen des comités SEPA nationaux en une plate-forme dédiée à ces nouveaux comités et conseils de paiement nationaux.</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021" w:right="1588" w:bottom="1021" w:left="1588" w:header="567" w:footer="454"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line="240" w:lineRule="auto"/>
      </w:pPr>
      <w:r>
        <w:separator/>
      </w:r>
    </w:p>
  </w:endnote>
  <w:endnote w:type="continuationSeparator" w:id="0">
    <w:p>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0"/>
      <w:jc w:val="center"/>
    </w:pPr>
    <w:r>
      <w:fldChar w:fldCharType="begin"/>
    </w:r>
    <w:r>
      <w:instrText>PAGE</w:instrText>
    </w:r>
    <w:r>
      <w:fldChar w:fldCharType="separate"/>
    </w:r>
    <w:r>
      <w:rPr>
        <w:noProof/>
      </w:rPr>
      <w:t>2</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p>
  <w:p>
    <w:pPr>
      <w:pStyle w:val="Footer"/>
    </w:pPr>
    <w:r>
      <w:t>Commission européenne/Europese Commissie, 1049 Bruxelles/Brussel, BELGIQUE/BELGIË – Tél. +32 22991111</w:t>
    </w:r>
    <w:r>
      <w:br/>
      <w:t>Bureau: J-99 01/032 – Tél. ligne directe +32 22969839</w:t>
    </w:r>
  </w:p>
  <w:p>
    <w:pPr>
      <w:pStyle w:val="Footer"/>
    </w:pPr>
  </w:p>
  <w:p>
    <w:pPr>
      <w:pStyle w:val="Footer"/>
      <w:rPr>
        <w:sz w:val="12"/>
        <w:szCs w:val="12"/>
      </w:rPr>
    </w:pPr>
    <w:r>
      <w:t>Alexander.STEIN@ec.europa.eu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line="240" w:lineRule="auto"/>
      </w:pPr>
      <w:r>
        <w:separator/>
      </w:r>
    </w:p>
  </w:footnote>
  <w:footnote w:type="continuationSeparator" w:id="0">
    <w:p>
      <w:pPr>
        <w:spacing w:before="0" w:line="240" w:lineRule="auto"/>
      </w:pPr>
      <w:r>
        <w:continuationSeparator/>
      </w:r>
    </w:p>
  </w:footnote>
  <w:footnote w:id="1">
    <w:p>
      <w:pPr>
        <w:pStyle w:val="FootnoteText"/>
      </w:pPr>
      <w:r>
        <w:rPr>
          <w:rStyle w:val="FootnoteReference"/>
        </w:rPr>
        <w:footnoteRef/>
      </w:r>
      <w:r>
        <w:t xml:space="preserve"> </w:t>
      </w:r>
      <w:hyperlink r:id="rId1">
        <w:r>
          <w:rPr>
            <w:rStyle w:val="Hyperlink"/>
          </w:rPr>
          <w:t>http://eur-lex.europa.eu/legal-content/FR/ALL/?uri=celex%3A32012R0260</w:t>
        </w:r>
      </w:hyperlink>
      <w:r>
        <w:t xml:space="preserve"> </w:t>
      </w:r>
    </w:p>
  </w:footnote>
  <w:footnote w:id="2">
    <w:p>
      <w:pPr>
        <w:pStyle w:val="FootnoteText"/>
        <w:ind w:left="0" w:firstLine="0"/>
        <w:jc w:val="both"/>
      </w:pPr>
      <w:r>
        <w:rPr>
          <w:rStyle w:val="FootnoteReference"/>
        </w:rPr>
        <w:footnoteRef/>
      </w:r>
      <w:r>
        <w:t xml:space="preserve"> Chiffres au 31 septembre 2016. Tous les prestataires de services de paiement ont confirmé être prêts pour respecter l’obligation de conformité au 31 octobre 2016, ce qui devrait apparaître dans la version définitive des statistiques concernant les virements SEPA pour le 4</w:t>
      </w:r>
      <w:r>
        <w:rPr>
          <w:vertAlign w:val="superscript"/>
        </w:rPr>
        <w:t>e</w:t>
      </w:r>
      <w:r>
        <w:t> trimestre 2016 (pas encore disponibles).</w:t>
      </w:r>
    </w:p>
  </w:footnote>
  <w:footnote w:id="3">
    <w:p>
      <w:pPr>
        <w:pStyle w:val="FootnoteText"/>
        <w:ind w:left="0" w:firstLine="0"/>
        <w:jc w:val="both"/>
      </w:pPr>
      <w:r>
        <w:rPr>
          <w:rStyle w:val="FootnoteReference"/>
        </w:rPr>
        <w:footnoteRef/>
      </w:r>
      <w:r>
        <w:t xml:space="preserve"> La plupart des exigences sont mises en œuvre. Toutefois, quatre établissements en Roumanie semblent n’être que partiellement conformes.</w:t>
      </w:r>
    </w:p>
  </w:footnote>
  <w:footnote w:id="4">
    <w:p>
      <w:pPr>
        <w:pStyle w:val="FootnoteText"/>
        <w:ind w:left="0" w:firstLine="0"/>
        <w:jc w:val="both"/>
      </w:pPr>
      <w:r>
        <w:rPr>
          <w:rStyle w:val="FootnoteReference"/>
        </w:rPr>
        <w:footnoteRef/>
      </w:r>
      <w:r>
        <w:t xml:space="preserve"> Un service de virement spécifique, pour le paiement des factures de services collectifs, est encore en cours de transition de l’ancien système vers les exigences SEPA. Ce type de paiement est destiné aux fournisseurs de services collectifs et exige des données supplémentaires pour le rapprochement des paiements et le relevé des consommations. Conformément à un accord intersectoriel entre les prestataires de services de paiement et les fournisseurs de services collectifs, le paiement des factures de services collectifs devait migrer vers les virements SEPA le 1</w:t>
      </w:r>
      <w:r>
        <w:rPr>
          <w:vertAlign w:val="superscript"/>
        </w:rPr>
        <w:t>er</w:t>
      </w:r>
      <w:r>
        <w:t> avril 2017 au plus tard.</w:t>
      </w:r>
    </w:p>
  </w:footnote>
  <w:footnote w:id="5">
    <w:p>
      <w:pPr>
        <w:pStyle w:val="FootnoteText"/>
        <w:ind w:left="0" w:firstLine="0"/>
      </w:pPr>
      <w:r>
        <w:rPr>
          <w:rStyle w:val="FootnoteReference"/>
        </w:rPr>
        <w:footnoteRef/>
      </w:r>
      <w:r>
        <w:t xml:space="preserve"> Le taux n’est pas pertinent car une seule banque a adhéré à un système de prélèvement SEPA (système de prélèvement SEPA entre entreprises).</w:t>
      </w:r>
    </w:p>
  </w:footnote>
  <w:footnote w:id="6">
    <w:p>
      <w:pPr>
        <w:pStyle w:val="FootnoteText"/>
        <w:ind w:left="0" w:firstLine="0"/>
        <w:jc w:val="both"/>
      </w:pPr>
      <w:r>
        <w:rPr>
          <w:rStyle w:val="FootnoteReference"/>
        </w:rPr>
        <w:footnoteRef/>
      </w:r>
      <w:r>
        <w:t xml:space="preserve"> Les prestataires de services de paiement de la Croatie ne proposent pas de services de prélèvement en euros.</w:t>
      </w:r>
    </w:p>
  </w:footnote>
  <w:footnote w:id="7">
    <w:p>
      <w:pPr>
        <w:pStyle w:val="FootnoteText"/>
        <w:ind w:left="0" w:firstLine="0"/>
      </w:pPr>
      <w:r>
        <w:rPr>
          <w:rStyle w:val="FootnoteReference"/>
        </w:rPr>
        <w:footnoteRef/>
      </w:r>
      <w:r>
        <w:t xml:space="preserve"> Les prélèvements nationaux ont été remplacés par des virements SEPA associés à des factures électroniques.</w:t>
      </w:r>
    </w:p>
  </w:footnote>
  <w:footnote w:id="8">
    <w:p>
      <w:pPr>
        <w:pStyle w:val="FootnoteText"/>
      </w:pPr>
      <w:r>
        <w:rPr>
          <w:rStyle w:val="FootnoteReference"/>
        </w:rPr>
        <w:footnoteRef/>
      </w:r>
      <w:r>
        <w:t xml:space="preserve"> Très faible utilisation des prélèvements SEPA. Les prélèvements nationaux ont été remplacés par des virements SEPA associés à des factures électroniques, mais les banques offrent néanmoins la possibilité d'effectuer des prélèvements SEPA.</w:t>
      </w:r>
    </w:p>
  </w:footnote>
  <w:footnote w:id="9">
    <w:p>
      <w:pPr>
        <w:pStyle w:val="FootnoteText"/>
        <w:ind w:left="0" w:firstLine="0"/>
        <w:jc w:val="both"/>
      </w:pPr>
      <w:r>
        <w:rPr>
          <w:rStyle w:val="FootnoteReference"/>
        </w:rPr>
        <w:footnoteRef/>
      </w:r>
      <w:r>
        <w:t xml:space="preserve"> Un seul prestataire de services de paiement propose des services de prélèvement SEPA.</w:t>
      </w:r>
    </w:p>
  </w:footnote>
  <w:footnote w:id="10">
    <w:p>
      <w:pPr>
        <w:pStyle w:val="FootnoteText"/>
        <w:ind w:left="0" w:firstLine="0"/>
      </w:pPr>
      <w:r>
        <w:rPr>
          <w:rStyle w:val="FootnoteReference"/>
        </w:rPr>
        <w:footnoteRef/>
      </w:r>
      <w:r>
        <w:t xml:space="preserve"> Le taux n’est pas pertinent en raison du très petit nombre de prélèvements SEPA traités.</w:t>
      </w:r>
    </w:p>
  </w:footnote>
  <w:footnote w:id="11">
    <w:p>
      <w:pPr>
        <w:pStyle w:val="FootnoteText"/>
        <w:ind w:left="0" w:firstLine="0"/>
      </w:pPr>
      <w:r>
        <w:rPr>
          <w:rStyle w:val="FootnoteReference"/>
        </w:rPr>
        <w:footnoteRef/>
      </w:r>
      <w:r>
        <w:t xml:space="preserve"> À l’exception des données de la colonne «Décembre 2016», toutes les données figurant dans les tableaux 3 à 6 sont extraites de tableaux de la BCE accessibles sur le site internet de la BCE à l’adresse suivante: </w:t>
      </w:r>
      <w:hyperlink r:id="rId2">
        <w:r>
          <w:rPr>
            <w:rStyle w:val="Hyperlink"/>
          </w:rPr>
          <w:t>http://www.ecb.europa.eu/paym/retpaym/paymint/indicators/html/index.en.html</w:t>
        </w:r>
      </w:hyperlink>
      <w:r>
        <w:t xml:space="preserve"> </w:t>
      </w:r>
    </w:p>
  </w:footnote>
  <w:footnote w:id="12">
    <w:p>
      <w:pPr>
        <w:pStyle w:val="FootnoteText"/>
      </w:pPr>
      <w:r>
        <w:rPr>
          <w:rStyle w:val="FootnoteReference"/>
        </w:rPr>
        <w:footnoteRef/>
      </w:r>
      <w:r>
        <w:t xml:space="preserve"> La Lituanie a rejoint la zone euro le 1</w:t>
      </w:r>
      <w:r>
        <w:rPr>
          <w:vertAlign w:val="superscript"/>
        </w:rPr>
        <w:t>er</w:t>
      </w:r>
      <w:r>
        <w:t> janvier 2015 et avait jusqu’au 1</w:t>
      </w:r>
      <w:r>
        <w:rPr>
          <w:vertAlign w:val="superscript"/>
        </w:rPr>
        <w:t>er</w:t>
      </w:r>
      <w:r>
        <w:t> janvier 2016 pour finaliser la migration de l’ensemble des virements en euros.</w:t>
      </w:r>
    </w:p>
  </w:footnote>
  <w:footnote w:id="13">
    <w:p>
      <w:pPr>
        <w:pStyle w:val="FootnoteText"/>
      </w:pPr>
      <w:r>
        <w:rPr>
          <w:rStyle w:val="FootnoteReference"/>
        </w:rPr>
        <w:footnoteRef/>
      </w:r>
      <w:r>
        <w:t xml:space="preserve"> La Lettonie avait jusqu’au 1</w:t>
      </w:r>
      <w:r>
        <w:rPr>
          <w:vertAlign w:val="superscript"/>
        </w:rPr>
        <w:t>er</w:t>
      </w:r>
      <w:r>
        <w:t> janvier 2015 pour effectuer la migration. Elle a remplacé les anciens prélèvements par des solutions associant des virements SEPA et une facturation électronique.</w:t>
      </w:r>
    </w:p>
  </w:footnote>
  <w:footnote w:id="14">
    <w:p>
      <w:pPr>
        <w:pStyle w:val="FootnoteText"/>
        <w:ind w:left="0" w:firstLine="0"/>
        <w:jc w:val="both"/>
      </w:pPr>
      <w:r>
        <w:rPr>
          <w:rStyle w:val="FootnoteReference"/>
        </w:rPr>
        <w:footnoteRef/>
      </w:r>
      <w:r>
        <w:t xml:space="preserve"> Au Royaume-Uni, le règlement de 2012 relatif aux paiements en euros (virements et prélèvements) </w:t>
      </w:r>
      <w:r>
        <w:rPr>
          <w:i/>
        </w:rPr>
        <w:t>[Payments in Euro (Credit Transfers and Direct Debits) Regulations 2012]</w:t>
      </w:r>
      <w:r>
        <w:t xml:space="preserve"> a été présenté au Parlement britannique le 18 décembre 2012 et est entré en vigueur le 15 janvier 2013. L’article 19 de ce règlement précise les dérogations qui étaient appliquées. Il dispose en l’occurrence que la dérogation prévue à l’article 16, paragraphes 3 et 4, du règlement SEPA s’applique jusqu’au 1</w:t>
      </w:r>
      <w:r>
        <w:rPr>
          <w:vertAlign w:val="superscript"/>
        </w:rPr>
        <w:t>er</w:t>
      </w:r>
      <w:r>
        <w:t> février 2016 en ce qui concerne les exigences énoncées à l’article 8, paragraphes 2 et 3, dudit règlement. Les dérogations prévues à l’article 16, paragraphes 2 et 8, qui s’appliquent aux États membres hors zone euro signifient que les exigences énoncées aux articles 3, 4 et 5 du règlement SEPA ne s’appliquaient pas jusqu’au 31 octobre 2016. En d’autres termes, en substance, pour la plupart des exigences, les prestataires de services de paiement situés au Royaume-Uni devaient respecter le 31 octobre 2016 comme date butoir pour la migration.</w:t>
      </w:r>
    </w:p>
  </w:footnote>
  <w:footnote w:id="15">
    <w:p>
      <w:pPr>
        <w:pStyle w:val="FootnoteText"/>
        <w:ind w:left="0" w:firstLine="0"/>
      </w:pPr>
      <w:r>
        <w:rPr>
          <w:rStyle w:val="FootnoteReference"/>
        </w:rPr>
        <w:footnoteRef/>
      </w:r>
      <w:r>
        <w:t xml:space="preserve"> Certains établissements de crédit en Estonie continuent de proposer des services de conversion de BBAN en IBAN.</w:t>
      </w:r>
    </w:p>
  </w:footnote>
  <w:footnote w:id="16">
    <w:p>
      <w:pPr>
        <w:pStyle w:val="FootnoteText"/>
      </w:pPr>
      <w:r>
        <w:rPr>
          <w:rStyle w:val="FootnoteReference"/>
        </w:rPr>
        <w:footnoteRef/>
      </w:r>
      <w:r>
        <w:t xml:space="preserve"> La Pologne, la Lettonie et la Grèce.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F55399"/>
    <w:multiLevelType w:val="hybridMultilevel"/>
    <w:tmpl w:val="BDDA011E"/>
    <w:lvl w:ilvl="0" w:tplc="0413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046291"/>
    <w:multiLevelType w:val="hybridMultilevel"/>
    <w:tmpl w:val="C10A1C32"/>
    <w:lvl w:ilvl="0" w:tplc="A7F02C7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C041CC"/>
    <w:multiLevelType w:val="hybridMultilevel"/>
    <w:tmpl w:val="3A961E90"/>
    <w:lvl w:ilvl="0" w:tplc="7A7C5B34">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1A5D07BF"/>
    <w:multiLevelType w:val="hybridMultilevel"/>
    <w:tmpl w:val="754A15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A26F04"/>
    <w:multiLevelType w:val="hybridMultilevel"/>
    <w:tmpl w:val="0A0834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70A4C45C"/>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14B3744"/>
    <w:multiLevelType w:val="hybridMultilevel"/>
    <w:tmpl w:val="A2EE2CA0"/>
    <w:lvl w:ilvl="0" w:tplc="B878798C">
      <w:numFmt w:val="bullet"/>
      <w:lvlText w:val="-"/>
      <w:lvlJc w:val="left"/>
      <w:pPr>
        <w:ind w:left="720" w:hanging="360"/>
      </w:pPr>
      <w:rPr>
        <w:rFonts w:ascii="Times New Roman" w:eastAsia="Times New Roman" w:hAnsi="Times New Roman"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4304869"/>
    <w:multiLevelType w:val="hybridMultilevel"/>
    <w:tmpl w:val="6B3686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4B58258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BB718E"/>
    <w:multiLevelType w:val="hybridMultilevel"/>
    <w:tmpl w:val="552ABC98"/>
    <w:lvl w:ilvl="0" w:tplc="0809000F">
      <w:start w:val="1"/>
      <w:numFmt w:val="decimal"/>
      <w:lvlText w:val="%1."/>
      <w:lvlJc w:val="left"/>
      <w:pPr>
        <w:ind w:left="-708" w:hanging="360"/>
      </w:pPr>
    </w:lvl>
    <w:lvl w:ilvl="1" w:tplc="08090019" w:tentative="1">
      <w:start w:val="1"/>
      <w:numFmt w:val="lowerLetter"/>
      <w:lvlText w:val="%2."/>
      <w:lvlJc w:val="left"/>
      <w:pPr>
        <w:ind w:left="12" w:hanging="360"/>
      </w:pPr>
    </w:lvl>
    <w:lvl w:ilvl="2" w:tplc="0809001B" w:tentative="1">
      <w:start w:val="1"/>
      <w:numFmt w:val="lowerRoman"/>
      <w:lvlText w:val="%3."/>
      <w:lvlJc w:val="right"/>
      <w:pPr>
        <w:ind w:left="732" w:hanging="180"/>
      </w:pPr>
    </w:lvl>
    <w:lvl w:ilvl="3" w:tplc="0809000F" w:tentative="1">
      <w:start w:val="1"/>
      <w:numFmt w:val="decimal"/>
      <w:lvlText w:val="%4."/>
      <w:lvlJc w:val="left"/>
      <w:pPr>
        <w:ind w:left="1452" w:hanging="360"/>
      </w:pPr>
    </w:lvl>
    <w:lvl w:ilvl="4" w:tplc="08090019" w:tentative="1">
      <w:start w:val="1"/>
      <w:numFmt w:val="lowerLetter"/>
      <w:lvlText w:val="%5."/>
      <w:lvlJc w:val="left"/>
      <w:pPr>
        <w:ind w:left="2172" w:hanging="360"/>
      </w:pPr>
    </w:lvl>
    <w:lvl w:ilvl="5" w:tplc="0809001B" w:tentative="1">
      <w:start w:val="1"/>
      <w:numFmt w:val="lowerRoman"/>
      <w:lvlText w:val="%6."/>
      <w:lvlJc w:val="right"/>
      <w:pPr>
        <w:ind w:left="2892" w:hanging="180"/>
      </w:pPr>
    </w:lvl>
    <w:lvl w:ilvl="6" w:tplc="0809000F" w:tentative="1">
      <w:start w:val="1"/>
      <w:numFmt w:val="decimal"/>
      <w:lvlText w:val="%7."/>
      <w:lvlJc w:val="left"/>
      <w:pPr>
        <w:ind w:left="3612" w:hanging="360"/>
      </w:pPr>
    </w:lvl>
    <w:lvl w:ilvl="7" w:tplc="08090019" w:tentative="1">
      <w:start w:val="1"/>
      <w:numFmt w:val="lowerLetter"/>
      <w:lvlText w:val="%8."/>
      <w:lvlJc w:val="left"/>
      <w:pPr>
        <w:ind w:left="4332" w:hanging="360"/>
      </w:pPr>
    </w:lvl>
    <w:lvl w:ilvl="8" w:tplc="0809001B" w:tentative="1">
      <w:start w:val="1"/>
      <w:numFmt w:val="lowerRoman"/>
      <w:lvlText w:val="%9."/>
      <w:lvlJc w:val="right"/>
      <w:pPr>
        <w:ind w:left="5052" w:hanging="180"/>
      </w:pPr>
    </w:lvl>
  </w:abstractNum>
  <w:abstractNum w:abstractNumId="21">
    <w:nsid w:val="520C629E"/>
    <w:multiLevelType w:val="hybridMultilevel"/>
    <w:tmpl w:val="499E8FF2"/>
    <w:lvl w:ilvl="0" w:tplc="B878798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4C650F0"/>
    <w:multiLevelType w:val="hybridMultilevel"/>
    <w:tmpl w:val="A1F0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F3608A"/>
    <w:multiLevelType w:val="hybridMultilevel"/>
    <w:tmpl w:val="B966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68400E"/>
    <w:multiLevelType w:val="hybridMultilevel"/>
    <w:tmpl w:val="3ADA18D8"/>
    <w:lvl w:ilvl="0" w:tplc="A06CF5F4">
      <w:start w:val="1"/>
      <w:numFmt w:val="bullet"/>
      <w:pStyle w:val="ListParagraph"/>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6EC01A42"/>
    <w:multiLevelType w:val="hybridMultilevel"/>
    <w:tmpl w:val="0C7A0F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31E1CB2"/>
    <w:multiLevelType w:val="hybridMultilevel"/>
    <w:tmpl w:val="56185E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42B65B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7B949F6"/>
    <w:multiLevelType w:val="hybridMultilevel"/>
    <w:tmpl w:val="048478E0"/>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8"/>
  </w:num>
  <w:num w:numId="4">
    <w:abstractNumId w:val="17"/>
  </w:num>
  <w:num w:numId="5">
    <w:abstractNumId w:val="10"/>
  </w:num>
  <w:num w:numId="6">
    <w:abstractNumId w:val="16"/>
  </w:num>
  <w:num w:numId="7">
    <w:abstractNumId w:val="25"/>
  </w:num>
  <w:num w:numId="8">
    <w:abstractNumId w:val="29"/>
  </w:num>
  <w:num w:numId="9">
    <w:abstractNumId w:val="13"/>
  </w:num>
  <w:num w:numId="10">
    <w:abstractNumId w:val="24"/>
  </w:num>
  <w:num w:numId="11">
    <w:abstractNumId w:val="23"/>
  </w:num>
  <w:num w:numId="12">
    <w:abstractNumId w:val="18"/>
  </w:num>
  <w:num w:numId="13">
    <w:abstractNumId w:val="22"/>
  </w:num>
  <w:num w:numId="14">
    <w:abstractNumId w:val="9"/>
  </w:num>
  <w:num w:numId="15">
    <w:abstractNumId w:val="15"/>
  </w:num>
  <w:num w:numId="16">
    <w:abstractNumId w:val="7"/>
  </w:num>
  <w:num w:numId="17">
    <w:abstractNumId w:val="11"/>
  </w:num>
  <w:num w:numId="18">
    <w:abstractNumId w:val="31"/>
  </w:num>
  <w:num w:numId="19">
    <w:abstractNumId w:val="28"/>
  </w:num>
  <w:num w:numId="20">
    <w:abstractNumId w:val="3"/>
  </w:num>
  <w:num w:numId="21">
    <w:abstractNumId w:val="34"/>
  </w:num>
  <w:num w:numId="22">
    <w:abstractNumId w:val="21"/>
  </w:num>
  <w:num w:numId="23">
    <w:abstractNumId w:val="12"/>
  </w:num>
  <w:num w:numId="24">
    <w:abstractNumId w:val="19"/>
  </w:num>
  <w:num w:numId="25">
    <w:abstractNumId w:val="20"/>
  </w:num>
  <w:num w:numId="26">
    <w:abstractNumId w:val="33"/>
  </w:num>
  <w:num w:numId="27">
    <w:abstractNumId w:val="14"/>
  </w:num>
  <w:num w:numId="28">
    <w:abstractNumId w:val="5"/>
  </w:num>
  <w:num w:numId="29">
    <w:abstractNumId w:val="30"/>
  </w:num>
  <w:num w:numId="30">
    <w:abstractNumId w:val="6"/>
  </w:num>
  <w:num w:numId="31">
    <w:abstractNumId w:val="2"/>
  </w:num>
  <w:num w:numId="32">
    <w:abstractNumId w:val="8"/>
  </w:num>
  <w:num w:numId="33">
    <w:abstractNumId w:val="4"/>
  </w:num>
  <w:num w:numId="34">
    <w:abstractNumId w:val="8"/>
  </w:num>
  <w:num w:numId="35">
    <w:abstractNumId w:val="8"/>
  </w:num>
  <w:num w:numId="36">
    <w:abstractNumId w:val="32"/>
  </w:num>
  <w:num w:numId="37">
    <w:abstractNumId w:val="8"/>
  </w:num>
  <w:num w:numId="38">
    <w:abstractNumId w:val="8"/>
  </w:num>
  <w:num w:numId="39">
    <w:abstractNumId w:val="26"/>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8"/>
  </w:num>
  <w:num w:numId="46">
    <w:abstractNumId w:val="27"/>
  </w:num>
  <w:num w:numId="47">
    <w:abstractNumId w:val="8"/>
  </w:num>
  <w:num w:numId="48">
    <w:abstractNumId w:val="8"/>
  </w:num>
  <w:num w:numId="49">
    <w:abstractNumId w:val="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
    <w15:presenceInfo w15:providerId="None" w15:userI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95B708E-A457-44AA-9A7F-FE6CDB6EC055"/>
    <w:docVar w:name="LW_COVERPAGE_TYPE" w:val="1"/>
    <w:docVar w:name="LW_CROSSREFERENCE" w:val="&lt;UNUSED&gt;"/>
    <w:docVar w:name="LW_DocType" w:val="REP"/>
    <w:docVar w:name="LW_EMISSION" w:val="23.11.2017"/>
    <w:docVar w:name="LW_EMISSION_ISODATE" w:val="2017-11-23"/>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Times New Roman Bold,Bold&gt;sur l\u8217?application du règlement (UE) nº 260/2012 établissant des exigences techniques et commerciales pour les virements et les prélèvements en euros et modifiant le règlement (CE) nº 924/2009&lt;/FMT&gt;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toc 1" w:uiPriority="39"/>
    <w:lsdException w:name="toc 2" w:uiPriority="39"/>
    <w:lsdException w:name="footnote text" w:uiPriority="99"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lsdException w:name="Emphasis" w:semiHidden="0" w:uiPriority="20" w:unhideWhenUsed="0"/>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nhideWhenUsed="0" w:qFormat="1"/>
  </w:latentStyles>
  <w:style w:type="paragraph" w:default="1" w:styleId="Normal">
    <w:name w:val="Normal"/>
    <w:qFormat/>
    <w:pPr>
      <w:spacing w:before="180" w:line="276" w:lineRule="auto"/>
      <w:jc w:val="both"/>
    </w:pPr>
    <w:rPr>
      <w:sz w:val="24"/>
    </w:rPr>
  </w:style>
  <w:style w:type="paragraph" w:styleId="Heading1">
    <w:name w:val="heading 1"/>
    <w:basedOn w:val="Normal"/>
    <w:next w:val="Normal"/>
    <w:qFormat/>
    <w:pPr>
      <w:keepNext/>
      <w:numPr>
        <w:numId w:val="3"/>
      </w:numPr>
      <w:spacing w:before="360"/>
      <w:jc w:val="left"/>
      <w:outlineLvl w:val="0"/>
    </w:pPr>
    <w:rPr>
      <w:b/>
      <w:smallCaps/>
    </w:rPr>
  </w:style>
  <w:style w:type="paragraph" w:styleId="Heading2">
    <w:name w:val="heading 2"/>
    <w:basedOn w:val="Normal"/>
    <w:next w:val="Normal"/>
    <w:link w:val="Heading2Char"/>
    <w:qFormat/>
    <w:pPr>
      <w:keepNext/>
      <w:spacing w:before="240"/>
      <w:jc w:val="left"/>
      <w:outlineLvl w:val="1"/>
    </w:pPr>
    <w:rPr>
      <w:b/>
      <w:smallCaps/>
      <w:sz w:val="22"/>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keepNext/>
      <w:keepLines/>
      <w:spacing w:before="240" w:after="120"/>
      <w:jc w:val="left"/>
    </w:pPr>
    <w:rPr>
      <w:b/>
      <w:sz w:val="23"/>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pPr>
      <w:spacing w:line="240" w:lineRule="auto"/>
    </w:pPr>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jc w:val="left"/>
    </w:pPr>
    <w:rPr>
      <w:rFonts w:eastAsiaTheme="minorHAnsi"/>
      <w:szCs w:val="22"/>
      <w:lang w:eastAsia="en-US" w:bidi="ar-SA"/>
    </w:rPr>
  </w:style>
  <w:style w:type="paragraph" w:styleId="FootnoteText">
    <w:name w:val="footnote text"/>
    <w:basedOn w:val="Normal"/>
    <w:link w:val="FootnoteTextChar"/>
    <w:uiPriority w:val="99"/>
    <w:qFormat/>
    <w:pPr>
      <w:spacing w:before="20" w:line="240" w:lineRule="auto"/>
      <w:ind w:left="113" w:hanging="113"/>
      <w:jc w:val="left"/>
    </w:pPr>
    <w:rPr>
      <w:sz w:val="18"/>
      <w:szCs w:val="18"/>
    </w:rPr>
  </w:style>
  <w:style w:type="paragraph" w:styleId="Header">
    <w:name w:val="header"/>
    <w:basedOn w:val="Normal"/>
    <w:link w:val="HeaderChar"/>
    <w:uiPriority w:val="99"/>
    <w:unhideWhenUsed/>
    <w:pPr>
      <w:tabs>
        <w:tab w:val="center" w:pos="4535"/>
        <w:tab w:val="right" w:pos="9071"/>
      </w:tabs>
      <w:spacing w:before="0" w:after="120" w:line="240" w:lineRule="auto"/>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60" w:line="240" w:lineRule="auto"/>
      <w:jc w:val="left"/>
    </w:pPr>
    <w:rPr>
      <w:bCs/>
      <w:sz w:val="22"/>
    </w:rPr>
  </w:style>
  <w:style w:type="paragraph" w:styleId="TOC2">
    <w:name w:val="toc 2"/>
    <w:basedOn w:val="Normal"/>
    <w:next w:val="Normal"/>
    <w:uiPriority w:val="39"/>
    <w:pPr>
      <w:spacing w:before="120"/>
      <w:ind w:left="240"/>
      <w:jc w:val="left"/>
    </w:pPr>
    <w:rPr>
      <w:rFonts w:asciiTheme="minorHAnsi" w:hAnsiTheme="minorHAnsi"/>
      <w:i/>
      <w:iCs/>
      <w:sz w:val="20"/>
    </w:rPr>
  </w:style>
  <w:style w:type="paragraph" w:styleId="TOC3">
    <w:name w:val="toc 3"/>
    <w:basedOn w:val="Normal"/>
    <w:next w:val="Normal"/>
    <w:semiHidden/>
    <w:pPr>
      <w:spacing w:before="0"/>
      <w:ind w:left="480"/>
      <w:jc w:val="left"/>
    </w:pPr>
    <w:rPr>
      <w:rFonts w:asciiTheme="minorHAnsi" w:hAnsiTheme="minorHAnsi"/>
      <w:sz w:val="20"/>
    </w:rPr>
  </w:style>
  <w:style w:type="paragraph" w:styleId="TOC4">
    <w:name w:val="toc 4"/>
    <w:basedOn w:val="Normal"/>
    <w:next w:val="Normal"/>
    <w:semiHidden/>
    <w:pPr>
      <w:spacing w:before="0"/>
      <w:ind w:left="720"/>
      <w:jc w:val="left"/>
    </w:pPr>
    <w:rPr>
      <w:rFonts w:asciiTheme="minorHAnsi" w:hAnsiTheme="minorHAnsi"/>
      <w:sz w:val="20"/>
    </w:rPr>
  </w:style>
  <w:style w:type="paragraph" w:styleId="TOC5">
    <w:name w:val="toc 5"/>
    <w:basedOn w:val="Normal"/>
    <w:next w:val="Normal"/>
    <w:semiHidden/>
    <w:pPr>
      <w:spacing w:before="0"/>
      <w:ind w:left="960"/>
      <w:jc w:val="left"/>
    </w:pPr>
    <w:rPr>
      <w:rFonts w:asciiTheme="minorHAnsi" w:hAnsiTheme="minorHAnsi"/>
      <w:sz w:val="20"/>
    </w:rPr>
  </w:style>
  <w:style w:type="paragraph" w:styleId="TOC6">
    <w:name w:val="toc 6"/>
    <w:basedOn w:val="Normal"/>
    <w:next w:val="Normal"/>
    <w:autoRedefine/>
    <w:semiHidden/>
    <w:pPr>
      <w:spacing w:before="0"/>
      <w:ind w:left="1200"/>
      <w:jc w:val="left"/>
    </w:pPr>
    <w:rPr>
      <w:rFonts w:asciiTheme="minorHAnsi" w:hAnsiTheme="minorHAnsi"/>
      <w:sz w:val="20"/>
    </w:rPr>
  </w:style>
  <w:style w:type="paragraph" w:styleId="TOC7">
    <w:name w:val="toc 7"/>
    <w:basedOn w:val="Normal"/>
    <w:next w:val="Normal"/>
    <w:autoRedefine/>
    <w:semiHidden/>
    <w:pPr>
      <w:spacing w:before="0"/>
      <w:ind w:left="1440"/>
      <w:jc w:val="left"/>
    </w:pPr>
    <w:rPr>
      <w:rFonts w:asciiTheme="minorHAnsi" w:hAnsiTheme="minorHAnsi"/>
      <w:sz w:val="20"/>
    </w:rPr>
  </w:style>
  <w:style w:type="paragraph" w:styleId="TOC8">
    <w:name w:val="toc 8"/>
    <w:basedOn w:val="Normal"/>
    <w:next w:val="Normal"/>
    <w:autoRedefine/>
    <w:semiHidden/>
    <w:pPr>
      <w:spacing w:before="0"/>
      <w:ind w:left="1680"/>
      <w:jc w:val="left"/>
    </w:pPr>
    <w:rPr>
      <w:rFonts w:asciiTheme="minorHAnsi" w:hAnsiTheme="minorHAnsi"/>
      <w:sz w:val="20"/>
    </w:rPr>
  </w:style>
  <w:style w:type="paragraph" w:styleId="TOC9">
    <w:name w:val="toc 9"/>
    <w:basedOn w:val="Normal"/>
    <w:next w:val="Normal"/>
    <w:autoRedefine/>
    <w:semiHidden/>
    <w:pPr>
      <w:spacing w:before="0"/>
      <w:ind w:left="1920"/>
      <w:jc w:val="left"/>
    </w:pPr>
    <w:rPr>
      <w:rFonts w:asciiTheme="minorHAnsi" w:hAnsiTheme="minorHAns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keepLines/>
      <w:numPr>
        <w:numId w:val="19"/>
      </w:numPr>
      <w:spacing w:before="40"/>
      <w:ind w:left="357" w:hanging="357"/>
      <w:jc w:val="left"/>
    </w:p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styleId="NoSpacing">
    <w:name w:val="No Spacing"/>
    <w:uiPriority w:val="1"/>
    <w:qFormat/>
    <w:pPr>
      <w:jc w:val="both"/>
    </w:pPr>
    <w:rPr>
      <w:sz w:val="22"/>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shd w:val="clear" w:color="DCE6F1" w:fill="DCE6F1"/>
      <w:spacing w:before="100" w:beforeAutospacing="1" w:after="100" w:afterAutospacing="1" w:line="240" w:lineRule="auto"/>
      <w:jc w:val="left"/>
    </w:pPr>
    <w:rPr>
      <w:b/>
      <w:bCs/>
      <w:szCs w:val="24"/>
    </w:rPr>
  </w:style>
  <w:style w:type="paragraph" w:customStyle="1" w:styleId="xl66">
    <w:name w:val="xl66"/>
    <w:basedOn w:val="Normal"/>
    <w:pPr>
      <w:spacing w:before="100" w:beforeAutospacing="1" w:after="100" w:afterAutospacing="1" w:line="240" w:lineRule="auto"/>
      <w:jc w:val="center"/>
    </w:pPr>
    <w:rPr>
      <w:b/>
      <w:bCs/>
      <w:szCs w:val="24"/>
      <w:u w:val="single"/>
    </w:rPr>
  </w:style>
  <w:style w:type="paragraph" w:customStyle="1" w:styleId="xl67">
    <w:name w:val="xl67"/>
    <w:basedOn w:val="Normal"/>
    <w:pPr>
      <w:shd w:val="clear" w:color="4F81BD" w:fill="4F81BD"/>
      <w:spacing w:before="100" w:beforeAutospacing="1" w:after="100" w:afterAutospacing="1" w:line="240" w:lineRule="auto"/>
      <w:jc w:val="center"/>
    </w:pPr>
    <w:rPr>
      <w:b/>
      <w:bCs/>
      <w:color w:val="FFFFFF"/>
      <w:szCs w:val="24"/>
    </w:rPr>
  </w:style>
  <w:style w:type="paragraph" w:customStyle="1" w:styleId="xl68">
    <w:name w:val="xl68"/>
    <w:basedOn w:val="Normal"/>
    <w:pPr>
      <w:spacing w:before="100" w:beforeAutospacing="1" w:after="100" w:afterAutospacing="1" w:line="240" w:lineRule="auto"/>
      <w:jc w:val="center"/>
    </w:pPr>
    <w:rPr>
      <w:szCs w:val="24"/>
    </w:rPr>
  </w:style>
  <w:style w:type="paragraph" w:customStyle="1" w:styleId="xl69">
    <w:name w:val="xl69"/>
    <w:basedOn w:val="Normal"/>
    <w:pPr>
      <w:shd w:val="clear" w:color="DCE6F1" w:fill="DCE6F1"/>
      <w:spacing w:before="100" w:beforeAutospacing="1" w:after="100" w:afterAutospacing="1" w:line="240" w:lineRule="auto"/>
      <w:jc w:val="left"/>
    </w:pPr>
    <w:rPr>
      <w:b/>
      <w:bCs/>
      <w:szCs w:val="24"/>
    </w:rPr>
  </w:style>
  <w:style w:type="paragraph" w:customStyle="1" w:styleId="xl70">
    <w:name w:val="xl70"/>
    <w:basedOn w:val="Normal"/>
    <w:pPr>
      <w:spacing w:before="100" w:beforeAutospacing="1" w:after="100" w:afterAutospacing="1" w:line="240" w:lineRule="auto"/>
      <w:jc w:val="left"/>
    </w:pPr>
    <w:rPr>
      <w:b/>
      <w:bCs/>
      <w:szCs w:val="24"/>
    </w:rPr>
  </w:style>
  <w:style w:type="paragraph" w:customStyle="1" w:styleId="xl71">
    <w:name w:val="xl7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b/>
      <w:bCs/>
      <w:szCs w:val="24"/>
    </w:rPr>
  </w:style>
  <w:style w:type="paragraph" w:customStyle="1" w:styleId="xl72">
    <w:name w:val="xl72"/>
    <w:basedOn w:val="Normal"/>
    <w:pPr>
      <w:spacing w:before="100" w:beforeAutospacing="1" w:after="100" w:afterAutospacing="1" w:line="240" w:lineRule="auto"/>
      <w:jc w:val="left"/>
    </w:pPr>
    <w:rPr>
      <w:b/>
      <w:bCs/>
      <w:szCs w:val="24"/>
    </w:rPr>
  </w:style>
  <w:style w:type="paragraph" w:customStyle="1" w:styleId="xl63">
    <w:name w:val="xl63"/>
    <w:basedOn w:val="Normal"/>
    <w:pPr>
      <w:spacing w:before="100" w:beforeAutospacing="1" w:after="100" w:afterAutospacing="1" w:line="240" w:lineRule="auto"/>
      <w:jc w:val="left"/>
    </w:pPr>
    <w:rPr>
      <w:szCs w:val="24"/>
    </w:rPr>
  </w:style>
  <w:style w:type="paragraph" w:customStyle="1" w:styleId="xl64">
    <w:name w:val="xl64"/>
    <w:basedOn w:val="Normal"/>
    <w:pPr>
      <w:spacing w:before="100" w:beforeAutospacing="1" w:after="100" w:afterAutospacing="1" w:line="240" w:lineRule="auto"/>
      <w:jc w:val="left"/>
    </w:pPr>
    <w:rPr>
      <w:b/>
      <w:bCs/>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character" w:customStyle="1" w:styleId="Heading2Char">
    <w:name w:val="Heading 2 Char"/>
    <w:basedOn w:val="DefaultParagraphFont"/>
    <w:link w:val="Heading2"/>
    <w:rPr>
      <w:b/>
      <w:smallCaps/>
      <w:sz w:val="22"/>
      <w:lang w:eastAsia="fr-FR"/>
    </w:rPr>
  </w:style>
  <w:style w:type="paragraph" w:styleId="Revision">
    <w:name w:val="Revision"/>
    <w:hidden/>
    <w:uiPriority w:val="99"/>
    <w:semiHidden/>
    <w:rPr>
      <w:sz w:val="24"/>
    </w:rPr>
  </w:style>
  <w:style w:type="paragraph" w:customStyle="1" w:styleId="SourceNotes">
    <w:name w:val="Source_Notes"/>
    <w:basedOn w:val="Normal"/>
    <w:qFormat/>
    <w:pPr>
      <w:spacing w:before="60" w:line="252" w:lineRule="auto"/>
      <w:jc w:val="left"/>
    </w:pPr>
    <w:rPr>
      <w:sz w:val="18"/>
      <w:szCs w:val="18"/>
    </w:rPr>
  </w:style>
  <w:style w:type="character" w:customStyle="1" w:styleId="FootnoteTextChar">
    <w:name w:val="Footnote Text Char"/>
    <w:basedOn w:val="DefaultParagraphFont"/>
    <w:link w:val="FootnoteText"/>
    <w:uiPriority w:val="99"/>
    <w:rPr>
      <w:sz w:val="18"/>
      <w:szCs w:val="18"/>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line="240" w:lineRule="auto"/>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DefaultParagraphFont"/>
    <w:link w:val="HeaderCoverPage"/>
    <w:rPr>
      <w:sz w:val="24"/>
    </w:rPr>
  </w:style>
  <w:style w:type="paragraph" w:customStyle="1" w:styleId="Declassification">
    <w:name w:val="Declassification"/>
    <w:basedOn w:val="Normal"/>
    <w:next w:val="Normal"/>
    <w:pPr>
      <w:spacing w:before="0" w:line="240" w:lineRule="auto"/>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before="0" w:after="120" w:line="240" w:lineRule="auto"/>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line="240" w:lineRule="auto"/>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eastAsiaTheme="minorHAnsi"/>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toc 1" w:uiPriority="39"/>
    <w:lsdException w:name="toc 2" w:uiPriority="39"/>
    <w:lsdException w:name="footnote text" w:uiPriority="99"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lsdException w:name="Emphasis" w:semiHidden="0" w:uiPriority="20" w:unhideWhenUsed="0"/>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nhideWhenUsed="0" w:qFormat="1"/>
  </w:latentStyles>
  <w:style w:type="paragraph" w:default="1" w:styleId="Normal">
    <w:name w:val="Normal"/>
    <w:qFormat/>
    <w:pPr>
      <w:spacing w:before="180" w:line="276" w:lineRule="auto"/>
      <w:jc w:val="both"/>
    </w:pPr>
    <w:rPr>
      <w:sz w:val="24"/>
    </w:rPr>
  </w:style>
  <w:style w:type="paragraph" w:styleId="Heading1">
    <w:name w:val="heading 1"/>
    <w:basedOn w:val="Normal"/>
    <w:next w:val="Normal"/>
    <w:qFormat/>
    <w:pPr>
      <w:keepNext/>
      <w:numPr>
        <w:numId w:val="3"/>
      </w:numPr>
      <w:spacing w:before="360"/>
      <w:jc w:val="left"/>
      <w:outlineLvl w:val="0"/>
    </w:pPr>
    <w:rPr>
      <w:b/>
      <w:smallCaps/>
    </w:rPr>
  </w:style>
  <w:style w:type="paragraph" w:styleId="Heading2">
    <w:name w:val="heading 2"/>
    <w:basedOn w:val="Normal"/>
    <w:next w:val="Normal"/>
    <w:link w:val="Heading2Char"/>
    <w:qFormat/>
    <w:pPr>
      <w:keepNext/>
      <w:spacing w:before="240"/>
      <w:jc w:val="left"/>
      <w:outlineLvl w:val="1"/>
    </w:pPr>
    <w:rPr>
      <w:b/>
      <w:smallCaps/>
      <w:sz w:val="22"/>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keepNext/>
      <w:keepLines/>
      <w:spacing w:before="240" w:after="120"/>
      <w:jc w:val="left"/>
    </w:pPr>
    <w:rPr>
      <w:b/>
      <w:sz w:val="23"/>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pPr>
      <w:spacing w:line="240" w:lineRule="auto"/>
    </w:pPr>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jc w:val="left"/>
    </w:pPr>
    <w:rPr>
      <w:rFonts w:eastAsiaTheme="minorHAnsi"/>
      <w:szCs w:val="22"/>
      <w:lang w:eastAsia="en-US" w:bidi="ar-SA"/>
    </w:rPr>
  </w:style>
  <w:style w:type="paragraph" w:styleId="FootnoteText">
    <w:name w:val="footnote text"/>
    <w:basedOn w:val="Normal"/>
    <w:link w:val="FootnoteTextChar"/>
    <w:uiPriority w:val="99"/>
    <w:qFormat/>
    <w:pPr>
      <w:spacing w:before="20" w:line="240" w:lineRule="auto"/>
      <w:ind w:left="113" w:hanging="113"/>
      <w:jc w:val="left"/>
    </w:pPr>
    <w:rPr>
      <w:sz w:val="18"/>
      <w:szCs w:val="18"/>
    </w:rPr>
  </w:style>
  <w:style w:type="paragraph" w:styleId="Header">
    <w:name w:val="header"/>
    <w:basedOn w:val="Normal"/>
    <w:link w:val="HeaderChar"/>
    <w:uiPriority w:val="99"/>
    <w:unhideWhenUsed/>
    <w:pPr>
      <w:tabs>
        <w:tab w:val="center" w:pos="4535"/>
        <w:tab w:val="right" w:pos="9071"/>
      </w:tabs>
      <w:spacing w:before="0" w:after="120" w:line="240" w:lineRule="auto"/>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60" w:line="240" w:lineRule="auto"/>
      <w:jc w:val="left"/>
    </w:pPr>
    <w:rPr>
      <w:bCs/>
      <w:sz w:val="22"/>
    </w:rPr>
  </w:style>
  <w:style w:type="paragraph" w:styleId="TOC2">
    <w:name w:val="toc 2"/>
    <w:basedOn w:val="Normal"/>
    <w:next w:val="Normal"/>
    <w:uiPriority w:val="39"/>
    <w:pPr>
      <w:spacing w:before="120"/>
      <w:ind w:left="240"/>
      <w:jc w:val="left"/>
    </w:pPr>
    <w:rPr>
      <w:rFonts w:asciiTheme="minorHAnsi" w:hAnsiTheme="minorHAnsi"/>
      <w:i/>
      <w:iCs/>
      <w:sz w:val="20"/>
    </w:rPr>
  </w:style>
  <w:style w:type="paragraph" w:styleId="TOC3">
    <w:name w:val="toc 3"/>
    <w:basedOn w:val="Normal"/>
    <w:next w:val="Normal"/>
    <w:semiHidden/>
    <w:pPr>
      <w:spacing w:before="0"/>
      <w:ind w:left="480"/>
      <w:jc w:val="left"/>
    </w:pPr>
    <w:rPr>
      <w:rFonts w:asciiTheme="minorHAnsi" w:hAnsiTheme="minorHAnsi"/>
      <w:sz w:val="20"/>
    </w:rPr>
  </w:style>
  <w:style w:type="paragraph" w:styleId="TOC4">
    <w:name w:val="toc 4"/>
    <w:basedOn w:val="Normal"/>
    <w:next w:val="Normal"/>
    <w:semiHidden/>
    <w:pPr>
      <w:spacing w:before="0"/>
      <w:ind w:left="720"/>
      <w:jc w:val="left"/>
    </w:pPr>
    <w:rPr>
      <w:rFonts w:asciiTheme="minorHAnsi" w:hAnsiTheme="minorHAnsi"/>
      <w:sz w:val="20"/>
    </w:rPr>
  </w:style>
  <w:style w:type="paragraph" w:styleId="TOC5">
    <w:name w:val="toc 5"/>
    <w:basedOn w:val="Normal"/>
    <w:next w:val="Normal"/>
    <w:semiHidden/>
    <w:pPr>
      <w:spacing w:before="0"/>
      <w:ind w:left="960"/>
      <w:jc w:val="left"/>
    </w:pPr>
    <w:rPr>
      <w:rFonts w:asciiTheme="minorHAnsi" w:hAnsiTheme="minorHAnsi"/>
      <w:sz w:val="20"/>
    </w:rPr>
  </w:style>
  <w:style w:type="paragraph" w:styleId="TOC6">
    <w:name w:val="toc 6"/>
    <w:basedOn w:val="Normal"/>
    <w:next w:val="Normal"/>
    <w:autoRedefine/>
    <w:semiHidden/>
    <w:pPr>
      <w:spacing w:before="0"/>
      <w:ind w:left="1200"/>
      <w:jc w:val="left"/>
    </w:pPr>
    <w:rPr>
      <w:rFonts w:asciiTheme="minorHAnsi" w:hAnsiTheme="minorHAnsi"/>
      <w:sz w:val="20"/>
    </w:rPr>
  </w:style>
  <w:style w:type="paragraph" w:styleId="TOC7">
    <w:name w:val="toc 7"/>
    <w:basedOn w:val="Normal"/>
    <w:next w:val="Normal"/>
    <w:autoRedefine/>
    <w:semiHidden/>
    <w:pPr>
      <w:spacing w:before="0"/>
      <w:ind w:left="1440"/>
      <w:jc w:val="left"/>
    </w:pPr>
    <w:rPr>
      <w:rFonts w:asciiTheme="minorHAnsi" w:hAnsiTheme="minorHAnsi"/>
      <w:sz w:val="20"/>
    </w:rPr>
  </w:style>
  <w:style w:type="paragraph" w:styleId="TOC8">
    <w:name w:val="toc 8"/>
    <w:basedOn w:val="Normal"/>
    <w:next w:val="Normal"/>
    <w:autoRedefine/>
    <w:semiHidden/>
    <w:pPr>
      <w:spacing w:before="0"/>
      <w:ind w:left="1680"/>
      <w:jc w:val="left"/>
    </w:pPr>
    <w:rPr>
      <w:rFonts w:asciiTheme="minorHAnsi" w:hAnsiTheme="minorHAnsi"/>
      <w:sz w:val="20"/>
    </w:rPr>
  </w:style>
  <w:style w:type="paragraph" w:styleId="TOC9">
    <w:name w:val="toc 9"/>
    <w:basedOn w:val="Normal"/>
    <w:next w:val="Normal"/>
    <w:autoRedefine/>
    <w:semiHidden/>
    <w:pPr>
      <w:spacing w:before="0"/>
      <w:ind w:left="1920"/>
      <w:jc w:val="left"/>
    </w:pPr>
    <w:rPr>
      <w:rFonts w:asciiTheme="minorHAnsi" w:hAnsiTheme="minorHAns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keepLines/>
      <w:numPr>
        <w:numId w:val="19"/>
      </w:numPr>
      <w:spacing w:before="40"/>
      <w:ind w:left="357" w:hanging="357"/>
      <w:jc w:val="left"/>
    </w:p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styleId="NoSpacing">
    <w:name w:val="No Spacing"/>
    <w:uiPriority w:val="1"/>
    <w:qFormat/>
    <w:pPr>
      <w:jc w:val="both"/>
    </w:pPr>
    <w:rPr>
      <w:sz w:val="22"/>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shd w:val="clear" w:color="DCE6F1" w:fill="DCE6F1"/>
      <w:spacing w:before="100" w:beforeAutospacing="1" w:after="100" w:afterAutospacing="1" w:line="240" w:lineRule="auto"/>
      <w:jc w:val="left"/>
    </w:pPr>
    <w:rPr>
      <w:b/>
      <w:bCs/>
      <w:szCs w:val="24"/>
    </w:rPr>
  </w:style>
  <w:style w:type="paragraph" w:customStyle="1" w:styleId="xl66">
    <w:name w:val="xl66"/>
    <w:basedOn w:val="Normal"/>
    <w:pPr>
      <w:spacing w:before="100" w:beforeAutospacing="1" w:after="100" w:afterAutospacing="1" w:line="240" w:lineRule="auto"/>
      <w:jc w:val="center"/>
    </w:pPr>
    <w:rPr>
      <w:b/>
      <w:bCs/>
      <w:szCs w:val="24"/>
      <w:u w:val="single"/>
    </w:rPr>
  </w:style>
  <w:style w:type="paragraph" w:customStyle="1" w:styleId="xl67">
    <w:name w:val="xl67"/>
    <w:basedOn w:val="Normal"/>
    <w:pPr>
      <w:shd w:val="clear" w:color="4F81BD" w:fill="4F81BD"/>
      <w:spacing w:before="100" w:beforeAutospacing="1" w:after="100" w:afterAutospacing="1" w:line="240" w:lineRule="auto"/>
      <w:jc w:val="center"/>
    </w:pPr>
    <w:rPr>
      <w:b/>
      <w:bCs/>
      <w:color w:val="FFFFFF"/>
      <w:szCs w:val="24"/>
    </w:rPr>
  </w:style>
  <w:style w:type="paragraph" w:customStyle="1" w:styleId="xl68">
    <w:name w:val="xl68"/>
    <w:basedOn w:val="Normal"/>
    <w:pPr>
      <w:spacing w:before="100" w:beforeAutospacing="1" w:after="100" w:afterAutospacing="1" w:line="240" w:lineRule="auto"/>
      <w:jc w:val="center"/>
    </w:pPr>
    <w:rPr>
      <w:szCs w:val="24"/>
    </w:rPr>
  </w:style>
  <w:style w:type="paragraph" w:customStyle="1" w:styleId="xl69">
    <w:name w:val="xl69"/>
    <w:basedOn w:val="Normal"/>
    <w:pPr>
      <w:shd w:val="clear" w:color="DCE6F1" w:fill="DCE6F1"/>
      <w:spacing w:before="100" w:beforeAutospacing="1" w:after="100" w:afterAutospacing="1" w:line="240" w:lineRule="auto"/>
      <w:jc w:val="left"/>
    </w:pPr>
    <w:rPr>
      <w:b/>
      <w:bCs/>
      <w:szCs w:val="24"/>
    </w:rPr>
  </w:style>
  <w:style w:type="paragraph" w:customStyle="1" w:styleId="xl70">
    <w:name w:val="xl70"/>
    <w:basedOn w:val="Normal"/>
    <w:pPr>
      <w:spacing w:before="100" w:beforeAutospacing="1" w:after="100" w:afterAutospacing="1" w:line="240" w:lineRule="auto"/>
      <w:jc w:val="left"/>
    </w:pPr>
    <w:rPr>
      <w:b/>
      <w:bCs/>
      <w:szCs w:val="24"/>
    </w:rPr>
  </w:style>
  <w:style w:type="paragraph" w:customStyle="1" w:styleId="xl71">
    <w:name w:val="xl7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b/>
      <w:bCs/>
      <w:szCs w:val="24"/>
    </w:rPr>
  </w:style>
  <w:style w:type="paragraph" w:customStyle="1" w:styleId="xl72">
    <w:name w:val="xl72"/>
    <w:basedOn w:val="Normal"/>
    <w:pPr>
      <w:spacing w:before="100" w:beforeAutospacing="1" w:after="100" w:afterAutospacing="1" w:line="240" w:lineRule="auto"/>
      <w:jc w:val="left"/>
    </w:pPr>
    <w:rPr>
      <w:b/>
      <w:bCs/>
      <w:szCs w:val="24"/>
    </w:rPr>
  </w:style>
  <w:style w:type="paragraph" w:customStyle="1" w:styleId="xl63">
    <w:name w:val="xl63"/>
    <w:basedOn w:val="Normal"/>
    <w:pPr>
      <w:spacing w:before="100" w:beforeAutospacing="1" w:after="100" w:afterAutospacing="1" w:line="240" w:lineRule="auto"/>
      <w:jc w:val="left"/>
    </w:pPr>
    <w:rPr>
      <w:szCs w:val="24"/>
    </w:rPr>
  </w:style>
  <w:style w:type="paragraph" w:customStyle="1" w:styleId="xl64">
    <w:name w:val="xl64"/>
    <w:basedOn w:val="Normal"/>
    <w:pPr>
      <w:spacing w:before="100" w:beforeAutospacing="1" w:after="100" w:afterAutospacing="1" w:line="240" w:lineRule="auto"/>
      <w:jc w:val="left"/>
    </w:pPr>
    <w:rPr>
      <w:b/>
      <w:bCs/>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character" w:customStyle="1" w:styleId="Heading2Char">
    <w:name w:val="Heading 2 Char"/>
    <w:basedOn w:val="DefaultParagraphFont"/>
    <w:link w:val="Heading2"/>
    <w:rPr>
      <w:b/>
      <w:smallCaps/>
      <w:sz w:val="22"/>
      <w:lang w:eastAsia="fr-FR"/>
    </w:rPr>
  </w:style>
  <w:style w:type="paragraph" w:styleId="Revision">
    <w:name w:val="Revision"/>
    <w:hidden/>
    <w:uiPriority w:val="99"/>
    <w:semiHidden/>
    <w:rPr>
      <w:sz w:val="24"/>
    </w:rPr>
  </w:style>
  <w:style w:type="paragraph" w:customStyle="1" w:styleId="SourceNotes">
    <w:name w:val="Source_Notes"/>
    <w:basedOn w:val="Normal"/>
    <w:qFormat/>
    <w:pPr>
      <w:spacing w:before="60" w:line="252" w:lineRule="auto"/>
      <w:jc w:val="left"/>
    </w:pPr>
    <w:rPr>
      <w:sz w:val="18"/>
      <w:szCs w:val="18"/>
    </w:rPr>
  </w:style>
  <w:style w:type="character" w:customStyle="1" w:styleId="FootnoteTextChar">
    <w:name w:val="Footnote Text Char"/>
    <w:basedOn w:val="DefaultParagraphFont"/>
    <w:link w:val="FootnoteText"/>
    <w:uiPriority w:val="99"/>
    <w:rPr>
      <w:sz w:val="18"/>
      <w:szCs w:val="18"/>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line="240" w:lineRule="auto"/>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DefaultParagraphFont"/>
    <w:link w:val="HeaderCoverPage"/>
    <w:rPr>
      <w:sz w:val="24"/>
    </w:rPr>
  </w:style>
  <w:style w:type="paragraph" w:customStyle="1" w:styleId="Declassification">
    <w:name w:val="Declassification"/>
    <w:basedOn w:val="Normal"/>
    <w:next w:val="Normal"/>
    <w:pPr>
      <w:spacing w:before="0" w:line="240" w:lineRule="auto"/>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before="0" w:after="120" w:line="240" w:lineRule="auto"/>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line="240" w:lineRule="auto"/>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8134">
      <w:bodyDiv w:val="1"/>
      <w:marLeft w:val="0"/>
      <w:marRight w:val="0"/>
      <w:marTop w:val="0"/>
      <w:marBottom w:val="0"/>
      <w:divBdr>
        <w:top w:val="none" w:sz="0" w:space="0" w:color="auto"/>
        <w:left w:val="none" w:sz="0" w:space="0" w:color="auto"/>
        <w:bottom w:val="none" w:sz="0" w:space="0" w:color="auto"/>
        <w:right w:val="none" w:sz="0" w:space="0" w:color="auto"/>
      </w:divBdr>
    </w:div>
    <w:div w:id="197087799">
      <w:bodyDiv w:val="1"/>
      <w:marLeft w:val="0"/>
      <w:marRight w:val="0"/>
      <w:marTop w:val="0"/>
      <w:marBottom w:val="0"/>
      <w:divBdr>
        <w:top w:val="none" w:sz="0" w:space="0" w:color="auto"/>
        <w:left w:val="none" w:sz="0" w:space="0" w:color="auto"/>
        <w:bottom w:val="none" w:sz="0" w:space="0" w:color="auto"/>
        <w:right w:val="none" w:sz="0" w:space="0" w:color="auto"/>
      </w:divBdr>
    </w:div>
    <w:div w:id="260067490">
      <w:bodyDiv w:val="1"/>
      <w:marLeft w:val="0"/>
      <w:marRight w:val="0"/>
      <w:marTop w:val="0"/>
      <w:marBottom w:val="0"/>
      <w:divBdr>
        <w:top w:val="none" w:sz="0" w:space="0" w:color="auto"/>
        <w:left w:val="none" w:sz="0" w:space="0" w:color="auto"/>
        <w:bottom w:val="none" w:sz="0" w:space="0" w:color="auto"/>
        <w:right w:val="none" w:sz="0" w:space="0" w:color="auto"/>
      </w:divBdr>
    </w:div>
    <w:div w:id="288555824">
      <w:bodyDiv w:val="1"/>
      <w:marLeft w:val="0"/>
      <w:marRight w:val="0"/>
      <w:marTop w:val="0"/>
      <w:marBottom w:val="0"/>
      <w:divBdr>
        <w:top w:val="none" w:sz="0" w:space="0" w:color="auto"/>
        <w:left w:val="none" w:sz="0" w:space="0" w:color="auto"/>
        <w:bottom w:val="none" w:sz="0" w:space="0" w:color="auto"/>
        <w:right w:val="none" w:sz="0" w:space="0" w:color="auto"/>
      </w:divBdr>
    </w:div>
    <w:div w:id="429352564">
      <w:bodyDiv w:val="1"/>
      <w:marLeft w:val="0"/>
      <w:marRight w:val="0"/>
      <w:marTop w:val="0"/>
      <w:marBottom w:val="0"/>
      <w:divBdr>
        <w:top w:val="none" w:sz="0" w:space="0" w:color="auto"/>
        <w:left w:val="none" w:sz="0" w:space="0" w:color="auto"/>
        <w:bottom w:val="none" w:sz="0" w:space="0" w:color="auto"/>
        <w:right w:val="none" w:sz="0" w:space="0" w:color="auto"/>
      </w:divBdr>
    </w:div>
    <w:div w:id="455950007">
      <w:bodyDiv w:val="1"/>
      <w:marLeft w:val="0"/>
      <w:marRight w:val="0"/>
      <w:marTop w:val="0"/>
      <w:marBottom w:val="0"/>
      <w:divBdr>
        <w:top w:val="none" w:sz="0" w:space="0" w:color="auto"/>
        <w:left w:val="none" w:sz="0" w:space="0" w:color="auto"/>
        <w:bottom w:val="none" w:sz="0" w:space="0" w:color="auto"/>
        <w:right w:val="none" w:sz="0" w:space="0" w:color="auto"/>
      </w:divBdr>
    </w:div>
    <w:div w:id="589388044">
      <w:bodyDiv w:val="1"/>
      <w:marLeft w:val="0"/>
      <w:marRight w:val="0"/>
      <w:marTop w:val="0"/>
      <w:marBottom w:val="0"/>
      <w:divBdr>
        <w:top w:val="none" w:sz="0" w:space="0" w:color="auto"/>
        <w:left w:val="none" w:sz="0" w:space="0" w:color="auto"/>
        <w:bottom w:val="none" w:sz="0" w:space="0" w:color="auto"/>
        <w:right w:val="none" w:sz="0" w:space="0" w:color="auto"/>
      </w:divBdr>
    </w:div>
    <w:div w:id="753626741">
      <w:bodyDiv w:val="1"/>
      <w:marLeft w:val="0"/>
      <w:marRight w:val="0"/>
      <w:marTop w:val="0"/>
      <w:marBottom w:val="0"/>
      <w:divBdr>
        <w:top w:val="none" w:sz="0" w:space="0" w:color="auto"/>
        <w:left w:val="none" w:sz="0" w:space="0" w:color="auto"/>
        <w:bottom w:val="none" w:sz="0" w:space="0" w:color="auto"/>
        <w:right w:val="none" w:sz="0" w:space="0" w:color="auto"/>
      </w:divBdr>
    </w:div>
    <w:div w:id="857963725">
      <w:bodyDiv w:val="1"/>
      <w:marLeft w:val="0"/>
      <w:marRight w:val="0"/>
      <w:marTop w:val="0"/>
      <w:marBottom w:val="0"/>
      <w:divBdr>
        <w:top w:val="none" w:sz="0" w:space="0" w:color="auto"/>
        <w:left w:val="none" w:sz="0" w:space="0" w:color="auto"/>
        <w:bottom w:val="none" w:sz="0" w:space="0" w:color="auto"/>
        <w:right w:val="none" w:sz="0" w:space="0" w:color="auto"/>
      </w:divBdr>
    </w:div>
    <w:div w:id="1321812403">
      <w:bodyDiv w:val="1"/>
      <w:marLeft w:val="0"/>
      <w:marRight w:val="0"/>
      <w:marTop w:val="0"/>
      <w:marBottom w:val="0"/>
      <w:divBdr>
        <w:top w:val="none" w:sz="0" w:space="0" w:color="auto"/>
        <w:left w:val="none" w:sz="0" w:space="0" w:color="auto"/>
        <w:bottom w:val="none" w:sz="0" w:space="0" w:color="auto"/>
        <w:right w:val="none" w:sz="0" w:space="0" w:color="auto"/>
      </w:divBdr>
    </w:div>
    <w:div w:id="1419861083">
      <w:bodyDiv w:val="1"/>
      <w:marLeft w:val="0"/>
      <w:marRight w:val="0"/>
      <w:marTop w:val="0"/>
      <w:marBottom w:val="0"/>
      <w:divBdr>
        <w:top w:val="none" w:sz="0" w:space="0" w:color="auto"/>
        <w:left w:val="none" w:sz="0" w:space="0" w:color="auto"/>
        <w:bottom w:val="none" w:sz="0" w:space="0" w:color="auto"/>
        <w:right w:val="none" w:sz="0" w:space="0" w:color="auto"/>
      </w:divBdr>
      <w:divsChild>
        <w:div w:id="971249237">
          <w:marLeft w:val="0"/>
          <w:marRight w:val="0"/>
          <w:marTop w:val="0"/>
          <w:marBottom w:val="0"/>
          <w:divBdr>
            <w:top w:val="none" w:sz="0" w:space="0" w:color="auto"/>
            <w:left w:val="none" w:sz="0" w:space="0" w:color="auto"/>
            <w:bottom w:val="none" w:sz="0" w:space="0" w:color="auto"/>
            <w:right w:val="none" w:sz="0" w:space="0" w:color="auto"/>
          </w:divBdr>
          <w:divsChild>
            <w:div w:id="903611387">
              <w:marLeft w:val="0"/>
              <w:marRight w:val="0"/>
              <w:marTop w:val="150"/>
              <w:marBottom w:val="0"/>
              <w:divBdr>
                <w:top w:val="none" w:sz="0" w:space="0" w:color="auto"/>
                <w:left w:val="none" w:sz="0" w:space="0" w:color="auto"/>
                <w:bottom w:val="none" w:sz="0" w:space="0" w:color="auto"/>
                <w:right w:val="none" w:sz="0" w:space="0" w:color="auto"/>
              </w:divBdr>
              <w:divsChild>
                <w:div w:id="1183016235">
                  <w:marLeft w:val="0"/>
                  <w:marRight w:val="0"/>
                  <w:marTop w:val="0"/>
                  <w:marBottom w:val="0"/>
                  <w:divBdr>
                    <w:top w:val="none" w:sz="0" w:space="0" w:color="auto"/>
                    <w:left w:val="none" w:sz="0" w:space="0" w:color="auto"/>
                    <w:bottom w:val="single" w:sz="36" w:space="0" w:color="auto"/>
                    <w:right w:val="none" w:sz="0" w:space="0" w:color="auto"/>
                  </w:divBdr>
                  <w:divsChild>
                    <w:div w:id="16947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57256">
      <w:bodyDiv w:val="1"/>
      <w:marLeft w:val="0"/>
      <w:marRight w:val="0"/>
      <w:marTop w:val="0"/>
      <w:marBottom w:val="0"/>
      <w:divBdr>
        <w:top w:val="none" w:sz="0" w:space="0" w:color="auto"/>
        <w:left w:val="none" w:sz="0" w:space="0" w:color="auto"/>
        <w:bottom w:val="none" w:sz="0" w:space="0" w:color="auto"/>
        <w:right w:val="none" w:sz="0" w:space="0" w:color="auto"/>
      </w:divBdr>
    </w:div>
    <w:div w:id="1547331459">
      <w:bodyDiv w:val="1"/>
      <w:marLeft w:val="0"/>
      <w:marRight w:val="0"/>
      <w:marTop w:val="0"/>
      <w:marBottom w:val="0"/>
      <w:divBdr>
        <w:top w:val="none" w:sz="0" w:space="0" w:color="auto"/>
        <w:left w:val="none" w:sz="0" w:space="0" w:color="auto"/>
        <w:bottom w:val="none" w:sz="0" w:space="0" w:color="auto"/>
        <w:right w:val="none" w:sz="0" w:space="0" w:color="auto"/>
      </w:divBdr>
    </w:div>
    <w:div w:id="1604801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68"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cb.europa.eu/paym/retpaym/paymint/indicators/html/index.en.html" TargetMode="External"/><Relationship Id="rId1" Type="http://schemas.openxmlformats.org/officeDocument/2006/relationships/hyperlink" Target="http://eur-lex.europa.eu/legal-content/FR/ALL/?uri=celex:32012R0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62018-C7BB-4715-BDCE-8403393E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4347</Words>
  <Characters>22173</Characters>
  <Application>Microsoft Office Word</Application>
  <DocSecurity>0</DocSecurity>
  <PresentationFormat>Microsoft Word 14.0</PresentationFormat>
  <Lines>1108</Lines>
  <Paragraphs>697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22</cp:revision>
  <cp:lastPrinted>2017-09-21T07:07:00Z</cp:lastPrinted>
  <dcterms:created xsi:type="dcterms:W3CDTF">2017-09-21T07:06:00Z</dcterms:created>
  <dcterms:modified xsi:type="dcterms:W3CDTF">2017-11-23T09:17:00Z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Alexander J. STEIN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