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966968D-50F7-4B43-9CA5-D1530647DE3E" style="width:450.5pt;height:33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2"/>
          <w:cols w:space="720"/>
          <w:docGrid w:linePitch="326"/>
        </w:sectPr>
      </w:pPr>
    </w:p>
    <w:p>
      <w:pPr>
        <w:spacing w:before="0"/>
        <w:jc w:val="center"/>
        <w:rPr>
          <w:b/>
          <w:smallCaps/>
          <w:noProof/>
          <w:sz w:val="28"/>
          <w:szCs w:val="28"/>
        </w:rPr>
      </w:pPr>
      <w:bookmarkStart w:id="1" w:name="_GoBack"/>
      <w:bookmarkEnd w:id="1"/>
      <w:r>
        <w:rPr>
          <w:b/>
          <w:smallCaps/>
          <w:noProof/>
          <w:sz w:val="28"/>
        </w:rPr>
        <w:lastRenderedPageBreak/>
        <w:t>Доклад до Европейския парламент и Съвета</w:t>
      </w:r>
    </w:p>
    <w:p>
      <w:pPr>
        <w:spacing w:before="0"/>
        <w:jc w:val="center"/>
        <w:rPr>
          <w:rFonts w:ascii="Times New Roman Bold" w:hAnsi="Times New Roman Bold"/>
          <w:b/>
          <w:noProof/>
        </w:rPr>
      </w:pPr>
    </w:p>
    <w:p>
      <w:pPr>
        <w:spacing w:before="0"/>
        <w:jc w:val="center"/>
        <w:rPr>
          <w:noProof/>
        </w:rPr>
      </w:pPr>
      <w:r>
        <w:rPr>
          <w:rFonts w:ascii="Times New Roman Bold" w:hAnsi="Times New Roman Bold"/>
          <w:b/>
          <w:noProof/>
        </w:rPr>
        <w:t>относно прилагането на Регламент (ЕС) № 260/2012 за определяне на технически и бизнес изисквания за кредитни преводи и директни дебити в евро и за изменение на Регламент (ЕО) № 924/2009</w:t>
      </w:r>
    </w:p>
    <w:p>
      <w:pPr>
        <w:pStyle w:val="Heading1"/>
        <w:rPr>
          <w:noProof/>
        </w:rPr>
      </w:pPr>
      <w:r>
        <w:rPr>
          <w:noProof/>
        </w:rPr>
        <w:t>Въведение и кратко изложение</w:t>
      </w:r>
    </w:p>
    <w:p>
      <w:pPr>
        <w:rPr>
          <w:noProof/>
        </w:rPr>
      </w:pPr>
      <w:bookmarkStart w:id="2" w:name="_Toc415757538"/>
      <w:bookmarkStart w:id="3" w:name="_Toc421107921"/>
      <w:bookmarkStart w:id="4" w:name="_Toc421698629"/>
      <w:bookmarkStart w:id="5" w:name="_Toc421714608"/>
      <w:bookmarkStart w:id="6" w:name="_Toc423970783"/>
      <w:bookmarkStart w:id="7" w:name="_Toc430010962"/>
      <w:bookmarkStart w:id="8" w:name="_Ref414452041"/>
      <w:r>
        <w:rPr>
          <w:noProof/>
        </w:rPr>
        <w:t>Регламент (ЕС) № 260/2012</w:t>
      </w:r>
      <w:r>
        <w:rPr>
          <w:rStyle w:val="FootnoteReference"/>
          <w:noProof/>
        </w:rPr>
        <w:footnoteReference w:id="1"/>
      </w:r>
      <w:r>
        <w:rPr>
          <w:noProof/>
        </w:rPr>
        <w:t xml:space="preserve"> за определяне на технически и бизнес изисквания за кредитни преводи и директни дебити в евро и за изменение на Регламент (ЕО) № 924/2009, известен също като </w:t>
      </w:r>
      <w:r>
        <w:rPr>
          <w:i/>
          <w:noProof/>
        </w:rPr>
        <w:t>Регламент за единната зона за плащания в евро (SEPA)</w:t>
      </w:r>
      <w:r>
        <w:rPr>
          <w:noProof/>
        </w:rPr>
        <w:t xml:space="preserve"> или </w:t>
      </w:r>
      <w:r>
        <w:rPr>
          <w:i/>
          <w:noProof/>
        </w:rPr>
        <w:t>Регламент за крайните срокове за преминаване към SEPA</w:t>
      </w:r>
      <w:r>
        <w:rPr>
          <w:noProof/>
        </w:rPr>
        <w:t>, беше приет през 2012 г. и представлява важна стъпка напред към правилното функциониране на вътрешния пазар, тъй като с него се създаде интегриран пазар за електронните плащания в евро, при който не се прави разлика между националните и презграничните плащания.</w:t>
      </w:r>
    </w:p>
    <w:p>
      <w:pPr>
        <w:rPr>
          <w:iCs/>
          <w:noProof/>
        </w:rPr>
      </w:pPr>
      <w:r>
        <w:rPr>
          <w:noProof/>
        </w:rPr>
        <w:t xml:space="preserve">С регламента като краен срок за преминаване към SEPA за еврозоната беше определена датата 1 февруари 2014 г. Месец преди първоначалния краен срок за преминаване крайният срок беше отложен с 6 месеца до 1 август 2014 г., за да се вземат под внимание забавянията при преминаването, отчетени в различни държави членки. Това шестмесечно забавяне беше достатъчно, за да се гарантира плавен преход от установените кредитни преводи и директни дебити в евро към кредитни преводи и директни дебити в рамките на SEPA. </w:t>
      </w:r>
    </w:p>
    <w:p>
      <w:pPr>
        <w:rPr>
          <w:iCs/>
          <w:noProof/>
        </w:rPr>
      </w:pPr>
      <w:r>
        <w:rPr>
          <w:noProof/>
        </w:rPr>
        <w:t>На държавите членки, които не са част еврозоната, беше даден срок до 31 октомври 2016 г. да преминат към кредитни преводи и директни дебити в рамките на SEPA.</w:t>
      </w:r>
    </w:p>
    <w:p>
      <w:pPr>
        <w:rPr>
          <w:i/>
          <w:iCs/>
          <w:noProof/>
        </w:rPr>
      </w:pPr>
      <w:r>
        <w:rPr>
          <w:noProof/>
        </w:rPr>
        <w:t>С член 15 от Регламента за SEPA на Комисията е възложена задачата да представи доклад за прилагането на регламента</w:t>
      </w:r>
      <w:r>
        <w:rPr>
          <w:i/>
          <w:noProof/>
        </w:rPr>
        <w:t>: „До 1 февруари 2017 г. Комисията представя на Европейския парламент, Съвета, Европейския икономически и социален комитет, ЕЦБ и ЕБО доклад за прилагането на настоящия регламент, придружен, когато е целесъобразно, от предложение.“</w:t>
      </w:r>
    </w:p>
    <w:p>
      <w:pPr>
        <w:rPr>
          <w:iCs/>
          <w:noProof/>
        </w:rPr>
      </w:pPr>
      <w:r>
        <w:rPr>
          <w:noProof/>
        </w:rPr>
        <w:t xml:space="preserve">На 15 декември Европейската комисия изпрати на държавите членки въпросник, на който те трябваше да отговорят до 31 януари 2017 г.; той се отнасяше до редица въпроси, свързани с прилагането на регламента, като преминаването на всяка отделна държава членка от установените кредитни преводи и директни дебити към кредитни преводи и директни дебити в рамките на SEPA, използването на вариантите от страна на държавите членки, органите, определени за гарантиране на спазването на регламента, и техните правомощия, или проблемите, които все още може да са налице в ЕС при изпълнението на регламента. </w:t>
      </w:r>
    </w:p>
    <w:p>
      <w:pPr>
        <w:rPr>
          <w:iCs/>
          <w:noProof/>
        </w:rPr>
      </w:pPr>
      <w:r>
        <w:rPr>
          <w:noProof/>
        </w:rPr>
        <w:t>Отговорите на държавите членки бяха използвани като основа за настоящия доклад относно прилагането.</w:t>
      </w:r>
    </w:p>
    <w:p>
      <w:pPr>
        <w:rPr>
          <w:iCs/>
          <w:noProof/>
        </w:rPr>
      </w:pPr>
      <w:r>
        <w:rPr>
          <w:noProof/>
        </w:rPr>
        <w:t>Докладът беше представен и обсъден също така по време на Форума на ЕС на националните координационни комитети по SEPA на 21 април 2017 г. — експертна група на Европейската комисия, която отговаря за наблюдението на прилагането на SEPA в ЕС.</w:t>
      </w:r>
    </w:p>
    <w:p>
      <w:pPr>
        <w:rPr>
          <w:b/>
          <w:iCs/>
          <w:noProof/>
        </w:rPr>
      </w:pPr>
      <w:r>
        <w:rPr>
          <w:b/>
          <w:noProof/>
        </w:rPr>
        <w:t xml:space="preserve">Заключението от този доклад е, че като цяло Регламентът за SEPA се прилага правилно в целия ЕС. На този етап няма нужда от последващо законодателно предложение. Оставащите малко на брой нерешени проблеми (дискриминация, основана на IBAN, и правомощия на компетентните органи) са добре установени и държавите членки търсят решения, които следва да се наблюдават внимателно. Основният проблем, който трябва да се следи отблизо, е дискриминацията, основана на IBAN, от страна на получателите (т.е. налагане на задължение на платците да извършват плащане от платежна сметка, намираща се в определена държава, което противоречи на член 9 от Регламента); броят на случаите е намалял, но все още биха могли да възникнат нови такива. </w:t>
      </w:r>
    </w:p>
    <w:p>
      <w:pPr>
        <w:rPr>
          <w:iCs/>
          <w:noProof/>
        </w:rPr>
      </w:pPr>
      <w:r>
        <w:rPr>
          <w:noProof/>
        </w:rPr>
        <w:t>Проектът за SEPA не приключи със завършването на процеса на преминаване към стандартите за кредитни преводи и директни дебити в рамките на SEPA. Той продължава да е много актуален благодарение на инициативи, които участват в изграждането на единната зона за плащания в евро, като „SCT inst“ — европейски проект за незабавни плащания в евро, който ще стартира през ноември 2017 г., или Мобилен прокси форум — инициатива, насочена към оперативно съвместими решения за мобилни плащания между физически лица в рамките на ЕС, проекти, подкрепяни от Съвета за малки плащания в евро — който се председателства от Европейската централна банка и в който Европейската комисия участва като наблюдател.</w:t>
      </w:r>
    </w:p>
    <w:p>
      <w:pPr>
        <w:pStyle w:val="Heading1"/>
        <w:rPr>
          <w:noProof/>
        </w:rPr>
      </w:pPr>
      <w:r>
        <w:rPr>
          <w:noProof/>
        </w:rPr>
        <w:t xml:space="preserve">Докладване от страна на държавите членки </w:t>
      </w:r>
    </w:p>
    <w:bookmarkEnd w:id="2"/>
    <w:bookmarkEnd w:id="3"/>
    <w:bookmarkEnd w:id="4"/>
    <w:bookmarkEnd w:id="5"/>
    <w:bookmarkEnd w:id="6"/>
    <w:bookmarkEnd w:id="7"/>
    <w:p>
      <w:pPr>
        <w:pStyle w:val="Heading1"/>
        <w:numPr>
          <w:ilvl w:val="1"/>
          <w:numId w:val="3"/>
        </w:numPr>
        <w:rPr>
          <w:noProof/>
        </w:rPr>
      </w:pPr>
      <w:r>
        <w:rPr>
          <w:noProof/>
        </w:rPr>
        <w:t>Преминаване към кредитни преводи и директни дебити в рамките на SEPA</w:t>
      </w:r>
    </w:p>
    <w:bookmarkEnd w:id="8"/>
    <w:p>
      <w:pPr>
        <w:rPr>
          <w:noProof/>
        </w:rPr>
      </w:pPr>
      <w:r>
        <w:rPr>
          <w:noProof/>
        </w:rPr>
        <w:t>Посочените по-долу данни са докладвани от държавите членки и отразяват степента на използване към декември 2016 г. на инструментите на SEPA вместо използваните преди установени кредитни преводи и директни дебити. Данните показват, че в целия ЕС почти всички кредитни преводи и директни дебити в евро вече се извършват в съответствие със стандартите за кредитни преводи и директни дебити в рамките на SEPA (таблици 1 и 2). Необходими са известни усилия, за да се постигне пълно съответствие в малък брой държави членки извън еврозоната, за които като краен срок за преминаване беше определен 31 октомври 2016 г.</w:t>
      </w:r>
    </w:p>
    <w:p>
      <w:pPr>
        <w:rPr>
          <w:noProof/>
        </w:rPr>
      </w:pPr>
      <w:r>
        <w:rPr>
          <w:noProof/>
        </w:rPr>
        <w:t xml:space="preserve">По отношение на директните дебити в рамките на SEPA някои държави членки решиха да преустановят използването на установените директни дебити и да изберат решения, съчетаващи кредитни преводи в рамките на SEPA и електронно фактуриране. В тези случаи доставчиците на платежни услуги може все още да предлагат директни дебити в рамките на SEPA на вътрешния пазар, но те вече не се използват при национални операции, а по-скоро намират приложение при презгранични операции, основно за обслужване на дружества, които се нуждаят от тях при своите презгранични дейности. Всички тези държави са отбелязани с обозначението „не е приложимо — Н/П“ в таблици 2, 5 и 6, въпреки че може да е налице много ограничена употреба на директни дебити в рамките на SEPA. </w:t>
      </w:r>
    </w:p>
    <w:p>
      <w:pPr>
        <w:spacing w:before="0" w:line="240" w:lineRule="auto"/>
        <w:jc w:val="left"/>
        <w:rPr>
          <w:b/>
          <w:noProof/>
          <w:u w:val="single"/>
        </w:rPr>
      </w:pPr>
    </w:p>
    <w:p>
      <w:pPr>
        <w:spacing w:before="0" w:line="240" w:lineRule="auto"/>
        <w:jc w:val="left"/>
        <w:rPr>
          <w:b/>
          <w:noProof/>
          <w:u w:val="single"/>
        </w:rPr>
      </w:pPr>
      <w:r>
        <w:rPr>
          <w:noProof/>
        </w:rPr>
        <w:br w:type="page"/>
      </w:r>
    </w:p>
    <w:p>
      <w:pPr>
        <w:rPr>
          <w:noProof/>
        </w:rPr>
      </w:pPr>
      <w:r>
        <w:rPr>
          <w:b/>
          <w:noProof/>
        </w:rPr>
        <w:t>Таблица 1:</w:t>
      </w:r>
      <w:r>
        <w:rPr>
          <w:noProof/>
        </w:rPr>
        <w:t xml:space="preserve"> Проценти на преминаване към кредитните преводи в рамките на SEPA в края на 2016 г., докладвани от държавите членки </w:t>
      </w:r>
    </w:p>
    <w:tbl>
      <w:tblPr>
        <w:tblStyle w:val="TableGrid"/>
        <w:tblW w:w="0" w:type="auto"/>
        <w:tblInd w:w="392" w:type="dxa"/>
        <w:tblLook w:val="04A0" w:firstRow="1" w:lastRow="0" w:firstColumn="1" w:lastColumn="0" w:noHBand="0" w:noVBand="1"/>
      </w:tblPr>
      <w:tblGrid>
        <w:gridCol w:w="1356"/>
        <w:gridCol w:w="2438"/>
        <w:gridCol w:w="956"/>
        <w:gridCol w:w="1366"/>
        <w:gridCol w:w="2438"/>
      </w:tblGrid>
      <w:tr>
        <w:trPr>
          <w:trHeight w:val="227"/>
        </w:trPr>
        <w:tc>
          <w:tcPr>
            <w:tcW w:w="0" w:type="auto"/>
            <w:vAlign w:val="center"/>
          </w:tcPr>
          <w:p>
            <w:pPr>
              <w:spacing w:before="0"/>
              <w:jc w:val="center"/>
              <w:rPr>
                <w:b/>
                <w:noProof/>
                <w:sz w:val="20"/>
              </w:rPr>
            </w:pPr>
            <w:r>
              <w:rPr>
                <w:b/>
                <w:noProof/>
                <w:sz w:val="20"/>
              </w:rPr>
              <w:t>Еврозона</w:t>
            </w:r>
          </w:p>
        </w:tc>
        <w:tc>
          <w:tcPr>
            <w:tcW w:w="0" w:type="auto"/>
            <w:vAlign w:val="center"/>
          </w:tcPr>
          <w:p>
            <w:pPr>
              <w:spacing w:before="0"/>
              <w:jc w:val="center"/>
              <w:rPr>
                <w:b/>
                <w:noProof/>
                <w:sz w:val="20"/>
              </w:rPr>
            </w:pPr>
            <w:r>
              <w:rPr>
                <w:b/>
                <w:noProof/>
                <w:sz w:val="20"/>
              </w:rPr>
              <w:t>Процент на преминаване към кредитните преводи в рамките на SEPA</w:t>
            </w:r>
          </w:p>
        </w:tc>
        <w:tc>
          <w:tcPr>
            <w:tcW w:w="956" w:type="dxa"/>
            <w:tcBorders>
              <w:top w:val="nil"/>
              <w:bottom w:val="nil"/>
            </w:tcBorders>
            <w:vAlign w:val="center"/>
          </w:tcPr>
          <w:p>
            <w:pPr>
              <w:spacing w:before="0"/>
              <w:jc w:val="center"/>
              <w:rPr>
                <w:b/>
                <w:noProof/>
              </w:rPr>
            </w:pPr>
          </w:p>
        </w:tc>
        <w:tc>
          <w:tcPr>
            <w:tcW w:w="0" w:type="auto"/>
            <w:vAlign w:val="center"/>
          </w:tcPr>
          <w:p>
            <w:pPr>
              <w:spacing w:before="0"/>
              <w:jc w:val="center"/>
              <w:rPr>
                <w:b/>
                <w:noProof/>
                <w:sz w:val="20"/>
              </w:rPr>
            </w:pPr>
            <w:r>
              <w:rPr>
                <w:b/>
                <w:noProof/>
                <w:sz w:val="20"/>
              </w:rPr>
              <w:t>Извън еврозоната</w:t>
            </w:r>
          </w:p>
        </w:tc>
        <w:tc>
          <w:tcPr>
            <w:tcW w:w="0" w:type="auto"/>
            <w:vAlign w:val="center"/>
          </w:tcPr>
          <w:p>
            <w:pPr>
              <w:spacing w:before="0"/>
              <w:jc w:val="center"/>
              <w:rPr>
                <w:b/>
                <w:noProof/>
                <w:sz w:val="20"/>
              </w:rPr>
            </w:pPr>
            <w:r>
              <w:rPr>
                <w:b/>
                <w:noProof/>
                <w:sz w:val="20"/>
              </w:rPr>
              <w:t>Процент на преминаване към кредитните преводи в рамките на SEPA</w:t>
            </w:r>
          </w:p>
        </w:tc>
      </w:tr>
      <w:tr>
        <w:trPr>
          <w:trHeight w:val="227"/>
        </w:trPr>
        <w:tc>
          <w:tcPr>
            <w:tcW w:w="0" w:type="auto"/>
            <w:vAlign w:val="center"/>
          </w:tcPr>
          <w:p>
            <w:pPr>
              <w:spacing w:before="0"/>
              <w:jc w:val="center"/>
              <w:rPr>
                <w:noProof/>
                <w:sz w:val="20"/>
              </w:rPr>
            </w:pPr>
            <w:r>
              <w:rPr>
                <w:noProof/>
                <w:sz w:val="20"/>
              </w:rPr>
              <w:t>Австрия</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България</w:t>
            </w:r>
          </w:p>
        </w:tc>
        <w:tc>
          <w:tcPr>
            <w:tcW w:w="0" w:type="auto"/>
            <w:vAlign w:val="center"/>
          </w:tcPr>
          <w:p>
            <w:pPr>
              <w:spacing w:before="0"/>
              <w:jc w:val="center"/>
              <w:rPr>
                <w:noProof/>
                <w:sz w:val="20"/>
              </w:rPr>
            </w:pPr>
            <w:r>
              <w:rPr>
                <w:noProof/>
                <w:sz w:val="20"/>
              </w:rPr>
              <w:t>64 %</w:t>
            </w:r>
            <w:r>
              <w:rPr>
                <w:rStyle w:val="FootnoteReference"/>
                <w:noProof/>
                <w:sz w:val="20"/>
              </w:rPr>
              <w:footnoteReference w:id="2"/>
            </w:r>
          </w:p>
        </w:tc>
      </w:tr>
      <w:tr>
        <w:trPr>
          <w:trHeight w:val="227"/>
        </w:trPr>
        <w:tc>
          <w:tcPr>
            <w:tcW w:w="0" w:type="auto"/>
            <w:vAlign w:val="center"/>
          </w:tcPr>
          <w:p>
            <w:pPr>
              <w:spacing w:before="0"/>
              <w:jc w:val="center"/>
              <w:rPr>
                <w:noProof/>
                <w:sz w:val="20"/>
              </w:rPr>
            </w:pPr>
            <w:r>
              <w:rPr>
                <w:noProof/>
                <w:sz w:val="20"/>
              </w:rPr>
              <w:t>Белгия</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Хърватия</w:t>
            </w:r>
          </w:p>
        </w:tc>
        <w:tc>
          <w:tcPr>
            <w:tcW w:w="0" w:type="auto"/>
            <w:vAlign w:val="center"/>
          </w:tcPr>
          <w:p>
            <w:pPr>
              <w:spacing w:before="0"/>
              <w:jc w:val="center"/>
              <w:rPr>
                <w:noProof/>
                <w:sz w:val="20"/>
              </w:rPr>
            </w:pPr>
            <w:r>
              <w:rPr>
                <w:noProof/>
                <w:sz w:val="20"/>
              </w:rPr>
              <w:t>100 %</w:t>
            </w:r>
          </w:p>
        </w:tc>
      </w:tr>
      <w:tr>
        <w:trPr>
          <w:trHeight w:val="227"/>
        </w:trPr>
        <w:tc>
          <w:tcPr>
            <w:tcW w:w="0" w:type="auto"/>
            <w:vAlign w:val="center"/>
          </w:tcPr>
          <w:p>
            <w:pPr>
              <w:spacing w:before="0"/>
              <w:jc w:val="center"/>
              <w:rPr>
                <w:noProof/>
                <w:sz w:val="20"/>
              </w:rPr>
            </w:pPr>
            <w:r>
              <w:rPr>
                <w:noProof/>
                <w:sz w:val="20"/>
              </w:rPr>
              <w:t>Кипър</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Чешка република</w:t>
            </w:r>
          </w:p>
        </w:tc>
        <w:tc>
          <w:tcPr>
            <w:tcW w:w="0" w:type="auto"/>
            <w:vAlign w:val="center"/>
          </w:tcPr>
          <w:p>
            <w:pPr>
              <w:spacing w:before="0"/>
              <w:jc w:val="center"/>
              <w:rPr>
                <w:noProof/>
                <w:sz w:val="20"/>
              </w:rPr>
            </w:pPr>
            <w:r>
              <w:rPr>
                <w:noProof/>
                <w:sz w:val="20"/>
              </w:rPr>
              <w:t>100 %</w:t>
            </w:r>
          </w:p>
        </w:tc>
      </w:tr>
      <w:tr>
        <w:trPr>
          <w:trHeight w:val="227"/>
        </w:trPr>
        <w:tc>
          <w:tcPr>
            <w:tcW w:w="0" w:type="auto"/>
            <w:vAlign w:val="center"/>
          </w:tcPr>
          <w:p>
            <w:pPr>
              <w:spacing w:before="0"/>
              <w:jc w:val="center"/>
              <w:rPr>
                <w:noProof/>
                <w:sz w:val="20"/>
              </w:rPr>
            </w:pPr>
            <w:r>
              <w:rPr>
                <w:noProof/>
                <w:sz w:val="20"/>
              </w:rPr>
              <w:t>Естония</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Дания</w:t>
            </w:r>
          </w:p>
        </w:tc>
        <w:tc>
          <w:tcPr>
            <w:tcW w:w="0" w:type="auto"/>
            <w:vAlign w:val="center"/>
          </w:tcPr>
          <w:p>
            <w:pPr>
              <w:spacing w:before="0"/>
              <w:jc w:val="center"/>
              <w:rPr>
                <w:noProof/>
                <w:sz w:val="20"/>
              </w:rPr>
            </w:pPr>
            <w:r>
              <w:rPr>
                <w:noProof/>
                <w:sz w:val="20"/>
              </w:rPr>
              <w:t>100 %</w:t>
            </w:r>
          </w:p>
        </w:tc>
      </w:tr>
      <w:tr>
        <w:trPr>
          <w:trHeight w:val="227"/>
        </w:trPr>
        <w:tc>
          <w:tcPr>
            <w:tcW w:w="0" w:type="auto"/>
            <w:vAlign w:val="center"/>
          </w:tcPr>
          <w:p>
            <w:pPr>
              <w:spacing w:before="0"/>
              <w:jc w:val="center"/>
              <w:rPr>
                <w:noProof/>
                <w:sz w:val="20"/>
              </w:rPr>
            </w:pPr>
            <w:r>
              <w:rPr>
                <w:noProof/>
                <w:sz w:val="20"/>
              </w:rPr>
              <w:t>Финландия</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Унгария</w:t>
            </w:r>
          </w:p>
        </w:tc>
        <w:tc>
          <w:tcPr>
            <w:tcW w:w="0" w:type="auto"/>
            <w:vAlign w:val="center"/>
          </w:tcPr>
          <w:p>
            <w:pPr>
              <w:spacing w:before="0"/>
              <w:jc w:val="center"/>
              <w:rPr>
                <w:noProof/>
                <w:sz w:val="20"/>
              </w:rPr>
            </w:pPr>
            <w:r>
              <w:rPr>
                <w:noProof/>
                <w:sz w:val="20"/>
              </w:rPr>
              <w:t>100 %</w:t>
            </w:r>
          </w:p>
        </w:tc>
      </w:tr>
      <w:tr>
        <w:trPr>
          <w:trHeight w:val="227"/>
        </w:trPr>
        <w:tc>
          <w:tcPr>
            <w:tcW w:w="0" w:type="auto"/>
            <w:vAlign w:val="center"/>
          </w:tcPr>
          <w:p>
            <w:pPr>
              <w:spacing w:before="0"/>
              <w:jc w:val="center"/>
              <w:rPr>
                <w:noProof/>
                <w:sz w:val="20"/>
              </w:rPr>
            </w:pPr>
            <w:r>
              <w:rPr>
                <w:noProof/>
                <w:sz w:val="20"/>
              </w:rPr>
              <w:t>Франция</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Полша</w:t>
            </w:r>
          </w:p>
        </w:tc>
        <w:tc>
          <w:tcPr>
            <w:tcW w:w="0" w:type="auto"/>
            <w:vAlign w:val="center"/>
          </w:tcPr>
          <w:p>
            <w:pPr>
              <w:spacing w:before="0"/>
              <w:jc w:val="center"/>
              <w:rPr>
                <w:noProof/>
                <w:sz w:val="20"/>
              </w:rPr>
            </w:pPr>
            <w:r>
              <w:rPr>
                <w:noProof/>
                <w:sz w:val="20"/>
              </w:rPr>
              <w:t>100 %</w:t>
            </w:r>
          </w:p>
        </w:tc>
      </w:tr>
      <w:tr>
        <w:trPr>
          <w:trHeight w:val="227"/>
        </w:trPr>
        <w:tc>
          <w:tcPr>
            <w:tcW w:w="0" w:type="auto"/>
            <w:vAlign w:val="center"/>
          </w:tcPr>
          <w:p>
            <w:pPr>
              <w:spacing w:before="0"/>
              <w:jc w:val="center"/>
              <w:rPr>
                <w:noProof/>
                <w:sz w:val="20"/>
              </w:rPr>
            </w:pPr>
            <w:r>
              <w:rPr>
                <w:noProof/>
                <w:sz w:val="20"/>
              </w:rPr>
              <w:t>Германия</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Румъния</w:t>
            </w:r>
          </w:p>
        </w:tc>
        <w:tc>
          <w:tcPr>
            <w:tcW w:w="0" w:type="auto"/>
            <w:vAlign w:val="center"/>
          </w:tcPr>
          <w:p>
            <w:pPr>
              <w:spacing w:before="0"/>
              <w:jc w:val="center"/>
              <w:rPr>
                <w:noProof/>
                <w:sz w:val="20"/>
              </w:rPr>
            </w:pPr>
            <w:r>
              <w:rPr>
                <w:noProof/>
                <w:sz w:val="20"/>
              </w:rPr>
              <w:t>Частично съответствие</w:t>
            </w:r>
            <w:r>
              <w:rPr>
                <w:rStyle w:val="FootnoteReference"/>
                <w:noProof/>
                <w:sz w:val="20"/>
              </w:rPr>
              <w:footnoteReference w:id="3"/>
            </w:r>
          </w:p>
        </w:tc>
      </w:tr>
      <w:tr>
        <w:trPr>
          <w:trHeight w:val="227"/>
        </w:trPr>
        <w:tc>
          <w:tcPr>
            <w:tcW w:w="0" w:type="auto"/>
            <w:vAlign w:val="center"/>
          </w:tcPr>
          <w:p>
            <w:pPr>
              <w:spacing w:before="0"/>
              <w:jc w:val="center"/>
              <w:rPr>
                <w:noProof/>
                <w:sz w:val="20"/>
              </w:rPr>
            </w:pPr>
            <w:r>
              <w:rPr>
                <w:noProof/>
                <w:sz w:val="20"/>
              </w:rPr>
              <w:t>Гърция</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tcBorders>
              <w:bottom w:val="single" w:sz="4" w:space="0" w:color="auto"/>
            </w:tcBorders>
            <w:vAlign w:val="center"/>
          </w:tcPr>
          <w:p>
            <w:pPr>
              <w:spacing w:before="0"/>
              <w:jc w:val="center"/>
              <w:rPr>
                <w:noProof/>
                <w:sz w:val="20"/>
              </w:rPr>
            </w:pPr>
            <w:r>
              <w:rPr>
                <w:noProof/>
                <w:sz w:val="20"/>
              </w:rPr>
              <w:t>Швеция</w:t>
            </w:r>
          </w:p>
        </w:tc>
        <w:tc>
          <w:tcPr>
            <w:tcW w:w="0" w:type="auto"/>
            <w:tcBorders>
              <w:bottom w:val="single" w:sz="4" w:space="0" w:color="auto"/>
            </w:tcBorders>
            <w:vAlign w:val="center"/>
          </w:tcPr>
          <w:p>
            <w:pPr>
              <w:spacing w:before="0"/>
              <w:jc w:val="center"/>
              <w:rPr>
                <w:noProof/>
                <w:sz w:val="20"/>
              </w:rPr>
            </w:pPr>
            <w:r>
              <w:rPr>
                <w:noProof/>
                <w:sz w:val="20"/>
              </w:rPr>
              <w:t>100 %</w:t>
            </w:r>
          </w:p>
        </w:tc>
      </w:tr>
      <w:tr>
        <w:trPr>
          <w:trHeight w:val="227"/>
        </w:trPr>
        <w:tc>
          <w:tcPr>
            <w:tcW w:w="0" w:type="auto"/>
            <w:vAlign w:val="center"/>
          </w:tcPr>
          <w:p>
            <w:pPr>
              <w:spacing w:before="0"/>
              <w:jc w:val="center"/>
              <w:rPr>
                <w:noProof/>
                <w:sz w:val="20"/>
              </w:rPr>
            </w:pPr>
            <w:r>
              <w:rPr>
                <w:noProof/>
                <w:sz w:val="20"/>
              </w:rPr>
              <w:t>Ирландия</w:t>
            </w:r>
          </w:p>
        </w:tc>
        <w:tc>
          <w:tcPr>
            <w:tcW w:w="0" w:type="auto"/>
            <w:vAlign w:val="center"/>
          </w:tcPr>
          <w:p>
            <w:pPr>
              <w:spacing w:before="0"/>
              <w:jc w:val="center"/>
              <w:rPr>
                <w:noProof/>
                <w:sz w:val="20"/>
              </w:rPr>
            </w:pPr>
            <w:r>
              <w:rPr>
                <w:noProof/>
                <w:sz w:val="20"/>
              </w:rPr>
              <w:t>100 %</w:t>
            </w:r>
          </w:p>
        </w:tc>
        <w:tc>
          <w:tcPr>
            <w:tcW w:w="956" w:type="dxa"/>
            <w:tcBorders>
              <w:top w:val="nil"/>
              <w:bottom w:val="nil"/>
            </w:tcBorders>
            <w:vAlign w:val="center"/>
          </w:tcPr>
          <w:p>
            <w:pPr>
              <w:spacing w:before="0"/>
              <w:jc w:val="center"/>
              <w:rPr>
                <w:noProof/>
              </w:rPr>
            </w:pPr>
          </w:p>
        </w:tc>
        <w:tc>
          <w:tcPr>
            <w:tcW w:w="0" w:type="auto"/>
            <w:tcBorders>
              <w:bottom w:val="single" w:sz="4" w:space="0" w:color="auto"/>
            </w:tcBorders>
            <w:vAlign w:val="center"/>
          </w:tcPr>
          <w:p>
            <w:pPr>
              <w:spacing w:before="0"/>
              <w:jc w:val="center"/>
              <w:rPr>
                <w:noProof/>
                <w:sz w:val="20"/>
              </w:rPr>
            </w:pPr>
            <w:r>
              <w:rPr>
                <w:noProof/>
                <w:sz w:val="20"/>
              </w:rPr>
              <w:t>Обединено кралство</w:t>
            </w:r>
          </w:p>
        </w:tc>
        <w:tc>
          <w:tcPr>
            <w:tcW w:w="0" w:type="auto"/>
            <w:tcBorders>
              <w:bottom w:val="single" w:sz="4" w:space="0" w:color="auto"/>
            </w:tcBorders>
            <w:vAlign w:val="center"/>
          </w:tcPr>
          <w:p>
            <w:pPr>
              <w:spacing w:before="0"/>
              <w:jc w:val="center"/>
              <w:rPr>
                <w:noProof/>
                <w:sz w:val="20"/>
              </w:rPr>
            </w:pPr>
            <w:r>
              <w:rPr>
                <w:noProof/>
                <w:sz w:val="20"/>
              </w:rPr>
              <w:t>100 %</w:t>
            </w:r>
          </w:p>
        </w:tc>
      </w:tr>
      <w:tr>
        <w:trPr>
          <w:trHeight w:val="227"/>
        </w:trPr>
        <w:tc>
          <w:tcPr>
            <w:tcW w:w="0" w:type="auto"/>
            <w:vAlign w:val="center"/>
          </w:tcPr>
          <w:p>
            <w:pPr>
              <w:spacing w:before="0"/>
              <w:jc w:val="center"/>
              <w:rPr>
                <w:noProof/>
                <w:sz w:val="20"/>
              </w:rPr>
            </w:pPr>
            <w:r>
              <w:rPr>
                <w:noProof/>
                <w:sz w:val="20"/>
              </w:rPr>
              <w:t>Италия</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single" w:sz="4" w:space="0" w:color="auto"/>
              <w:left w:val="nil"/>
              <w:bottom w:val="nil"/>
              <w:right w:val="nil"/>
            </w:tcBorders>
            <w:vAlign w:val="center"/>
          </w:tcPr>
          <w:p>
            <w:pPr>
              <w:spacing w:before="0"/>
              <w:jc w:val="center"/>
              <w:rPr>
                <w:noProof/>
                <w:sz w:val="20"/>
              </w:rPr>
            </w:pPr>
          </w:p>
        </w:tc>
        <w:tc>
          <w:tcPr>
            <w:tcW w:w="0" w:type="auto"/>
            <w:tcBorders>
              <w:top w:val="single" w:sz="4" w:space="0" w:color="auto"/>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Латвия</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Литва</w:t>
            </w:r>
          </w:p>
        </w:tc>
        <w:tc>
          <w:tcPr>
            <w:tcW w:w="0" w:type="auto"/>
            <w:vAlign w:val="center"/>
          </w:tcPr>
          <w:p>
            <w:pPr>
              <w:spacing w:before="0"/>
              <w:jc w:val="center"/>
              <w:rPr>
                <w:noProof/>
                <w:sz w:val="20"/>
              </w:rPr>
            </w:pPr>
            <w:r>
              <w:rPr>
                <w:noProof/>
                <w:sz w:val="20"/>
              </w:rPr>
              <w:t>100 %</w:t>
            </w:r>
            <w:r>
              <w:rPr>
                <w:rStyle w:val="FootnoteReference"/>
                <w:noProof/>
                <w:sz w:val="20"/>
              </w:rPr>
              <w:footnoteReference w:id="4"/>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Люксембург</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Малта</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Нидерландия</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Португалия</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Словакия</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Словения</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rPr>
          <w:trHeight w:val="227"/>
        </w:trPr>
        <w:tc>
          <w:tcPr>
            <w:tcW w:w="0" w:type="auto"/>
            <w:vAlign w:val="center"/>
          </w:tcPr>
          <w:p>
            <w:pPr>
              <w:spacing w:before="0"/>
              <w:jc w:val="center"/>
              <w:rPr>
                <w:noProof/>
                <w:sz w:val="20"/>
              </w:rPr>
            </w:pPr>
            <w:r>
              <w:rPr>
                <w:noProof/>
                <w:sz w:val="20"/>
              </w:rPr>
              <w:t>Испания</w:t>
            </w:r>
          </w:p>
        </w:tc>
        <w:tc>
          <w:tcPr>
            <w:tcW w:w="0" w:type="auto"/>
            <w:vAlign w:val="center"/>
          </w:tcPr>
          <w:p>
            <w:pPr>
              <w:spacing w:before="0"/>
              <w:jc w:val="center"/>
              <w:rPr>
                <w:noProof/>
                <w:sz w:val="20"/>
              </w:rPr>
            </w:pPr>
            <w:r>
              <w:rPr>
                <w:noProof/>
                <w:sz w:val="20"/>
              </w:rPr>
              <w:t>100 %</w:t>
            </w:r>
          </w:p>
        </w:tc>
        <w:tc>
          <w:tcPr>
            <w:tcW w:w="956" w:type="dxa"/>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bl>
    <w:p>
      <w:pPr>
        <w:rPr>
          <w:noProof/>
          <w:u w:val="single"/>
        </w:rPr>
      </w:pPr>
    </w:p>
    <w:p>
      <w:pPr>
        <w:spacing w:before="0" w:line="240" w:lineRule="auto"/>
        <w:jc w:val="left"/>
        <w:rPr>
          <w:b/>
          <w:noProof/>
          <w:u w:val="single"/>
        </w:rPr>
      </w:pPr>
      <w:r>
        <w:rPr>
          <w:noProof/>
        </w:rPr>
        <w:br w:type="page"/>
      </w:r>
    </w:p>
    <w:p>
      <w:pPr>
        <w:rPr>
          <w:noProof/>
        </w:rPr>
      </w:pPr>
      <w:r>
        <w:rPr>
          <w:b/>
          <w:noProof/>
        </w:rPr>
        <w:t>Таблица 2:</w:t>
      </w:r>
      <w:r>
        <w:rPr>
          <w:noProof/>
        </w:rPr>
        <w:t xml:space="preserve"> Проценти на преминаване към директните дебити в рамките на SEPA в края на 2016 г., докладвани от държавите членки </w:t>
      </w:r>
    </w:p>
    <w:tbl>
      <w:tblPr>
        <w:tblStyle w:val="TableGrid"/>
        <w:tblW w:w="0" w:type="auto"/>
        <w:tblInd w:w="392" w:type="dxa"/>
        <w:tblLook w:val="04A0" w:firstRow="1" w:lastRow="0" w:firstColumn="1" w:lastColumn="0" w:noHBand="0" w:noVBand="1"/>
      </w:tblPr>
      <w:tblGrid>
        <w:gridCol w:w="1355"/>
        <w:gridCol w:w="2423"/>
        <w:gridCol w:w="945"/>
        <w:gridCol w:w="1408"/>
        <w:gridCol w:w="2423"/>
      </w:tblGrid>
      <w:tr>
        <w:tc>
          <w:tcPr>
            <w:tcW w:w="0" w:type="auto"/>
            <w:vAlign w:val="center"/>
          </w:tcPr>
          <w:p>
            <w:pPr>
              <w:spacing w:before="0"/>
              <w:jc w:val="center"/>
              <w:rPr>
                <w:b/>
                <w:noProof/>
                <w:sz w:val="20"/>
              </w:rPr>
            </w:pPr>
            <w:r>
              <w:rPr>
                <w:b/>
                <w:noProof/>
                <w:sz w:val="20"/>
              </w:rPr>
              <w:t>Еврозона</w:t>
            </w:r>
          </w:p>
        </w:tc>
        <w:tc>
          <w:tcPr>
            <w:tcW w:w="0" w:type="auto"/>
            <w:vAlign w:val="center"/>
          </w:tcPr>
          <w:p>
            <w:pPr>
              <w:spacing w:before="0"/>
              <w:jc w:val="center"/>
              <w:rPr>
                <w:b/>
                <w:noProof/>
                <w:sz w:val="20"/>
              </w:rPr>
            </w:pPr>
            <w:r>
              <w:rPr>
                <w:b/>
                <w:noProof/>
                <w:sz w:val="20"/>
              </w:rPr>
              <w:t>Процент на преминаване към директните дебити в SEPA</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b/>
                <w:noProof/>
                <w:sz w:val="20"/>
              </w:rPr>
            </w:pPr>
            <w:r>
              <w:rPr>
                <w:b/>
                <w:noProof/>
                <w:sz w:val="20"/>
              </w:rPr>
              <w:t>Извън еврозоната</w:t>
            </w:r>
          </w:p>
        </w:tc>
        <w:tc>
          <w:tcPr>
            <w:tcW w:w="0" w:type="auto"/>
            <w:vAlign w:val="center"/>
          </w:tcPr>
          <w:p>
            <w:pPr>
              <w:spacing w:before="0"/>
              <w:jc w:val="center"/>
              <w:rPr>
                <w:b/>
                <w:noProof/>
                <w:sz w:val="20"/>
              </w:rPr>
            </w:pPr>
            <w:r>
              <w:rPr>
                <w:b/>
                <w:noProof/>
                <w:sz w:val="20"/>
              </w:rPr>
              <w:t>Процент на преминаване към директните дебити в SEPA</w:t>
            </w:r>
          </w:p>
        </w:tc>
      </w:tr>
      <w:tr>
        <w:tc>
          <w:tcPr>
            <w:tcW w:w="0" w:type="auto"/>
            <w:vAlign w:val="center"/>
          </w:tcPr>
          <w:p>
            <w:pPr>
              <w:spacing w:before="0"/>
              <w:jc w:val="center"/>
              <w:rPr>
                <w:noProof/>
                <w:sz w:val="20"/>
              </w:rPr>
            </w:pPr>
            <w:r>
              <w:rPr>
                <w:noProof/>
                <w:sz w:val="20"/>
              </w:rPr>
              <w:t>Австрия</w:t>
            </w:r>
          </w:p>
        </w:tc>
        <w:tc>
          <w:tcPr>
            <w:tcW w:w="0" w:type="auto"/>
            <w:vAlign w:val="center"/>
          </w:tcPr>
          <w:p>
            <w:pPr>
              <w:spacing w:before="0"/>
              <w:jc w:val="center"/>
              <w:rPr>
                <w:noProof/>
                <w:sz w:val="20"/>
              </w:rPr>
            </w:pPr>
            <w:r>
              <w:rPr>
                <w:noProof/>
                <w:sz w:val="20"/>
              </w:rPr>
              <w:t>100 %</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България</w:t>
            </w:r>
          </w:p>
        </w:tc>
        <w:tc>
          <w:tcPr>
            <w:tcW w:w="0" w:type="auto"/>
            <w:vAlign w:val="center"/>
          </w:tcPr>
          <w:p>
            <w:pPr>
              <w:spacing w:before="0"/>
              <w:jc w:val="center"/>
              <w:rPr>
                <w:noProof/>
                <w:sz w:val="20"/>
              </w:rPr>
            </w:pPr>
            <w:r>
              <w:rPr>
                <w:noProof/>
                <w:sz w:val="20"/>
              </w:rPr>
              <w:t>Н/П</w:t>
            </w:r>
            <w:r>
              <w:rPr>
                <w:rStyle w:val="FootnoteReference"/>
                <w:noProof/>
                <w:sz w:val="20"/>
              </w:rPr>
              <w:footnoteReference w:id="5"/>
            </w:r>
          </w:p>
        </w:tc>
      </w:tr>
      <w:tr>
        <w:tc>
          <w:tcPr>
            <w:tcW w:w="0" w:type="auto"/>
            <w:vAlign w:val="center"/>
          </w:tcPr>
          <w:p>
            <w:pPr>
              <w:spacing w:before="0"/>
              <w:jc w:val="center"/>
              <w:rPr>
                <w:noProof/>
                <w:sz w:val="20"/>
              </w:rPr>
            </w:pPr>
            <w:r>
              <w:rPr>
                <w:noProof/>
                <w:sz w:val="20"/>
              </w:rPr>
              <w:t>Белгия</w:t>
            </w:r>
          </w:p>
        </w:tc>
        <w:tc>
          <w:tcPr>
            <w:tcW w:w="0" w:type="auto"/>
            <w:vAlign w:val="center"/>
          </w:tcPr>
          <w:p>
            <w:pPr>
              <w:spacing w:before="0"/>
              <w:jc w:val="center"/>
              <w:rPr>
                <w:noProof/>
                <w:sz w:val="20"/>
              </w:rPr>
            </w:pPr>
            <w:r>
              <w:rPr>
                <w:noProof/>
                <w:sz w:val="20"/>
              </w:rPr>
              <w:t>100 %</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Хърватия</w:t>
            </w:r>
          </w:p>
        </w:tc>
        <w:tc>
          <w:tcPr>
            <w:tcW w:w="0" w:type="auto"/>
            <w:vAlign w:val="center"/>
          </w:tcPr>
          <w:p>
            <w:pPr>
              <w:spacing w:before="0"/>
              <w:jc w:val="center"/>
              <w:rPr>
                <w:noProof/>
                <w:sz w:val="20"/>
              </w:rPr>
            </w:pPr>
            <w:r>
              <w:rPr>
                <w:noProof/>
                <w:sz w:val="20"/>
              </w:rPr>
              <w:t>Н/П</w:t>
            </w:r>
            <w:r>
              <w:rPr>
                <w:rStyle w:val="FootnoteReference"/>
                <w:noProof/>
                <w:sz w:val="20"/>
              </w:rPr>
              <w:footnoteReference w:id="6"/>
            </w:r>
          </w:p>
        </w:tc>
      </w:tr>
      <w:tr>
        <w:tc>
          <w:tcPr>
            <w:tcW w:w="0" w:type="auto"/>
            <w:vAlign w:val="center"/>
          </w:tcPr>
          <w:p>
            <w:pPr>
              <w:spacing w:before="0"/>
              <w:jc w:val="center"/>
              <w:rPr>
                <w:noProof/>
                <w:sz w:val="20"/>
              </w:rPr>
            </w:pPr>
            <w:r>
              <w:rPr>
                <w:noProof/>
                <w:sz w:val="20"/>
              </w:rPr>
              <w:t>Кипър</w:t>
            </w:r>
          </w:p>
        </w:tc>
        <w:tc>
          <w:tcPr>
            <w:tcW w:w="0" w:type="auto"/>
            <w:vAlign w:val="center"/>
          </w:tcPr>
          <w:p>
            <w:pPr>
              <w:spacing w:before="0"/>
              <w:jc w:val="center"/>
              <w:rPr>
                <w:noProof/>
                <w:sz w:val="20"/>
              </w:rPr>
            </w:pPr>
            <w:r>
              <w:rPr>
                <w:noProof/>
                <w:sz w:val="20"/>
              </w:rPr>
              <w:t>100 %</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Чешка република</w:t>
            </w:r>
          </w:p>
        </w:tc>
        <w:tc>
          <w:tcPr>
            <w:tcW w:w="0" w:type="auto"/>
            <w:vAlign w:val="center"/>
          </w:tcPr>
          <w:p>
            <w:pPr>
              <w:spacing w:before="0"/>
              <w:jc w:val="center"/>
              <w:rPr>
                <w:noProof/>
                <w:sz w:val="20"/>
              </w:rPr>
            </w:pPr>
            <w:r>
              <w:rPr>
                <w:noProof/>
                <w:sz w:val="20"/>
              </w:rPr>
              <w:t>100 %</w:t>
            </w:r>
          </w:p>
        </w:tc>
      </w:tr>
      <w:tr>
        <w:tc>
          <w:tcPr>
            <w:tcW w:w="0" w:type="auto"/>
            <w:vAlign w:val="center"/>
          </w:tcPr>
          <w:p>
            <w:pPr>
              <w:spacing w:before="0"/>
              <w:jc w:val="center"/>
              <w:rPr>
                <w:noProof/>
                <w:sz w:val="20"/>
              </w:rPr>
            </w:pPr>
            <w:r>
              <w:rPr>
                <w:noProof/>
                <w:sz w:val="20"/>
              </w:rPr>
              <w:t>Естония</w:t>
            </w:r>
          </w:p>
        </w:tc>
        <w:tc>
          <w:tcPr>
            <w:tcW w:w="0" w:type="auto"/>
            <w:vAlign w:val="center"/>
          </w:tcPr>
          <w:p>
            <w:pPr>
              <w:spacing w:before="0"/>
              <w:jc w:val="center"/>
              <w:rPr>
                <w:noProof/>
                <w:sz w:val="20"/>
              </w:rPr>
            </w:pPr>
            <w:r>
              <w:rPr>
                <w:noProof/>
                <w:sz w:val="20"/>
              </w:rPr>
              <w:t>Н/П</w:t>
            </w:r>
            <w:bookmarkStart w:id="9" w:name="_Ref478377609"/>
            <w:r>
              <w:rPr>
                <w:rStyle w:val="FootnoteReference"/>
                <w:noProof/>
                <w:sz w:val="20"/>
              </w:rPr>
              <w:footnoteReference w:id="7"/>
            </w:r>
            <w:bookmarkEnd w:id="9"/>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Дания</w:t>
            </w:r>
          </w:p>
        </w:tc>
        <w:tc>
          <w:tcPr>
            <w:tcW w:w="0" w:type="auto"/>
            <w:vAlign w:val="center"/>
          </w:tcPr>
          <w:p>
            <w:pPr>
              <w:spacing w:before="0"/>
              <w:jc w:val="center"/>
              <w:rPr>
                <w:noProof/>
                <w:sz w:val="20"/>
              </w:rPr>
            </w:pPr>
            <w:r>
              <w:rPr>
                <w:noProof/>
                <w:sz w:val="20"/>
              </w:rPr>
              <w:t>100 %</w:t>
            </w:r>
          </w:p>
        </w:tc>
      </w:tr>
      <w:tr>
        <w:tc>
          <w:tcPr>
            <w:tcW w:w="0" w:type="auto"/>
            <w:vAlign w:val="center"/>
          </w:tcPr>
          <w:p>
            <w:pPr>
              <w:spacing w:before="0"/>
              <w:jc w:val="center"/>
              <w:rPr>
                <w:noProof/>
                <w:sz w:val="20"/>
              </w:rPr>
            </w:pPr>
            <w:r>
              <w:rPr>
                <w:noProof/>
                <w:sz w:val="20"/>
              </w:rPr>
              <w:t>Финландия</w:t>
            </w:r>
          </w:p>
        </w:tc>
        <w:tc>
          <w:tcPr>
            <w:tcW w:w="0" w:type="auto"/>
            <w:vAlign w:val="center"/>
          </w:tcPr>
          <w:p>
            <w:pPr>
              <w:spacing w:before="0"/>
              <w:jc w:val="center"/>
              <w:rPr>
                <w:noProof/>
                <w:sz w:val="20"/>
              </w:rPr>
            </w:pPr>
            <w:r>
              <w:rPr>
                <w:noProof/>
                <w:sz w:val="20"/>
              </w:rPr>
              <w:t>100 %</w:t>
            </w:r>
            <w:r>
              <w:rPr>
                <w:rStyle w:val="FootnoteReference"/>
                <w:noProof/>
                <w:sz w:val="20"/>
              </w:rPr>
              <w:footnoteReference w:id="8"/>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Унгария</w:t>
            </w:r>
          </w:p>
        </w:tc>
        <w:tc>
          <w:tcPr>
            <w:tcW w:w="0" w:type="auto"/>
            <w:vAlign w:val="center"/>
          </w:tcPr>
          <w:p>
            <w:pPr>
              <w:spacing w:before="0"/>
              <w:jc w:val="center"/>
              <w:rPr>
                <w:noProof/>
                <w:sz w:val="20"/>
              </w:rPr>
            </w:pPr>
            <w:r>
              <w:rPr>
                <w:noProof/>
                <w:sz w:val="20"/>
              </w:rPr>
              <w:t>100 %</w:t>
            </w:r>
            <w:r>
              <w:rPr>
                <w:rStyle w:val="FootnoteReference"/>
                <w:noProof/>
                <w:sz w:val="20"/>
              </w:rPr>
              <w:footnoteReference w:id="9"/>
            </w:r>
          </w:p>
        </w:tc>
      </w:tr>
      <w:tr>
        <w:tc>
          <w:tcPr>
            <w:tcW w:w="0" w:type="auto"/>
            <w:vAlign w:val="center"/>
          </w:tcPr>
          <w:p>
            <w:pPr>
              <w:spacing w:before="0"/>
              <w:jc w:val="center"/>
              <w:rPr>
                <w:noProof/>
                <w:sz w:val="20"/>
              </w:rPr>
            </w:pPr>
            <w:r>
              <w:rPr>
                <w:noProof/>
                <w:sz w:val="20"/>
              </w:rPr>
              <w:t>Франция</w:t>
            </w:r>
          </w:p>
        </w:tc>
        <w:tc>
          <w:tcPr>
            <w:tcW w:w="0" w:type="auto"/>
            <w:vAlign w:val="center"/>
          </w:tcPr>
          <w:p>
            <w:pPr>
              <w:spacing w:before="0"/>
              <w:jc w:val="center"/>
              <w:rPr>
                <w:noProof/>
                <w:sz w:val="20"/>
              </w:rPr>
            </w:pPr>
            <w:r>
              <w:rPr>
                <w:noProof/>
                <w:sz w:val="20"/>
              </w:rPr>
              <w:t>100 %</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Полша</w:t>
            </w:r>
          </w:p>
        </w:tc>
        <w:tc>
          <w:tcPr>
            <w:tcW w:w="0" w:type="auto"/>
            <w:vAlign w:val="center"/>
          </w:tcPr>
          <w:p>
            <w:pPr>
              <w:spacing w:before="0"/>
              <w:jc w:val="center"/>
              <w:rPr>
                <w:noProof/>
                <w:sz w:val="20"/>
              </w:rPr>
            </w:pPr>
            <w:r>
              <w:rPr>
                <w:noProof/>
                <w:sz w:val="20"/>
              </w:rPr>
              <w:t>100 %</w:t>
            </w:r>
          </w:p>
        </w:tc>
      </w:tr>
      <w:tr>
        <w:tc>
          <w:tcPr>
            <w:tcW w:w="0" w:type="auto"/>
            <w:vAlign w:val="center"/>
          </w:tcPr>
          <w:p>
            <w:pPr>
              <w:spacing w:before="0"/>
              <w:jc w:val="center"/>
              <w:rPr>
                <w:noProof/>
                <w:sz w:val="20"/>
              </w:rPr>
            </w:pPr>
            <w:r>
              <w:rPr>
                <w:noProof/>
                <w:sz w:val="20"/>
              </w:rPr>
              <w:t>Германия</w:t>
            </w:r>
          </w:p>
        </w:tc>
        <w:tc>
          <w:tcPr>
            <w:tcW w:w="0" w:type="auto"/>
            <w:vAlign w:val="center"/>
          </w:tcPr>
          <w:p>
            <w:pPr>
              <w:spacing w:before="0"/>
              <w:jc w:val="center"/>
              <w:rPr>
                <w:noProof/>
                <w:sz w:val="20"/>
              </w:rPr>
            </w:pPr>
            <w:r>
              <w:rPr>
                <w:noProof/>
                <w:sz w:val="20"/>
              </w:rPr>
              <w:t>100 %</w:t>
            </w:r>
          </w:p>
        </w:tc>
        <w:tc>
          <w:tcPr>
            <w:tcW w:w="945" w:type="dxa"/>
            <w:tcBorders>
              <w:top w:val="nil"/>
              <w:bottom w:val="nil"/>
            </w:tcBorders>
            <w:vAlign w:val="center"/>
          </w:tcPr>
          <w:p>
            <w:pPr>
              <w:spacing w:before="0"/>
              <w:jc w:val="center"/>
              <w:rPr>
                <w:noProof/>
              </w:rPr>
            </w:pPr>
          </w:p>
        </w:tc>
        <w:tc>
          <w:tcPr>
            <w:tcW w:w="0" w:type="auto"/>
            <w:vAlign w:val="center"/>
          </w:tcPr>
          <w:p>
            <w:pPr>
              <w:spacing w:before="0"/>
              <w:jc w:val="center"/>
              <w:rPr>
                <w:noProof/>
                <w:sz w:val="20"/>
              </w:rPr>
            </w:pPr>
            <w:r>
              <w:rPr>
                <w:noProof/>
                <w:sz w:val="20"/>
              </w:rPr>
              <w:t>Румъния</w:t>
            </w:r>
          </w:p>
        </w:tc>
        <w:tc>
          <w:tcPr>
            <w:tcW w:w="0" w:type="auto"/>
            <w:vAlign w:val="center"/>
          </w:tcPr>
          <w:p>
            <w:pPr>
              <w:spacing w:before="0"/>
              <w:jc w:val="center"/>
              <w:rPr>
                <w:noProof/>
                <w:sz w:val="20"/>
              </w:rPr>
            </w:pPr>
            <w:r>
              <w:rPr>
                <w:noProof/>
                <w:sz w:val="20"/>
              </w:rPr>
              <w:t>100 %</w:t>
            </w:r>
          </w:p>
        </w:tc>
      </w:tr>
      <w:tr>
        <w:tc>
          <w:tcPr>
            <w:tcW w:w="0" w:type="auto"/>
            <w:vAlign w:val="center"/>
          </w:tcPr>
          <w:p>
            <w:pPr>
              <w:spacing w:before="0"/>
              <w:jc w:val="center"/>
              <w:rPr>
                <w:noProof/>
                <w:sz w:val="20"/>
              </w:rPr>
            </w:pPr>
            <w:r>
              <w:rPr>
                <w:noProof/>
                <w:sz w:val="20"/>
              </w:rPr>
              <w:t>Гърция</w:t>
            </w:r>
          </w:p>
        </w:tc>
        <w:tc>
          <w:tcPr>
            <w:tcW w:w="0" w:type="auto"/>
            <w:vAlign w:val="center"/>
          </w:tcPr>
          <w:p>
            <w:pPr>
              <w:spacing w:before="0"/>
              <w:jc w:val="center"/>
              <w:rPr>
                <w:noProof/>
                <w:sz w:val="20"/>
              </w:rPr>
            </w:pPr>
            <w:r>
              <w:rPr>
                <w:noProof/>
                <w:sz w:val="20"/>
              </w:rPr>
              <w:t>100 %</w:t>
            </w:r>
          </w:p>
        </w:tc>
        <w:tc>
          <w:tcPr>
            <w:tcW w:w="945" w:type="dxa"/>
            <w:tcBorders>
              <w:top w:val="nil"/>
              <w:bottom w:val="nil"/>
            </w:tcBorders>
            <w:vAlign w:val="center"/>
          </w:tcPr>
          <w:p>
            <w:pPr>
              <w:spacing w:before="0"/>
              <w:jc w:val="center"/>
              <w:rPr>
                <w:noProof/>
              </w:rPr>
            </w:pPr>
          </w:p>
        </w:tc>
        <w:tc>
          <w:tcPr>
            <w:tcW w:w="0" w:type="auto"/>
            <w:tcBorders>
              <w:bottom w:val="single" w:sz="4" w:space="0" w:color="auto"/>
            </w:tcBorders>
            <w:vAlign w:val="center"/>
          </w:tcPr>
          <w:p>
            <w:pPr>
              <w:spacing w:before="0"/>
              <w:jc w:val="center"/>
              <w:rPr>
                <w:noProof/>
                <w:sz w:val="20"/>
              </w:rPr>
            </w:pPr>
            <w:r>
              <w:rPr>
                <w:noProof/>
                <w:sz w:val="20"/>
              </w:rPr>
              <w:t>Швеция</w:t>
            </w:r>
          </w:p>
        </w:tc>
        <w:tc>
          <w:tcPr>
            <w:tcW w:w="0" w:type="auto"/>
            <w:tcBorders>
              <w:bottom w:val="single" w:sz="4" w:space="0" w:color="auto"/>
            </w:tcBorders>
            <w:vAlign w:val="center"/>
          </w:tcPr>
          <w:p>
            <w:pPr>
              <w:spacing w:before="0"/>
              <w:jc w:val="center"/>
              <w:rPr>
                <w:noProof/>
                <w:sz w:val="20"/>
              </w:rPr>
            </w:pPr>
            <w:r>
              <w:rPr>
                <w:noProof/>
                <w:sz w:val="20"/>
              </w:rPr>
              <w:t>Н/П</w:t>
            </w:r>
            <w:r>
              <w:rPr>
                <w:rStyle w:val="FootnoteReference"/>
                <w:noProof/>
                <w:sz w:val="20"/>
              </w:rPr>
              <w:footnoteReference w:id="10"/>
            </w:r>
          </w:p>
        </w:tc>
      </w:tr>
      <w:tr>
        <w:tc>
          <w:tcPr>
            <w:tcW w:w="0" w:type="auto"/>
            <w:vAlign w:val="center"/>
          </w:tcPr>
          <w:p>
            <w:pPr>
              <w:spacing w:before="0"/>
              <w:jc w:val="center"/>
              <w:rPr>
                <w:noProof/>
                <w:sz w:val="20"/>
              </w:rPr>
            </w:pPr>
            <w:r>
              <w:rPr>
                <w:noProof/>
                <w:sz w:val="20"/>
              </w:rPr>
              <w:t>Ирландия</w:t>
            </w:r>
          </w:p>
        </w:tc>
        <w:tc>
          <w:tcPr>
            <w:tcW w:w="0" w:type="auto"/>
            <w:vAlign w:val="center"/>
          </w:tcPr>
          <w:p>
            <w:pPr>
              <w:spacing w:before="0"/>
              <w:jc w:val="center"/>
              <w:rPr>
                <w:noProof/>
                <w:sz w:val="20"/>
              </w:rPr>
            </w:pPr>
            <w:r>
              <w:rPr>
                <w:noProof/>
                <w:sz w:val="20"/>
              </w:rPr>
              <w:t>100 %</w:t>
            </w:r>
          </w:p>
        </w:tc>
        <w:tc>
          <w:tcPr>
            <w:tcW w:w="945" w:type="dxa"/>
            <w:tcBorders>
              <w:top w:val="nil"/>
              <w:bottom w:val="nil"/>
            </w:tcBorders>
            <w:vAlign w:val="center"/>
          </w:tcPr>
          <w:p>
            <w:pPr>
              <w:spacing w:before="0"/>
              <w:jc w:val="center"/>
              <w:rPr>
                <w:noProof/>
              </w:rPr>
            </w:pPr>
          </w:p>
        </w:tc>
        <w:tc>
          <w:tcPr>
            <w:tcW w:w="0" w:type="auto"/>
            <w:tcBorders>
              <w:bottom w:val="single" w:sz="4" w:space="0" w:color="auto"/>
            </w:tcBorders>
            <w:vAlign w:val="center"/>
          </w:tcPr>
          <w:p>
            <w:pPr>
              <w:spacing w:before="0"/>
              <w:jc w:val="center"/>
              <w:rPr>
                <w:noProof/>
                <w:sz w:val="20"/>
              </w:rPr>
            </w:pPr>
            <w:r>
              <w:rPr>
                <w:noProof/>
                <w:sz w:val="20"/>
              </w:rPr>
              <w:t>Обединено кралство</w:t>
            </w:r>
          </w:p>
        </w:tc>
        <w:tc>
          <w:tcPr>
            <w:tcW w:w="0" w:type="auto"/>
            <w:tcBorders>
              <w:bottom w:val="single" w:sz="4" w:space="0" w:color="auto"/>
            </w:tcBorders>
            <w:vAlign w:val="center"/>
          </w:tcPr>
          <w:p>
            <w:pPr>
              <w:spacing w:before="0"/>
              <w:jc w:val="center"/>
              <w:rPr>
                <w:noProof/>
                <w:sz w:val="20"/>
              </w:rPr>
            </w:pPr>
            <w:r>
              <w:rPr>
                <w:noProof/>
                <w:sz w:val="20"/>
              </w:rPr>
              <w:t>100 %</w:t>
            </w:r>
          </w:p>
        </w:tc>
      </w:tr>
      <w:tr>
        <w:tc>
          <w:tcPr>
            <w:tcW w:w="0" w:type="auto"/>
            <w:vAlign w:val="center"/>
          </w:tcPr>
          <w:p>
            <w:pPr>
              <w:spacing w:before="0"/>
              <w:jc w:val="center"/>
              <w:rPr>
                <w:noProof/>
                <w:sz w:val="20"/>
              </w:rPr>
            </w:pPr>
            <w:r>
              <w:rPr>
                <w:noProof/>
                <w:sz w:val="20"/>
              </w:rPr>
              <w:t>Италия</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single" w:sz="4" w:space="0" w:color="auto"/>
              <w:left w:val="nil"/>
              <w:bottom w:val="nil"/>
              <w:right w:val="nil"/>
            </w:tcBorders>
            <w:vAlign w:val="center"/>
          </w:tcPr>
          <w:p>
            <w:pPr>
              <w:spacing w:before="0"/>
              <w:jc w:val="center"/>
              <w:rPr>
                <w:noProof/>
                <w:sz w:val="20"/>
              </w:rPr>
            </w:pPr>
          </w:p>
        </w:tc>
        <w:tc>
          <w:tcPr>
            <w:tcW w:w="0" w:type="auto"/>
            <w:tcBorders>
              <w:top w:val="single" w:sz="4" w:space="0" w:color="auto"/>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Латвия</w:t>
            </w:r>
          </w:p>
        </w:tc>
        <w:tc>
          <w:tcPr>
            <w:tcW w:w="0" w:type="auto"/>
            <w:vAlign w:val="center"/>
          </w:tcPr>
          <w:p>
            <w:pPr>
              <w:spacing w:before="0"/>
              <w:jc w:val="center"/>
              <w:rPr>
                <w:noProof/>
                <w:sz w:val="20"/>
              </w:rPr>
            </w:pPr>
            <w:r>
              <w:rPr>
                <w:noProof/>
                <w:sz w:val="20"/>
              </w:rPr>
              <w:t>Н/П</w:t>
            </w:r>
            <w:r>
              <w:rPr>
                <w:noProof/>
                <w:sz w:val="20"/>
                <w:vertAlign w:val="superscript"/>
              </w:rPr>
              <w:fldChar w:fldCharType="begin"/>
            </w:r>
            <w:r>
              <w:rPr>
                <w:noProof/>
                <w:sz w:val="20"/>
                <w:vertAlign w:val="superscript"/>
              </w:rPr>
              <w:instrText xml:space="preserve"> NOTEREF _Ref478377609 \h  * MERGEFORMAT </w:instrText>
            </w:r>
            <w:r>
              <w:rPr>
                <w:noProof/>
                <w:sz w:val="20"/>
                <w:vertAlign w:val="superscript"/>
              </w:rPr>
            </w:r>
            <w:r>
              <w:rPr>
                <w:noProof/>
                <w:sz w:val="20"/>
                <w:vertAlign w:val="superscript"/>
              </w:rPr>
              <w:fldChar w:fldCharType="separate"/>
            </w:r>
            <w:r>
              <w:rPr>
                <w:noProof/>
                <w:sz w:val="20"/>
                <w:vertAlign w:val="superscript"/>
              </w:rPr>
              <w:t>7</w:t>
            </w:r>
            <w:r>
              <w:rPr>
                <w:noProof/>
                <w:sz w:val="20"/>
                <w:vertAlign w:val="superscript"/>
              </w:rPr>
              <w:fldChar w:fldCharType="end"/>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Литва</w:t>
            </w:r>
          </w:p>
        </w:tc>
        <w:tc>
          <w:tcPr>
            <w:tcW w:w="0" w:type="auto"/>
            <w:vAlign w:val="center"/>
          </w:tcPr>
          <w:p>
            <w:pPr>
              <w:spacing w:before="0"/>
              <w:jc w:val="center"/>
              <w:rPr>
                <w:noProof/>
                <w:sz w:val="20"/>
              </w:rPr>
            </w:pPr>
            <w:r>
              <w:rPr>
                <w:noProof/>
                <w:sz w:val="20"/>
              </w:rPr>
              <w:t>Н/П</w:t>
            </w:r>
            <w:r>
              <w:rPr>
                <w:noProof/>
                <w:sz w:val="20"/>
                <w:vertAlign w:val="superscript"/>
              </w:rPr>
              <w:fldChar w:fldCharType="begin"/>
            </w:r>
            <w:r>
              <w:rPr>
                <w:noProof/>
                <w:sz w:val="20"/>
                <w:vertAlign w:val="superscript"/>
              </w:rPr>
              <w:instrText xml:space="preserve"> NOTEREF _Ref478377609 \h  * MERGEFORMAT </w:instrText>
            </w:r>
            <w:r>
              <w:rPr>
                <w:noProof/>
                <w:sz w:val="20"/>
                <w:vertAlign w:val="superscript"/>
              </w:rPr>
            </w:r>
            <w:r>
              <w:rPr>
                <w:noProof/>
                <w:sz w:val="20"/>
                <w:vertAlign w:val="superscript"/>
              </w:rPr>
              <w:fldChar w:fldCharType="separate"/>
            </w:r>
            <w:r>
              <w:rPr>
                <w:noProof/>
                <w:sz w:val="20"/>
                <w:vertAlign w:val="superscript"/>
              </w:rPr>
              <w:t>7</w:t>
            </w:r>
            <w:r>
              <w:rPr>
                <w:noProof/>
                <w:sz w:val="20"/>
                <w:vertAlign w:val="superscript"/>
              </w:rPr>
              <w:fldChar w:fldCharType="end"/>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Люксембург</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Малта</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Нидерландия</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Португалия</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Словакия</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Словения</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r>
        <w:tc>
          <w:tcPr>
            <w:tcW w:w="0" w:type="auto"/>
            <w:vAlign w:val="center"/>
          </w:tcPr>
          <w:p>
            <w:pPr>
              <w:spacing w:before="0"/>
              <w:jc w:val="center"/>
              <w:rPr>
                <w:noProof/>
                <w:sz w:val="20"/>
              </w:rPr>
            </w:pPr>
            <w:r>
              <w:rPr>
                <w:noProof/>
                <w:sz w:val="20"/>
              </w:rPr>
              <w:t>Испания</w:t>
            </w:r>
          </w:p>
        </w:tc>
        <w:tc>
          <w:tcPr>
            <w:tcW w:w="0" w:type="auto"/>
            <w:vAlign w:val="center"/>
          </w:tcPr>
          <w:p>
            <w:pPr>
              <w:spacing w:before="0"/>
              <w:jc w:val="center"/>
              <w:rPr>
                <w:noProof/>
                <w:sz w:val="20"/>
              </w:rPr>
            </w:pPr>
            <w:r>
              <w:rPr>
                <w:noProof/>
                <w:sz w:val="20"/>
              </w:rPr>
              <w:t>100 %</w:t>
            </w:r>
          </w:p>
        </w:tc>
        <w:tc>
          <w:tcPr>
            <w:tcW w:w="0" w:type="auto"/>
            <w:tcBorders>
              <w:top w:val="nil"/>
              <w:bottom w:val="nil"/>
              <w:right w:val="nil"/>
            </w:tcBorders>
            <w:vAlign w:val="center"/>
          </w:tcPr>
          <w:p>
            <w:pPr>
              <w:spacing w:before="0"/>
              <w:jc w:val="center"/>
              <w:rPr>
                <w:noProof/>
              </w:rPr>
            </w:pPr>
          </w:p>
        </w:tc>
        <w:tc>
          <w:tcPr>
            <w:tcW w:w="0" w:type="auto"/>
            <w:tcBorders>
              <w:top w:val="nil"/>
              <w:left w:val="nil"/>
              <w:bottom w:val="nil"/>
              <w:right w:val="nil"/>
            </w:tcBorders>
            <w:vAlign w:val="center"/>
          </w:tcPr>
          <w:p>
            <w:pPr>
              <w:spacing w:before="0"/>
              <w:jc w:val="center"/>
              <w:rPr>
                <w:noProof/>
                <w:sz w:val="20"/>
              </w:rPr>
            </w:pPr>
          </w:p>
        </w:tc>
        <w:tc>
          <w:tcPr>
            <w:tcW w:w="0" w:type="auto"/>
            <w:tcBorders>
              <w:top w:val="nil"/>
              <w:left w:val="nil"/>
              <w:bottom w:val="nil"/>
              <w:right w:val="nil"/>
            </w:tcBorders>
            <w:vAlign w:val="center"/>
          </w:tcPr>
          <w:p>
            <w:pPr>
              <w:spacing w:before="0"/>
              <w:jc w:val="center"/>
              <w:rPr>
                <w:noProof/>
                <w:sz w:val="20"/>
              </w:rPr>
            </w:pPr>
          </w:p>
        </w:tc>
      </w:tr>
    </w:tbl>
    <w:p>
      <w:pPr>
        <w:rPr>
          <w:noProof/>
        </w:rPr>
      </w:pPr>
      <w:r>
        <w:rPr>
          <w:noProof/>
        </w:rPr>
        <w:t xml:space="preserve">В таблици 3, 4, 5 и 6 е представен исторически преглед на положението и той показва, че в зависимост от съответната държава членка преминаването към инструментите на SEPA е протекло по подхода на „големия взрив“ (например Естония) или постепенно (например Германия). Същите таблици показват и че шестмесечното забавяне се е оказало необходима стъпка, тъй като процентите на преминаване към инструментите на SEPA, които са били докладвани за януари 2014 г., макар вече доста високи за кредитните преводи в рамките на SEPA, не са били достатъчни, за да се гарантира пълно обработване на плащанията в случай на директни дебити в рамките на SEPA. На 1 февруари 2014 г., когато Регламентът за крайните срокове за преминаване към SEPA е трябвало да влезе в сила, е можело да възникнат неочаквани проблеми с потенциален риск от необработване на плащанията след тази дата. </w:t>
      </w:r>
    </w:p>
    <w:p>
      <w:pPr>
        <w:spacing w:before="0" w:line="240" w:lineRule="auto"/>
        <w:jc w:val="left"/>
        <w:rPr>
          <w:b/>
          <w:noProof/>
          <w:u w:val="single"/>
        </w:rPr>
      </w:pPr>
      <w:r>
        <w:rPr>
          <w:noProof/>
        </w:rPr>
        <w:br w:type="page"/>
      </w:r>
    </w:p>
    <w:p>
      <w:pPr>
        <w:rPr>
          <w:noProof/>
        </w:rPr>
      </w:pPr>
      <w:r>
        <w:rPr>
          <w:b/>
          <w:noProof/>
          <w:u w:val="single"/>
        </w:rPr>
        <w:t>Таблица 3</w:t>
      </w:r>
      <w:r>
        <w:rPr>
          <w:rStyle w:val="FootnoteReference"/>
          <w:b/>
          <w:noProof/>
          <w:u w:val="single"/>
        </w:rPr>
        <w:footnoteReference w:id="11"/>
      </w:r>
      <w:r>
        <w:rPr>
          <w:b/>
          <w:noProof/>
        </w:rPr>
        <w:t>:</w:t>
      </w:r>
      <w:r>
        <w:rPr>
          <w:noProof/>
        </w:rPr>
        <w:t xml:space="preserve"> Изменение на процентите на преминаване към кредитните преводи в рамките на SEPA от 2008 г. досега за държавите членки от еврозоната</w:t>
      </w:r>
    </w:p>
    <w:tbl>
      <w:tblPr>
        <w:tblStyle w:val="TableGrid"/>
        <w:tblW w:w="0" w:type="auto"/>
        <w:tblInd w:w="-34" w:type="dxa"/>
        <w:tblLook w:val="04A0" w:firstRow="1" w:lastRow="0" w:firstColumn="1" w:lastColumn="0" w:noHBand="0" w:noVBand="1"/>
      </w:tblPr>
      <w:tblGrid>
        <w:gridCol w:w="1769"/>
        <w:gridCol w:w="1187"/>
        <w:gridCol w:w="1187"/>
        <w:gridCol w:w="1207"/>
        <w:gridCol w:w="1208"/>
        <w:gridCol w:w="1213"/>
        <w:gridCol w:w="1209"/>
      </w:tblGrid>
      <w:tr>
        <w:tc>
          <w:tcPr>
            <w:tcW w:w="1769" w:type="dxa"/>
            <w:vAlign w:val="center"/>
          </w:tcPr>
          <w:p>
            <w:pPr>
              <w:spacing w:before="0"/>
              <w:jc w:val="center"/>
              <w:rPr>
                <w:b/>
                <w:noProof/>
                <w:sz w:val="20"/>
              </w:rPr>
            </w:pPr>
            <w:r>
              <w:rPr>
                <w:b/>
                <w:noProof/>
                <w:sz w:val="20"/>
              </w:rPr>
              <w:t>Еврозона</w:t>
            </w:r>
          </w:p>
        </w:tc>
        <w:tc>
          <w:tcPr>
            <w:tcW w:w="1187" w:type="dxa"/>
            <w:tcBorders>
              <w:top w:val="single" w:sz="4" w:space="0" w:color="auto"/>
              <w:bottom w:val="single" w:sz="4" w:space="0" w:color="auto"/>
            </w:tcBorders>
            <w:vAlign w:val="center"/>
          </w:tcPr>
          <w:p>
            <w:pPr>
              <w:spacing w:before="0"/>
              <w:jc w:val="center"/>
              <w:rPr>
                <w:b/>
                <w:noProof/>
                <w:sz w:val="20"/>
              </w:rPr>
            </w:pPr>
            <w:r>
              <w:rPr>
                <w:b/>
                <w:noProof/>
                <w:sz w:val="20"/>
              </w:rPr>
              <w:t>Втората половина на 2008 г.</w:t>
            </w:r>
          </w:p>
        </w:tc>
        <w:tc>
          <w:tcPr>
            <w:tcW w:w="1187" w:type="dxa"/>
            <w:tcBorders>
              <w:top w:val="single" w:sz="4" w:space="0" w:color="auto"/>
              <w:bottom w:val="single" w:sz="4" w:space="0" w:color="auto"/>
            </w:tcBorders>
            <w:vAlign w:val="center"/>
          </w:tcPr>
          <w:p>
            <w:pPr>
              <w:spacing w:before="0"/>
              <w:jc w:val="center"/>
              <w:rPr>
                <w:b/>
                <w:noProof/>
                <w:sz w:val="20"/>
              </w:rPr>
            </w:pPr>
            <w:r>
              <w:rPr>
                <w:b/>
                <w:noProof/>
                <w:sz w:val="20"/>
              </w:rPr>
              <w:t>Втората половина на 2011 г.</w:t>
            </w:r>
          </w:p>
        </w:tc>
        <w:tc>
          <w:tcPr>
            <w:tcW w:w="1207" w:type="dxa"/>
            <w:tcBorders>
              <w:top w:val="single" w:sz="4" w:space="0" w:color="auto"/>
              <w:bottom w:val="single" w:sz="4" w:space="0" w:color="auto"/>
            </w:tcBorders>
            <w:vAlign w:val="center"/>
          </w:tcPr>
          <w:p>
            <w:pPr>
              <w:tabs>
                <w:tab w:val="left" w:pos="269"/>
                <w:tab w:val="center" w:pos="514"/>
              </w:tabs>
              <w:spacing w:before="0"/>
              <w:jc w:val="center"/>
              <w:rPr>
                <w:b/>
                <w:noProof/>
                <w:sz w:val="20"/>
              </w:rPr>
            </w:pPr>
            <w:r>
              <w:rPr>
                <w:b/>
                <w:noProof/>
                <w:sz w:val="20"/>
              </w:rPr>
              <w:t>Януари 2014 г.</w:t>
            </w:r>
          </w:p>
        </w:tc>
        <w:tc>
          <w:tcPr>
            <w:tcW w:w="1208" w:type="dxa"/>
            <w:tcBorders>
              <w:top w:val="single" w:sz="4" w:space="0" w:color="auto"/>
              <w:bottom w:val="single" w:sz="4" w:space="0" w:color="auto"/>
            </w:tcBorders>
            <w:shd w:val="clear" w:color="auto" w:fill="FFC000"/>
            <w:vAlign w:val="center"/>
          </w:tcPr>
          <w:p>
            <w:pPr>
              <w:spacing w:before="0"/>
              <w:jc w:val="center"/>
              <w:rPr>
                <w:b/>
                <w:noProof/>
                <w:sz w:val="20"/>
              </w:rPr>
            </w:pPr>
            <w:r>
              <w:rPr>
                <w:b/>
                <w:noProof/>
                <w:sz w:val="20"/>
              </w:rPr>
              <w:t>Февруари 2014 г.</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b/>
                <w:noProof/>
                <w:sz w:val="20"/>
              </w:rPr>
            </w:pPr>
            <w:r>
              <w:rPr>
                <w:b/>
                <w:noProof/>
                <w:sz w:val="20"/>
              </w:rPr>
              <w:t>Август 2014 г.</w:t>
            </w:r>
          </w:p>
        </w:tc>
        <w:tc>
          <w:tcPr>
            <w:tcW w:w="1209" w:type="dxa"/>
            <w:tcBorders>
              <w:top w:val="single" w:sz="4" w:space="0" w:color="auto"/>
              <w:bottom w:val="single" w:sz="4" w:space="0" w:color="auto"/>
            </w:tcBorders>
            <w:vAlign w:val="center"/>
          </w:tcPr>
          <w:p>
            <w:pPr>
              <w:spacing w:before="0"/>
              <w:jc w:val="center"/>
              <w:rPr>
                <w:b/>
                <w:noProof/>
                <w:sz w:val="20"/>
              </w:rPr>
            </w:pPr>
            <w:r>
              <w:rPr>
                <w:b/>
                <w:noProof/>
                <w:sz w:val="20"/>
              </w:rPr>
              <w:t>Декември 2016 г.</w:t>
            </w:r>
          </w:p>
        </w:tc>
      </w:tr>
      <w:tr>
        <w:tc>
          <w:tcPr>
            <w:tcW w:w="1769" w:type="dxa"/>
            <w:vAlign w:val="center"/>
          </w:tcPr>
          <w:p>
            <w:pPr>
              <w:spacing w:before="0"/>
              <w:jc w:val="center"/>
              <w:rPr>
                <w:noProof/>
                <w:sz w:val="20"/>
              </w:rPr>
            </w:pPr>
            <w:r>
              <w:rPr>
                <w:noProof/>
                <w:sz w:val="20"/>
              </w:rPr>
              <w:t>Австрия</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1,44 %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11,89 %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66,2 %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74,95 %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90 %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Белгия</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2,76 %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44,79 %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86,79 %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95,64 %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Кипър</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29,85 %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60,06 %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100 %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100 %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Естония</w:t>
            </w:r>
          </w:p>
        </w:tc>
        <w:tc>
          <w:tcPr>
            <w:tcW w:w="1187" w:type="dxa"/>
            <w:tcBorders>
              <w:top w:val="single" w:sz="4" w:space="0" w:color="auto"/>
              <w:bottom w:val="single" w:sz="4" w:space="0" w:color="auto"/>
            </w:tcBorders>
            <w:vAlign w:val="center"/>
          </w:tcPr>
          <w:p>
            <w:pPr>
              <w:spacing w:before="0"/>
              <w:jc w:val="center"/>
              <w:rPr>
                <w:noProof/>
                <w:sz w:val="20"/>
              </w:rPr>
            </w:pP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0,95 %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2,65 %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99,7 %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Финландия</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1,35 %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67,57 %</w:t>
            </w:r>
          </w:p>
        </w:tc>
        <w:tc>
          <w:tcPr>
            <w:tcW w:w="1207" w:type="dxa"/>
            <w:tcBorders>
              <w:top w:val="single" w:sz="4" w:space="0" w:color="auto"/>
              <w:bottom w:val="single" w:sz="4" w:space="0" w:color="auto"/>
            </w:tcBorders>
            <w:vAlign w:val="center"/>
          </w:tcPr>
          <w:p>
            <w:pPr>
              <w:spacing w:before="0"/>
              <w:jc w:val="center"/>
              <w:rPr>
                <w:noProof/>
              </w:rPr>
            </w:pPr>
            <w:r>
              <w:rPr>
                <w:noProof/>
                <w:sz w:val="20"/>
              </w:rPr>
              <w:t>100 %</w:t>
            </w:r>
          </w:p>
        </w:tc>
        <w:tc>
          <w:tcPr>
            <w:tcW w:w="1208" w:type="dxa"/>
            <w:tcBorders>
              <w:top w:val="single" w:sz="4" w:space="0" w:color="auto"/>
              <w:bottom w:val="single" w:sz="4" w:space="0" w:color="auto"/>
            </w:tcBorders>
            <w:shd w:val="clear" w:color="auto" w:fill="FFC000"/>
            <w:vAlign w:val="center"/>
          </w:tcPr>
          <w:p>
            <w:pPr>
              <w:spacing w:before="0"/>
              <w:jc w:val="center"/>
              <w:rPr>
                <w:noProof/>
              </w:rPr>
            </w:pPr>
            <w:r>
              <w:rPr>
                <w:noProof/>
                <w:sz w:val="20"/>
              </w:rPr>
              <w:t>100 %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Франция</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0,58 %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24,72 %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84,0 %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91,7 %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Германия</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0,29 %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5,56 %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58,51 %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77,85 %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Гърция</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0,54 %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1,71 %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81,53 %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83,12 %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99,38 %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Ирландия</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0,19 %</w:t>
            </w:r>
          </w:p>
        </w:tc>
        <w:tc>
          <w:tcPr>
            <w:tcW w:w="1187" w:type="dxa"/>
            <w:tcBorders>
              <w:top w:val="single" w:sz="4" w:space="0" w:color="auto"/>
              <w:bottom w:val="single" w:sz="4" w:space="0" w:color="auto"/>
            </w:tcBorders>
            <w:vAlign w:val="center"/>
          </w:tcPr>
          <w:p>
            <w:pPr>
              <w:spacing w:before="0"/>
              <w:jc w:val="center"/>
              <w:rPr>
                <w:noProof/>
                <w:sz w:val="20"/>
              </w:rPr>
            </w:pPr>
            <w:r>
              <w:rPr>
                <w:noProof/>
                <w:sz w:val="20"/>
              </w:rPr>
              <w:t>2,34 %</w:t>
            </w:r>
          </w:p>
        </w:tc>
        <w:tc>
          <w:tcPr>
            <w:tcW w:w="1207" w:type="dxa"/>
            <w:tcBorders>
              <w:top w:val="single" w:sz="4" w:space="0" w:color="auto"/>
              <w:bottom w:val="single" w:sz="4" w:space="0" w:color="auto"/>
            </w:tcBorders>
            <w:vAlign w:val="center"/>
          </w:tcPr>
          <w:p>
            <w:pPr>
              <w:spacing w:before="0"/>
              <w:jc w:val="center"/>
              <w:rPr>
                <w:noProof/>
                <w:sz w:val="20"/>
              </w:rPr>
            </w:pPr>
            <w:r>
              <w:rPr>
                <w:noProof/>
                <w:sz w:val="20"/>
              </w:rPr>
              <w:t>60,89 %</w:t>
            </w: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r>
              <w:rPr>
                <w:noProof/>
                <w:sz w:val="20"/>
              </w:rPr>
              <w:t>90,61 %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Италия</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0,73 %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10,62 %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61,49 %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89,86 %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Латвия</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100 %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Литва</w:t>
            </w:r>
            <w:r>
              <w:rPr>
                <w:rStyle w:val="FootnoteReference"/>
                <w:noProof/>
                <w:sz w:val="20"/>
              </w:rPr>
              <w:footnoteReference w:id="12"/>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Люксембург</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85,76 %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90,27 %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96,3 %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96,3 %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97,81 %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Малта</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3,28 %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9,71 %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68,72 %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80,16 %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Нидерландия</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0,15 %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0,88 %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86,38 %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91,75 %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99,08 %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Португалия</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0,68 %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1,48 %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89,16 %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92,32 %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98,91 %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Словакия</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0 %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1,03 %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100 %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Словения</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0,1 %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55,74 %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99,3 %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99,36 %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Испания</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r>
              <w:rPr>
                <w:noProof/>
                <w:sz w:val="20"/>
              </w:rPr>
              <w:t>1,51 %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31,77 %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82,71 %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r>
              <w:rPr>
                <w:noProof/>
                <w:sz w:val="20"/>
              </w:rPr>
              <w:t>90,5 %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r>
              <w:rPr>
                <w:noProof/>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bl>
    <w:p>
      <w:pPr>
        <w:rPr>
          <w:noProof/>
        </w:rPr>
      </w:pPr>
      <w:r>
        <w:rPr>
          <w:noProof/>
        </w:rPr>
        <w:t xml:space="preserve">Данните за февруари 2014 г. и август 2014 г. са маркирани, тъй като представят разликите в процентите на преминаване между първоначалния краен срок и действителния краен срок, който през януари 2014 г. беше отложен с шест месеца от февруари на август 2014 г. </w:t>
      </w:r>
    </w:p>
    <w:p>
      <w:pPr>
        <w:rPr>
          <w:noProof/>
        </w:rPr>
      </w:pPr>
      <w:r>
        <w:rPr>
          <w:noProof/>
        </w:rPr>
        <w:t xml:space="preserve">За държавите членки, които не са част от еврозоната, Регламентът за SEPA изискваше преминаване към SEPA до 31 октомври 2016 г., както е посочено в член 16, параграф 8 от този регламент: </w:t>
      </w:r>
      <w:r>
        <w:rPr>
          <w:i/>
          <w:noProof/>
        </w:rPr>
        <w:t>„Доставчиците на платежни услуги, разположени в държава членка, която не е приела еврото за своя парична единица, и ползвателите на платежни услуги, използващи платежна услуга в такава държава членка, започват да спазват изискванията на членове 4 и 5 най-късно от 31 октомври 2016 г. Операторите на платежни системи за малки плащания за държава членка, която не е приела еврото за своя парична единица, започват да спазват изискванията на член 4, параграф 2 най-късно от 31 октомври 2016 г.“</w:t>
      </w:r>
    </w:p>
    <w:p>
      <w:pPr>
        <w:spacing w:before="0" w:line="240" w:lineRule="auto"/>
        <w:jc w:val="left"/>
        <w:rPr>
          <w:b/>
          <w:noProof/>
          <w:u w:val="single"/>
        </w:rPr>
      </w:pPr>
    </w:p>
    <w:p>
      <w:pPr>
        <w:rPr>
          <w:noProof/>
        </w:rPr>
      </w:pPr>
      <w:r>
        <w:rPr>
          <w:b/>
          <w:noProof/>
        </w:rPr>
        <w:t>Таблица 4:</w:t>
      </w:r>
      <w:r>
        <w:rPr>
          <w:noProof/>
        </w:rPr>
        <w:t xml:space="preserve"> Изменение на процентите на преминаване към кредитните преводи в рамките на SEPA през 2015 г. и 2016 г. за държавите членки извън еврозоната</w:t>
      </w:r>
    </w:p>
    <w:tbl>
      <w:tblPr>
        <w:tblStyle w:val="TableGrid"/>
        <w:tblW w:w="0" w:type="auto"/>
        <w:tblInd w:w="-34" w:type="dxa"/>
        <w:tblLook w:val="04A0" w:firstRow="1" w:lastRow="0" w:firstColumn="1" w:lastColumn="0" w:noHBand="0" w:noVBand="1"/>
      </w:tblPr>
      <w:tblGrid>
        <w:gridCol w:w="1854"/>
        <w:gridCol w:w="1245"/>
        <w:gridCol w:w="1261"/>
        <w:gridCol w:w="1261"/>
        <w:gridCol w:w="1924"/>
      </w:tblGrid>
      <w:tr>
        <w:tc>
          <w:tcPr>
            <w:tcW w:w="1854" w:type="dxa"/>
          </w:tcPr>
          <w:p>
            <w:pPr>
              <w:spacing w:before="0"/>
              <w:jc w:val="center"/>
              <w:rPr>
                <w:b/>
                <w:noProof/>
                <w:sz w:val="20"/>
              </w:rPr>
            </w:pPr>
            <w:r>
              <w:rPr>
                <w:b/>
                <w:noProof/>
                <w:sz w:val="20"/>
              </w:rPr>
              <w:t>Извън еврозоната</w:t>
            </w:r>
          </w:p>
        </w:tc>
        <w:tc>
          <w:tcPr>
            <w:tcW w:w="1245" w:type="dxa"/>
            <w:tcBorders>
              <w:top w:val="single" w:sz="4" w:space="0" w:color="auto"/>
              <w:bottom w:val="single" w:sz="4" w:space="0" w:color="auto"/>
            </w:tcBorders>
          </w:tcPr>
          <w:p>
            <w:pPr>
              <w:spacing w:before="0"/>
              <w:jc w:val="center"/>
              <w:rPr>
                <w:b/>
                <w:noProof/>
                <w:sz w:val="20"/>
              </w:rPr>
            </w:pPr>
            <w:r>
              <w:rPr>
                <w:b/>
                <w:noProof/>
                <w:sz w:val="20"/>
              </w:rPr>
              <w:t>Втората половина на 2015 г.</w:t>
            </w:r>
          </w:p>
        </w:tc>
        <w:tc>
          <w:tcPr>
            <w:tcW w:w="1245" w:type="dxa"/>
            <w:tcBorders>
              <w:top w:val="single" w:sz="4" w:space="0" w:color="auto"/>
              <w:bottom w:val="single" w:sz="4" w:space="0" w:color="auto"/>
            </w:tcBorders>
          </w:tcPr>
          <w:p>
            <w:pPr>
              <w:spacing w:before="0"/>
              <w:jc w:val="center"/>
              <w:rPr>
                <w:b/>
                <w:noProof/>
                <w:sz w:val="20"/>
              </w:rPr>
            </w:pPr>
            <w:r>
              <w:rPr>
                <w:b/>
                <w:noProof/>
                <w:sz w:val="20"/>
              </w:rPr>
              <w:t>Първо тримесечие на 2016 г.</w:t>
            </w:r>
          </w:p>
        </w:tc>
        <w:tc>
          <w:tcPr>
            <w:tcW w:w="1245" w:type="dxa"/>
            <w:tcBorders>
              <w:top w:val="single" w:sz="4" w:space="0" w:color="auto"/>
              <w:bottom w:val="single" w:sz="4" w:space="0" w:color="auto"/>
            </w:tcBorders>
          </w:tcPr>
          <w:p>
            <w:pPr>
              <w:tabs>
                <w:tab w:val="left" w:pos="269"/>
                <w:tab w:val="center" w:pos="514"/>
              </w:tabs>
              <w:spacing w:before="0"/>
              <w:jc w:val="center"/>
              <w:rPr>
                <w:b/>
                <w:noProof/>
                <w:sz w:val="20"/>
              </w:rPr>
            </w:pPr>
            <w:r>
              <w:rPr>
                <w:b/>
                <w:noProof/>
                <w:sz w:val="20"/>
              </w:rPr>
              <w:t>Второ тримесечие на 2016 г.</w:t>
            </w:r>
          </w:p>
        </w:tc>
        <w:tc>
          <w:tcPr>
            <w:tcW w:w="1924" w:type="dxa"/>
            <w:tcBorders>
              <w:top w:val="single" w:sz="4" w:space="0" w:color="auto"/>
              <w:bottom w:val="single" w:sz="4" w:space="0" w:color="auto"/>
            </w:tcBorders>
            <w:shd w:val="clear" w:color="auto" w:fill="E5B8B7" w:themeFill="accent2" w:themeFillTint="66"/>
          </w:tcPr>
          <w:p>
            <w:pPr>
              <w:spacing w:before="0"/>
              <w:jc w:val="center"/>
              <w:rPr>
                <w:b/>
                <w:noProof/>
                <w:sz w:val="20"/>
              </w:rPr>
            </w:pPr>
            <w:r>
              <w:rPr>
                <w:b/>
                <w:noProof/>
                <w:sz w:val="20"/>
              </w:rPr>
              <w:t>Декември 2016 г.</w:t>
            </w:r>
          </w:p>
        </w:tc>
      </w:tr>
      <w:tr>
        <w:tc>
          <w:tcPr>
            <w:tcW w:w="1854" w:type="dxa"/>
          </w:tcPr>
          <w:p>
            <w:pPr>
              <w:spacing w:before="0"/>
              <w:jc w:val="center"/>
              <w:rPr>
                <w:noProof/>
                <w:sz w:val="20"/>
              </w:rPr>
            </w:pPr>
            <w:r>
              <w:rPr>
                <w:noProof/>
                <w:sz w:val="20"/>
              </w:rPr>
              <w:t>България</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59,21 %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60,7 %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61,9 %</w:t>
            </w:r>
          </w:p>
        </w:tc>
        <w:tc>
          <w:tcPr>
            <w:tcW w:w="1924" w:type="dxa"/>
            <w:tcBorders>
              <w:top w:val="single" w:sz="4" w:space="0" w:color="auto"/>
              <w:bottom w:val="single" w:sz="4" w:space="0" w:color="auto"/>
            </w:tcBorders>
            <w:shd w:val="clear" w:color="auto" w:fill="E5B8B7" w:themeFill="accent2" w:themeFillTint="66"/>
            <w:vAlign w:val="bottom"/>
          </w:tcPr>
          <w:p>
            <w:pPr>
              <w:spacing w:before="0"/>
              <w:jc w:val="center"/>
              <w:rPr>
                <w:noProof/>
                <w:sz w:val="20"/>
              </w:rPr>
            </w:pPr>
            <w:r>
              <w:rPr>
                <w:noProof/>
                <w:sz w:val="20"/>
              </w:rPr>
              <w:t>100 %</w:t>
            </w:r>
          </w:p>
        </w:tc>
      </w:tr>
      <w:tr>
        <w:tc>
          <w:tcPr>
            <w:tcW w:w="1854" w:type="dxa"/>
          </w:tcPr>
          <w:p>
            <w:pPr>
              <w:spacing w:before="0"/>
              <w:jc w:val="center"/>
              <w:rPr>
                <w:noProof/>
                <w:sz w:val="20"/>
              </w:rPr>
            </w:pPr>
            <w:r>
              <w:rPr>
                <w:noProof/>
                <w:sz w:val="20"/>
              </w:rPr>
              <w:t>Хърватия</w:t>
            </w:r>
          </w:p>
        </w:tc>
        <w:tc>
          <w:tcPr>
            <w:tcW w:w="1245" w:type="dxa"/>
            <w:tcBorders>
              <w:top w:val="single" w:sz="4" w:space="0" w:color="auto"/>
              <w:bottom w:val="single" w:sz="4" w:space="0" w:color="auto"/>
            </w:tcBorders>
            <w:vAlign w:val="bottom"/>
          </w:tcPr>
          <w:p>
            <w:pPr>
              <w:spacing w:before="0"/>
              <w:jc w:val="center"/>
              <w:rPr>
                <w:noProof/>
                <w:sz w:val="20"/>
              </w:rPr>
            </w:pPr>
          </w:p>
        </w:tc>
        <w:tc>
          <w:tcPr>
            <w:tcW w:w="1245" w:type="dxa"/>
            <w:tcBorders>
              <w:top w:val="single" w:sz="4" w:space="0" w:color="auto"/>
              <w:bottom w:val="single" w:sz="4" w:space="0" w:color="auto"/>
            </w:tcBorders>
            <w:vAlign w:val="bottom"/>
          </w:tcPr>
          <w:p>
            <w:pPr>
              <w:spacing w:before="0"/>
              <w:jc w:val="center"/>
              <w:rPr>
                <w:noProof/>
                <w:sz w:val="20"/>
              </w:rPr>
            </w:pPr>
          </w:p>
        </w:tc>
        <w:tc>
          <w:tcPr>
            <w:tcW w:w="1245" w:type="dxa"/>
            <w:tcBorders>
              <w:top w:val="single" w:sz="4" w:space="0" w:color="auto"/>
              <w:bottom w:val="single" w:sz="4" w:space="0" w:color="auto"/>
            </w:tcBorders>
            <w:vAlign w:val="bottom"/>
          </w:tcPr>
          <w:p>
            <w:pPr>
              <w:spacing w:before="0"/>
              <w:jc w:val="center"/>
              <w:rPr>
                <w:noProof/>
                <w:sz w:val="20"/>
              </w:rPr>
            </w:pPr>
          </w:p>
        </w:tc>
        <w:tc>
          <w:tcPr>
            <w:tcW w:w="1924" w:type="dxa"/>
            <w:tcBorders>
              <w:top w:val="single" w:sz="4" w:space="0" w:color="auto"/>
              <w:bottom w:val="single" w:sz="4" w:space="0" w:color="auto"/>
            </w:tcBorders>
            <w:shd w:val="clear" w:color="auto" w:fill="E5B8B7" w:themeFill="accent2" w:themeFillTint="66"/>
            <w:vAlign w:val="bottom"/>
          </w:tcPr>
          <w:p>
            <w:pPr>
              <w:spacing w:before="0"/>
              <w:jc w:val="center"/>
              <w:rPr>
                <w:noProof/>
                <w:sz w:val="20"/>
              </w:rPr>
            </w:pPr>
            <w:r>
              <w:rPr>
                <w:noProof/>
                <w:sz w:val="20"/>
              </w:rPr>
              <w:t>100 %</w:t>
            </w:r>
          </w:p>
        </w:tc>
      </w:tr>
      <w:tr>
        <w:tc>
          <w:tcPr>
            <w:tcW w:w="1854" w:type="dxa"/>
          </w:tcPr>
          <w:p>
            <w:pPr>
              <w:spacing w:before="0"/>
              <w:jc w:val="center"/>
              <w:rPr>
                <w:noProof/>
                <w:sz w:val="20"/>
              </w:rPr>
            </w:pPr>
            <w:r>
              <w:rPr>
                <w:noProof/>
                <w:sz w:val="20"/>
              </w:rPr>
              <w:t>Чешка република</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87,18 %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89,5 %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90,02 %</w:t>
            </w:r>
          </w:p>
        </w:tc>
        <w:tc>
          <w:tcPr>
            <w:tcW w:w="1924" w:type="dxa"/>
            <w:tcBorders>
              <w:top w:val="single" w:sz="4" w:space="0" w:color="auto"/>
              <w:bottom w:val="single" w:sz="4" w:space="0" w:color="auto"/>
            </w:tcBorders>
            <w:shd w:val="clear" w:color="auto" w:fill="E5B8B7" w:themeFill="accent2" w:themeFillTint="66"/>
            <w:vAlign w:val="bottom"/>
          </w:tcPr>
          <w:p>
            <w:pPr>
              <w:spacing w:before="0"/>
              <w:jc w:val="center"/>
              <w:rPr>
                <w:noProof/>
                <w:sz w:val="20"/>
              </w:rPr>
            </w:pPr>
            <w:r>
              <w:rPr>
                <w:noProof/>
                <w:sz w:val="20"/>
              </w:rPr>
              <w:t>100 %</w:t>
            </w:r>
          </w:p>
        </w:tc>
      </w:tr>
      <w:tr>
        <w:tc>
          <w:tcPr>
            <w:tcW w:w="1854" w:type="dxa"/>
          </w:tcPr>
          <w:p>
            <w:pPr>
              <w:spacing w:before="0"/>
              <w:jc w:val="center"/>
              <w:rPr>
                <w:noProof/>
                <w:sz w:val="20"/>
              </w:rPr>
            </w:pPr>
            <w:r>
              <w:rPr>
                <w:noProof/>
                <w:sz w:val="20"/>
              </w:rPr>
              <w:t>Дания</w:t>
            </w:r>
          </w:p>
        </w:tc>
        <w:tc>
          <w:tcPr>
            <w:tcW w:w="1245" w:type="dxa"/>
            <w:tcBorders>
              <w:top w:val="single" w:sz="4" w:space="0" w:color="auto"/>
              <w:bottom w:val="single" w:sz="4" w:space="0" w:color="auto"/>
            </w:tcBorders>
          </w:tcPr>
          <w:p>
            <w:pPr>
              <w:spacing w:before="0"/>
              <w:jc w:val="center"/>
              <w:rPr>
                <w:noProof/>
                <w:sz w:val="20"/>
              </w:rPr>
            </w:pPr>
            <w:r>
              <w:rPr>
                <w:noProof/>
                <w:sz w:val="20"/>
              </w:rPr>
              <w:t>100 %</w:t>
            </w:r>
          </w:p>
        </w:tc>
        <w:tc>
          <w:tcPr>
            <w:tcW w:w="1245" w:type="dxa"/>
            <w:tcBorders>
              <w:top w:val="single" w:sz="4" w:space="0" w:color="auto"/>
              <w:bottom w:val="single" w:sz="4" w:space="0" w:color="auto"/>
            </w:tcBorders>
          </w:tcPr>
          <w:p>
            <w:pPr>
              <w:spacing w:before="0"/>
              <w:jc w:val="center"/>
              <w:rPr>
                <w:noProof/>
                <w:sz w:val="20"/>
              </w:rPr>
            </w:pPr>
            <w:r>
              <w:rPr>
                <w:noProof/>
                <w:sz w:val="20"/>
              </w:rPr>
              <w:t>100 %</w:t>
            </w:r>
          </w:p>
        </w:tc>
        <w:tc>
          <w:tcPr>
            <w:tcW w:w="1245" w:type="dxa"/>
            <w:tcBorders>
              <w:top w:val="single" w:sz="4" w:space="0" w:color="auto"/>
              <w:bottom w:val="single" w:sz="4" w:space="0" w:color="auto"/>
            </w:tcBorders>
          </w:tcPr>
          <w:p>
            <w:pPr>
              <w:spacing w:before="0"/>
              <w:jc w:val="center"/>
              <w:rPr>
                <w:noProof/>
                <w:sz w:val="20"/>
              </w:rPr>
            </w:pPr>
            <w:r>
              <w:rPr>
                <w:noProof/>
                <w:sz w:val="20"/>
              </w:rPr>
              <w:t>100 %</w:t>
            </w:r>
          </w:p>
        </w:tc>
        <w:tc>
          <w:tcPr>
            <w:tcW w:w="1924" w:type="dxa"/>
            <w:tcBorders>
              <w:top w:val="single" w:sz="4" w:space="0" w:color="auto"/>
              <w:bottom w:val="single" w:sz="4" w:space="0" w:color="auto"/>
            </w:tcBorders>
            <w:shd w:val="clear" w:color="auto" w:fill="E5B8B7" w:themeFill="accent2" w:themeFillTint="66"/>
          </w:tcPr>
          <w:p>
            <w:pPr>
              <w:spacing w:before="0"/>
              <w:jc w:val="center"/>
              <w:rPr>
                <w:noProof/>
                <w:sz w:val="20"/>
              </w:rPr>
            </w:pPr>
            <w:r>
              <w:rPr>
                <w:noProof/>
                <w:sz w:val="20"/>
              </w:rPr>
              <w:t>100 %</w:t>
            </w:r>
          </w:p>
        </w:tc>
      </w:tr>
      <w:tr>
        <w:tc>
          <w:tcPr>
            <w:tcW w:w="1854" w:type="dxa"/>
          </w:tcPr>
          <w:p>
            <w:pPr>
              <w:spacing w:before="0"/>
              <w:jc w:val="center"/>
              <w:rPr>
                <w:noProof/>
                <w:sz w:val="20"/>
              </w:rPr>
            </w:pPr>
            <w:r>
              <w:rPr>
                <w:noProof/>
                <w:sz w:val="20"/>
              </w:rPr>
              <w:t>Унгария</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84,35 %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84,16 %</w:t>
            </w:r>
          </w:p>
        </w:tc>
        <w:tc>
          <w:tcPr>
            <w:tcW w:w="1245" w:type="dxa"/>
            <w:tcBorders>
              <w:top w:val="single" w:sz="4" w:space="0" w:color="auto"/>
              <w:bottom w:val="single" w:sz="4" w:space="0" w:color="auto"/>
            </w:tcBorders>
            <w:vAlign w:val="bottom"/>
          </w:tcPr>
          <w:p>
            <w:pPr>
              <w:spacing w:before="0"/>
              <w:jc w:val="center"/>
              <w:rPr>
                <w:noProof/>
                <w:sz w:val="20"/>
              </w:rPr>
            </w:pPr>
          </w:p>
        </w:tc>
        <w:tc>
          <w:tcPr>
            <w:tcW w:w="1924" w:type="dxa"/>
            <w:tcBorders>
              <w:top w:val="single" w:sz="4" w:space="0" w:color="auto"/>
              <w:bottom w:val="single" w:sz="4" w:space="0" w:color="auto"/>
            </w:tcBorders>
            <w:shd w:val="clear" w:color="auto" w:fill="E5B8B7" w:themeFill="accent2" w:themeFillTint="66"/>
            <w:vAlign w:val="bottom"/>
          </w:tcPr>
          <w:p>
            <w:pPr>
              <w:spacing w:before="0"/>
              <w:jc w:val="center"/>
              <w:rPr>
                <w:noProof/>
                <w:sz w:val="20"/>
              </w:rPr>
            </w:pPr>
            <w:r>
              <w:rPr>
                <w:noProof/>
                <w:sz w:val="20"/>
              </w:rPr>
              <w:t>100 %</w:t>
            </w:r>
          </w:p>
        </w:tc>
      </w:tr>
      <w:tr>
        <w:tc>
          <w:tcPr>
            <w:tcW w:w="1854" w:type="dxa"/>
          </w:tcPr>
          <w:p>
            <w:pPr>
              <w:spacing w:before="0"/>
              <w:jc w:val="center"/>
              <w:rPr>
                <w:noProof/>
                <w:sz w:val="20"/>
              </w:rPr>
            </w:pPr>
            <w:r>
              <w:rPr>
                <w:noProof/>
                <w:sz w:val="20"/>
              </w:rPr>
              <w:t>Полша</w:t>
            </w:r>
          </w:p>
        </w:tc>
        <w:tc>
          <w:tcPr>
            <w:tcW w:w="1245" w:type="dxa"/>
            <w:tcBorders>
              <w:top w:val="single" w:sz="4" w:space="0" w:color="auto"/>
              <w:bottom w:val="single" w:sz="4" w:space="0" w:color="auto"/>
            </w:tcBorders>
            <w:vAlign w:val="bottom"/>
          </w:tcPr>
          <w:p>
            <w:pPr>
              <w:spacing w:before="0"/>
              <w:jc w:val="center"/>
              <w:rPr>
                <w:noProof/>
                <w:sz w:val="20"/>
              </w:rPr>
            </w:pPr>
          </w:p>
        </w:tc>
        <w:tc>
          <w:tcPr>
            <w:tcW w:w="1245" w:type="dxa"/>
            <w:tcBorders>
              <w:top w:val="single" w:sz="4" w:space="0" w:color="auto"/>
              <w:bottom w:val="single" w:sz="4" w:space="0" w:color="auto"/>
            </w:tcBorders>
            <w:vAlign w:val="bottom"/>
          </w:tcPr>
          <w:p>
            <w:pPr>
              <w:spacing w:before="0"/>
              <w:jc w:val="center"/>
              <w:rPr>
                <w:noProof/>
                <w:sz w:val="20"/>
              </w:rPr>
            </w:pPr>
          </w:p>
        </w:tc>
        <w:tc>
          <w:tcPr>
            <w:tcW w:w="1245" w:type="dxa"/>
            <w:tcBorders>
              <w:top w:val="single" w:sz="4" w:space="0" w:color="auto"/>
              <w:bottom w:val="single" w:sz="4" w:space="0" w:color="auto"/>
            </w:tcBorders>
            <w:vAlign w:val="bottom"/>
          </w:tcPr>
          <w:p>
            <w:pPr>
              <w:spacing w:before="0"/>
              <w:jc w:val="center"/>
              <w:rPr>
                <w:noProof/>
                <w:sz w:val="20"/>
              </w:rPr>
            </w:pPr>
          </w:p>
        </w:tc>
        <w:tc>
          <w:tcPr>
            <w:tcW w:w="1924" w:type="dxa"/>
            <w:tcBorders>
              <w:top w:val="single" w:sz="4" w:space="0" w:color="auto"/>
              <w:bottom w:val="single" w:sz="4" w:space="0" w:color="auto"/>
            </w:tcBorders>
            <w:shd w:val="clear" w:color="auto" w:fill="E5B8B7" w:themeFill="accent2" w:themeFillTint="66"/>
          </w:tcPr>
          <w:p>
            <w:pPr>
              <w:spacing w:before="0"/>
              <w:jc w:val="center"/>
              <w:rPr>
                <w:noProof/>
                <w:sz w:val="20"/>
              </w:rPr>
            </w:pPr>
            <w:r>
              <w:rPr>
                <w:noProof/>
                <w:sz w:val="20"/>
              </w:rPr>
              <w:t>100 %</w:t>
            </w:r>
          </w:p>
        </w:tc>
      </w:tr>
      <w:tr>
        <w:tc>
          <w:tcPr>
            <w:tcW w:w="1854" w:type="dxa"/>
          </w:tcPr>
          <w:p>
            <w:pPr>
              <w:spacing w:before="0"/>
              <w:jc w:val="center"/>
              <w:rPr>
                <w:noProof/>
                <w:sz w:val="20"/>
              </w:rPr>
            </w:pPr>
            <w:r>
              <w:rPr>
                <w:noProof/>
                <w:sz w:val="20"/>
              </w:rPr>
              <w:t>Румъния</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44,66 %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46,01 %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45,38 %</w:t>
            </w:r>
          </w:p>
        </w:tc>
        <w:tc>
          <w:tcPr>
            <w:tcW w:w="1924" w:type="dxa"/>
            <w:tcBorders>
              <w:top w:val="single" w:sz="4" w:space="0" w:color="auto"/>
              <w:bottom w:val="single" w:sz="4" w:space="0" w:color="auto"/>
            </w:tcBorders>
            <w:shd w:val="clear" w:color="auto" w:fill="E5B8B7" w:themeFill="accent2" w:themeFillTint="66"/>
          </w:tcPr>
          <w:p>
            <w:pPr>
              <w:spacing w:before="0"/>
              <w:jc w:val="center"/>
              <w:rPr>
                <w:noProof/>
                <w:sz w:val="20"/>
              </w:rPr>
            </w:pPr>
            <w:r>
              <w:rPr>
                <w:noProof/>
                <w:sz w:val="20"/>
              </w:rPr>
              <w:t>Частично съответствие</w:t>
            </w:r>
          </w:p>
        </w:tc>
      </w:tr>
      <w:tr>
        <w:tc>
          <w:tcPr>
            <w:tcW w:w="1854" w:type="dxa"/>
          </w:tcPr>
          <w:p>
            <w:pPr>
              <w:spacing w:before="0"/>
              <w:jc w:val="center"/>
              <w:rPr>
                <w:noProof/>
                <w:sz w:val="20"/>
              </w:rPr>
            </w:pPr>
            <w:r>
              <w:rPr>
                <w:noProof/>
                <w:sz w:val="20"/>
              </w:rPr>
              <w:t>Швеция</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95 %</w:t>
            </w:r>
          </w:p>
        </w:tc>
        <w:tc>
          <w:tcPr>
            <w:tcW w:w="1245" w:type="dxa"/>
            <w:tcBorders>
              <w:top w:val="single" w:sz="4" w:space="0" w:color="auto"/>
              <w:bottom w:val="single" w:sz="4" w:space="0" w:color="auto"/>
            </w:tcBorders>
            <w:vAlign w:val="bottom"/>
          </w:tcPr>
          <w:p>
            <w:pPr>
              <w:spacing w:before="0"/>
              <w:jc w:val="center"/>
              <w:rPr>
                <w:noProof/>
                <w:sz w:val="20"/>
              </w:rPr>
            </w:pPr>
            <w:r>
              <w:rPr>
                <w:noProof/>
                <w:sz w:val="20"/>
              </w:rPr>
              <w:t>95 %</w:t>
            </w:r>
          </w:p>
        </w:tc>
        <w:tc>
          <w:tcPr>
            <w:tcW w:w="1245" w:type="dxa"/>
            <w:tcBorders>
              <w:top w:val="single" w:sz="4" w:space="0" w:color="auto"/>
              <w:bottom w:val="single" w:sz="4" w:space="0" w:color="auto"/>
            </w:tcBorders>
            <w:vAlign w:val="bottom"/>
          </w:tcPr>
          <w:p>
            <w:pPr>
              <w:spacing w:before="0"/>
              <w:jc w:val="center"/>
              <w:rPr>
                <w:noProof/>
                <w:sz w:val="20"/>
              </w:rPr>
            </w:pPr>
          </w:p>
        </w:tc>
        <w:tc>
          <w:tcPr>
            <w:tcW w:w="1924" w:type="dxa"/>
            <w:tcBorders>
              <w:top w:val="single" w:sz="4" w:space="0" w:color="auto"/>
              <w:bottom w:val="single" w:sz="4" w:space="0" w:color="auto"/>
            </w:tcBorders>
            <w:shd w:val="clear" w:color="auto" w:fill="E5B8B7" w:themeFill="accent2" w:themeFillTint="66"/>
          </w:tcPr>
          <w:p>
            <w:pPr>
              <w:spacing w:before="0"/>
              <w:jc w:val="center"/>
              <w:rPr>
                <w:noProof/>
                <w:sz w:val="20"/>
              </w:rPr>
            </w:pPr>
            <w:r>
              <w:rPr>
                <w:noProof/>
                <w:sz w:val="20"/>
              </w:rPr>
              <w:t>99 %</w:t>
            </w:r>
          </w:p>
        </w:tc>
      </w:tr>
      <w:tr>
        <w:trPr>
          <w:trHeight w:val="240"/>
        </w:trPr>
        <w:tc>
          <w:tcPr>
            <w:tcW w:w="1854" w:type="dxa"/>
          </w:tcPr>
          <w:p>
            <w:pPr>
              <w:spacing w:before="0"/>
              <w:jc w:val="center"/>
              <w:rPr>
                <w:noProof/>
                <w:sz w:val="20"/>
              </w:rPr>
            </w:pPr>
            <w:r>
              <w:rPr>
                <w:noProof/>
                <w:sz w:val="20"/>
              </w:rPr>
              <w:t>Обединено кралство</w:t>
            </w:r>
          </w:p>
        </w:tc>
        <w:tc>
          <w:tcPr>
            <w:tcW w:w="1245" w:type="dxa"/>
            <w:tcBorders>
              <w:top w:val="single" w:sz="4" w:space="0" w:color="auto"/>
              <w:bottom w:val="single" w:sz="4" w:space="0" w:color="auto"/>
            </w:tcBorders>
          </w:tcPr>
          <w:p>
            <w:pPr>
              <w:spacing w:before="0"/>
              <w:jc w:val="center"/>
              <w:rPr>
                <w:noProof/>
                <w:sz w:val="20"/>
              </w:rPr>
            </w:pPr>
            <w:r>
              <w:rPr>
                <w:noProof/>
                <w:sz w:val="20"/>
              </w:rPr>
              <w:t>100 %</w:t>
            </w:r>
          </w:p>
        </w:tc>
        <w:tc>
          <w:tcPr>
            <w:tcW w:w="1245" w:type="dxa"/>
            <w:tcBorders>
              <w:top w:val="single" w:sz="4" w:space="0" w:color="auto"/>
              <w:bottom w:val="single" w:sz="4" w:space="0" w:color="auto"/>
            </w:tcBorders>
          </w:tcPr>
          <w:p>
            <w:pPr>
              <w:spacing w:before="0"/>
              <w:jc w:val="center"/>
              <w:rPr>
                <w:noProof/>
                <w:sz w:val="20"/>
              </w:rPr>
            </w:pPr>
            <w:r>
              <w:rPr>
                <w:noProof/>
                <w:sz w:val="20"/>
              </w:rPr>
              <w:t>100 %</w:t>
            </w:r>
          </w:p>
        </w:tc>
        <w:tc>
          <w:tcPr>
            <w:tcW w:w="1245" w:type="dxa"/>
            <w:tcBorders>
              <w:top w:val="single" w:sz="4" w:space="0" w:color="auto"/>
              <w:bottom w:val="single" w:sz="4" w:space="0" w:color="auto"/>
            </w:tcBorders>
          </w:tcPr>
          <w:p>
            <w:pPr>
              <w:spacing w:before="0"/>
              <w:jc w:val="center"/>
              <w:rPr>
                <w:noProof/>
                <w:sz w:val="20"/>
              </w:rPr>
            </w:pPr>
            <w:r>
              <w:rPr>
                <w:noProof/>
                <w:sz w:val="20"/>
              </w:rPr>
              <w:t>100 %</w:t>
            </w:r>
          </w:p>
        </w:tc>
        <w:tc>
          <w:tcPr>
            <w:tcW w:w="1924" w:type="dxa"/>
            <w:tcBorders>
              <w:top w:val="single" w:sz="4" w:space="0" w:color="auto"/>
              <w:bottom w:val="single" w:sz="4" w:space="0" w:color="auto"/>
            </w:tcBorders>
            <w:shd w:val="clear" w:color="auto" w:fill="E5B8B7" w:themeFill="accent2" w:themeFillTint="66"/>
          </w:tcPr>
          <w:p>
            <w:pPr>
              <w:spacing w:before="0"/>
              <w:jc w:val="center"/>
              <w:rPr>
                <w:noProof/>
                <w:sz w:val="20"/>
              </w:rPr>
            </w:pPr>
            <w:r>
              <w:rPr>
                <w:noProof/>
                <w:sz w:val="20"/>
              </w:rPr>
              <w:t>100 %</w:t>
            </w:r>
          </w:p>
        </w:tc>
      </w:tr>
    </w:tbl>
    <w:p>
      <w:pPr>
        <w:rPr>
          <w:noProof/>
        </w:rPr>
      </w:pPr>
      <w:r>
        <w:rPr>
          <w:b/>
          <w:noProof/>
        </w:rPr>
        <w:t>Таблица 5:</w:t>
      </w:r>
      <w:r>
        <w:rPr>
          <w:noProof/>
        </w:rPr>
        <w:t xml:space="preserve"> Изменение на процентите на преминаване към директните дебити в рамките на SEPA от 2013 г. досега за държавите членки от еврозоната</w:t>
      </w:r>
    </w:p>
    <w:tbl>
      <w:tblPr>
        <w:tblStyle w:val="TableGrid"/>
        <w:tblW w:w="0" w:type="auto"/>
        <w:tblInd w:w="-34" w:type="dxa"/>
        <w:tblLook w:val="04A0" w:firstRow="1" w:lastRow="0" w:firstColumn="1" w:lastColumn="0" w:noHBand="0" w:noVBand="1"/>
      </w:tblPr>
      <w:tblGrid>
        <w:gridCol w:w="1719"/>
        <w:gridCol w:w="1261"/>
        <w:gridCol w:w="1261"/>
        <w:gridCol w:w="1170"/>
        <w:gridCol w:w="1198"/>
        <w:gridCol w:w="1173"/>
        <w:gridCol w:w="1198"/>
      </w:tblGrid>
      <w:tr>
        <w:tc>
          <w:tcPr>
            <w:tcW w:w="1769" w:type="dxa"/>
            <w:vAlign w:val="center"/>
          </w:tcPr>
          <w:p>
            <w:pPr>
              <w:spacing w:before="0"/>
              <w:jc w:val="center"/>
              <w:rPr>
                <w:b/>
                <w:noProof/>
                <w:sz w:val="20"/>
              </w:rPr>
            </w:pPr>
            <w:r>
              <w:rPr>
                <w:b/>
                <w:noProof/>
                <w:sz w:val="20"/>
              </w:rPr>
              <w:t>Еврозона</w:t>
            </w:r>
          </w:p>
        </w:tc>
        <w:tc>
          <w:tcPr>
            <w:tcW w:w="1187" w:type="dxa"/>
            <w:tcBorders>
              <w:top w:val="single" w:sz="4" w:space="0" w:color="auto"/>
              <w:bottom w:val="single" w:sz="4" w:space="0" w:color="auto"/>
            </w:tcBorders>
            <w:vAlign w:val="center"/>
          </w:tcPr>
          <w:p>
            <w:pPr>
              <w:spacing w:before="0"/>
              <w:jc w:val="center"/>
              <w:rPr>
                <w:b/>
                <w:noProof/>
                <w:sz w:val="20"/>
              </w:rPr>
            </w:pPr>
            <w:r>
              <w:rPr>
                <w:b/>
                <w:noProof/>
                <w:sz w:val="20"/>
              </w:rPr>
              <w:t>Първо тримесечие на 2013 г.</w:t>
            </w:r>
          </w:p>
        </w:tc>
        <w:tc>
          <w:tcPr>
            <w:tcW w:w="1187" w:type="dxa"/>
            <w:tcBorders>
              <w:top w:val="single" w:sz="4" w:space="0" w:color="auto"/>
              <w:bottom w:val="single" w:sz="4" w:space="0" w:color="auto"/>
            </w:tcBorders>
            <w:vAlign w:val="center"/>
          </w:tcPr>
          <w:p>
            <w:pPr>
              <w:spacing w:before="0"/>
              <w:jc w:val="center"/>
              <w:rPr>
                <w:b/>
                <w:noProof/>
                <w:sz w:val="20"/>
              </w:rPr>
            </w:pPr>
            <w:r>
              <w:rPr>
                <w:b/>
                <w:noProof/>
                <w:sz w:val="20"/>
              </w:rPr>
              <w:t>Четвърто тримесечие на 2013 г.</w:t>
            </w:r>
          </w:p>
        </w:tc>
        <w:tc>
          <w:tcPr>
            <w:tcW w:w="1207" w:type="dxa"/>
            <w:tcBorders>
              <w:top w:val="single" w:sz="4" w:space="0" w:color="auto"/>
              <w:bottom w:val="single" w:sz="4" w:space="0" w:color="auto"/>
            </w:tcBorders>
            <w:vAlign w:val="center"/>
          </w:tcPr>
          <w:p>
            <w:pPr>
              <w:tabs>
                <w:tab w:val="left" w:pos="269"/>
                <w:tab w:val="center" w:pos="514"/>
              </w:tabs>
              <w:spacing w:before="0"/>
              <w:jc w:val="center"/>
              <w:rPr>
                <w:b/>
                <w:noProof/>
                <w:sz w:val="20"/>
              </w:rPr>
            </w:pPr>
            <w:r>
              <w:rPr>
                <w:b/>
                <w:noProof/>
                <w:sz w:val="20"/>
              </w:rPr>
              <w:t>Януари 2014 г.</w:t>
            </w:r>
          </w:p>
        </w:tc>
        <w:tc>
          <w:tcPr>
            <w:tcW w:w="1208" w:type="dxa"/>
            <w:tcBorders>
              <w:top w:val="single" w:sz="4" w:space="0" w:color="auto"/>
              <w:bottom w:val="single" w:sz="4" w:space="0" w:color="auto"/>
            </w:tcBorders>
            <w:shd w:val="clear" w:color="auto" w:fill="FFC000"/>
            <w:vAlign w:val="center"/>
          </w:tcPr>
          <w:p>
            <w:pPr>
              <w:spacing w:before="0"/>
              <w:jc w:val="center"/>
              <w:rPr>
                <w:b/>
                <w:noProof/>
                <w:sz w:val="20"/>
              </w:rPr>
            </w:pPr>
            <w:r>
              <w:rPr>
                <w:b/>
                <w:noProof/>
                <w:sz w:val="20"/>
              </w:rPr>
              <w:t>Февруари 2014 г.</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b/>
                <w:noProof/>
                <w:sz w:val="20"/>
              </w:rPr>
            </w:pPr>
            <w:r>
              <w:rPr>
                <w:b/>
                <w:noProof/>
                <w:sz w:val="20"/>
              </w:rPr>
              <w:t>Август 2014 г.</w:t>
            </w:r>
          </w:p>
        </w:tc>
        <w:tc>
          <w:tcPr>
            <w:tcW w:w="1209" w:type="dxa"/>
            <w:tcBorders>
              <w:top w:val="single" w:sz="4" w:space="0" w:color="auto"/>
              <w:bottom w:val="single" w:sz="4" w:space="0" w:color="auto"/>
            </w:tcBorders>
            <w:vAlign w:val="center"/>
          </w:tcPr>
          <w:p>
            <w:pPr>
              <w:spacing w:before="0"/>
              <w:jc w:val="center"/>
              <w:rPr>
                <w:b/>
                <w:noProof/>
                <w:sz w:val="20"/>
              </w:rPr>
            </w:pPr>
            <w:r>
              <w:rPr>
                <w:b/>
                <w:noProof/>
                <w:sz w:val="20"/>
              </w:rPr>
              <w:t>Декември 2016 г.</w:t>
            </w:r>
          </w:p>
        </w:tc>
      </w:tr>
      <w:tr>
        <w:tc>
          <w:tcPr>
            <w:tcW w:w="1769" w:type="dxa"/>
            <w:vAlign w:val="center"/>
          </w:tcPr>
          <w:p>
            <w:pPr>
              <w:spacing w:before="0"/>
              <w:jc w:val="center"/>
              <w:rPr>
                <w:noProof/>
                <w:sz w:val="20"/>
              </w:rPr>
            </w:pPr>
            <w:r>
              <w:rPr>
                <w:noProof/>
                <w:sz w:val="20"/>
              </w:rPr>
              <w:t>Австрия</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11,15 %</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34,65 %</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73,95 %</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87,89 %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99 %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Белгия</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19,17 %</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38,54 %</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64,09 %</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89,89 %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Кипър</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0 %</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0 %</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0 %</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0 %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Естония</w:t>
            </w:r>
          </w:p>
        </w:tc>
        <w:tc>
          <w:tcPr>
            <w:tcW w:w="1187" w:type="dxa"/>
            <w:tcBorders>
              <w:top w:val="single" w:sz="4" w:space="0" w:color="auto"/>
              <w:bottom w:val="single" w:sz="4" w:space="0" w:color="auto"/>
            </w:tcBorders>
            <w:vAlign w:val="center"/>
          </w:tcPr>
          <w:p>
            <w:pPr>
              <w:spacing w:before="0"/>
              <w:jc w:val="center"/>
              <w:rPr>
                <w:noProof/>
                <w:sz w:val="20"/>
              </w:rPr>
            </w:pPr>
          </w:p>
        </w:tc>
        <w:tc>
          <w:tcPr>
            <w:tcW w:w="1187" w:type="dxa"/>
            <w:tcBorders>
              <w:top w:val="single" w:sz="4" w:space="0" w:color="auto"/>
              <w:bottom w:val="single" w:sz="4" w:space="0" w:color="auto"/>
            </w:tcBorders>
            <w:vAlign w:val="center"/>
          </w:tcPr>
          <w:p>
            <w:pPr>
              <w:spacing w:before="0"/>
              <w:jc w:val="center"/>
              <w:rPr>
                <w:noProof/>
                <w:sz w:val="20"/>
              </w:rPr>
            </w:pPr>
          </w:p>
        </w:tc>
        <w:tc>
          <w:tcPr>
            <w:tcW w:w="1207" w:type="dxa"/>
            <w:tcBorders>
              <w:top w:val="single" w:sz="4" w:space="0" w:color="auto"/>
              <w:bottom w:val="single" w:sz="4" w:space="0" w:color="auto"/>
            </w:tcBorders>
            <w:vAlign w:val="center"/>
          </w:tcPr>
          <w:p>
            <w:pPr>
              <w:spacing w:before="0"/>
              <w:jc w:val="center"/>
              <w:rPr>
                <w:noProof/>
                <w:sz w:val="20"/>
              </w:rPr>
            </w:pP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Н/П</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Н/П</w:t>
            </w:r>
          </w:p>
        </w:tc>
      </w:tr>
      <w:tr>
        <w:tc>
          <w:tcPr>
            <w:tcW w:w="1769" w:type="dxa"/>
            <w:vAlign w:val="center"/>
          </w:tcPr>
          <w:p>
            <w:pPr>
              <w:spacing w:before="0"/>
              <w:jc w:val="center"/>
              <w:rPr>
                <w:noProof/>
                <w:sz w:val="20"/>
              </w:rPr>
            </w:pPr>
            <w:r>
              <w:rPr>
                <w:noProof/>
                <w:sz w:val="20"/>
              </w:rPr>
              <w:t>Финландия</w:t>
            </w:r>
          </w:p>
        </w:tc>
        <w:tc>
          <w:tcPr>
            <w:tcW w:w="1187" w:type="dxa"/>
            <w:tcBorders>
              <w:top w:val="single" w:sz="4" w:space="0" w:color="auto"/>
              <w:bottom w:val="single" w:sz="4" w:space="0" w:color="auto"/>
            </w:tcBorders>
            <w:vAlign w:val="center"/>
          </w:tcPr>
          <w:p>
            <w:pPr>
              <w:spacing w:before="0"/>
              <w:jc w:val="center"/>
              <w:rPr>
                <w:noProof/>
                <w:sz w:val="20"/>
              </w:rPr>
            </w:pPr>
          </w:p>
        </w:tc>
        <w:tc>
          <w:tcPr>
            <w:tcW w:w="1187" w:type="dxa"/>
            <w:tcBorders>
              <w:top w:val="single" w:sz="4" w:space="0" w:color="auto"/>
              <w:bottom w:val="single" w:sz="4" w:space="0" w:color="auto"/>
            </w:tcBorders>
            <w:vAlign w:val="center"/>
          </w:tcPr>
          <w:p>
            <w:pPr>
              <w:spacing w:before="0"/>
              <w:jc w:val="center"/>
              <w:rPr>
                <w:noProof/>
                <w:sz w:val="20"/>
              </w:rPr>
            </w:pPr>
          </w:p>
        </w:tc>
        <w:tc>
          <w:tcPr>
            <w:tcW w:w="1207" w:type="dxa"/>
            <w:tcBorders>
              <w:top w:val="single" w:sz="4" w:space="0" w:color="auto"/>
              <w:bottom w:val="single" w:sz="4" w:space="0" w:color="auto"/>
            </w:tcBorders>
            <w:vAlign w:val="center"/>
          </w:tcPr>
          <w:p>
            <w:pPr>
              <w:spacing w:before="0"/>
              <w:jc w:val="center"/>
              <w:rPr>
                <w:noProof/>
                <w:sz w:val="20"/>
              </w:rPr>
            </w:pPr>
          </w:p>
        </w:tc>
        <w:tc>
          <w:tcPr>
            <w:tcW w:w="1208" w:type="dxa"/>
            <w:tcBorders>
              <w:top w:val="single" w:sz="4" w:space="0" w:color="auto"/>
              <w:bottom w:val="single" w:sz="4" w:space="0" w:color="auto"/>
            </w:tcBorders>
            <w:shd w:val="clear" w:color="auto" w:fill="FFC000"/>
            <w:vAlign w:val="center"/>
          </w:tcPr>
          <w:p>
            <w:pPr>
              <w:spacing w:before="0"/>
              <w:jc w:val="center"/>
              <w:rPr>
                <w:noProof/>
                <w:sz w:val="20"/>
              </w:rPr>
            </w:pP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Н/П</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Н/П</w:t>
            </w:r>
          </w:p>
        </w:tc>
      </w:tr>
      <w:tr>
        <w:tc>
          <w:tcPr>
            <w:tcW w:w="1769" w:type="dxa"/>
            <w:vAlign w:val="center"/>
          </w:tcPr>
          <w:p>
            <w:pPr>
              <w:spacing w:before="0"/>
              <w:jc w:val="center"/>
              <w:rPr>
                <w:noProof/>
                <w:sz w:val="20"/>
              </w:rPr>
            </w:pPr>
            <w:r>
              <w:rPr>
                <w:noProof/>
                <w:sz w:val="20"/>
              </w:rPr>
              <w:t>Франция</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0,78 %</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17,94 %</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72,51 %</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87,02 %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Германия</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0,14 %</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10,51 %</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29,4 %</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53,4 %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Гърция</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50,13 %</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67,84 %</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70,1 %</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69,53 %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99,64 %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Ирландия</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0,42 %</w:t>
            </w:r>
          </w:p>
        </w:tc>
        <w:tc>
          <w:tcPr>
            <w:tcW w:w="118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22,09 %</w:t>
            </w:r>
          </w:p>
        </w:tc>
        <w:tc>
          <w:tcPr>
            <w:tcW w:w="1207" w:type="dxa"/>
            <w:tcBorders>
              <w:top w:val="single" w:sz="4" w:space="0" w:color="auto"/>
              <w:bottom w:val="single" w:sz="4" w:space="0" w:color="auto"/>
            </w:tcBorders>
            <w:vAlign w:val="center"/>
          </w:tcPr>
          <w:p>
            <w:pPr>
              <w:spacing w:before="0"/>
              <w:jc w:val="center"/>
              <w:rPr>
                <w:noProof/>
                <w:color w:val="000000"/>
                <w:sz w:val="20"/>
              </w:rPr>
            </w:pPr>
            <w:r>
              <w:rPr>
                <w:noProof/>
                <w:color w:val="000000"/>
                <w:sz w:val="20"/>
              </w:rPr>
              <w:t>61,35 %</w:t>
            </w:r>
          </w:p>
        </w:tc>
        <w:tc>
          <w:tcPr>
            <w:tcW w:w="1208" w:type="dxa"/>
            <w:tcBorders>
              <w:top w:val="single" w:sz="4" w:space="0" w:color="auto"/>
              <w:bottom w:val="single" w:sz="4" w:space="0" w:color="auto"/>
            </w:tcBorders>
            <w:shd w:val="clear" w:color="auto" w:fill="FFC000"/>
            <w:vAlign w:val="center"/>
          </w:tcPr>
          <w:p>
            <w:pPr>
              <w:spacing w:before="0"/>
              <w:jc w:val="center"/>
              <w:rPr>
                <w:noProof/>
                <w:color w:val="000000"/>
                <w:sz w:val="20"/>
              </w:rPr>
            </w:pPr>
            <w:r>
              <w:rPr>
                <w:noProof/>
                <w:color w:val="000000"/>
                <w:sz w:val="20"/>
              </w:rPr>
              <w:t>89,65 %</w:t>
            </w:r>
          </w:p>
        </w:tc>
        <w:tc>
          <w:tcPr>
            <w:tcW w:w="1213" w:type="dxa"/>
            <w:tcBorders>
              <w:top w:val="single" w:sz="4" w:space="0" w:color="auto"/>
              <w:bottom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bottom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Италия</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0,01 %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2,83 %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34,3 %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53,28 %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Латвия</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0 %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0 %</w:t>
            </w:r>
            <w:r>
              <w:rPr>
                <w:rStyle w:val="FootnoteReference"/>
                <w:noProof/>
                <w:color w:val="000000"/>
                <w:sz w:val="20"/>
              </w:rPr>
              <w:footnoteReference w:id="13"/>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Н/П</w:t>
            </w:r>
          </w:p>
        </w:tc>
      </w:tr>
      <w:tr>
        <w:tc>
          <w:tcPr>
            <w:tcW w:w="1769" w:type="dxa"/>
            <w:vAlign w:val="center"/>
          </w:tcPr>
          <w:p>
            <w:pPr>
              <w:spacing w:before="0"/>
              <w:jc w:val="center"/>
              <w:rPr>
                <w:noProof/>
                <w:sz w:val="20"/>
              </w:rPr>
            </w:pPr>
            <w:r>
              <w:rPr>
                <w:noProof/>
                <w:sz w:val="20"/>
              </w:rPr>
              <w:t>Литва</w:t>
            </w:r>
          </w:p>
        </w:tc>
        <w:tc>
          <w:tcPr>
            <w:tcW w:w="1187" w:type="dxa"/>
            <w:tcBorders>
              <w:top w:val="single" w:sz="4" w:space="0" w:color="auto"/>
              <w:bottom w:val="single" w:sz="4" w:space="0" w:color="auto"/>
              <w:right w:val="single" w:sz="4" w:space="0" w:color="auto"/>
            </w:tcBorders>
            <w:vAlign w:val="center"/>
          </w:tcPr>
          <w:p>
            <w:pPr>
              <w:spacing w:before="0"/>
              <w:jc w:val="center"/>
              <w:rPr>
                <w:noProof/>
                <w:sz w:val="20"/>
              </w:rPr>
            </w:pP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sz w:val="20"/>
              </w:rPr>
            </w:pP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sz w:val="20"/>
              </w:rPr>
            </w:pP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Н/П</w:t>
            </w:r>
          </w:p>
        </w:tc>
      </w:tr>
      <w:tr>
        <w:tc>
          <w:tcPr>
            <w:tcW w:w="1769" w:type="dxa"/>
            <w:vAlign w:val="center"/>
          </w:tcPr>
          <w:p>
            <w:pPr>
              <w:spacing w:before="0"/>
              <w:jc w:val="center"/>
              <w:rPr>
                <w:noProof/>
                <w:sz w:val="20"/>
              </w:rPr>
            </w:pPr>
            <w:r>
              <w:rPr>
                <w:noProof/>
                <w:sz w:val="20"/>
              </w:rPr>
              <w:t>Люксембург</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0,06 %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15,92 %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49,09 %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74,37 %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98,05 %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Малта</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23,35 %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47,79 %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Нидерландия</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0,01 %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32,62 %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73,62 %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84,38%</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99,81 %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Португалия</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0,1 %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7,55 %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26,68 %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53,14 %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99,88 %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Словакия</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0,01 %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100 %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Словения</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86,81 %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99,33 %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100 %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100 %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r>
        <w:tc>
          <w:tcPr>
            <w:tcW w:w="1769" w:type="dxa"/>
            <w:vAlign w:val="center"/>
          </w:tcPr>
          <w:p>
            <w:pPr>
              <w:spacing w:before="0"/>
              <w:jc w:val="center"/>
              <w:rPr>
                <w:noProof/>
                <w:sz w:val="20"/>
              </w:rPr>
            </w:pPr>
            <w:r>
              <w:rPr>
                <w:noProof/>
                <w:sz w:val="20"/>
              </w:rPr>
              <w:t>Испания</w:t>
            </w:r>
          </w:p>
        </w:tc>
        <w:tc>
          <w:tcPr>
            <w:tcW w:w="1187" w:type="dxa"/>
            <w:tcBorders>
              <w:top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0,02 %</w:t>
            </w:r>
          </w:p>
        </w:tc>
        <w:tc>
          <w:tcPr>
            <w:tcW w:w="118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1,8 %</w:t>
            </w:r>
          </w:p>
        </w:tc>
        <w:tc>
          <w:tcPr>
            <w:tcW w:w="1207" w:type="dxa"/>
            <w:tcBorders>
              <w:top w:val="single" w:sz="4" w:space="0" w:color="auto"/>
              <w:left w:val="single" w:sz="4" w:space="0" w:color="auto"/>
              <w:bottom w:val="single" w:sz="4" w:space="0" w:color="auto"/>
              <w:right w:val="single" w:sz="4" w:space="0" w:color="auto"/>
            </w:tcBorders>
            <w:vAlign w:val="center"/>
          </w:tcPr>
          <w:p>
            <w:pPr>
              <w:spacing w:before="0"/>
              <w:jc w:val="center"/>
              <w:rPr>
                <w:noProof/>
                <w:color w:val="000000"/>
                <w:sz w:val="20"/>
              </w:rPr>
            </w:pPr>
            <w:r>
              <w:rPr>
                <w:noProof/>
                <w:color w:val="000000"/>
                <w:sz w:val="20"/>
              </w:rPr>
              <w:t>15,34 %</w:t>
            </w:r>
          </w:p>
        </w:tc>
        <w:tc>
          <w:tcPr>
            <w:tcW w:w="1208" w:type="dxa"/>
            <w:tcBorders>
              <w:top w:val="single" w:sz="4" w:space="0" w:color="auto"/>
              <w:left w:val="single" w:sz="4" w:space="0" w:color="auto"/>
              <w:bottom w:val="single" w:sz="4" w:space="0" w:color="auto"/>
              <w:right w:val="single" w:sz="4" w:space="0" w:color="auto"/>
            </w:tcBorders>
            <w:shd w:val="clear" w:color="auto" w:fill="FFC000"/>
            <w:vAlign w:val="center"/>
          </w:tcPr>
          <w:p>
            <w:pPr>
              <w:spacing w:before="0"/>
              <w:jc w:val="center"/>
              <w:rPr>
                <w:noProof/>
                <w:color w:val="000000"/>
                <w:sz w:val="20"/>
              </w:rPr>
            </w:pPr>
            <w:r>
              <w:rPr>
                <w:noProof/>
                <w:color w:val="000000"/>
                <w:sz w:val="20"/>
              </w:rPr>
              <w:t>48,82 %</w:t>
            </w:r>
          </w:p>
        </w:tc>
        <w:tc>
          <w:tcPr>
            <w:tcW w:w="12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pPr>
              <w:spacing w:before="0"/>
              <w:jc w:val="center"/>
              <w:rPr>
                <w:noProof/>
                <w:color w:val="000000"/>
                <w:sz w:val="20"/>
              </w:rPr>
            </w:pPr>
            <w:r>
              <w:rPr>
                <w:noProof/>
                <w:color w:val="000000"/>
                <w:sz w:val="20"/>
              </w:rPr>
              <w:t>100 %</w:t>
            </w:r>
          </w:p>
        </w:tc>
        <w:tc>
          <w:tcPr>
            <w:tcW w:w="1209"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0"/>
              </w:rPr>
            </w:pPr>
            <w:r>
              <w:rPr>
                <w:noProof/>
                <w:sz w:val="20"/>
              </w:rPr>
              <w:t>100 %</w:t>
            </w:r>
          </w:p>
        </w:tc>
      </w:tr>
    </w:tbl>
    <w:p>
      <w:pPr>
        <w:rPr>
          <w:noProof/>
        </w:rPr>
      </w:pPr>
      <w:r>
        <w:rPr>
          <w:b/>
          <w:noProof/>
        </w:rPr>
        <w:t>Таблица 6:</w:t>
      </w:r>
      <w:r>
        <w:rPr>
          <w:noProof/>
        </w:rPr>
        <w:t xml:space="preserve"> Изменение на процентите на преминаване към директните дебити в рамките на SEPA през 2015 г. и 2016 г. за държавите членки извън еврозоната</w:t>
      </w:r>
    </w:p>
    <w:tbl>
      <w:tblPr>
        <w:tblStyle w:val="TableGrid"/>
        <w:tblW w:w="0" w:type="auto"/>
        <w:tblInd w:w="-34" w:type="dxa"/>
        <w:tblLook w:val="04A0" w:firstRow="1" w:lastRow="0" w:firstColumn="1" w:lastColumn="0" w:noHBand="0" w:noVBand="1"/>
      </w:tblPr>
      <w:tblGrid>
        <w:gridCol w:w="1854"/>
        <w:gridCol w:w="1245"/>
        <w:gridCol w:w="1261"/>
        <w:gridCol w:w="1261"/>
        <w:gridCol w:w="1245"/>
      </w:tblGrid>
      <w:tr>
        <w:tc>
          <w:tcPr>
            <w:tcW w:w="1854" w:type="dxa"/>
            <w:vAlign w:val="center"/>
          </w:tcPr>
          <w:p>
            <w:pPr>
              <w:spacing w:before="0"/>
              <w:jc w:val="center"/>
              <w:rPr>
                <w:b/>
                <w:noProof/>
                <w:sz w:val="20"/>
              </w:rPr>
            </w:pPr>
            <w:r>
              <w:rPr>
                <w:b/>
                <w:noProof/>
                <w:sz w:val="20"/>
              </w:rPr>
              <w:t>Извън еврозоната</w:t>
            </w:r>
          </w:p>
        </w:tc>
        <w:tc>
          <w:tcPr>
            <w:tcW w:w="1245" w:type="dxa"/>
            <w:tcBorders>
              <w:top w:val="single" w:sz="4" w:space="0" w:color="auto"/>
              <w:bottom w:val="single" w:sz="4" w:space="0" w:color="auto"/>
            </w:tcBorders>
            <w:vAlign w:val="center"/>
          </w:tcPr>
          <w:p>
            <w:pPr>
              <w:spacing w:before="0"/>
              <w:jc w:val="center"/>
              <w:rPr>
                <w:b/>
                <w:noProof/>
                <w:sz w:val="20"/>
              </w:rPr>
            </w:pPr>
            <w:r>
              <w:rPr>
                <w:b/>
                <w:noProof/>
                <w:sz w:val="20"/>
              </w:rPr>
              <w:t>Втората половина на 2015 г.</w:t>
            </w:r>
          </w:p>
        </w:tc>
        <w:tc>
          <w:tcPr>
            <w:tcW w:w="1245" w:type="dxa"/>
            <w:tcBorders>
              <w:top w:val="single" w:sz="4" w:space="0" w:color="auto"/>
              <w:bottom w:val="single" w:sz="4" w:space="0" w:color="auto"/>
            </w:tcBorders>
            <w:vAlign w:val="center"/>
          </w:tcPr>
          <w:p>
            <w:pPr>
              <w:spacing w:before="0"/>
              <w:jc w:val="center"/>
              <w:rPr>
                <w:b/>
                <w:noProof/>
                <w:sz w:val="20"/>
              </w:rPr>
            </w:pPr>
            <w:r>
              <w:rPr>
                <w:b/>
                <w:noProof/>
                <w:sz w:val="20"/>
              </w:rPr>
              <w:t>Първо тримесечие на 2016 г.</w:t>
            </w:r>
          </w:p>
        </w:tc>
        <w:tc>
          <w:tcPr>
            <w:tcW w:w="1245" w:type="dxa"/>
            <w:tcBorders>
              <w:top w:val="single" w:sz="4" w:space="0" w:color="auto"/>
              <w:bottom w:val="single" w:sz="4" w:space="0" w:color="auto"/>
            </w:tcBorders>
            <w:vAlign w:val="center"/>
          </w:tcPr>
          <w:p>
            <w:pPr>
              <w:tabs>
                <w:tab w:val="left" w:pos="269"/>
                <w:tab w:val="center" w:pos="514"/>
              </w:tabs>
              <w:spacing w:before="0"/>
              <w:jc w:val="center"/>
              <w:rPr>
                <w:b/>
                <w:noProof/>
                <w:sz w:val="20"/>
              </w:rPr>
            </w:pPr>
            <w:r>
              <w:rPr>
                <w:b/>
                <w:noProof/>
                <w:sz w:val="20"/>
              </w:rPr>
              <w:t>Второ тримесечие на 2016 г.</w:t>
            </w: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b/>
                <w:noProof/>
                <w:sz w:val="20"/>
              </w:rPr>
            </w:pPr>
            <w:r>
              <w:rPr>
                <w:b/>
                <w:noProof/>
                <w:sz w:val="20"/>
              </w:rPr>
              <w:t>Декември 2016 г.</w:t>
            </w:r>
          </w:p>
        </w:tc>
      </w:tr>
      <w:tr>
        <w:tc>
          <w:tcPr>
            <w:tcW w:w="1854" w:type="dxa"/>
            <w:vAlign w:val="center"/>
          </w:tcPr>
          <w:p>
            <w:pPr>
              <w:spacing w:before="0"/>
              <w:jc w:val="center"/>
              <w:rPr>
                <w:noProof/>
                <w:sz w:val="20"/>
              </w:rPr>
            </w:pPr>
            <w:r>
              <w:rPr>
                <w:noProof/>
                <w:sz w:val="20"/>
              </w:rPr>
              <w:t>България</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Н/П</w:t>
            </w:r>
          </w:p>
        </w:tc>
      </w:tr>
      <w:tr>
        <w:tc>
          <w:tcPr>
            <w:tcW w:w="1854" w:type="dxa"/>
            <w:vAlign w:val="center"/>
          </w:tcPr>
          <w:p>
            <w:pPr>
              <w:spacing w:before="0"/>
              <w:jc w:val="center"/>
              <w:rPr>
                <w:noProof/>
                <w:sz w:val="20"/>
              </w:rPr>
            </w:pPr>
            <w:r>
              <w:rPr>
                <w:noProof/>
                <w:sz w:val="20"/>
              </w:rPr>
              <w:t>Хърватия</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Н/П</w:t>
            </w:r>
          </w:p>
        </w:tc>
      </w:tr>
      <w:tr>
        <w:tc>
          <w:tcPr>
            <w:tcW w:w="1854" w:type="dxa"/>
            <w:vAlign w:val="center"/>
          </w:tcPr>
          <w:p>
            <w:pPr>
              <w:spacing w:before="0"/>
              <w:jc w:val="center"/>
              <w:rPr>
                <w:noProof/>
                <w:sz w:val="20"/>
              </w:rPr>
            </w:pPr>
            <w:r>
              <w:rPr>
                <w:noProof/>
                <w:sz w:val="20"/>
              </w:rPr>
              <w:t>Чешка република</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r>
      <w:tr>
        <w:tc>
          <w:tcPr>
            <w:tcW w:w="1854" w:type="dxa"/>
            <w:vAlign w:val="center"/>
          </w:tcPr>
          <w:p>
            <w:pPr>
              <w:spacing w:before="0"/>
              <w:jc w:val="center"/>
              <w:rPr>
                <w:noProof/>
                <w:sz w:val="20"/>
              </w:rPr>
            </w:pPr>
            <w:r>
              <w:rPr>
                <w:noProof/>
                <w:sz w:val="20"/>
              </w:rPr>
              <w:t>Дания</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r>
      <w:tr>
        <w:tc>
          <w:tcPr>
            <w:tcW w:w="1854" w:type="dxa"/>
            <w:vAlign w:val="center"/>
          </w:tcPr>
          <w:p>
            <w:pPr>
              <w:spacing w:before="0"/>
              <w:jc w:val="center"/>
              <w:rPr>
                <w:noProof/>
                <w:sz w:val="20"/>
              </w:rPr>
            </w:pPr>
            <w:r>
              <w:rPr>
                <w:noProof/>
                <w:sz w:val="20"/>
              </w:rPr>
              <w:t>Унгария</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r>
      <w:tr>
        <w:tc>
          <w:tcPr>
            <w:tcW w:w="1854" w:type="dxa"/>
            <w:vAlign w:val="center"/>
          </w:tcPr>
          <w:p>
            <w:pPr>
              <w:spacing w:before="0"/>
              <w:jc w:val="center"/>
              <w:rPr>
                <w:noProof/>
                <w:sz w:val="20"/>
              </w:rPr>
            </w:pPr>
            <w:r>
              <w:rPr>
                <w:noProof/>
                <w:sz w:val="20"/>
              </w:rPr>
              <w:t>Полша</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100 %</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100 %</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100 %</w:t>
            </w: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r>
      <w:tr>
        <w:tc>
          <w:tcPr>
            <w:tcW w:w="1854" w:type="dxa"/>
            <w:vAlign w:val="center"/>
          </w:tcPr>
          <w:p>
            <w:pPr>
              <w:spacing w:before="0"/>
              <w:jc w:val="center"/>
              <w:rPr>
                <w:noProof/>
                <w:sz w:val="20"/>
              </w:rPr>
            </w:pPr>
            <w:r>
              <w:rPr>
                <w:noProof/>
                <w:sz w:val="20"/>
              </w:rPr>
              <w:t>Румъния</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0,04 %</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0 %</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0,02 %</w:t>
            </w: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r>
      <w:tr>
        <w:tc>
          <w:tcPr>
            <w:tcW w:w="1854" w:type="dxa"/>
            <w:vAlign w:val="center"/>
          </w:tcPr>
          <w:p>
            <w:pPr>
              <w:spacing w:before="0"/>
              <w:jc w:val="center"/>
              <w:rPr>
                <w:noProof/>
                <w:sz w:val="20"/>
              </w:rPr>
            </w:pPr>
            <w:r>
              <w:rPr>
                <w:noProof/>
                <w:sz w:val="20"/>
              </w:rPr>
              <w:t>Швеция</w:t>
            </w: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vAlign w:val="center"/>
          </w:tcPr>
          <w:p>
            <w:pPr>
              <w:spacing w:before="0"/>
              <w:jc w:val="center"/>
              <w:rPr>
                <w:noProof/>
                <w:sz w:val="20"/>
              </w:rPr>
            </w:pP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Н/П</w:t>
            </w:r>
          </w:p>
        </w:tc>
      </w:tr>
      <w:tr>
        <w:trPr>
          <w:trHeight w:val="240"/>
        </w:trPr>
        <w:tc>
          <w:tcPr>
            <w:tcW w:w="1854" w:type="dxa"/>
            <w:vAlign w:val="center"/>
          </w:tcPr>
          <w:p>
            <w:pPr>
              <w:spacing w:before="0"/>
              <w:jc w:val="center"/>
              <w:rPr>
                <w:noProof/>
                <w:sz w:val="20"/>
              </w:rPr>
            </w:pPr>
            <w:r>
              <w:rPr>
                <w:noProof/>
                <w:sz w:val="20"/>
              </w:rPr>
              <w:t>Обединено кралство</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100 %</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100 %</w:t>
            </w:r>
          </w:p>
        </w:tc>
        <w:tc>
          <w:tcPr>
            <w:tcW w:w="1245" w:type="dxa"/>
            <w:tcBorders>
              <w:top w:val="single" w:sz="4" w:space="0" w:color="auto"/>
              <w:bottom w:val="single" w:sz="4" w:space="0" w:color="auto"/>
            </w:tcBorders>
            <w:vAlign w:val="center"/>
          </w:tcPr>
          <w:p>
            <w:pPr>
              <w:spacing w:before="0"/>
              <w:jc w:val="center"/>
              <w:rPr>
                <w:noProof/>
                <w:sz w:val="20"/>
              </w:rPr>
            </w:pPr>
            <w:r>
              <w:rPr>
                <w:noProof/>
                <w:sz w:val="20"/>
              </w:rPr>
              <w:t>100 %</w:t>
            </w:r>
          </w:p>
        </w:tc>
        <w:tc>
          <w:tcPr>
            <w:tcW w:w="1245" w:type="dxa"/>
            <w:tcBorders>
              <w:top w:val="single" w:sz="4" w:space="0" w:color="auto"/>
              <w:bottom w:val="single" w:sz="4" w:space="0" w:color="auto"/>
            </w:tcBorders>
            <w:shd w:val="clear" w:color="auto" w:fill="E5B8B7" w:themeFill="accent2" w:themeFillTint="66"/>
            <w:vAlign w:val="center"/>
          </w:tcPr>
          <w:p>
            <w:pPr>
              <w:spacing w:before="0"/>
              <w:jc w:val="center"/>
              <w:rPr>
                <w:noProof/>
                <w:sz w:val="20"/>
              </w:rPr>
            </w:pPr>
            <w:r>
              <w:rPr>
                <w:noProof/>
                <w:sz w:val="20"/>
              </w:rPr>
              <w:t>100 %</w:t>
            </w:r>
          </w:p>
        </w:tc>
      </w:tr>
    </w:tbl>
    <w:p>
      <w:pPr>
        <w:pStyle w:val="Heading1"/>
        <w:numPr>
          <w:ilvl w:val="1"/>
          <w:numId w:val="3"/>
        </w:numPr>
        <w:rPr>
          <w:noProof/>
        </w:rPr>
      </w:pPr>
      <w:r>
        <w:rPr>
          <w:noProof/>
        </w:rPr>
        <w:t>Варианти, използвани от държавите членки</w:t>
      </w:r>
    </w:p>
    <w:p>
      <w:pPr>
        <w:rPr>
          <w:noProof/>
        </w:rPr>
      </w:pPr>
      <w:bookmarkStart w:id="10" w:name="_Toc430010965"/>
      <w:r>
        <w:rPr>
          <w:noProof/>
        </w:rPr>
        <w:t xml:space="preserve">С оглед на осъществяването на плавен преход към кредитните преводи и директните дебити в рамките на SEPA, Регламентът за SEPA предвиждаше възможност за различни варианти, които да бъдат приведени в действие от държавите членки в еврозоната до февруари 2016 г. </w:t>
      </w:r>
    </w:p>
    <w:p>
      <w:pPr>
        <w:rPr>
          <w:noProof/>
        </w:rPr>
      </w:pPr>
      <w:r>
        <w:rPr>
          <w:noProof/>
        </w:rPr>
        <w:t xml:space="preserve">Тези варианти бяха следните: </w:t>
      </w:r>
    </w:p>
    <w:p>
      <w:pPr>
        <w:rPr>
          <w:noProof/>
        </w:rPr>
      </w:pPr>
    </w:p>
    <w:p>
      <w:pPr>
        <w:pStyle w:val="ListParagraph"/>
        <w:numPr>
          <w:ilvl w:val="0"/>
          <w:numId w:val="39"/>
        </w:numPr>
        <w:spacing w:before="0" w:after="200"/>
        <w:contextualSpacing/>
        <w:rPr>
          <w:noProof/>
        </w:rPr>
      </w:pPr>
      <w:r>
        <w:rPr>
          <w:b/>
          <w:noProof/>
        </w:rPr>
        <w:t>Вариант 1:</w:t>
      </w:r>
      <w:r>
        <w:rPr>
          <w:noProof/>
        </w:rPr>
        <w:t xml:space="preserve"> </w:t>
      </w:r>
      <w:r>
        <w:rPr>
          <w:b/>
          <w:noProof/>
        </w:rPr>
        <w:t>инструменти по преобразуване за потребители</w:t>
      </w:r>
      <w:r>
        <w:rPr>
          <w:noProof/>
        </w:rPr>
        <w:t>. Обикновено доставчиците на платежни услуги на потребителите приемат национален основен номер на банкова сметка (BBAN), за да се нареди операция, и преобразуват този номер в международен номер на банкова сметка (IBAN).</w:t>
      </w:r>
    </w:p>
    <w:p>
      <w:pPr>
        <w:pStyle w:val="ListParagraph"/>
        <w:numPr>
          <w:ilvl w:val="0"/>
          <w:numId w:val="0"/>
        </w:numPr>
        <w:ind w:left="357"/>
        <w:jc w:val="both"/>
        <w:rPr>
          <w:noProof/>
        </w:rPr>
      </w:pPr>
    </w:p>
    <w:p>
      <w:pPr>
        <w:pStyle w:val="ListParagraph"/>
        <w:keepLines w:val="0"/>
        <w:numPr>
          <w:ilvl w:val="0"/>
          <w:numId w:val="39"/>
        </w:numPr>
        <w:spacing w:before="0" w:after="200"/>
        <w:contextualSpacing/>
        <w:jc w:val="both"/>
        <w:rPr>
          <w:noProof/>
        </w:rPr>
      </w:pPr>
      <w:r>
        <w:rPr>
          <w:b/>
          <w:noProof/>
        </w:rPr>
        <w:t xml:space="preserve">Вариант 2: продължаване на предоставянето на нишови продукти. </w:t>
      </w:r>
      <w:r>
        <w:rPr>
          <w:noProof/>
        </w:rPr>
        <w:t>Извършването на национални операции по установени кредитни преводи или директни дебити с кумулативен пазарен дял, по-малък от 10 % от общия брой операции съответно по кредитни преводи или директни дебити, според официалните статистически данни за плащанията, публикувани ежегодно от ЕЦБ, можеше да продължи до 1 февруари 2016 г. (например TIP във Франция, RID Finanziario в Италия, директен дебит без право на възстановяване на средствата в Нидерландия).</w:t>
      </w:r>
    </w:p>
    <w:p>
      <w:pPr>
        <w:pStyle w:val="ListParagraph"/>
        <w:numPr>
          <w:ilvl w:val="0"/>
          <w:numId w:val="0"/>
        </w:numPr>
        <w:ind w:left="357"/>
        <w:jc w:val="both"/>
        <w:rPr>
          <w:noProof/>
        </w:rPr>
      </w:pPr>
    </w:p>
    <w:p>
      <w:pPr>
        <w:pStyle w:val="ListParagraph"/>
        <w:keepLines w:val="0"/>
        <w:numPr>
          <w:ilvl w:val="0"/>
          <w:numId w:val="39"/>
        </w:numPr>
        <w:spacing w:before="0" w:after="200"/>
        <w:contextualSpacing/>
        <w:jc w:val="both"/>
        <w:rPr>
          <w:noProof/>
        </w:rPr>
      </w:pPr>
      <w:r>
        <w:rPr>
          <w:b/>
          <w:noProof/>
        </w:rPr>
        <w:t>Вариант 3:</w:t>
      </w:r>
      <w:r>
        <w:rPr>
          <w:noProof/>
        </w:rPr>
        <w:t xml:space="preserve"> </w:t>
      </w:r>
      <w:r>
        <w:rPr>
          <w:b/>
          <w:noProof/>
        </w:rPr>
        <w:t>еднократни директни дебити</w:t>
      </w:r>
      <w:r>
        <w:rPr>
          <w:noProof/>
        </w:rPr>
        <w:t>. Предлагането на услуги, които позволяват на потребителите да извършват платежни операции чрез платежна карта на мястото на продажба, които водят до директен дебит от и към платежна сметка, идентифицирана с BBAN или IBAN, можеше да продължи до 1 февруари 2016 г. (например Elektronisches Lastschriftverfahren (ELV) — плащания в Австрия и Германия), освен ако те не бъдат приведени в съответствие с изискванията на SEPA.</w:t>
      </w:r>
    </w:p>
    <w:p>
      <w:pPr>
        <w:pStyle w:val="ListParagraph"/>
        <w:numPr>
          <w:ilvl w:val="0"/>
          <w:numId w:val="0"/>
        </w:numPr>
        <w:ind w:left="357"/>
        <w:jc w:val="both"/>
        <w:rPr>
          <w:noProof/>
        </w:rPr>
      </w:pPr>
    </w:p>
    <w:p>
      <w:pPr>
        <w:pStyle w:val="ListParagraph"/>
        <w:keepLines w:val="0"/>
        <w:numPr>
          <w:ilvl w:val="0"/>
          <w:numId w:val="39"/>
        </w:numPr>
        <w:spacing w:before="0" w:after="200"/>
        <w:contextualSpacing/>
        <w:jc w:val="both"/>
        <w:rPr>
          <w:noProof/>
        </w:rPr>
      </w:pPr>
      <w:r>
        <w:rPr>
          <w:b/>
          <w:noProof/>
        </w:rPr>
        <w:t>Вариант 4:</w:t>
      </w:r>
      <w:r>
        <w:rPr>
          <w:noProof/>
        </w:rPr>
        <w:t xml:space="preserve"> </w:t>
      </w:r>
      <w:r>
        <w:rPr>
          <w:b/>
          <w:noProof/>
        </w:rPr>
        <w:t>отлагане на използването на формата за съобщения съгласно стандарт ISO 20022 XML</w:t>
      </w:r>
      <w:r>
        <w:rPr>
          <w:noProof/>
        </w:rPr>
        <w:t xml:space="preserve"> за ползватели на платежни услуги (ППУ), които нареждат или получават индивидуални кредитни преводи или директни дебити, групирани за целите на прехвърлянето. </w:t>
      </w:r>
    </w:p>
    <w:p>
      <w:pPr>
        <w:pStyle w:val="ListParagraph"/>
        <w:numPr>
          <w:ilvl w:val="0"/>
          <w:numId w:val="0"/>
        </w:numPr>
        <w:ind w:left="357"/>
        <w:jc w:val="both"/>
        <w:rPr>
          <w:noProof/>
        </w:rPr>
      </w:pPr>
    </w:p>
    <w:p>
      <w:pPr>
        <w:pStyle w:val="ListParagraph"/>
        <w:keepLines w:val="0"/>
        <w:numPr>
          <w:ilvl w:val="0"/>
          <w:numId w:val="39"/>
        </w:numPr>
        <w:spacing w:before="0" w:after="200"/>
        <w:contextualSpacing/>
        <w:jc w:val="both"/>
        <w:rPr>
          <w:noProof/>
        </w:rPr>
      </w:pPr>
      <w:r>
        <w:rPr>
          <w:b/>
          <w:noProof/>
        </w:rPr>
        <w:t>Вариант 5:</w:t>
      </w:r>
      <w:r>
        <w:rPr>
          <w:noProof/>
        </w:rPr>
        <w:t xml:space="preserve"> </w:t>
      </w:r>
      <w:r>
        <w:rPr>
          <w:b/>
          <w:noProof/>
        </w:rPr>
        <w:t>отлагане на премахване на бизнес идентификационния код (BIC) за национални платежни операции</w:t>
      </w:r>
      <w:r>
        <w:rPr>
          <w:noProof/>
        </w:rPr>
        <w:t xml:space="preserve">, тъй като днес не е необходимо платците да предоставят BIC за осъществяване на плащания в ЕС, достатъчен е само IBAN. </w:t>
      </w:r>
    </w:p>
    <w:p>
      <w:pPr>
        <w:rPr>
          <w:noProof/>
        </w:rPr>
      </w:pPr>
      <w:r>
        <w:rPr>
          <w:noProof/>
        </w:rPr>
        <w:t xml:space="preserve">Повечето държави членки са използвали най-малко един от тези варианти, както е посочено в таблица 7, в която е представено, когато е уместно, използването, както и по-късното му преустановяване за тези варианти от държавите членки. </w:t>
      </w:r>
    </w:p>
    <w:p>
      <w:pPr>
        <w:rPr>
          <w:noProof/>
        </w:rPr>
      </w:pPr>
      <w:r>
        <w:rPr>
          <w:noProof/>
        </w:rPr>
        <w:t>Тези варианти бяха уместни само за държавите членки от еврозоната, предвид това, че те бяха валидни до 1 февруари 2016 г. за държавите членки, които вече бяха преминали към SEPA. Те не бяха приложими за държавите членки</w:t>
      </w:r>
      <w:r>
        <w:rPr>
          <w:noProof/>
          <w:vertAlign w:val="superscript"/>
        </w:rPr>
        <w:footnoteReference w:id="14"/>
      </w:r>
      <w:r>
        <w:rPr>
          <w:noProof/>
        </w:rPr>
        <w:t xml:space="preserve"> извън еврозоната, за които определеният краен срок за преминаване беше 31 октомври 2016 г. </w:t>
      </w:r>
    </w:p>
    <w:p>
      <w:pPr>
        <w:rPr>
          <w:noProof/>
        </w:rPr>
      </w:pPr>
      <w:r>
        <w:rPr>
          <w:b/>
          <w:noProof/>
        </w:rPr>
        <w:t>Таблица 7:</w:t>
      </w:r>
      <w:r>
        <w:rPr>
          <w:noProof/>
        </w:rPr>
        <w:t xml:space="preserve"> Използване на вариантите от държавите членки и текущо състояние на тези варианти.</w:t>
      </w:r>
    </w:p>
    <w:tbl>
      <w:tblPr>
        <w:tblStyle w:val="TableGrid"/>
        <w:tblW w:w="9640" w:type="dxa"/>
        <w:tblInd w:w="-176" w:type="dxa"/>
        <w:tblLook w:val="04A0" w:firstRow="1" w:lastRow="0" w:firstColumn="1" w:lastColumn="0" w:noHBand="0" w:noVBand="1"/>
      </w:tblPr>
      <w:tblGrid>
        <w:gridCol w:w="1568"/>
        <w:gridCol w:w="1232"/>
        <w:gridCol w:w="1232"/>
        <w:gridCol w:w="1232"/>
        <w:gridCol w:w="1232"/>
        <w:gridCol w:w="1232"/>
        <w:gridCol w:w="1912"/>
      </w:tblGrid>
      <w:tr>
        <w:tc>
          <w:tcPr>
            <w:tcW w:w="1702" w:type="dxa"/>
            <w:vAlign w:val="center"/>
          </w:tcPr>
          <w:p>
            <w:pPr>
              <w:spacing w:before="0"/>
              <w:jc w:val="center"/>
              <w:rPr>
                <w:b/>
                <w:noProof/>
                <w:sz w:val="22"/>
              </w:rPr>
            </w:pPr>
            <w:r>
              <w:rPr>
                <w:b/>
                <w:noProof/>
                <w:sz w:val="22"/>
              </w:rPr>
              <w:t>Еврозона</w:t>
            </w:r>
          </w:p>
        </w:tc>
        <w:tc>
          <w:tcPr>
            <w:tcW w:w="1134" w:type="dxa"/>
            <w:tcBorders>
              <w:top w:val="single" w:sz="4" w:space="0" w:color="auto"/>
              <w:bottom w:val="single" w:sz="4" w:space="0" w:color="auto"/>
            </w:tcBorders>
            <w:vAlign w:val="center"/>
          </w:tcPr>
          <w:p>
            <w:pPr>
              <w:spacing w:before="0"/>
              <w:jc w:val="center"/>
              <w:rPr>
                <w:b/>
                <w:noProof/>
                <w:sz w:val="22"/>
              </w:rPr>
            </w:pPr>
            <w:r>
              <w:rPr>
                <w:b/>
                <w:noProof/>
                <w:sz w:val="22"/>
              </w:rPr>
              <w:t>Вариант 1</w:t>
            </w:r>
          </w:p>
        </w:tc>
        <w:tc>
          <w:tcPr>
            <w:tcW w:w="1134" w:type="dxa"/>
            <w:tcBorders>
              <w:top w:val="single" w:sz="4" w:space="0" w:color="auto"/>
              <w:bottom w:val="single" w:sz="4" w:space="0" w:color="auto"/>
            </w:tcBorders>
            <w:vAlign w:val="center"/>
          </w:tcPr>
          <w:p>
            <w:pPr>
              <w:spacing w:before="0"/>
              <w:jc w:val="center"/>
              <w:rPr>
                <w:b/>
                <w:noProof/>
                <w:sz w:val="22"/>
              </w:rPr>
            </w:pPr>
            <w:r>
              <w:rPr>
                <w:b/>
                <w:noProof/>
                <w:sz w:val="22"/>
              </w:rPr>
              <w:t>Вариант 2</w:t>
            </w:r>
          </w:p>
        </w:tc>
        <w:tc>
          <w:tcPr>
            <w:tcW w:w="1134" w:type="dxa"/>
            <w:tcBorders>
              <w:top w:val="single" w:sz="4" w:space="0" w:color="auto"/>
              <w:bottom w:val="single" w:sz="4" w:space="0" w:color="auto"/>
            </w:tcBorders>
            <w:vAlign w:val="center"/>
          </w:tcPr>
          <w:p>
            <w:pPr>
              <w:spacing w:before="0"/>
              <w:jc w:val="center"/>
              <w:rPr>
                <w:b/>
                <w:noProof/>
                <w:sz w:val="22"/>
              </w:rPr>
            </w:pPr>
            <w:r>
              <w:rPr>
                <w:b/>
                <w:noProof/>
                <w:sz w:val="22"/>
              </w:rPr>
              <w:t>Вариант 3</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b/>
                <w:noProof/>
                <w:sz w:val="22"/>
              </w:rPr>
            </w:pPr>
            <w:r>
              <w:rPr>
                <w:b/>
                <w:noProof/>
                <w:sz w:val="22"/>
              </w:rPr>
              <w:t>Вариант 4</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b/>
                <w:noProof/>
                <w:sz w:val="22"/>
              </w:rPr>
            </w:pPr>
            <w:r>
              <w:rPr>
                <w:b/>
                <w:noProof/>
                <w:sz w:val="22"/>
              </w:rPr>
              <w:t>Вариант 5</w:t>
            </w:r>
          </w:p>
        </w:tc>
        <w:tc>
          <w:tcPr>
            <w:tcW w:w="2268" w:type="dxa"/>
            <w:tcBorders>
              <w:top w:val="single" w:sz="4" w:space="0" w:color="auto"/>
              <w:bottom w:val="single" w:sz="4" w:space="0" w:color="auto"/>
            </w:tcBorders>
            <w:shd w:val="clear" w:color="auto" w:fill="FFFFFF" w:themeFill="background1"/>
            <w:vAlign w:val="center"/>
          </w:tcPr>
          <w:p>
            <w:pPr>
              <w:spacing w:before="0"/>
              <w:jc w:val="center"/>
              <w:rPr>
                <w:b/>
                <w:noProof/>
                <w:sz w:val="22"/>
              </w:rPr>
            </w:pPr>
            <w:r>
              <w:rPr>
                <w:b/>
                <w:noProof/>
                <w:sz w:val="22"/>
              </w:rPr>
              <w:t>Състояние през май 2017 г.</w:t>
            </w:r>
          </w:p>
        </w:tc>
      </w:tr>
      <w:tr>
        <w:tc>
          <w:tcPr>
            <w:tcW w:w="1702" w:type="dxa"/>
            <w:vAlign w:val="center"/>
          </w:tcPr>
          <w:p>
            <w:pPr>
              <w:spacing w:before="0"/>
              <w:jc w:val="center"/>
              <w:rPr>
                <w:noProof/>
                <w:sz w:val="22"/>
              </w:rPr>
            </w:pPr>
            <w:r>
              <w:rPr>
                <w:noProof/>
                <w:sz w:val="22"/>
              </w:rPr>
              <w:t>Австрия</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Всички са преустановени</w:t>
            </w:r>
          </w:p>
        </w:tc>
      </w:tr>
      <w:tr>
        <w:tc>
          <w:tcPr>
            <w:tcW w:w="1702" w:type="dxa"/>
            <w:vAlign w:val="center"/>
          </w:tcPr>
          <w:p>
            <w:pPr>
              <w:spacing w:before="0"/>
              <w:jc w:val="center"/>
              <w:rPr>
                <w:noProof/>
                <w:sz w:val="22"/>
              </w:rPr>
            </w:pPr>
            <w:r>
              <w:rPr>
                <w:noProof/>
                <w:sz w:val="22"/>
              </w:rPr>
              <w:t>Белгия</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Нито един не е приведен в действие</w:t>
            </w:r>
          </w:p>
        </w:tc>
      </w:tr>
      <w:tr>
        <w:tc>
          <w:tcPr>
            <w:tcW w:w="1702" w:type="dxa"/>
            <w:vAlign w:val="center"/>
          </w:tcPr>
          <w:p>
            <w:pPr>
              <w:spacing w:before="0"/>
              <w:jc w:val="center"/>
              <w:rPr>
                <w:noProof/>
                <w:sz w:val="22"/>
              </w:rPr>
            </w:pPr>
            <w:r>
              <w:rPr>
                <w:noProof/>
                <w:sz w:val="22"/>
              </w:rPr>
              <w:t>Кипър</w:t>
            </w: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Всички са преустановени</w:t>
            </w:r>
          </w:p>
        </w:tc>
      </w:tr>
      <w:tr>
        <w:tc>
          <w:tcPr>
            <w:tcW w:w="1702" w:type="dxa"/>
            <w:vAlign w:val="center"/>
          </w:tcPr>
          <w:p>
            <w:pPr>
              <w:spacing w:before="0"/>
              <w:jc w:val="center"/>
              <w:rPr>
                <w:noProof/>
                <w:sz w:val="22"/>
              </w:rPr>
            </w:pPr>
            <w:r>
              <w:rPr>
                <w:noProof/>
                <w:sz w:val="22"/>
              </w:rPr>
              <w:t>Естония</w:t>
            </w: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Частично е преустановен</w:t>
            </w:r>
            <w:r>
              <w:rPr>
                <w:rStyle w:val="FootnoteReference"/>
                <w:noProof/>
                <w:sz w:val="22"/>
              </w:rPr>
              <w:footnoteReference w:id="15"/>
            </w:r>
          </w:p>
        </w:tc>
      </w:tr>
      <w:tr>
        <w:tc>
          <w:tcPr>
            <w:tcW w:w="1702" w:type="dxa"/>
            <w:vAlign w:val="center"/>
          </w:tcPr>
          <w:p>
            <w:pPr>
              <w:spacing w:before="0"/>
              <w:jc w:val="center"/>
              <w:rPr>
                <w:noProof/>
                <w:sz w:val="22"/>
              </w:rPr>
            </w:pPr>
            <w:r>
              <w:rPr>
                <w:noProof/>
                <w:sz w:val="22"/>
              </w:rPr>
              <w:t>Финландия</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Нито един не е приведен в действие</w:t>
            </w:r>
          </w:p>
        </w:tc>
      </w:tr>
      <w:tr>
        <w:tc>
          <w:tcPr>
            <w:tcW w:w="1702" w:type="dxa"/>
            <w:vAlign w:val="center"/>
          </w:tcPr>
          <w:p>
            <w:pPr>
              <w:spacing w:before="0"/>
              <w:jc w:val="center"/>
              <w:rPr>
                <w:noProof/>
                <w:sz w:val="22"/>
              </w:rPr>
            </w:pPr>
            <w:r>
              <w:rPr>
                <w:noProof/>
                <w:sz w:val="22"/>
              </w:rPr>
              <w:t>Франция</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Преустановени</w:t>
            </w:r>
          </w:p>
        </w:tc>
      </w:tr>
      <w:tr>
        <w:tc>
          <w:tcPr>
            <w:tcW w:w="1702" w:type="dxa"/>
            <w:vAlign w:val="center"/>
          </w:tcPr>
          <w:p>
            <w:pPr>
              <w:spacing w:before="0"/>
              <w:jc w:val="center"/>
              <w:rPr>
                <w:noProof/>
                <w:sz w:val="22"/>
              </w:rPr>
            </w:pPr>
            <w:r>
              <w:rPr>
                <w:noProof/>
                <w:sz w:val="22"/>
              </w:rPr>
              <w:t>Германия</w:t>
            </w: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Всички са преустановени</w:t>
            </w:r>
          </w:p>
        </w:tc>
      </w:tr>
      <w:tr>
        <w:tc>
          <w:tcPr>
            <w:tcW w:w="1702" w:type="dxa"/>
            <w:vAlign w:val="center"/>
          </w:tcPr>
          <w:p>
            <w:pPr>
              <w:spacing w:before="0"/>
              <w:jc w:val="center"/>
              <w:rPr>
                <w:noProof/>
                <w:sz w:val="22"/>
              </w:rPr>
            </w:pPr>
            <w:r>
              <w:rPr>
                <w:noProof/>
                <w:sz w:val="22"/>
              </w:rPr>
              <w:t>Гърция</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Всички са преустановени</w:t>
            </w:r>
          </w:p>
        </w:tc>
      </w:tr>
      <w:tr>
        <w:tc>
          <w:tcPr>
            <w:tcW w:w="1702" w:type="dxa"/>
            <w:vAlign w:val="center"/>
          </w:tcPr>
          <w:p>
            <w:pPr>
              <w:spacing w:before="0"/>
              <w:jc w:val="center"/>
              <w:rPr>
                <w:noProof/>
                <w:sz w:val="22"/>
              </w:rPr>
            </w:pPr>
            <w:r>
              <w:rPr>
                <w:noProof/>
                <w:sz w:val="22"/>
              </w:rPr>
              <w:t>Ирландия</w:t>
            </w: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bottom w:val="single" w:sz="4" w:space="0" w:color="auto"/>
            </w:tcBorders>
            <w:shd w:val="clear" w:color="auto" w:fill="FFFFFF" w:themeFill="background1"/>
            <w:vAlign w:val="center"/>
          </w:tcPr>
          <w:p>
            <w:pPr>
              <w:spacing w:before="0"/>
              <w:jc w:val="center"/>
              <w:rPr>
                <w:noProof/>
                <w:sz w:val="22"/>
              </w:rPr>
            </w:pPr>
            <w:r>
              <w:rPr>
                <w:noProof/>
                <w:sz w:val="22"/>
              </w:rPr>
              <w:t>Деактивирани</w:t>
            </w:r>
          </w:p>
        </w:tc>
      </w:tr>
      <w:tr>
        <w:tc>
          <w:tcPr>
            <w:tcW w:w="1702" w:type="dxa"/>
            <w:vAlign w:val="center"/>
          </w:tcPr>
          <w:p>
            <w:pPr>
              <w:spacing w:before="0"/>
              <w:jc w:val="center"/>
              <w:rPr>
                <w:noProof/>
                <w:sz w:val="22"/>
              </w:rPr>
            </w:pPr>
            <w:r>
              <w:rPr>
                <w:noProof/>
                <w:sz w:val="22"/>
              </w:rPr>
              <w:t>Италия</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Всички са преустановени</w:t>
            </w:r>
          </w:p>
        </w:tc>
      </w:tr>
      <w:tr>
        <w:tc>
          <w:tcPr>
            <w:tcW w:w="1702" w:type="dxa"/>
            <w:vAlign w:val="center"/>
          </w:tcPr>
          <w:p>
            <w:pPr>
              <w:spacing w:before="0"/>
              <w:jc w:val="center"/>
              <w:rPr>
                <w:noProof/>
                <w:sz w:val="22"/>
              </w:rPr>
            </w:pPr>
            <w:r>
              <w:rPr>
                <w:noProof/>
                <w:sz w:val="22"/>
              </w:rPr>
              <w:t>Латвия</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Преустановени</w:t>
            </w:r>
          </w:p>
        </w:tc>
      </w:tr>
      <w:tr>
        <w:tc>
          <w:tcPr>
            <w:tcW w:w="1702" w:type="dxa"/>
            <w:vAlign w:val="center"/>
          </w:tcPr>
          <w:p>
            <w:pPr>
              <w:spacing w:before="0"/>
              <w:jc w:val="center"/>
              <w:rPr>
                <w:noProof/>
                <w:sz w:val="22"/>
              </w:rPr>
            </w:pPr>
            <w:r>
              <w:rPr>
                <w:noProof/>
                <w:sz w:val="22"/>
              </w:rPr>
              <w:t>Литва</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Нито един не е приведен в действие</w:t>
            </w:r>
          </w:p>
        </w:tc>
      </w:tr>
      <w:tr>
        <w:tc>
          <w:tcPr>
            <w:tcW w:w="1702" w:type="dxa"/>
            <w:vAlign w:val="center"/>
          </w:tcPr>
          <w:p>
            <w:pPr>
              <w:spacing w:before="0"/>
              <w:jc w:val="center"/>
              <w:rPr>
                <w:noProof/>
                <w:sz w:val="22"/>
              </w:rPr>
            </w:pPr>
            <w:r>
              <w:rPr>
                <w:noProof/>
                <w:sz w:val="22"/>
              </w:rPr>
              <w:t>Люксембург</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Нито един не е приведен в действие</w:t>
            </w:r>
          </w:p>
        </w:tc>
      </w:tr>
      <w:tr>
        <w:tc>
          <w:tcPr>
            <w:tcW w:w="1702" w:type="dxa"/>
            <w:vAlign w:val="center"/>
          </w:tcPr>
          <w:p>
            <w:pPr>
              <w:spacing w:before="0"/>
              <w:jc w:val="center"/>
              <w:rPr>
                <w:noProof/>
                <w:sz w:val="22"/>
              </w:rPr>
            </w:pPr>
            <w:r>
              <w:rPr>
                <w:noProof/>
                <w:sz w:val="22"/>
              </w:rPr>
              <w:t>Малта</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Преустановени</w:t>
            </w:r>
          </w:p>
        </w:tc>
      </w:tr>
      <w:tr>
        <w:tc>
          <w:tcPr>
            <w:tcW w:w="1702" w:type="dxa"/>
            <w:vAlign w:val="center"/>
          </w:tcPr>
          <w:p>
            <w:pPr>
              <w:spacing w:before="0"/>
              <w:jc w:val="center"/>
              <w:rPr>
                <w:noProof/>
                <w:sz w:val="22"/>
              </w:rPr>
            </w:pPr>
            <w:r>
              <w:rPr>
                <w:noProof/>
                <w:sz w:val="22"/>
              </w:rPr>
              <w:t>Нидерландия</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Всички са преустановени</w:t>
            </w:r>
          </w:p>
        </w:tc>
      </w:tr>
      <w:tr>
        <w:tc>
          <w:tcPr>
            <w:tcW w:w="1702" w:type="dxa"/>
            <w:vAlign w:val="center"/>
          </w:tcPr>
          <w:p>
            <w:pPr>
              <w:spacing w:before="0"/>
              <w:jc w:val="center"/>
              <w:rPr>
                <w:noProof/>
                <w:sz w:val="22"/>
              </w:rPr>
            </w:pPr>
            <w:r>
              <w:rPr>
                <w:noProof/>
                <w:sz w:val="22"/>
              </w:rPr>
              <w:t>Португалия</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Всички са преустановени</w:t>
            </w:r>
          </w:p>
        </w:tc>
      </w:tr>
      <w:tr>
        <w:tc>
          <w:tcPr>
            <w:tcW w:w="1702" w:type="dxa"/>
            <w:vAlign w:val="center"/>
          </w:tcPr>
          <w:p>
            <w:pPr>
              <w:spacing w:before="0"/>
              <w:jc w:val="center"/>
              <w:rPr>
                <w:noProof/>
                <w:sz w:val="22"/>
              </w:rPr>
            </w:pPr>
            <w:r>
              <w:rPr>
                <w:noProof/>
                <w:sz w:val="22"/>
              </w:rPr>
              <w:t>Словакия</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Всички са преустановени</w:t>
            </w:r>
          </w:p>
        </w:tc>
      </w:tr>
      <w:tr>
        <w:tc>
          <w:tcPr>
            <w:tcW w:w="1702" w:type="dxa"/>
            <w:vAlign w:val="center"/>
          </w:tcPr>
          <w:p>
            <w:pPr>
              <w:spacing w:before="0"/>
              <w:jc w:val="center"/>
              <w:rPr>
                <w:noProof/>
                <w:sz w:val="22"/>
              </w:rPr>
            </w:pPr>
            <w:r>
              <w:rPr>
                <w:noProof/>
                <w:sz w:val="22"/>
              </w:rPr>
              <w:t>Словения</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Нито един не е приведен в действие</w:t>
            </w:r>
          </w:p>
        </w:tc>
      </w:tr>
      <w:tr>
        <w:tc>
          <w:tcPr>
            <w:tcW w:w="1702" w:type="dxa"/>
            <w:vAlign w:val="center"/>
          </w:tcPr>
          <w:p>
            <w:pPr>
              <w:spacing w:before="0"/>
              <w:jc w:val="center"/>
              <w:rPr>
                <w:noProof/>
                <w:sz w:val="22"/>
              </w:rPr>
            </w:pPr>
            <w:r>
              <w:rPr>
                <w:noProof/>
                <w:sz w:val="22"/>
              </w:rPr>
              <w:t>Испания</w:t>
            </w:r>
          </w:p>
        </w:tc>
        <w:tc>
          <w:tcPr>
            <w:tcW w:w="1134" w:type="dxa"/>
            <w:tcBorders>
              <w:top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pPr>
              <w:spacing w:before="0"/>
              <w:jc w:val="center"/>
              <w:rPr>
                <w:noProof/>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0"/>
              <w:jc w:val="center"/>
              <w:rPr>
                <w:noProof/>
                <w:sz w:val="22"/>
              </w:rPr>
            </w:pPr>
            <w:r>
              <w:rPr>
                <w:noProof/>
                <w:sz w:val="22"/>
              </w:rPr>
              <w:t>Всички са преустановени</w:t>
            </w:r>
          </w:p>
        </w:tc>
      </w:tr>
    </w:tbl>
    <w:p>
      <w:pPr>
        <w:pStyle w:val="Heading1"/>
        <w:numPr>
          <w:ilvl w:val="1"/>
          <w:numId w:val="3"/>
        </w:numPr>
        <w:jc w:val="both"/>
        <w:rPr>
          <w:noProof/>
        </w:rPr>
      </w:pPr>
      <w:r>
        <w:rPr>
          <w:noProof/>
        </w:rPr>
        <w:t>Дискриминация, основана на IBAN</w:t>
      </w:r>
    </w:p>
    <w:p>
      <w:pPr>
        <w:rPr>
          <w:noProof/>
        </w:rPr>
      </w:pPr>
      <w:r>
        <w:rPr>
          <w:noProof/>
        </w:rPr>
        <w:t>Потребители в ЕС подадоха сигнали и оплаквания по отношение на дружества и плащания (например данъчни плащания, презгранични плащания за комунални услуги), които могат да се извършват само от или до национална платежна сметка в евро. Такива ограничения не са разрешени съгласно член 3 (достъпност) и член 9 (достъп до плащания) от Регламента за SEPA и те представляват реална пречка пред безпрепятственото функциониране на SEPA.</w:t>
      </w:r>
    </w:p>
    <w:p>
      <w:pPr>
        <w:rPr>
          <w:noProof/>
        </w:rPr>
      </w:pPr>
      <w:r>
        <w:rPr>
          <w:noProof/>
        </w:rPr>
        <w:t xml:space="preserve">Този проблем беше и продължава да бъде основният приоритет на Европейската комисия във връзка с прилагането на Регламента за SEPA, тъй като той обезсилва най-осезаемите ползи, които потребителите и дружествата могат да извлекат от Регламента за SEPA: свободата да извършват плащания от което и да е място в рамките на ЕС, свободата да използват само една единствена банкова сметка (в евро) за всяка операция в рамките на ЕС, което им позволява също така да намалят разходите, свързани с поддържането на две или повече платежни сметки. </w:t>
      </w:r>
    </w:p>
    <w:p>
      <w:pPr>
        <w:rPr>
          <w:noProof/>
        </w:rPr>
      </w:pPr>
      <w:r>
        <w:rPr>
          <w:noProof/>
        </w:rPr>
        <w:t xml:space="preserve">Европейската комисия повдигна въпроса в различни форуми, за да повиши осведомеността сред участниците на пазара, ангажирани с плащанията, а така също и сред държавите членки: експертната пазарна група по платежни системи, Форума на ЕС на националните координационни комитети за SEPA и Съвета за малки плащания в евро. </w:t>
      </w:r>
    </w:p>
    <w:p>
      <w:pPr>
        <w:rPr>
          <w:noProof/>
        </w:rPr>
      </w:pPr>
      <w:r>
        <w:rPr>
          <w:noProof/>
        </w:rPr>
        <w:t xml:space="preserve">Освен това службите на Европейската комисия информираха отделни жалбоподатели за техните права и ги насочиха към националните органи, определени за гарантиране на спазването на Регламента за SEPA на национално равнище. </w:t>
      </w:r>
    </w:p>
    <w:p>
      <w:pPr>
        <w:rPr>
          <w:noProof/>
        </w:rPr>
      </w:pPr>
      <w:r>
        <w:rPr>
          <w:noProof/>
        </w:rPr>
        <w:t xml:space="preserve">Накрая, през 2015 г. и 2016 г. службите на Европейската комисия изпратиха около петнадесет писма на държави членки във връзка с докладвани случаи на дискриминация, основана на IBAN, като отправиха запитване за продължаващите случаи на дискриминация, на които националните органи не са обърнали внимание. Оказа се, че някои държави членки бяха определили органи, които да отговарят за спазването на регламента от страна на доставчиците на платежни услуги, но не и от страна на ползвателите на платежни услуги (като дружества за комунални услуги) — вж. глава 2.4 за повече подробности. </w:t>
      </w:r>
    </w:p>
    <w:p>
      <w:pPr>
        <w:rPr>
          <w:noProof/>
        </w:rPr>
      </w:pPr>
      <w:r>
        <w:rPr>
          <w:noProof/>
        </w:rPr>
        <w:t xml:space="preserve">Националните органи полагаха усилия за справянето с тези проблеми: </w:t>
      </w:r>
    </w:p>
    <w:p>
      <w:pPr>
        <w:pStyle w:val="ListParagraph"/>
        <w:numPr>
          <w:ilvl w:val="0"/>
          <w:numId w:val="46"/>
        </w:numPr>
        <w:jc w:val="both"/>
        <w:rPr>
          <w:noProof/>
        </w:rPr>
      </w:pPr>
      <w:r>
        <w:rPr>
          <w:noProof/>
        </w:rPr>
        <w:t>De Nederlandsche Bank (DNB), Централната банка на Нидерландия, е получила над 250 жалби от ползватели на платежни услуги за дискриминация, основана на IBAN, основно жалби на потребители срещу дружества. DNB е била особено активна при разглеждането на тези случаи, като е предлагала посредничество и решения на жалбите. С оглед на справянето с проблема с дискриминацията на ползвателите на чуждестранни платежни услуги, DNB е сключила също така споразумения за сътрудничество с други отговорни компетентни органи, включително централни банки.</w:t>
      </w:r>
    </w:p>
    <w:p>
      <w:pPr>
        <w:pStyle w:val="ListParagraph"/>
        <w:numPr>
          <w:ilvl w:val="0"/>
          <w:numId w:val="46"/>
        </w:numPr>
        <w:jc w:val="both"/>
        <w:rPr>
          <w:noProof/>
        </w:rPr>
      </w:pPr>
      <w:r>
        <w:rPr>
          <w:noProof/>
        </w:rPr>
        <w:t>BaFin и Bundesbank са регистрирали 75 жалби до края на 2016 г. От тях 66 са били свързани с дискриминация, основана на IBAN. При обосновани жалби в случай на нарушения от страна на доставчици на платежни услуги или от страна на ползватели на платежни услуги е имало възможност за предоставяне на обезщетения. Според получената обратна информация от дружества често са били налице технически проблеми с преобразуването, които са били коригирани с времето. Изглежда предприетите различни мерки са дали възможност тези проблеми да бъдат разрешени.</w:t>
      </w:r>
    </w:p>
    <w:p>
      <w:pPr>
        <w:pStyle w:val="ListParagraph"/>
        <w:numPr>
          <w:ilvl w:val="0"/>
          <w:numId w:val="46"/>
        </w:numPr>
        <w:jc w:val="both"/>
        <w:rPr>
          <w:noProof/>
        </w:rPr>
      </w:pPr>
      <w:r>
        <w:rPr>
          <w:noProof/>
        </w:rPr>
        <w:t>Banca d’Italia е получила 4 жалби през 2013 г., 35 жалби през 2014 г., 14 жалби през 2015 г. и 6 жалби през 2016 г. Италианският орган за защита на конкуренцията до момента не е получил никакви жалби. През 2017 г. Banca d’Italia е получила две жалби за дискриминация, основана на IBAN. Както и в други подобни случаи, Banca d’Italia допринася за разрешаването на тези проблеми, като установява връзка с участващите страни и улеснява диалога.</w:t>
      </w:r>
    </w:p>
    <w:p>
      <w:pPr>
        <w:rPr>
          <w:noProof/>
        </w:rPr>
      </w:pPr>
      <w:r>
        <w:rPr>
          <w:noProof/>
        </w:rPr>
        <w:t xml:space="preserve">Случаи на дискриминация, основана на IBAN, са били докладвани най-вече в държави (като Белгия, Франция, Италия, Германия, Испания или Нидерландия), където директните дебити в рамките на SEPA се използват активно и/или се считат за удобни от потребителите или дружествата, които приветстват възможността да ги използват и през граница, предоставена им с Регламента за SEPA. Най-често докладваните случаи се дължат на липсата на познаване на изискванията на Регламента от страна на ползвателите на платежни услуги или на ограниченията в установените процеси, които не позволят да се използва чуждестранен IBAN (например онлайн или хартиени формуляри, които ограничават номера на IBAN до предварително определен брой цифри или които са с предварително попълнен префикс за държава). </w:t>
      </w:r>
    </w:p>
    <w:p>
      <w:pPr>
        <w:rPr>
          <w:noProof/>
        </w:rPr>
      </w:pPr>
      <w:r>
        <w:rPr>
          <w:noProof/>
        </w:rPr>
        <w:t>От друга страна, държави, в които не се използват широко директните дебити в рамките на SEPA или които не са членове на еврозоната, получават по принцип по-малко жалби. Например България, Гърция, Дания, Естония, Ирландия, Кипър, Литва, Люксембург, Малта, Полша, Румъния, Словения, Унгария, Хърватия, Чешката република и Швеция са докладвали общо по-малко от 20 жалби от крайния срок досега (1 август 2014 г. или 31 октомври 2016 г., в зависимост от държавата).</w:t>
      </w:r>
    </w:p>
    <w:bookmarkEnd w:id="10"/>
    <w:p>
      <w:pPr>
        <w:pStyle w:val="Heading1"/>
        <w:numPr>
          <w:ilvl w:val="1"/>
          <w:numId w:val="3"/>
        </w:numPr>
        <w:jc w:val="both"/>
        <w:rPr>
          <w:noProof/>
        </w:rPr>
      </w:pPr>
      <w:r>
        <w:rPr>
          <w:noProof/>
        </w:rPr>
        <w:t>Определяне на компетентни органи и на техните правомощия</w:t>
      </w:r>
    </w:p>
    <w:p>
      <w:pPr>
        <w:rPr>
          <w:noProof/>
        </w:rPr>
      </w:pPr>
      <w:r>
        <w:rPr>
          <w:noProof/>
        </w:rPr>
        <w:t>Различни органи, като Европейската централна банка и националните централни банки, участваха в процеса на преминаване към SEPA. Основните заинтересовани страни от преминаването бяха националните компетентни органи, които отговарят за гарантиране на спазването на регламента.</w:t>
      </w:r>
    </w:p>
    <w:p>
      <w:pPr>
        <w:rPr>
          <w:noProof/>
        </w:rPr>
      </w:pPr>
      <w:r>
        <w:rPr>
          <w:noProof/>
        </w:rPr>
        <w:t>В тази връзка, по време на процеса на преминаване и през последващите месеци след 1 август 2014 г. възникна проблем, свързан с обхвата на действие на националните компетентни органи. Съгласно член 10 държавите членки са длъжни да определят компетентни органи, които да отговарят за гарантиране на спазването на регламента. Според тълкуването на някои държави членки на Регламента за SEPA задължението, наложено на националните компетентни органи, е ограничено до това да гарантират само че доставчиците на платежни услуги спазват регламента, а всъщност регламентът съдържа задължения по отношение и на ползвателите (получателите) на платежни услуги (член 9).</w:t>
      </w:r>
    </w:p>
    <w:p>
      <w:pPr>
        <w:rPr>
          <w:noProof/>
        </w:rPr>
      </w:pPr>
      <w:r>
        <w:rPr>
          <w:noProof/>
        </w:rPr>
        <w:t xml:space="preserve">На практика почти всички доставчици на платежни услуги бяха постигнали съответствие с регламента към датата на крайния срок, т.е. 1 август 2014 г. Не беше така обаче с редица ползватели на платежни услуги, като данъчни органи, доставчици на енергия, телекомуникационни оператори, застрахователни дружества или други дружества за комунални услуги, които не спазваха регламента, и по-специално член 9 от него, по отношение на приемането на която и да е платежна сметка в евро в рамките на ЕС за извършване или получаване на плащания. </w:t>
      </w:r>
    </w:p>
    <w:p>
      <w:pPr>
        <w:rPr>
          <w:noProof/>
        </w:rPr>
      </w:pPr>
      <w:r>
        <w:rPr>
          <w:noProof/>
        </w:rPr>
        <w:t>В редица случаи на компетентните органи, определени от държавите членки — в повечето случаи централните банки — не бяха предоставени правомощия по отношение на тези ползватели на платежни услуги. Вследствие на това Комисията започна редица процедури преди етапа на производството за установяване на нарушения (наречени EU Pilot), за да гарантира, че държавите членки ще определят и органи, които да гарантират спазването на регламента от страна на ползвателите на платежни услуги. Всички държави членки, с изключение на три държави</w:t>
      </w:r>
      <w:r>
        <w:rPr>
          <w:rStyle w:val="FootnoteReference"/>
          <w:noProof/>
        </w:rPr>
        <w:footnoteReference w:id="16"/>
      </w:r>
      <w:r>
        <w:rPr>
          <w:noProof/>
        </w:rPr>
        <w:t xml:space="preserve">, вече отговарят на изискванията на регламента. </w:t>
      </w:r>
    </w:p>
    <w:p>
      <w:pPr>
        <w:rPr>
          <w:noProof/>
        </w:rPr>
      </w:pPr>
      <w:r>
        <w:rPr>
          <w:noProof/>
        </w:rPr>
        <w:t xml:space="preserve">В приложението са представени компетентните органи и звената за контакт за жалби. </w:t>
      </w:r>
    </w:p>
    <w:p>
      <w:pPr>
        <w:pStyle w:val="Heading1"/>
        <w:rPr>
          <w:noProof/>
        </w:rPr>
      </w:pPr>
      <w:r>
        <w:rPr>
          <w:noProof/>
        </w:rPr>
        <w:t>Заключение и следващи стъпки по проекта за SEPA</w:t>
      </w:r>
    </w:p>
    <w:p>
      <w:pPr>
        <w:rPr>
          <w:noProof/>
        </w:rPr>
      </w:pPr>
      <w:r>
        <w:rPr>
          <w:noProof/>
        </w:rPr>
        <w:t>Като цяло Регламентът за SEPA се прилага и изпълнява правилно в целия ЕС. На този етап няма нужда от последващо законодателно предложение. Въпреки това някои проблеми, на които е обърнато внимание, и по-специално дискриминацията, основана на IBAN, ще продължат да се следят отблизо, за да се гарантира окончателното им преодоляване.</w:t>
      </w:r>
    </w:p>
    <w:p>
      <w:pPr>
        <w:rPr>
          <w:noProof/>
        </w:rPr>
      </w:pPr>
      <w:r>
        <w:rPr>
          <w:noProof/>
        </w:rPr>
        <w:t>Кредитните преводи и директните дебити в рамките на SEPA предоставиха на европейските граждани ефективен начин за осъществяване на кредитни преводи и директни дебити в евро в рамките на Европейския съюз. Въз основа на този стандарт на пазара на платежни услуги навлязоха нови участници, които предлагат услуги за нареждане на плащане и мобилни плащания между физически лица. Освен това може да се очаква навлизането на нови видове участници благодарение на преработената Директива за платежните услуги и разработването на нови проекти в рамките на SEPA, като незабавни плащания в рамките на SEPA, които ще започнат да се предлагат от ноември 2017 г.</w:t>
      </w:r>
    </w:p>
    <w:p>
      <w:pPr>
        <w:rPr>
          <w:noProof/>
        </w:rPr>
      </w:pPr>
      <w:r>
        <w:rPr>
          <w:noProof/>
        </w:rPr>
        <w:t>Тези възможности се подкрепят от Съвета за малки плащания в евро, орган, който се председателства от ЕЦБ. Това ново образувание, което замени предишния Съвет на SEPA, има за цел да насърчава развитието на интегриран, иновативен и конкурентен пазар за малки плащания в евро в рамките на Европейския съюз. Tо е съставено от членове както от сферата на предлагането на пазара (банковата общност, платежни институции и институции за електронни пари), така и от сферата на търсенето на пазара (потребители, търговци на дребно, търговци на дребно по интернет, предприятия/корпорации, МСП и национални публични администрации). Освен това пет национални централни банки, представляващи Евросистемата, и една национална централна банка, представляваща общността извън еврозоната, участват в заседанията на ротационен принцип. Европейската комисия присъства като наблюдател.</w:t>
      </w:r>
    </w:p>
    <w:p>
      <w:pPr>
        <w:rPr>
          <w:noProof/>
        </w:rPr>
      </w:pPr>
      <w:r>
        <w:rPr>
          <w:noProof/>
        </w:rPr>
        <w:t>Националните комитети за SEPA и техният Европейски форум, създаден от Комисията, изиграха ключова роля за въвеждането на единната зона за плащания в евро и за постигането на целта да се позволи на европейците да извършват всичките си операции в евро навсякъде в ЕС от една единствена сметка. Въпреки че преходът към SEPA вече е почти завършен, платежните системи са все още в процес на преобразуване, който протича с бързи темпове. Повечето национални комитети за SEPA са преустроени в национални платежни комитети/съвети, за да направляват това преобразуване. Тези национални платежни комитети/съвети вече насочват вниманието си към нови предизвикателства, като прехода към незабавни плащания или мобилни плащания. Освен това с влизането в сила на Директивата за платежните услуги 2 през януари 2018 г. националните комитети ще трябва да извършват мониторинг на други развития, и по-специално на навлизането на нови участници на платежния пазар, като субекти за обобщаване на информация от различни сметки и доставчици на услуги за нареждане на плащания.</w:t>
      </w:r>
    </w:p>
    <w:p>
      <w:pPr>
        <w:rPr>
          <w:noProof/>
        </w:rPr>
      </w:pPr>
      <w:r>
        <w:rPr>
          <w:noProof/>
        </w:rPr>
        <w:t>С оглед на подпомагането на тези промени в областта на плащанията, координирането на национални инициативи и обмяната на информация и добри практики Комисията проучва в тясно сътрудничество с Европейската централна банка възможността за преобразуване на Форума на ЕС на националните координационни комитети за SEPA в платформа за тези реформирани национални платежни комитети/съвети.</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021" w:right="1588" w:bottom="1021" w:left="1588" w:header="567" w:footer="454"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line="240" w:lineRule="auto"/>
      </w:pPr>
      <w:r>
        <w:separator/>
      </w:r>
    </w:p>
  </w:endnote>
  <w:endnote w:type="continuationSeparator" w:id="0">
    <w:p>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0"/>
      <w:jc w:val="center"/>
    </w:pPr>
    <w:r>
      <w:fldChar w:fldCharType="begin"/>
    </w:r>
    <w:r>
      <w:instrText>PAGE</w:instrText>
    </w:r>
    <w:r>
      <w:fldChar w:fldCharType="separate"/>
    </w:r>
    <w:r>
      <w:rPr>
        <w:noProof/>
      </w:rPr>
      <w:t>2</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p>
  <w:p>
    <w:pPr>
      <w:pStyle w:val="Footer"/>
    </w:pPr>
    <w:r>
      <w:t>Commission européenne/Europese Commissie, 1049 Bruxelles/Brussel, BELGIQUE/BELGIË — Тел. +32 22991111</w:t>
    </w:r>
    <w:r>
      <w:br/>
      <w:t>Офис: J-99 01/032 — Директна телефонна линия: +32 229-69839</w:t>
    </w:r>
  </w:p>
  <w:p>
    <w:pPr>
      <w:pStyle w:val="Footer"/>
    </w:pPr>
  </w:p>
  <w:p>
    <w:pPr>
      <w:pStyle w:val="Footer"/>
      <w:rPr>
        <w:sz w:val="12"/>
        <w:szCs w:val="12"/>
      </w:rPr>
    </w:pPr>
    <w:r>
      <w:t>Alexander.STEIN@ec.europa.eu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line="240" w:lineRule="auto"/>
      </w:pPr>
      <w:r>
        <w:separator/>
      </w:r>
    </w:p>
  </w:footnote>
  <w:footnote w:type="continuationSeparator" w:id="0">
    <w:p>
      <w:pPr>
        <w:spacing w:before="0" w:line="240" w:lineRule="auto"/>
      </w:pPr>
      <w:r>
        <w:continuationSeparator/>
      </w:r>
    </w:p>
  </w:footnote>
  <w:footnote w:id="1">
    <w:p>
      <w:pPr>
        <w:pStyle w:val="FootnoteText"/>
      </w:pPr>
      <w:r>
        <w:rPr>
          <w:rStyle w:val="FootnoteReference"/>
        </w:rPr>
        <w:footnoteRef/>
      </w:r>
      <w:r>
        <w:t xml:space="preserve"> </w:t>
      </w:r>
      <w:hyperlink r:id="rId1">
        <w:r>
          <w:rPr>
            <w:rStyle w:val="Hyperlink"/>
          </w:rPr>
          <w:t>http://eur-lex.europa.eu/legal-content/BG/ALL/?uri=celex%3A32012R0260</w:t>
        </w:r>
      </w:hyperlink>
      <w:r>
        <w:t xml:space="preserve"> </w:t>
      </w:r>
    </w:p>
  </w:footnote>
  <w:footnote w:id="2">
    <w:p>
      <w:pPr>
        <w:pStyle w:val="FootnoteText"/>
        <w:ind w:left="0" w:firstLine="0"/>
        <w:jc w:val="both"/>
      </w:pPr>
      <w:r>
        <w:rPr>
          <w:rStyle w:val="FootnoteReference"/>
        </w:rPr>
        <w:footnoteRef/>
      </w:r>
      <w:r>
        <w:t xml:space="preserve"> Данните са актуални към 31 септември 2016 г. Всички доставчици на платежни услуги (ДПУ) потвърдиха своята готовност за спазване на изискванията до 31 октомври 2016 г., което следва да бъде отразено в окончателните статистически данни за кредитните преводи в рамките на SEPA за четвъртото тримесечие на 2016 г., които все още не са налични.</w:t>
      </w:r>
    </w:p>
  </w:footnote>
  <w:footnote w:id="3">
    <w:p>
      <w:pPr>
        <w:pStyle w:val="FootnoteText"/>
        <w:ind w:left="0" w:firstLine="0"/>
        <w:jc w:val="both"/>
      </w:pPr>
      <w:r>
        <w:rPr>
          <w:rStyle w:val="FootnoteReference"/>
        </w:rPr>
        <w:footnoteRef/>
      </w:r>
      <w:r>
        <w:t xml:space="preserve"> Повечето изисквания са изпълнени. Четири институции в Румъния обаче изглежда са постигнали само частично съответствие.</w:t>
      </w:r>
    </w:p>
  </w:footnote>
  <w:footnote w:id="4">
    <w:p>
      <w:pPr>
        <w:pStyle w:val="FootnoteText"/>
        <w:ind w:left="0" w:firstLine="0"/>
        <w:jc w:val="both"/>
      </w:pPr>
      <w:r>
        <w:rPr>
          <w:rStyle w:val="FootnoteReference"/>
        </w:rPr>
        <w:footnoteRef/>
      </w:r>
      <w:r>
        <w:t xml:space="preserve"> Един особен вид услуга за кредитни преводи, т.нар. плащания за комунални услуги, все още е в преход от установените практики към изискванията на SEPA. Плащанията за комунални услуги се насочват към доставчиците на комунални услуги и при тях се изискват допълнителни данни за изравняване на плащанията и показанията за потреблението. Съгласно междусекторното споразумение между доставчиците на платежни услуги и доставчиците на комунални услуги плащанията за комунални услуги трябва да преминат към кредитните преводи в рамките на SEPA до 1 април 2017 г.</w:t>
      </w:r>
    </w:p>
  </w:footnote>
  <w:footnote w:id="5">
    <w:p>
      <w:pPr>
        <w:pStyle w:val="FootnoteText"/>
        <w:ind w:left="0" w:firstLine="0"/>
      </w:pPr>
      <w:r>
        <w:rPr>
          <w:rStyle w:val="FootnoteReference"/>
        </w:rPr>
        <w:footnoteRef/>
      </w:r>
      <w:r>
        <w:t xml:space="preserve"> Не е приложимо, тъй като само една банка се е придържала към схемата за директни дебити в рамките на SEPA (схема за директни дебити в рамките на SEPA между дружества).</w:t>
      </w:r>
    </w:p>
  </w:footnote>
  <w:footnote w:id="6">
    <w:p>
      <w:pPr>
        <w:pStyle w:val="FootnoteText"/>
        <w:ind w:left="0" w:firstLine="0"/>
        <w:jc w:val="both"/>
      </w:pPr>
      <w:r>
        <w:rPr>
          <w:rStyle w:val="FootnoteReference"/>
        </w:rPr>
        <w:footnoteRef/>
      </w:r>
      <w:r>
        <w:t xml:space="preserve"> Доставчиците на платежни услуги в Република Хърватия не предоставят услуги за директни дебити в евро.</w:t>
      </w:r>
    </w:p>
  </w:footnote>
  <w:footnote w:id="7">
    <w:p>
      <w:pPr>
        <w:pStyle w:val="FootnoteText"/>
        <w:ind w:left="0" w:firstLine="0"/>
      </w:pPr>
      <w:r>
        <w:rPr>
          <w:rStyle w:val="FootnoteReference"/>
        </w:rPr>
        <w:footnoteRef/>
      </w:r>
      <w:r>
        <w:t xml:space="preserve"> Националните директни дебити бяха заменени от кредитни преводи в рамките на SEPA, комбинирани с електронни фактури.</w:t>
      </w:r>
    </w:p>
  </w:footnote>
  <w:footnote w:id="8">
    <w:p>
      <w:pPr>
        <w:pStyle w:val="FootnoteText"/>
      </w:pPr>
      <w:r>
        <w:rPr>
          <w:rStyle w:val="FootnoteReference"/>
        </w:rPr>
        <w:footnoteRef/>
      </w:r>
      <w:r>
        <w:t xml:space="preserve"> Много ниска степен на използване на директни дебити в рамките на SEPA. Националните директни дебити бяха заменени от кредитни преводи в рамките на SEPA, комбинирани с електронни фактури, но банките продължават да предоставят достъп за директни дебити в рамките на SEPA.</w:t>
      </w:r>
    </w:p>
  </w:footnote>
  <w:footnote w:id="9">
    <w:p>
      <w:pPr>
        <w:pStyle w:val="FootnoteText"/>
        <w:ind w:left="0" w:firstLine="0"/>
        <w:jc w:val="both"/>
      </w:pPr>
      <w:r>
        <w:rPr>
          <w:rStyle w:val="FootnoteReference"/>
        </w:rPr>
        <w:footnoteRef/>
      </w:r>
      <w:r>
        <w:t xml:space="preserve"> Само един доставчик на платежни услуги предлага услуги за директни дебити в рамките на SEPA</w:t>
      </w:r>
    </w:p>
  </w:footnote>
  <w:footnote w:id="10">
    <w:p>
      <w:pPr>
        <w:pStyle w:val="FootnoteText"/>
        <w:ind w:left="0" w:firstLine="0"/>
      </w:pPr>
      <w:r>
        <w:rPr>
          <w:rStyle w:val="FootnoteReference"/>
        </w:rPr>
        <w:footnoteRef/>
      </w:r>
      <w:r>
        <w:t xml:space="preserve"> Не е приложимо, тъй като са били обработени много малко директни дебити в рамките на SEPA</w:t>
      </w:r>
    </w:p>
  </w:footnote>
  <w:footnote w:id="11">
    <w:p>
      <w:pPr>
        <w:pStyle w:val="FootnoteText"/>
        <w:ind w:left="0" w:firstLine="0"/>
      </w:pPr>
      <w:r>
        <w:rPr>
          <w:rStyle w:val="FootnoteReference"/>
        </w:rPr>
        <w:footnoteRef/>
      </w:r>
      <w:r>
        <w:t xml:space="preserve"> С изключение на данните в колона „Декември 2016 г.“, всички данни в таблици от 3 до 6 са извлечени от таблиците на ЕЦБ, публикувани на уебсайта на ЕЦБ — </w:t>
      </w:r>
      <w:hyperlink r:id="rId2">
        <w:r>
          <w:rPr>
            <w:rStyle w:val="Hyperlink"/>
          </w:rPr>
          <w:t>http://www.ecb.europa.eu/paym/retpaym/paymint/indicators/html/index.en.html</w:t>
        </w:r>
      </w:hyperlink>
      <w:r>
        <w:t xml:space="preserve"> </w:t>
      </w:r>
    </w:p>
  </w:footnote>
  <w:footnote w:id="12">
    <w:p>
      <w:pPr>
        <w:pStyle w:val="FootnoteText"/>
      </w:pPr>
      <w:r>
        <w:rPr>
          <w:rStyle w:val="FootnoteReference"/>
        </w:rPr>
        <w:footnoteRef/>
      </w:r>
      <w:r>
        <w:t xml:space="preserve"> Литва се присъедини към еврозоната на 1 януари 2015 г. и трябваше да премине към кредитни преводи в евро по отношение на всички преводи до 1 януари 2016 г.</w:t>
      </w:r>
    </w:p>
  </w:footnote>
  <w:footnote w:id="13">
    <w:p>
      <w:pPr>
        <w:pStyle w:val="FootnoteText"/>
      </w:pPr>
      <w:r>
        <w:rPr>
          <w:rStyle w:val="FootnoteReference"/>
        </w:rPr>
        <w:footnoteRef/>
      </w:r>
      <w:r>
        <w:t xml:space="preserve"> Латвия трябваше да премине към SEPA до 1 януари 2015 г. Латвия замени установените директни дебити с решения за електронно фактуриране, основани на кредитни преводи в рамките на SEPA</w:t>
      </w:r>
    </w:p>
  </w:footnote>
  <w:footnote w:id="14">
    <w:p>
      <w:pPr>
        <w:pStyle w:val="FootnoteText"/>
        <w:ind w:left="0" w:firstLine="0"/>
        <w:jc w:val="both"/>
      </w:pPr>
      <w:r>
        <w:rPr>
          <w:rStyle w:val="FootnoteReference"/>
        </w:rPr>
        <w:footnoteRef/>
      </w:r>
      <w:r>
        <w:t xml:space="preserve"> В Обединеното кралство актът „Наредби относно плащанията в евро (кредитни преводи и директни дебити) от 2012 г.“ беше представен пред парламента на 18 декември 2012 г. и влезе в сила на 15 декември 2013 г. В член 19 от тези наредби са посочени дерогациите, които бяха приложени. В наредба 19 е предвидено дерогацията съгласно член 16, параграфи 3 и 4 от Регламента за SEPA да се прилага по отношение на изискванията по член 8, параграфи 2 и 3 от този регламент до 1 февруари 2016 г. По силата на дерогациите съгласно член 16, параграфи 2 и 8, които се прилагат за държавите членки извън еврозоната, изискванията на членове 3, 4 и 5 от Регламента за SEPA не се прилагаха до 31 октомври 2016 г. По същество това означаваше, че за ДПУ, намиращи се в Обединеното кралство, крайният срок за преминаване по отношение на повечето изисквания беше 31 октомври 2016 г.</w:t>
      </w:r>
    </w:p>
  </w:footnote>
  <w:footnote w:id="15">
    <w:p>
      <w:pPr>
        <w:pStyle w:val="FootnoteText"/>
        <w:ind w:left="0" w:firstLine="0"/>
      </w:pPr>
      <w:r>
        <w:rPr>
          <w:rStyle w:val="FootnoteReference"/>
        </w:rPr>
        <w:footnoteRef/>
      </w:r>
      <w:r>
        <w:t xml:space="preserve"> Някои кредитни институции в Естония все още предоставят услуги по преобразуване от BBAN в IBAN.</w:t>
      </w:r>
    </w:p>
  </w:footnote>
  <w:footnote w:id="16">
    <w:p>
      <w:pPr>
        <w:pStyle w:val="FootnoteText"/>
      </w:pPr>
      <w:r>
        <w:rPr>
          <w:rStyle w:val="FootnoteReference"/>
        </w:rPr>
        <w:footnoteRef/>
      </w:r>
      <w:r>
        <w:t xml:space="preserve"> Гърция, Латвия, Полша.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F55399"/>
    <w:multiLevelType w:val="hybridMultilevel"/>
    <w:tmpl w:val="BDDA011E"/>
    <w:lvl w:ilvl="0" w:tplc="0413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046291"/>
    <w:multiLevelType w:val="hybridMultilevel"/>
    <w:tmpl w:val="C10A1C32"/>
    <w:lvl w:ilvl="0" w:tplc="A7F02C7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C041CC"/>
    <w:multiLevelType w:val="hybridMultilevel"/>
    <w:tmpl w:val="3A961E90"/>
    <w:lvl w:ilvl="0" w:tplc="7A7C5B34">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1A5D07BF"/>
    <w:multiLevelType w:val="hybridMultilevel"/>
    <w:tmpl w:val="754A15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A26F04"/>
    <w:multiLevelType w:val="hybridMultilevel"/>
    <w:tmpl w:val="0A0834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70A4C45C"/>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14B3744"/>
    <w:multiLevelType w:val="hybridMultilevel"/>
    <w:tmpl w:val="A2EE2CA0"/>
    <w:lvl w:ilvl="0" w:tplc="B878798C">
      <w:numFmt w:val="bullet"/>
      <w:lvlText w:val="-"/>
      <w:lvlJc w:val="left"/>
      <w:pPr>
        <w:ind w:left="720" w:hanging="360"/>
      </w:pPr>
      <w:rPr>
        <w:rFonts w:ascii="Times New Roman" w:eastAsia="Times New Roman" w:hAnsi="Times New Roman"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4304869"/>
    <w:multiLevelType w:val="hybridMultilevel"/>
    <w:tmpl w:val="6B3686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4B58258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BB718E"/>
    <w:multiLevelType w:val="hybridMultilevel"/>
    <w:tmpl w:val="552ABC98"/>
    <w:lvl w:ilvl="0" w:tplc="0809000F">
      <w:start w:val="1"/>
      <w:numFmt w:val="decimal"/>
      <w:lvlText w:val="%1."/>
      <w:lvlJc w:val="left"/>
      <w:pPr>
        <w:ind w:left="-708" w:hanging="360"/>
      </w:pPr>
    </w:lvl>
    <w:lvl w:ilvl="1" w:tplc="08090019" w:tentative="1">
      <w:start w:val="1"/>
      <w:numFmt w:val="lowerLetter"/>
      <w:lvlText w:val="%2."/>
      <w:lvlJc w:val="left"/>
      <w:pPr>
        <w:ind w:left="12" w:hanging="360"/>
      </w:pPr>
    </w:lvl>
    <w:lvl w:ilvl="2" w:tplc="0809001B" w:tentative="1">
      <w:start w:val="1"/>
      <w:numFmt w:val="lowerRoman"/>
      <w:lvlText w:val="%3."/>
      <w:lvlJc w:val="right"/>
      <w:pPr>
        <w:ind w:left="732" w:hanging="180"/>
      </w:pPr>
    </w:lvl>
    <w:lvl w:ilvl="3" w:tplc="0809000F" w:tentative="1">
      <w:start w:val="1"/>
      <w:numFmt w:val="decimal"/>
      <w:lvlText w:val="%4."/>
      <w:lvlJc w:val="left"/>
      <w:pPr>
        <w:ind w:left="1452" w:hanging="360"/>
      </w:pPr>
    </w:lvl>
    <w:lvl w:ilvl="4" w:tplc="08090019" w:tentative="1">
      <w:start w:val="1"/>
      <w:numFmt w:val="lowerLetter"/>
      <w:lvlText w:val="%5."/>
      <w:lvlJc w:val="left"/>
      <w:pPr>
        <w:ind w:left="2172" w:hanging="360"/>
      </w:pPr>
    </w:lvl>
    <w:lvl w:ilvl="5" w:tplc="0809001B" w:tentative="1">
      <w:start w:val="1"/>
      <w:numFmt w:val="lowerRoman"/>
      <w:lvlText w:val="%6."/>
      <w:lvlJc w:val="right"/>
      <w:pPr>
        <w:ind w:left="2892" w:hanging="180"/>
      </w:pPr>
    </w:lvl>
    <w:lvl w:ilvl="6" w:tplc="0809000F" w:tentative="1">
      <w:start w:val="1"/>
      <w:numFmt w:val="decimal"/>
      <w:lvlText w:val="%7."/>
      <w:lvlJc w:val="left"/>
      <w:pPr>
        <w:ind w:left="3612" w:hanging="360"/>
      </w:pPr>
    </w:lvl>
    <w:lvl w:ilvl="7" w:tplc="08090019" w:tentative="1">
      <w:start w:val="1"/>
      <w:numFmt w:val="lowerLetter"/>
      <w:lvlText w:val="%8."/>
      <w:lvlJc w:val="left"/>
      <w:pPr>
        <w:ind w:left="4332" w:hanging="360"/>
      </w:pPr>
    </w:lvl>
    <w:lvl w:ilvl="8" w:tplc="0809001B" w:tentative="1">
      <w:start w:val="1"/>
      <w:numFmt w:val="lowerRoman"/>
      <w:lvlText w:val="%9."/>
      <w:lvlJc w:val="right"/>
      <w:pPr>
        <w:ind w:left="5052" w:hanging="180"/>
      </w:pPr>
    </w:lvl>
  </w:abstractNum>
  <w:abstractNum w:abstractNumId="21">
    <w:nsid w:val="520C629E"/>
    <w:multiLevelType w:val="hybridMultilevel"/>
    <w:tmpl w:val="499E8FF2"/>
    <w:lvl w:ilvl="0" w:tplc="B878798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6">
    <w:nsid w:val="64C650F0"/>
    <w:multiLevelType w:val="hybridMultilevel"/>
    <w:tmpl w:val="A1F0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F3608A"/>
    <w:multiLevelType w:val="hybridMultilevel"/>
    <w:tmpl w:val="B966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68400E"/>
    <w:multiLevelType w:val="hybridMultilevel"/>
    <w:tmpl w:val="3ADA18D8"/>
    <w:lvl w:ilvl="0" w:tplc="A06CF5F4">
      <w:start w:val="1"/>
      <w:numFmt w:val="bullet"/>
      <w:pStyle w:val="ListParagraph"/>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6EC01A42"/>
    <w:multiLevelType w:val="hybridMultilevel"/>
    <w:tmpl w:val="0C7A0F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31E1CB2"/>
    <w:multiLevelType w:val="hybridMultilevel"/>
    <w:tmpl w:val="56185E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42B65B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7B949F6"/>
    <w:multiLevelType w:val="hybridMultilevel"/>
    <w:tmpl w:val="048478E0"/>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8"/>
  </w:num>
  <w:num w:numId="4">
    <w:abstractNumId w:val="17"/>
  </w:num>
  <w:num w:numId="5">
    <w:abstractNumId w:val="10"/>
  </w:num>
  <w:num w:numId="6">
    <w:abstractNumId w:val="16"/>
  </w:num>
  <w:num w:numId="7">
    <w:abstractNumId w:val="25"/>
  </w:num>
  <w:num w:numId="8">
    <w:abstractNumId w:val="29"/>
  </w:num>
  <w:num w:numId="9">
    <w:abstractNumId w:val="13"/>
  </w:num>
  <w:num w:numId="10">
    <w:abstractNumId w:val="24"/>
  </w:num>
  <w:num w:numId="11">
    <w:abstractNumId w:val="23"/>
  </w:num>
  <w:num w:numId="12">
    <w:abstractNumId w:val="18"/>
  </w:num>
  <w:num w:numId="13">
    <w:abstractNumId w:val="22"/>
  </w:num>
  <w:num w:numId="14">
    <w:abstractNumId w:val="9"/>
  </w:num>
  <w:num w:numId="15">
    <w:abstractNumId w:val="15"/>
  </w:num>
  <w:num w:numId="16">
    <w:abstractNumId w:val="7"/>
  </w:num>
  <w:num w:numId="17">
    <w:abstractNumId w:val="11"/>
  </w:num>
  <w:num w:numId="18">
    <w:abstractNumId w:val="31"/>
  </w:num>
  <w:num w:numId="19">
    <w:abstractNumId w:val="28"/>
  </w:num>
  <w:num w:numId="20">
    <w:abstractNumId w:val="3"/>
  </w:num>
  <w:num w:numId="21">
    <w:abstractNumId w:val="34"/>
  </w:num>
  <w:num w:numId="22">
    <w:abstractNumId w:val="21"/>
  </w:num>
  <w:num w:numId="23">
    <w:abstractNumId w:val="12"/>
  </w:num>
  <w:num w:numId="24">
    <w:abstractNumId w:val="19"/>
  </w:num>
  <w:num w:numId="25">
    <w:abstractNumId w:val="20"/>
  </w:num>
  <w:num w:numId="26">
    <w:abstractNumId w:val="33"/>
  </w:num>
  <w:num w:numId="27">
    <w:abstractNumId w:val="14"/>
  </w:num>
  <w:num w:numId="28">
    <w:abstractNumId w:val="5"/>
  </w:num>
  <w:num w:numId="29">
    <w:abstractNumId w:val="30"/>
  </w:num>
  <w:num w:numId="30">
    <w:abstractNumId w:val="6"/>
  </w:num>
  <w:num w:numId="31">
    <w:abstractNumId w:val="2"/>
  </w:num>
  <w:num w:numId="32">
    <w:abstractNumId w:val="8"/>
  </w:num>
  <w:num w:numId="33">
    <w:abstractNumId w:val="4"/>
  </w:num>
  <w:num w:numId="34">
    <w:abstractNumId w:val="8"/>
  </w:num>
  <w:num w:numId="35">
    <w:abstractNumId w:val="8"/>
  </w:num>
  <w:num w:numId="36">
    <w:abstractNumId w:val="32"/>
  </w:num>
  <w:num w:numId="37">
    <w:abstractNumId w:val="8"/>
  </w:num>
  <w:num w:numId="38">
    <w:abstractNumId w:val="8"/>
  </w:num>
  <w:num w:numId="39">
    <w:abstractNumId w:val="26"/>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8"/>
  </w:num>
  <w:num w:numId="46">
    <w:abstractNumId w:val="27"/>
  </w:num>
  <w:num w:numId="47">
    <w:abstractNumId w:val="8"/>
  </w:num>
  <w:num w:numId="48">
    <w:abstractNumId w:val="8"/>
  </w:num>
  <w:num w:numId="49">
    <w:abstractNumId w:val="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
    <w15:presenceInfo w15:providerId="None" w15:userId="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966968D-50F7-4B43-9CA5-D1530647DE3E"/>
    <w:docVar w:name="LW_COVERPAGE_TYPE" w:val="1"/>
    <w:docVar w:name="LW_CROSSREFERENCE" w:val="&lt;UNUSED&gt;"/>
    <w:docVar w:name="LW_DocType" w:val="REP"/>
    <w:docVar w:name="LW_EMISSION" w:val="23.11.2017"/>
    <w:docVar w:name="LW_EMISSION_ISODATE" w:val="2017-11-23"/>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Times New Roman Bold Cyr,Bold&gt;\u1086?\u1090?\u1085?\u1086?\u1089?\u1085?\u1086? \u1087?\u1088?\u1080?\u1083?\u1072?\u1075?\u1072?\u1085?\u1077?\u1090?\u1086? \u1085?\u1072? \u1056?\u1077?\u1075?\u1083?\u1072?\u1084?\u1077?\u1085?\u1090? (\u1045?\u1057?) \u8470? 260/2012 \u1079?\u1072? \u1086?\u1087?\u1088?\u1077?\u1076?\u1077?\u1083?\u1103?\u1085?\u1077? \u1085?\u1072? \u1090?\u1077?\u1093?\u1085?\u1080?\u1095?\u1077?\u1089?\u1082?\u1080? \u1080? \u1073?\u1080?\u1079?\u1085?\u1077?\u1089? \u1080?\u1079?\u1080?\u1089?\u1082?\u1074?\u1072?\u1085?\u1080?\u1103? \u1079?\u1072? \u1082?\u1088?\u1077?\u1076?\u1080?\u1090?\u1085?\u1080? \u1087?\u1088?\u1077?\u1074?\u1086?\u1076?\u1080? \u1080? \u1076?\u1080?\u1088?\u1077?\u1082?\u1090?\u1085?\u1080? \u1076?\u1077?\u1073?\u1080?\u1090?\u1080? \u1074? \u1077?\u1074?\u1088?\u1086? \u1080? \u1079?\u1072? \u1080?\u1079?\u1084?\u1077?\u1085?\u1077?\u1085?\u1080?\u1077? \u1085?\u1072? \u1056?\u1077?\u1075?\u1083?\u1072?\u1084?\u1077?\u1085?\u1090? (\u1045?\u1054?) \u8470? 924/2009&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toc 1" w:uiPriority="39"/>
    <w:lsdException w:name="toc 2" w:uiPriority="39"/>
    <w:lsdException w:name="footnote text" w:uiPriority="99"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lsdException w:name="Emphasis" w:semiHidden="0" w:uiPriority="20" w:unhideWhenUsed="0"/>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nhideWhenUsed="0" w:qFormat="1"/>
  </w:latentStyles>
  <w:style w:type="paragraph" w:default="1" w:styleId="Normal">
    <w:name w:val="Normal"/>
    <w:qFormat/>
    <w:pPr>
      <w:spacing w:before="180" w:line="276" w:lineRule="auto"/>
      <w:jc w:val="both"/>
    </w:pPr>
    <w:rPr>
      <w:sz w:val="24"/>
    </w:rPr>
  </w:style>
  <w:style w:type="paragraph" w:styleId="Heading1">
    <w:name w:val="heading 1"/>
    <w:basedOn w:val="Normal"/>
    <w:next w:val="Normal"/>
    <w:qFormat/>
    <w:pPr>
      <w:keepNext/>
      <w:numPr>
        <w:numId w:val="3"/>
      </w:numPr>
      <w:spacing w:before="360"/>
      <w:jc w:val="left"/>
      <w:outlineLvl w:val="0"/>
    </w:pPr>
    <w:rPr>
      <w:b/>
      <w:smallCaps/>
    </w:rPr>
  </w:style>
  <w:style w:type="paragraph" w:styleId="Heading2">
    <w:name w:val="heading 2"/>
    <w:basedOn w:val="Normal"/>
    <w:next w:val="Normal"/>
    <w:link w:val="Heading2Char"/>
    <w:qFormat/>
    <w:pPr>
      <w:keepNext/>
      <w:spacing w:before="240"/>
      <w:jc w:val="left"/>
      <w:outlineLvl w:val="1"/>
    </w:pPr>
    <w:rPr>
      <w:b/>
      <w:smallCaps/>
      <w:sz w:val="22"/>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keepNext/>
      <w:keepLines/>
      <w:spacing w:before="240" w:after="120"/>
      <w:jc w:val="left"/>
    </w:pPr>
    <w:rPr>
      <w:b/>
      <w:sz w:val="23"/>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jc w:val="left"/>
    </w:pPr>
    <w:rPr>
      <w:rFonts w:eastAsiaTheme="minorHAnsi"/>
      <w:szCs w:val="22"/>
      <w:lang w:eastAsia="en-US" w:bidi="ar-SA"/>
    </w:rPr>
  </w:style>
  <w:style w:type="paragraph" w:styleId="FootnoteText">
    <w:name w:val="footnote text"/>
    <w:basedOn w:val="Normal"/>
    <w:link w:val="FootnoteTextChar"/>
    <w:uiPriority w:val="99"/>
    <w:qFormat/>
    <w:pPr>
      <w:spacing w:before="20" w:line="240" w:lineRule="auto"/>
      <w:ind w:left="113" w:hanging="113"/>
      <w:jc w:val="left"/>
    </w:pPr>
    <w:rPr>
      <w:sz w:val="18"/>
      <w:szCs w:val="18"/>
    </w:rPr>
  </w:style>
  <w:style w:type="paragraph" w:styleId="Header">
    <w:name w:val="header"/>
    <w:basedOn w:val="Normal"/>
    <w:link w:val="HeaderChar"/>
    <w:uiPriority w:val="99"/>
    <w:unhideWhenUsed/>
    <w:pPr>
      <w:tabs>
        <w:tab w:val="center" w:pos="4535"/>
        <w:tab w:val="right" w:pos="9071"/>
      </w:tabs>
      <w:spacing w:before="0" w:after="120" w:line="240" w:lineRule="auto"/>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60" w:line="240" w:lineRule="auto"/>
      <w:jc w:val="left"/>
    </w:pPr>
    <w:rPr>
      <w:bCs/>
      <w:sz w:val="22"/>
    </w:rPr>
  </w:style>
  <w:style w:type="paragraph" w:styleId="TOC2">
    <w:name w:val="toc 2"/>
    <w:basedOn w:val="Normal"/>
    <w:next w:val="Normal"/>
    <w:uiPriority w:val="39"/>
    <w:pPr>
      <w:spacing w:before="120"/>
      <w:ind w:left="240"/>
      <w:jc w:val="left"/>
    </w:pPr>
    <w:rPr>
      <w:rFonts w:asciiTheme="minorHAnsi" w:hAnsiTheme="minorHAnsi"/>
      <w:i/>
      <w:iCs/>
      <w:sz w:val="20"/>
    </w:rPr>
  </w:style>
  <w:style w:type="paragraph" w:styleId="TOC3">
    <w:name w:val="toc 3"/>
    <w:basedOn w:val="Normal"/>
    <w:next w:val="Normal"/>
    <w:semiHidden/>
    <w:pPr>
      <w:spacing w:before="0"/>
      <w:ind w:left="480"/>
      <w:jc w:val="left"/>
    </w:pPr>
    <w:rPr>
      <w:rFonts w:asciiTheme="minorHAnsi" w:hAnsiTheme="minorHAnsi"/>
      <w:sz w:val="20"/>
    </w:rPr>
  </w:style>
  <w:style w:type="paragraph" w:styleId="TOC4">
    <w:name w:val="toc 4"/>
    <w:basedOn w:val="Normal"/>
    <w:next w:val="Normal"/>
    <w:semiHidden/>
    <w:pPr>
      <w:spacing w:before="0"/>
      <w:ind w:left="720"/>
      <w:jc w:val="left"/>
    </w:pPr>
    <w:rPr>
      <w:rFonts w:asciiTheme="minorHAnsi" w:hAnsiTheme="minorHAnsi"/>
      <w:sz w:val="20"/>
    </w:rPr>
  </w:style>
  <w:style w:type="paragraph" w:styleId="TOC5">
    <w:name w:val="toc 5"/>
    <w:basedOn w:val="Normal"/>
    <w:next w:val="Normal"/>
    <w:semiHidden/>
    <w:pPr>
      <w:spacing w:before="0"/>
      <w:ind w:left="960"/>
      <w:jc w:val="left"/>
    </w:pPr>
    <w:rPr>
      <w:rFonts w:asciiTheme="minorHAnsi" w:hAnsiTheme="minorHAnsi"/>
      <w:sz w:val="20"/>
    </w:rPr>
  </w:style>
  <w:style w:type="paragraph" w:styleId="TOC6">
    <w:name w:val="toc 6"/>
    <w:basedOn w:val="Normal"/>
    <w:next w:val="Normal"/>
    <w:autoRedefine/>
    <w:semiHidden/>
    <w:pPr>
      <w:spacing w:before="0"/>
      <w:ind w:left="1200"/>
      <w:jc w:val="left"/>
    </w:pPr>
    <w:rPr>
      <w:rFonts w:asciiTheme="minorHAnsi" w:hAnsiTheme="minorHAnsi"/>
      <w:sz w:val="20"/>
    </w:rPr>
  </w:style>
  <w:style w:type="paragraph" w:styleId="TOC7">
    <w:name w:val="toc 7"/>
    <w:basedOn w:val="Normal"/>
    <w:next w:val="Normal"/>
    <w:autoRedefine/>
    <w:semiHidden/>
    <w:pPr>
      <w:spacing w:before="0"/>
      <w:ind w:left="1440"/>
      <w:jc w:val="left"/>
    </w:pPr>
    <w:rPr>
      <w:rFonts w:asciiTheme="minorHAnsi" w:hAnsiTheme="minorHAnsi"/>
      <w:sz w:val="20"/>
    </w:rPr>
  </w:style>
  <w:style w:type="paragraph" w:styleId="TOC8">
    <w:name w:val="toc 8"/>
    <w:basedOn w:val="Normal"/>
    <w:next w:val="Normal"/>
    <w:autoRedefine/>
    <w:semiHidden/>
    <w:pPr>
      <w:spacing w:before="0"/>
      <w:ind w:left="1680"/>
      <w:jc w:val="left"/>
    </w:pPr>
    <w:rPr>
      <w:rFonts w:asciiTheme="minorHAnsi" w:hAnsiTheme="minorHAnsi"/>
      <w:sz w:val="20"/>
    </w:rPr>
  </w:style>
  <w:style w:type="paragraph" w:styleId="TOC9">
    <w:name w:val="toc 9"/>
    <w:basedOn w:val="Normal"/>
    <w:next w:val="Normal"/>
    <w:autoRedefine/>
    <w:semiHidden/>
    <w:pPr>
      <w:spacing w:before="0"/>
      <w:ind w:left="1920"/>
      <w:jc w:val="left"/>
    </w:pPr>
    <w:rPr>
      <w:rFonts w:asciiTheme="minorHAnsi" w:hAnsiTheme="minorHAns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keepLines/>
      <w:numPr>
        <w:numId w:val="19"/>
      </w:numPr>
      <w:spacing w:before="40"/>
      <w:ind w:left="357" w:hanging="357"/>
      <w:jc w:val="left"/>
    </w:p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styleId="NoSpacing">
    <w:name w:val="No Spacing"/>
    <w:uiPriority w:val="1"/>
    <w:qFormat/>
    <w:pPr>
      <w:jc w:val="both"/>
    </w:pPr>
    <w:rPr>
      <w:sz w:val="22"/>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shd w:val="clear" w:color="DCE6F1" w:fill="DCE6F1"/>
      <w:spacing w:before="100" w:beforeAutospacing="1" w:after="100" w:afterAutospacing="1" w:line="240" w:lineRule="auto"/>
      <w:jc w:val="left"/>
    </w:pPr>
    <w:rPr>
      <w:b/>
      <w:bCs/>
      <w:szCs w:val="24"/>
    </w:rPr>
  </w:style>
  <w:style w:type="paragraph" w:customStyle="1" w:styleId="xl66">
    <w:name w:val="xl66"/>
    <w:basedOn w:val="Normal"/>
    <w:pPr>
      <w:spacing w:before="100" w:beforeAutospacing="1" w:after="100" w:afterAutospacing="1" w:line="240" w:lineRule="auto"/>
      <w:jc w:val="center"/>
    </w:pPr>
    <w:rPr>
      <w:b/>
      <w:bCs/>
      <w:szCs w:val="24"/>
      <w:u w:val="single"/>
    </w:rPr>
  </w:style>
  <w:style w:type="paragraph" w:customStyle="1" w:styleId="xl67">
    <w:name w:val="xl67"/>
    <w:basedOn w:val="Normal"/>
    <w:pPr>
      <w:shd w:val="clear" w:color="4F81BD" w:fill="4F81BD"/>
      <w:spacing w:before="100" w:beforeAutospacing="1" w:after="100" w:afterAutospacing="1" w:line="240" w:lineRule="auto"/>
      <w:jc w:val="center"/>
    </w:pPr>
    <w:rPr>
      <w:b/>
      <w:bCs/>
      <w:color w:val="FFFFFF"/>
      <w:szCs w:val="24"/>
    </w:rPr>
  </w:style>
  <w:style w:type="paragraph" w:customStyle="1" w:styleId="xl68">
    <w:name w:val="xl68"/>
    <w:basedOn w:val="Normal"/>
    <w:pPr>
      <w:spacing w:before="100" w:beforeAutospacing="1" w:after="100" w:afterAutospacing="1" w:line="240" w:lineRule="auto"/>
      <w:jc w:val="center"/>
    </w:pPr>
    <w:rPr>
      <w:szCs w:val="24"/>
    </w:rPr>
  </w:style>
  <w:style w:type="paragraph" w:customStyle="1" w:styleId="xl69">
    <w:name w:val="xl69"/>
    <w:basedOn w:val="Normal"/>
    <w:pPr>
      <w:shd w:val="clear" w:color="DCE6F1" w:fill="DCE6F1"/>
      <w:spacing w:before="100" w:beforeAutospacing="1" w:after="100" w:afterAutospacing="1" w:line="240" w:lineRule="auto"/>
      <w:jc w:val="left"/>
    </w:pPr>
    <w:rPr>
      <w:b/>
      <w:bCs/>
      <w:szCs w:val="24"/>
    </w:rPr>
  </w:style>
  <w:style w:type="paragraph" w:customStyle="1" w:styleId="xl70">
    <w:name w:val="xl70"/>
    <w:basedOn w:val="Normal"/>
    <w:pPr>
      <w:spacing w:before="100" w:beforeAutospacing="1" w:after="100" w:afterAutospacing="1" w:line="240" w:lineRule="auto"/>
      <w:jc w:val="left"/>
    </w:pPr>
    <w:rPr>
      <w:b/>
      <w:bCs/>
      <w:szCs w:val="24"/>
    </w:rPr>
  </w:style>
  <w:style w:type="paragraph" w:customStyle="1" w:styleId="xl71">
    <w:name w:val="xl7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b/>
      <w:bCs/>
      <w:szCs w:val="24"/>
    </w:rPr>
  </w:style>
  <w:style w:type="paragraph" w:customStyle="1" w:styleId="xl72">
    <w:name w:val="xl72"/>
    <w:basedOn w:val="Normal"/>
    <w:pPr>
      <w:spacing w:before="100" w:beforeAutospacing="1" w:after="100" w:afterAutospacing="1" w:line="240" w:lineRule="auto"/>
      <w:jc w:val="left"/>
    </w:pPr>
    <w:rPr>
      <w:b/>
      <w:bCs/>
      <w:szCs w:val="24"/>
    </w:rPr>
  </w:style>
  <w:style w:type="paragraph" w:customStyle="1" w:styleId="xl63">
    <w:name w:val="xl63"/>
    <w:basedOn w:val="Normal"/>
    <w:pPr>
      <w:spacing w:before="100" w:beforeAutospacing="1" w:after="100" w:afterAutospacing="1" w:line="240" w:lineRule="auto"/>
      <w:jc w:val="left"/>
    </w:pPr>
    <w:rPr>
      <w:szCs w:val="24"/>
    </w:rPr>
  </w:style>
  <w:style w:type="paragraph" w:customStyle="1" w:styleId="xl64">
    <w:name w:val="xl64"/>
    <w:basedOn w:val="Normal"/>
    <w:pPr>
      <w:spacing w:before="100" w:beforeAutospacing="1" w:after="100" w:afterAutospacing="1" w:line="240" w:lineRule="auto"/>
      <w:jc w:val="left"/>
    </w:pPr>
    <w:rPr>
      <w:b/>
      <w:bCs/>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customStyle="1" w:styleId="Heading2Char">
    <w:name w:val="Heading 2 Char"/>
    <w:basedOn w:val="DefaultParagraphFont"/>
    <w:link w:val="Heading2"/>
    <w:rPr>
      <w:b/>
      <w:smallCaps/>
      <w:sz w:val="22"/>
      <w:lang w:eastAsia="bg-BG"/>
    </w:rPr>
  </w:style>
  <w:style w:type="paragraph" w:styleId="Revision">
    <w:name w:val="Revision"/>
    <w:hidden/>
    <w:uiPriority w:val="99"/>
    <w:semiHidden/>
    <w:rPr>
      <w:sz w:val="24"/>
    </w:rPr>
  </w:style>
  <w:style w:type="paragraph" w:customStyle="1" w:styleId="SourceNotes">
    <w:name w:val="Source_Notes"/>
    <w:basedOn w:val="Normal"/>
    <w:qFormat/>
    <w:pPr>
      <w:spacing w:before="60" w:line="252" w:lineRule="auto"/>
      <w:jc w:val="left"/>
    </w:pPr>
    <w:rPr>
      <w:sz w:val="18"/>
      <w:szCs w:val="18"/>
    </w:rPr>
  </w:style>
  <w:style w:type="character" w:customStyle="1" w:styleId="FootnoteTextChar">
    <w:name w:val="Footnote Text Char"/>
    <w:basedOn w:val="DefaultParagraphFont"/>
    <w:link w:val="FootnoteText"/>
    <w:uiPriority w:val="99"/>
    <w:rPr>
      <w:sz w:val="18"/>
      <w:szCs w:val="18"/>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line="240" w:lineRule="auto"/>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DefaultParagraphFont"/>
    <w:link w:val="HeaderCoverPage"/>
    <w:rPr>
      <w:sz w:val="24"/>
    </w:rPr>
  </w:style>
  <w:style w:type="paragraph" w:customStyle="1" w:styleId="Declassification">
    <w:name w:val="Declassification"/>
    <w:basedOn w:val="Normal"/>
    <w:next w:val="Normal"/>
    <w:pPr>
      <w:spacing w:before="0" w:line="240" w:lineRule="auto"/>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before="0" w:after="120" w:line="240" w:lineRule="auto"/>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line="240" w:lineRule="auto"/>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eastAsiaTheme="minorHAnsi"/>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toc 1" w:uiPriority="39"/>
    <w:lsdException w:name="toc 2" w:uiPriority="39"/>
    <w:lsdException w:name="footnote text" w:uiPriority="99"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lsdException w:name="Emphasis" w:semiHidden="0" w:uiPriority="20" w:unhideWhenUsed="0"/>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nhideWhenUsed="0" w:qFormat="1"/>
  </w:latentStyles>
  <w:style w:type="paragraph" w:default="1" w:styleId="Normal">
    <w:name w:val="Normal"/>
    <w:qFormat/>
    <w:pPr>
      <w:spacing w:before="180" w:line="276" w:lineRule="auto"/>
      <w:jc w:val="both"/>
    </w:pPr>
    <w:rPr>
      <w:sz w:val="24"/>
    </w:rPr>
  </w:style>
  <w:style w:type="paragraph" w:styleId="Heading1">
    <w:name w:val="heading 1"/>
    <w:basedOn w:val="Normal"/>
    <w:next w:val="Normal"/>
    <w:qFormat/>
    <w:pPr>
      <w:keepNext/>
      <w:numPr>
        <w:numId w:val="3"/>
      </w:numPr>
      <w:spacing w:before="360"/>
      <w:jc w:val="left"/>
      <w:outlineLvl w:val="0"/>
    </w:pPr>
    <w:rPr>
      <w:b/>
      <w:smallCaps/>
    </w:rPr>
  </w:style>
  <w:style w:type="paragraph" w:styleId="Heading2">
    <w:name w:val="heading 2"/>
    <w:basedOn w:val="Normal"/>
    <w:next w:val="Normal"/>
    <w:link w:val="Heading2Char"/>
    <w:qFormat/>
    <w:pPr>
      <w:keepNext/>
      <w:spacing w:before="240"/>
      <w:jc w:val="left"/>
      <w:outlineLvl w:val="1"/>
    </w:pPr>
    <w:rPr>
      <w:b/>
      <w:smallCaps/>
      <w:sz w:val="22"/>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keepNext/>
      <w:keepLines/>
      <w:spacing w:before="240" w:after="120"/>
      <w:jc w:val="left"/>
    </w:pPr>
    <w:rPr>
      <w:b/>
      <w:sz w:val="23"/>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jc w:val="left"/>
    </w:pPr>
    <w:rPr>
      <w:rFonts w:eastAsiaTheme="minorHAnsi"/>
      <w:szCs w:val="22"/>
      <w:lang w:eastAsia="en-US" w:bidi="ar-SA"/>
    </w:rPr>
  </w:style>
  <w:style w:type="paragraph" w:styleId="FootnoteText">
    <w:name w:val="footnote text"/>
    <w:basedOn w:val="Normal"/>
    <w:link w:val="FootnoteTextChar"/>
    <w:uiPriority w:val="99"/>
    <w:qFormat/>
    <w:pPr>
      <w:spacing w:before="20" w:line="240" w:lineRule="auto"/>
      <w:ind w:left="113" w:hanging="113"/>
      <w:jc w:val="left"/>
    </w:pPr>
    <w:rPr>
      <w:sz w:val="18"/>
      <w:szCs w:val="18"/>
    </w:rPr>
  </w:style>
  <w:style w:type="paragraph" w:styleId="Header">
    <w:name w:val="header"/>
    <w:basedOn w:val="Normal"/>
    <w:link w:val="HeaderChar"/>
    <w:uiPriority w:val="99"/>
    <w:unhideWhenUsed/>
    <w:pPr>
      <w:tabs>
        <w:tab w:val="center" w:pos="4535"/>
        <w:tab w:val="right" w:pos="9071"/>
      </w:tabs>
      <w:spacing w:before="0" w:after="120" w:line="240" w:lineRule="auto"/>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60" w:line="240" w:lineRule="auto"/>
      <w:jc w:val="left"/>
    </w:pPr>
    <w:rPr>
      <w:bCs/>
      <w:sz w:val="22"/>
    </w:rPr>
  </w:style>
  <w:style w:type="paragraph" w:styleId="TOC2">
    <w:name w:val="toc 2"/>
    <w:basedOn w:val="Normal"/>
    <w:next w:val="Normal"/>
    <w:uiPriority w:val="39"/>
    <w:pPr>
      <w:spacing w:before="120"/>
      <w:ind w:left="240"/>
      <w:jc w:val="left"/>
    </w:pPr>
    <w:rPr>
      <w:rFonts w:asciiTheme="minorHAnsi" w:hAnsiTheme="minorHAnsi"/>
      <w:i/>
      <w:iCs/>
      <w:sz w:val="20"/>
    </w:rPr>
  </w:style>
  <w:style w:type="paragraph" w:styleId="TOC3">
    <w:name w:val="toc 3"/>
    <w:basedOn w:val="Normal"/>
    <w:next w:val="Normal"/>
    <w:semiHidden/>
    <w:pPr>
      <w:spacing w:before="0"/>
      <w:ind w:left="480"/>
      <w:jc w:val="left"/>
    </w:pPr>
    <w:rPr>
      <w:rFonts w:asciiTheme="minorHAnsi" w:hAnsiTheme="minorHAnsi"/>
      <w:sz w:val="20"/>
    </w:rPr>
  </w:style>
  <w:style w:type="paragraph" w:styleId="TOC4">
    <w:name w:val="toc 4"/>
    <w:basedOn w:val="Normal"/>
    <w:next w:val="Normal"/>
    <w:semiHidden/>
    <w:pPr>
      <w:spacing w:before="0"/>
      <w:ind w:left="720"/>
      <w:jc w:val="left"/>
    </w:pPr>
    <w:rPr>
      <w:rFonts w:asciiTheme="minorHAnsi" w:hAnsiTheme="minorHAnsi"/>
      <w:sz w:val="20"/>
    </w:rPr>
  </w:style>
  <w:style w:type="paragraph" w:styleId="TOC5">
    <w:name w:val="toc 5"/>
    <w:basedOn w:val="Normal"/>
    <w:next w:val="Normal"/>
    <w:semiHidden/>
    <w:pPr>
      <w:spacing w:before="0"/>
      <w:ind w:left="960"/>
      <w:jc w:val="left"/>
    </w:pPr>
    <w:rPr>
      <w:rFonts w:asciiTheme="minorHAnsi" w:hAnsiTheme="minorHAnsi"/>
      <w:sz w:val="20"/>
    </w:rPr>
  </w:style>
  <w:style w:type="paragraph" w:styleId="TOC6">
    <w:name w:val="toc 6"/>
    <w:basedOn w:val="Normal"/>
    <w:next w:val="Normal"/>
    <w:autoRedefine/>
    <w:semiHidden/>
    <w:pPr>
      <w:spacing w:before="0"/>
      <w:ind w:left="1200"/>
      <w:jc w:val="left"/>
    </w:pPr>
    <w:rPr>
      <w:rFonts w:asciiTheme="minorHAnsi" w:hAnsiTheme="minorHAnsi"/>
      <w:sz w:val="20"/>
    </w:rPr>
  </w:style>
  <w:style w:type="paragraph" w:styleId="TOC7">
    <w:name w:val="toc 7"/>
    <w:basedOn w:val="Normal"/>
    <w:next w:val="Normal"/>
    <w:autoRedefine/>
    <w:semiHidden/>
    <w:pPr>
      <w:spacing w:before="0"/>
      <w:ind w:left="1440"/>
      <w:jc w:val="left"/>
    </w:pPr>
    <w:rPr>
      <w:rFonts w:asciiTheme="minorHAnsi" w:hAnsiTheme="minorHAnsi"/>
      <w:sz w:val="20"/>
    </w:rPr>
  </w:style>
  <w:style w:type="paragraph" w:styleId="TOC8">
    <w:name w:val="toc 8"/>
    <w:basedOn w:val="Normal"/>
    <w:next w:val="Normal"/>
    <w:autoRedefine/>
    <w:semiHidden/>
    <w:pPr>
      <w:spacing w:before="0"/>
      <w:ind w:left="1680"/>
      <w:jc w:val="left"/>
    </w:pPr>
    <w:rPr>
      <w:rFonts w:asciiTheme="minorHAnsi" w:hAnsiTheme="minorHAnsi"/>
      <w:sz w:val="20"/>
    </w:rPr>
  </w:style>
  <w:style w:type="paragraph" w:styleId="TOC9">
    <w:name w:val="toc 9"/>
    <w:basedOn w:val="Normal"/>
    <w:next w:val="Normal"/>
    <w:autoRedefine/>
    <w:semiHidden/>
    <w:pPr>
      <w:spacing w:before="0"/>
      <w:ind w:left="1920"/>
      <w:jc w:val="left"/>
    </w:pPr>
    <w:rPr>
      <w:rFonts w:asciiTheme="minorHAnsi" w:hAnsiTheme="minorHAns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keepLines/>
      <w:numPr>
        <w:numId w:val="19"/>
      </w:numPr>
      <w:spacing w:before="40"/>
      <w:ind w:left="357" w:hanging="357"/>
      <w:jc w:val="left"/>
    </w:pPr>
  </w:style>
  <w:style w:type="character" w:styleId="EndnoteReference">
    <w:name w:val="endnote reference"/>
    <w:basedOn w:val="DefaultParagraphFont"/>
    <w:uiPriority w:val="99"/>
    <w:semiHidden/>
    <w:unhideWhenUsed/>
    <w:rPr>
      <w:vertAlign w:val="superscript"/>
    </w:rPr>
  </w:style>
  <w:style w:type="numbering" w:customStyle="1" w:styleId="NoList1">
    <w:name w:val="No List1"/>
    <w:next w:val="NoList"/>
    <w:uiPriority w:val="99"/>
    <w:semiHidden/>
    <w:unhideWhenUsed/>
  </w:style>
  <w:style w:type="paragraph" w:styleId="NoSpacing">
    <w:name w:val="No Spacing"/>
    <w:uiPriority w:val="1"/>
    <w:qFormat/>
    <w:pPr>
      <w:jc w:val="both"/>
    </w:pPr>
    <w:rPr>
      <w:sz w:val="22"/>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shd w:val="clear" w:color="DCE6F1" w:fill="DCE6F1"/>
      <w:spacing w:before="100" w:beforeAutospacing="1" w:after="100" w:afterAutospacing="1" w:line="240" w:lineRule="auto"/>
      <w:jc w:val="left"/>
    </w:pPr>
    <w:rPr>
      <w:b/>
      <w:bCs/>
      <w:szCs w:val="24"/>
    </w:rPr>
  </w:style>
  <w:style w:type="paragraph" w:customStyle="1" w:styleId="xl66">
    <w:name w:val="xl66"/>
    <w:basedOn w:val="Normal"/>
    <w:pPr>
      <w:spacing w:before="100" w:beforeAutospacing="1" w:after="100" w:afterAutospacing="1" w:line="240" w:lineRule="auto"/>
      <w:jc w:val="center"/>
    </w:pPr>
    <w:rPr>
      <w:b/>
      <w:bCs/>
      <w:szCs w:val="24"/>
      <w:u w:val="single"/>
    </w:rPr>
  </w:style>
  <w:style w:type="paragraph" w:customStyle="1" w:styleId="xl67">
    <w:name w:val="xl67"/>
    <w:basedOn w:val="Normal"/>
    <w:pPr>
      <w:shd w:val="clear" w:color="4F81BD" w:fill="4F81BD"/>
      <w:spacing w:before="100" w:beforeAutospacing="1" w:after="100" w:afterAutospacing="1" w:line="240" w:lineRule="auto"/>
      <w:jc w:val="center"/>
    </w:pPr>
    <w:rPr>
      <w:b/>
      <w:bCs/>
      <w:color w:val="FFFFFF"/>
      <w:szCs w:val="24"/>
    </w:rPr>
  </w:style>
  <w:style w:type="paragraph" w:customStyle="1" w:styleId="xl68">
    <w:name w:val="xl68"/>
    <w:basedOn w:val="Normal"/>
    <w:pPr>
      <w:spacing w:before="100" w:beforeAutospacing="1" w:after="100" w:afterAutospacing="1" w:line="240" w:lineRule="auto"/>
      <w:jc w:val="center"/>
    </w:pPr>
    <w:rPr>
      <w:szCs w:val="24"/>
    </w:rPr>
  </w:style>
  <w:style w:type="paragraph" w:customStyle="1" w:styleId="xl69">
    <w:name w:val="xl69"/>
    <w:basedOn w:val="Normal"/>
    <w:pPr>
      <w:shd w:val="clear" w:color="DCE6F1" w:fill="DCE6F1"/>
      <w:spacing w:before="100" w:beforeAutospacing="1" w:after="100" w:afterAutospacing="1" w:line="240" w:lineRule="auto"/>
      <w:jc w:val="left"/>
    </w:pPr>
    <w:rPr>
      <w:b/>
      <w:bCs/>
      <w:szCs w:val="24"/>
    </w:rPr>
  </w:style>
  <w:style w:type="paragraph" w:customStyle="1" w:styleId="xl70">
    <w:name w:val="xl70"/>
    <w:basedOn w:val="Normal"/>
    <w:pPr>
      <w:spacing w:before="100" w:beforeAutospacing="1" w:after="100" w:afterAutospacing="1" w:line="240" w:lineRule="auto"/>
      <w:jc w:val="left"/>
    </w:pPr>
    <w:rPr>
      <w:b/>
      <w:bCs/>
      <w:szCs w:val="24"/>
    </w:rPr>
  </w:style>
  <w:style w:type="paragraph" w:customStyle="1" w:styleId="xl71">
    <w:name w:val="xl7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b/>
      <w:bCs/>
      <w:szCs w:val="24"/>
    </w:rPr>
  </w:style>
  <w:style w:type="paragraph" w:customStyle="1" w:styleId="xl72">
    <w:name w:val="xl72"/>
    <w:basedOn w:val="Normal"/>
    <w:pPr>
      <w:spacing w:before="100" w:beforeAutospacing="1" w:after="100" w:afterAutospacing="1" w:line="240" w:lineRule="auto"/>
      <w:jc w:val="left"/>
    </w:pPr>
    <w:rPr>
      <w:b/>
      <w:bCs/>
      <w:szCs w:val="24"/>
    </w:rPr>
  </w:style>
  <w:style w:type="paragraph" w:customStyle="1" w:styleId="xl63">
    <w:name w:val="xl63"/>
    <w:basedOn w:val="Normal"/>
    <w:pPr>
      <w:spacing w:before="100" w:beforeAutospacing="1" w:after="100" w:afterAutospacing="1" w:line="240" w:lineRule="auto"/>
      <w:jc w:val="left"/>
    </w:pPr>
    <w:rPr>
      <w:szCs w:val="24"/>
    </w:rPr>
  </w:style>
  <w:style w:type="paragraph" w:customStyle="1" w:styleId="xl64">
    <w:name w:val="xl64"/>
    <w:basedOn w:val="Normal"/>
    <w:pPr>
      <w:spacing w:before="100" w:beforeAutospacing="1" w:after="100" w:afterAutospacing="1" w:line="240" w:lineRule="auto"/>
      <w:jc w:val="left"/>
    </w:pPr>
    <w:rPr>
      <w:b/>
      <w:bCs/>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customStyle="1" w:styleId="Heading2Char">
    <w:name w:val="Heading 2 Char"/>
    <w:basedOn w:val="DefaultParagraphFont"/>
    <w:link w:val="Heading2"/>
    <w:rPr>
      <w:b/>
      <w:smallCaps/>
      <w:sz w:val="22"/>
      <w:lang w:eastAsia="bg-BG"/>
    </w:rPr>
  </w:style>
  <w:style w:type="paragraph" w:styleId="Revision">
    <w:name w:val="Revision"/>
    <w:hidden/>
    <w:uiPriority w:val="99"/>
    <w:semiHidden/>
    <w:rPr>
      <w:sz w:val="24"/>
    </w:rPr>
  </w:style>
  <w:style w:type="paragraph" w:customStyle="1" w:styleId="SourceNotes">
    <w:name w:val="Source_Notes"/>
    <w:basedOn w:val="Normal"/>
    <w:qFormat/>
    <w:pPr>
      <w:spacing w:before="60" w:line="252" w:lineRule="auto"/>
      <w:jc w:val="left"/>
    </w:pPr>
    <w:rPr>
      <w:sz w:val="18"/>
      <w:szCs w:val="18"/>
    </w:rPr>
  </w:style>
  <w:style w:type="character" w:customStyle="1" w:styleId="FootnoteTextChar">
    <w:name w:val="Footnote Text Char"/>
    <w:basedOn w:val="DefaultParagraphFont"/>
    <w:link w:val="FootnoteText"/>
    <w:uiPriority w:val="99"/>
    <w:rPr>
      <w:sz w:val="18"/>
      <w:szCs w:val="18"/>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line="240" w:lineRule="auto"/>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DefaultParagraphFont"/>
    <w:link w:val="HeaderCoverPage"/>
    <w:rPr>
      <w:sz w:val="24"/>
    </w:rPr>
  </w:style>
  <w:style w:type="paragraph" w:customStyle="1" w:styleId="Declassification">
    <w:name w:val="Declassification"/>
    <w:basedOn w:val="Normal"/>
    <w:next w:val="Normal"/>
    <w:pPr>
      <w:spacing w:before="0" w:line="240" w:lineRule="auto"/>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before="0" w:after="120" w:line="240" w:lineRule="auto"/>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line="240" w:lineRule="auto"/>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8134">
      <w:bodyDiv w:val="1"/>
      <w:marLeft w:val="0"/>
      <w:marRight w:val="0"/>
      <w:marTop w:val="0"/>
      <w:marBottom w:val="0"/>
      <w:divBdr>
        <w:top w:val="none" w:sz="0" w:space="0" w:color="auto"/>
        <w:left w:val="none" w:sz="0" w:space="0" w:color="auto"/>
        <w:bottom w:val="none" w:sz="0" w:space="0" w:color="auto"/>
        <w:right w:val="none" w:sz="0" w:space="0" w:color="auto"/>
      </w:divBdr>
    </w:div>
    <w:div w:id="197087799">
      <w:bodyDiv w:val="1"/>
      <w:marLeft w:val="0"/>
      <w:marRight w:val="0"/>
      <w:marTop w:val="0"/>
      <w:marBottom w:val="0"/>
      <w:divBdr>
        <w:top w:val="none" w:sz="0" w:space="0" w:color="auto"/>
        <w:left w:val="none" w:sz="0" w:space="0" w:color="auto"/>
        <w:bottom w:val="none" w:sz="0" w:space="0" w:color="auto"/>
        <w:right w:val="none" w:sz="0" w:space="0" w:color="auto"/>
      </w:divBdr>
    </w:div>
    <w:div w:id="260067490">
      <w:bodyDiv w:val="1"/>
      <w:marLeft w:val="0"/>
      <w:marRight w:val="0"/>
      <w:marTop w:val="0"/>
      <w:marBottom w:val="0"/>
      <w:divBdr>
        <w:top w:val="none" w:sz="0" w:space="0" w:color="auto"/>
        <w:left w:val="none" w:sz="0" w:space="0" w:color="auto"/>
        <w:bottom w:val="none" w:sz="0" w:space="0" w:color="auto"/>
        <w:right w:val="none" w:sz="0" w:space="0" w:color="auto"/>
      </w:divBdr>
    </w:div>
    <w:div w:id="288555824">
      <w:bodyDiv w:val="1"/>
      <w:marLeft w:val="0"/>
      <w:marRight w:val="0"/>
      <w:marTop w:val="0"/>
      <w:marBottom w:val="0"/>
      <w:divBdr>
        <w:top w:val="none" w:sz="0" w:space="0" w:color="auto"/>
        <w:left w:val="none" w:sz="0" w:space="0" w:color="auto"/>
        <w:bottom w:val="none" w:sz="0" w:space="0" w:color="auto"/>
        <w:right w:val="none" w:sz="0" w:space="0" w:color="auto"/>
      </w:divBdr>
    </w:div>
    <w:div w:id="429352564">
      <w:bodyDiv w:val="1"/>
      <w:marLeft w:val="0"/>
      <w:marRight w:val="0"/>
      <w:marTop w:val="0"/>
      <w:marBottom w:val="0"/>
      <w:divBdr>
        <w:top w:val="none" w:sz="0" w:space="0" w:color="auto"/>
        <w:left w:val="none" w:sz="0" w:space="0" w:color="auto"/>
        <w:bottom w:val="none" w:sz="0" w:space="0" w:color="auto"/>
        <w:right w:val="none" w:sz="0" w:space="0" w:color="auto"/>
      </w:divBdr>
    </w:div>
    <w:div w:id="455950007">
      <w:bodyDiv w:val="1"/>
      <w:marLeft w:val="0"/>
      <w:marRight w:val="0"/>
      <w:marTop w:val="0"/>
      <w:marBottom w:val="0"/>
      <w:divBdr>
        <w:top w:val="none" w:sz="0" w:space="0" w:color="auto"/>
        <w:left w:val="none" w:sz="0" w:space="0" w:color="auto"/>
        <w:bottom w:val="none" w:sz="0" w:space="0" w:color="auto"/>
        <w:right w:val="none" w:sz="0" w:space="0" w:color="auto"/>
      </w:divBdr>
    </w:div>
    <w:div w:id="589388044">
      <w:bodyDiv w:val="1"/>
      <w:marLeft w:val="0"/>
      <w:marRight w:val="0"/>
      <w:marTop w:val="0"/>
      <w:marBottom w:val="0"/>
      <w:divBdr>
        <w:top w:val="none" w:sz="0" w:space="0" w:color="auto"/>
        <w:left w:val="none" w:sz="0" w:space="0" w:color="auto"/>
        <w:bottom w:val="none" w:sz="0" w:space="0" w:color="auto"/>
        <w:right w:val="none" w:sz="0" w:space="0" w:color="auto"/>
      </w:divBdr>
    </w:div>
    <w:div w:id="753626741">
      <w:bodyDiv w:val="1"/>
      <w:marLeft w:val="0"/>
      <w:marRight w:val="0"/>
      <w:marTop w:val="0"/>
      <w:marBottom w:val="0"/>
      <w:divBdr>
        <w:top w:val="none" w:sz="0" w:space="0" w:color="auto"/>
        <w:left w:val="none" w:sz="0" w:space="0" w:color="auto"/>
        <w:bottom w:val="none" w:sz="0" w:space="0" w:color="auto"/>
        <w:right w:val="none" w:sz="0" w:space="0" w:color="auto"/>
      </w:divBdr>
    </w:div>
    <w:div w:id="857963725">
      <w:bodyDiv w:val="1"/>
      <w:marLeft w:val="0"/>
      <w:marRight w:val="0"/>
      <w:marTop w:val="0"/>
      <w:marBottom w:val="0"/>
      <w:divBdr>
        <w:top w:val="none" w:sz="0" w:space="0" w:color="auto"/>
        <w:left w:val="none" w:sz="0" w:space="0" w:color="auto"/>
        <w:bottom w:val="none" w:sz="0" w:space="0" w:color="auto"/>
        <w:right w:val="none" w:sz="0" w:space="0" w:color="auto"/>
      </w:divBdr>
    </w:div>
    <w:div w:id="1321812403">
      <w:bodyDiv w:val="1"/>
      <w:marLeft w:val="0"/>
      <w:marRight w:val="0"/>
      <w:marTop w:val="0"/>
      <w:marBottom w:val="0"/>
      <w:divBdr>
        <w:top w:val="none" w:sz="0" w:space="0" w:color="auto"/>
        <w:left w:val="none" w:sz="0" w:space="0" w:color="auto"/>
        <w:bottom w:val="none" w:sz="0" w:space="0" w:color="auto"/>
        <w:right w:val="none" w:sz="0" w:space="0" w:color="auto"/>
      </w:divBdr>
    </w:div>
    <w:div w:id="1419861083">
      <w:bodyDiv w:val="1"/>
      <w:marLeft w:val="0"/>
      <w:marRight w:val="0"/>
      <w:marTop w:val="0"/>
      <w:marBottom w:val="0"/>
      <w:divBdr>
        <w:top w:val="none" w:sz="0" w:space="0" w:color="auto"/>
        <w:left w:val="none" w:sz="0" w:space="0" w:color="auto"/>
        <w:bottom w:val="none" w:sz="0" w:space="0" w:color="auto"/>
        <w:right w:val="none" w:sz="0" w:space="0" w:color="auto"/>
      </w:divBdr>
      <w:divsChild>
        <w:div w:id="971249237">
          <w:marLeft w:val="0"/>
          <w:marRight w:val="0"/>
          <w:marTop w:val="0"/>
          <w:marBottom w:val="0"/>
          <w:divBdr>
            <w:top w:val="none" w:sz="0" w:space="0" w:color="auto"/>
            <w:left w:val="none" w:sz="0" w:space="0" w:color="auto"/>
            <w:bottom w:val="none" w:sz="0" w:space="0" w:color="auto"/>
            <w:right w:val="none" w:sz="0" w:space="0" w:color="auto"/>
          </w:divBdr>
          <w:divsChild>
            <w:div w:id="903611387">
              <w:marLeft w:val="0"/>
              <w:marRight w:val="0"/>
              <w:marTop w:val="150"/>
              <w:marBottom w:val="0"/>
              <w:divBdr>
                <w:top w:val="none" w:sz="0" w:space="0" w:color="auto"/>
                <w:left w:val="none" w:sz="0" w:space="0" w:color="auto"/>
                <w:bottom w:val="none" w:sz="0" w:space="0" w:color="auto"/>
                <w:right w:val="none" w:sz="0" w:space="0" w:color="auto"/>
              </w:divBdr>
              <w:divsChild>
                <w:div w:id="1183016235">
                  <w:marLeft w:val="0"/>
                  <w:marRight w:val="0"/>
                  <w:marTop w:val="0"/>
                  <w:marBottom w:val="0"/>
                  <w:divBdr>
                    <w:top w:val="none" w:sz="0" w:space="0" w:color="auto"/>
                    <w:left w:val="none" w:sz="0" w:space="0" w:color="auto"/>
                    <w:bottom w:val="single" w:sz="36" w:space="0" w:color="auto"/>
                    <w:right w:val="none" w:sz="0" w:space="0" w:color="auto"/>
                  </w:divBdr>
                  <w:divsChild>
                    <w:div w:id="16947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57256">
      <w:bodyDiv w:val="1"/>
      <w:marLeft w:val="0"/>
      <w:marRight w:val="0"/>
      <w:marTop w:val="0"/>
      <w:marBottom w:val="0"/>
      <w:divBdr>
        <w:top w:val="none" w:sz="0" w:space="0" w:color="auto"/>
        <w:left w:val="none" w:sz="0" w:space="0" w:color="auto"/>
        <w:bottom w:val="none" w:sz="0" w:space="0" w:color="auto"/>
        <w:right w:val="none" w:sz="0" w:space="0" w:color="auto"/>
      </w:divBdr>
    </w:div>
    <w:div w:id="1547331459">
      <w:bodyDiv w:val="1"/>
      <w:marLeft w:val="0"/>
      <w:marRight w:val="0"/>
      <w:marTop w:val="0"/>
      <w:marBottom w:val="0"/>
      <w:divBdr>
        <w:top w:val="none" w:sz="0" w:space="0" w:color="auto"/>
        <w:left w:val="none" w:sz="0" w:space="0" w:color="auto"/>
        <w:bottom w:val="none" w:sz="0" w:space="0" w:color="auto"/>
        <w:right w:val="none" w:sz="0" w:space="0" w:color="auto"/>
      </w:divBdr>
    </w:div>
    <w:div w:id="1604801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68"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cb.europa.eu/paym/retpaym/paymint/indicators/html/index.en.html" TargetMode="External"/><Relationship Id="rId1" Type="http://schemas.openxmlformats.org/officeDocument/2006/relationships/hyperlink" Target="http://eur-lex.europa.eu/legal-content/BG/ALL/?uri=celex%3A32012R0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D1A7E-C235-4462-B812-749F21CB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11</Pages>
  <Words>4303</Words>
  <Characters>22161</Characters>
  <Application>Microsoft Office Word</Application>
  <DocSecurity>0</DocSecurity>
  <PresentationFormat>Microsoft Word 14.0</PresentationFormat>
  <Lines>1166</Lines>
  <Paragraphs>696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20</cp:revision>
  <cp:lastPrinted>2017-09-21T07:07:00Z</cp:lastPrinted>
  <dcterms:created xsi:type="dcterms:W3CDTF">2017-09-21T07:06:00Z</dcterms:created>
  <dcterms:modified xsi:type="dcterms:W3CDTF">2017-11-23T09:17:00Z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Alexander J. STEIN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