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14A5287-2AAD-4A89-8AE2-45A9CDDA288E" style="width:451.25pt;height:392.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numPr>
          <w:ilvl w:val="0"/>
          <w:numId w:val="0"/>
        </w:numPr>
        <w:jc w:val="center"/>
        <w:rPr>
          <w:noProof/>
        </w:rPr>
      </w:pPr>
      <w:bookmarkStart w:id="1" w:name="_GoBack"/>
      <w:bookmarkEnd w:id="1"/>
      <w:r>
        <w:rPr>
          <w:noProof/>
        </w:rPr>
        <w:lastRenderedPageBreak/>
        <w:t>Annexe I – Autorités compétentes chargées d’assurer le respect du règlement par les prestataires de services de paiement et par les utilisateurs de services de paiement et coordonnées pour le dépôt des plaintes</w:t>
      </w:r>
    </w:p>
    <w:p>
      <w:pPr>
        <w:rPr>
          <w:noProof/>
        </w:rPr>
      </w:pPr>
    </w:p>
    <w:tbl>
      <w:tblPr>
        <w:tblStyle w:val="TableGrid"/>
        <w:tblW w:w="10141" w:type="dxa"/>
        <w:tblInd w:w="-176" w:type="dxa"/>
        <w:tblLayout w:type="fixed"/>
        <w:tblLook w:val="04A0" w:firstRow="1" w:lastRow="0" w:firstColumn="1" w:lastColumn="0" w:noHBand="0" w:noVBand="1"/>
      </w:tblPr>
      <w:tblGrid>
        <w:gridCol w:w="1456"/>
        <w:gridCol w:w="4215"/>
        <w:gridCol w:w="4470"/>
      </w:tblGrid>
      <w:tr>
        <w:tc>
          <w:tcPr>
            <w:tcW w:w="1456" w:type="dxa"/>
          </w:tcPr>
          <w:p>
            <w:pPr>
              <w:jc w:val="center"/>
              <w:rPr>
                <w:b/>
                <w:noProof/>
              </w:rPr>
            </w:pPr>
            <w:r>
              <w:rPr>
                <w:b/>
                <w:noProof/>
              </w:rPr>
              <w:t>Zone euro</w:t>
            </w:r>
          </w:p>
        </w:tc>
        <w:tc>
          <w:tcPr>
            <w:tcW w:w="4215" w:type="dxa"/>
            <w:tcBorders>
              <w:top w:val="single" w:sz="4" w:space="0" w:color="auto"/>
              <w:bottom w:val="single" w:sz="4" w:space="0" w:color="auto"/>
            </w:tcBorders>
          </w:tcPr>
          <w:p>
            <w:pPr>
              <w:jc w:val="center"/>
              <w:rPr>
                <w:b/>
                <w:noProof/>
              </w:rPr>
            </w:pPr>
            <w:r>
              <w:rPr>
                <w:b/>
                <w:noProof/>
              </w:rPr>
              <w:t>Autorité compétente chargée d’assurer le respect du règlement par les prestataires de services de paiement</w:t>
            </w:r>
          </w:p>
        </w:tc>
        <w:tc>
          <w:tcPr>
            <w:tcW w:w="4470" w:type="dxa"/>
            <w:tcBorders>
              <w:top w:val="single" w:sz="4" w:space="0" w:color="auto"/>
              <w:bottom w:val="single" w:sz="4" w:space="0" w:color="auto"/>
            </w:tcBorders>
          </w:tcPr>
          <w:p>
            <w:pPr>
              <w:jc w:val="center"/>
              <w:rPr>
                <w:b/>
                <w:noProof/>
              </w:rPr>
            </w:pPr>
            <w:r>
              <w:rPr>
                <w:b/>
                <w:noProof/>
              </w:rPr>
              <w:t>Autorité compétente chargée d’assurer le respect du règlement par les utilisateurs de services de paiement</w:t>
            </w:r>
          </w:p>
        </w:tc>
      </w:tr>
      <w:tr>
        <w:tc>
          <w:tcPr>
            <w:tcW w:w="1456" w:type="dxa"/>
            <w:vAlign w:val="center"/>
          </w:tcPr>
          <w:p>
            <w:pPr>
              <w:jc w:val="center"/>
              <w:rPr>
                <w:noProof/>
              </w:rPr>
            </w:pPr>
            <w:r>
              <w:rPr>
                <w:noProof/>
              </w:rPr>
              <w:t>Autriche</w:t>
            </w:r>
          </w:p>
        </w:tc>
        <w:tc>
          <w:tcPr>
            <w:tcW w:w="8685" w:type="dxa"/>
            <w:gridSpan w:val="2"/>
            <w:tcBorders>
              <w:top w:val="single" w:sz="4" w:space="0" w:color="auto"/>
              <w:bottom w:val="single" w:sz="4" w:space="0" w:color="auto"/>
            </w:tcBorders>
            <w:vAlign w:val="center"/>
          </w:tcPr>
          <w:p>
            <w:pPr>
              <w:jc w:val="center"/>
              <w:rPr>
                <w:noProof/>
              </w:rPr>
            </w:pPr>
            <w:r>
              <w:rPr>
                <w:noProof/>
              </w:rPr>
              <w:t>Finanzmarktaufsicht (autorité autrichienne de surveillance financière)</w:t>
            </w:r>
          </w:p>
          <w:p>
            <w:pPr>
              <w:jc w:val="center"/>
              <w:rPr>
                <w:noProof/>
                <w:lang w:val="de-DE"/>
              </w:rPr>
            </w:pPr>
            <w:r>
              <w:rPr>
                <w:noProof/>
                <w:lang w:val="de-DE"/>
              </w:rPr>
              <w:t>Verbraucheranfragen &amp; Beschwerden</w:t>
            </w:r>
          </w:p>
          <w:p>
            <w:pPr>
              <w:jc w:val="center"/>
              <w:rPr>
                <w:noProof/>
                <w:lang w:val="de-DE"/>
              </w:rPr>
            </w:pPr>
            <w:r>
              <w:rPr>
                <w:noProof/>
                <w:lang w:val="de-DE"/>
              </w:rPr>
              <w:t>Otto-Wagner-Platz 5, 1090 Wien, ÖSTERREICH</w:t>
            </w:r>
          </w:p>
          <w:p>
            <w:pPr>
              <w:jc w:val="center"/>
              <w:rPr>
                <w:noProof/>
                <w:lang w:val="de-DE"/>
              </w:rPr>
            </w:pPr>
            <w:hyperlink r:id="rId15">
              <w:r>
                <w:rPr>
                  <w:rStyle w:val="Hyperlink"/>
                  <w:noProof/>
                  <w:lang w:val="de-DE"/>
                </w:rPr>
                <w:t>https://www.fma.gv.at/en/complaints-and-points-of-contact/</w:t>
              </w:r>
            </w:hyperlink>
          </w:p>
        </w:tc>
      </w:tr>
      <w:tr>
        <w:tc>
          <w:tcPr>
            <w:tcW w:w="1456" w:type="dxa"/>
            <w:vAlign w:val="center"/>
          </w:tcPr>
          <w:p>
            <w:pPr>
              <w:jc w:val="center"/>
              <w:rPr>
                <w:noProof/>
              </w:rPr>
            </w:pPr>
            <w:r>
              <w:rPr>
                <w:noProof/>
              </w:rPr>
              <w:t>Belgique</w:t>
            </w:r>
          </w:p>
        </w:tc>
        <w:tc>
          <w:tcPr>
            <w:tcW w:w="4215" w:type="dxa"/>
            <w:tcBorders>
              <w:top w:val="single" w:sz="4" w:space="0" w:color="auto"/>
              <w:bottom w:val="single" w:sz="4" w:space="0" w:color="auto"/>
            </w:tcBorders>
            <w:vAlign w:val="center"/>
          </w:tcPr>
          <w:p>
            <w:pPr>
              <w:jc w:val="center"/>
              <w:rPr>
                <w:noProof/>
              </w:rPr>
            </w:pPr>
            <w:r>
              <w:rPr>
                <w:noProof/>
              </w:rPr>
              <w:t>Banque nationale de Belgique/Nationale Bank van België</w:t>
            </w:r>
          </w:p>
          <w:p>
            <w:pPr>
              <w:jc w:val="center"/>
              <w:rPr>
                <w:noProof/>
              </w:rPr>
            </w:pPr>
            <w:r>
              <w:rPr>
                <w:noProof/>
              </w:rPr>
              <w:t>Département du contrôle prudentiel/Departement Prudentieel Toezicht</w:t>
            </w:r>
          </w:p>
          <w:p>
            <w:pPr>
              <w:jc w:val="center"/>
              <w:rPr>
                <w:noProof/>
              </w:rPr>
            </w:pPr>
            <w:r>
              <w:rPr>
                <w:noProof/>
              </w:rPr>
              <w:t>Boulevard de Berlaimont 3, 1000 Bruxelles/Berlaimontlaan 3, 1000 Brussel, BELGIQUE/BELGIË</w:t>
            </w:r>
          </w:p>
          <w:p>
            <w:pPr>
              <w:jc w:val="center"/>
              <w:rPr>
                <w:noProof/>
              </w:rPr>
            </w:pPr>
            <w:hyperlink r:id="rId16">
              <w:r>
                <w:rPr>
                  <w:rStyle w:val="Hyperlink"/>
                  <w:noProof/>
                </w:rPr>
                <w:t>www.nbb.be</w:t>
              </w:r>
            </w:hyperlink>
          </w:p>
        </w:tc>
        <w:tc>
          <w:tcPr>
            <w:tcW w:w="4470" w:type="dxa"/>
            <w:tcBorders>
              <w:top w:val="single" w:sz="4" w:space="0" w:color="auto"/>
              <w:bottom w:val="single" w:sz="4" w:space="0" w:color="auto"/>
            </w:tcBorders>
            <w:vAlign w:val="center"/>
          </w:tcPr>
          <w:p>
            <w:pPr>
              <w:jc w:val="center"/>
              <w:rPr>
                <w:noProof/>
              </w:rPr>
            </w:pPr>
            <w:r>
              <w:rPr>
                <w:noProof/>
              </w:rPr>
              <w:t>Service public fédéral Économie, Inspection économique/Federale Overheidsdienst Economie Economische Inspectie</w:t>
            </w:r>
          </w:p>
          <w:p>
            <w:pPr>
              <w:jc w:val="center"/>
              <w:rPr>
                <w:noProof/>
              </w:rPr>
            </w:pPr>
            <w:r>
              <w:rPr>
                <w:noProof/>
              </w:rPr>
              <w:t>Boulevard du Roi Albert II 16, 1000 Bruxelles/Koning Albert ll-laan 16, 1000 Brussel, BELGIQUE/BELGIË</w:t>
            </w:r>
          </w:p>
          <w:p>
            <w:pPr>
              <w:jc w:val="center"/>
              <w:rPr>
                <w:noProof/>
              </w:rPr>
            </w:pPr>
            <w:hyperlink r:id="rId17">
              <w:r>
                <w:rPr>
                  <w:rStyle w:val="Hyperlink"/>
                  <w:noProof/>
                </w:rPr>
                <w:t>www.economie.fgov.be</w:t>
              </w:r>
            </w:hyperlink>
          </w:p>
        </w:tc>
      </w:tr>
      <w:tr>
        <w:tc>
          <w:tcPr>
            <w:tcW w:w="1456" w:type="dxa"/>
            <w:vAlign w:val="center"/>
          </w:tcPr>
          <w:p>
            <w:pPr>
              <w:jc w:val="center"/>
              <w:rPr>
                <w:noProof/>
              </w:rPr>
            </w:pPr>
            <w:r>
              <w:rPr>
                <w:noProof/>
              </w:rPr>
              <w:t>Chypre</w:t>
            </w:r>
          </w:p>
        </w:tc>
        <w:tc>
          <w:tcPr>
            <w:tcW w:w="4215" w:type="dxa"/>
            <w:tcBorders>
              <w:top w:val="single" w:sz="4" w:space="0" w:color="auto"/>
              <w:bottom w:val="single" w:sz="4" w:space="0" w:color="auto"/>
            </w:tcBorders>
            <w:vAlign w:val="center"/>
          </w:tcPr>
          <w:p>
            <w:pPr>
              <w:jc w:val="center"/>
              <w:rPr>
                <w:noProof/>
              </w:rPr>
            </w:pPr>
            <w:r>
              <w:rPr>
                <w:noProof/>
              </w:rPr>
              <w:t>Κεντρική Τράπεζα της Κύπρου/Central Bank of Cyprus (Banque centrale de Chypre)</w:t>
            </w:r>
          </w:p>
          <w:p>
            <w:pPr>
              <w:jc w:val="center"/>
              <w:rPr>
                <w:noProof/>
              </w:rPr>
            </w:pPr>
            <w:r>
              <w:rPr>
                <w:noProof/>
              </w:rPr>
              <w:t>80 Kennedy Avenue, 1076 Λευκωσία/Nicosia, ΚΥΠΡΟΣ/CYPRUS</w:t>
            </w:r>
          </w:p>
        </w:tc>
        <w:tc>
          <w:tcPr>
            <w:tcW w:w="4470" w:type="dxa"/>
            <w:tcBorders>
              <w:top w:val="single" w:sz="4" w:space="0" w:color="auto"/>
              <w:bottom w:val="single" w:sz="4" w:space="0" w:color="auto"/>
            </w:tcBorders>
            <w:vAlign w:val="center"/>
          </w:tcPr>
          <w:p>
            <w:pPr>
              <w:jc w:val="center"/>
              <w:rPr>
                <w:noProof/>
              </w:rPr>
            </w:pPr>
            <w:r>
              <w:rPr>
                <w:noProof/>
              </w:rPr>
              <w:t>Inter-Ministerial Committee (comité interministériel)</w:t>
            </w:r>
          </w:p>
          <w:p>
            <w:pPr>
              <w:jc w:val="center"/>
              <w:rPr>
                <w:noProof/>
              </w:rPr>
            </w:pPr>
            <w:r>
              <w:rPr>
                <w:noProof/>
              </w:rPr>
              <w:t>Υπουργείο Οικονομικών/Ministry of Finance (ministère des finances)</w:t>
            </w:r>
          </w:p>
          <w:p>
            <w:pPr>
              <w:jc w:val="center"/>
              <w:rPr>
                <w:noProof/>
              </w:rPr>
            </w:pPr>
            <w:r>
              <w:rPr>
                <w:noProof/>
              </w:rPr>
              <w:t>Michael Karaoli &amp;</w:t>
            </w:r>
          </w:p>
          <w:p>
            <w:pPr>
              <w:jc w:val="center"/>
              <w:rPr>
                <w:noProof/>
              </w:rPr>
            </w:pPr>
            <w:r>
              <w:rPr>
                <w:noProof/>
              </w:rPr>
              <w:t>Gregori Afxentiou, 1439 Λευκωσία/Nicosia, ΚΥΠΡΟΣ/CYPRUS</w:t>
            </w:r>
          </w:p>
        </w:tc>
      </w:tr>
      <w:tr>
        <w:tc>
          <w:tcPr>
            <w:tcW w:w="1456" w:type="dxa"/>
            <w:vAlign w:val="center"/>
          </w:tcPr>
          <w:p>
            <w:pPr>
              <w:jc w:val="center"/>
              <w:rPr>
                <w:noProof/>
              </w:rPr>
            </w:pPr>
            <w:r>
              <w:rPr>
                <w:noProof/>
              </w:rPr>
              <w:t>Estonie</w:t>
            </w:r>
          </w:p>
        </w:tc>
        <w:tc>
          <w:tcPr>
            <w:tcW w:w="4215" w:type="dxa"/>
            <w:tcBorders>
              <w:top w:val="single" w:sz="4" w:space="0" w:color="auto"/>
              <w:bottom w:val="single" w:sz="4" w:space="0" w:color="auto"/>
            </w:tcBorders>
            <w:vAlign w:val="center"/>
          </w:tcPr>
          <w:p>
            <w:pPr>
              <w:jc w:val="center"/>
              <w:rPr>
                <w:noProof/>
              </w:rPr>
            </w:pPr>
            <w:r>
              <w:rPr>
                <w:noProof/>
              </w:rPr>
              <w:t>Finantsinspektioon (autorité estonienne de surveillance financière)</w:t>
            </w:r>
          </w:p>
          <w:p>
            <w:pPr>
              <w:jc w:val="center"/>
              <w:rPr>
                <w:noProof/>
              </w:rPr>
            </w:pPr>
            <w:hyperlink r:id="rId18">
              <w:r>
                <w:rPr>
                  <w:rStyle w:val="Hyperlink"/>
                  <w:noProof/>
                </w:rPr>
                <w:t>https://www.fi.ee</w:t>
              </w:r>
            </w:hyperlink>
            <w:r>
              <w:rPr>
                <w:noProof/>
              </w:rPr>
              <w:t xml:space="preserve"> </w:t>
            </w:r>
          </w:p>
        </w:tc>
        <w:tc>
          <w:tcPr>
            <w:tcW w:w="4470" w:type="dxa"/>
            <w:tcBorders>
              <w:top w:val="single" w:sz="4" w:space="0" w:color="auto"/>
              <w:bottom w:val="single" w:sz="4" w:space="0" w:color="auto"/>
            </w:tcBorders>
            <w:vAlign w:val="center"/>
          </w:tcPr>
          <w:p>
            <w:pPr>
              <w:jc w:val="center"/>
              <w:rPr>
                <w:noProof/>
              </w:rPr>
            </w:pPr>
            <w:r>
              <w:rPr>
                <w:noProof/>
              </w:rPr>
              <w:t>Tarbijakaitseamet (conseil estonien pour la protection des consommateurs)</w:t>
            </w:r>
          </w:p>
          <w:p>
            <w:pPr>
              <w:jc w:val="center"/>
              <w:rPr>
                <w:noProof/>
              </w:rPr>
            </w:pPr>
            <w:hyperlink r:id="rId19">
              <w:r>
                <w:rPr>
                  <w:rStyle w:val="Hyperlink"/>
                  <w:noProof/>
                </w:rPr>
                <w:t>http://www.tarbijakaitseamet.ee</w:t>
              </w:r>
            </w:hyperlink>
            <w:r>
              <w:rPr>
                <w:noProof/>
              </w:rPr>
              <w:t xml:space="preserve"> </w:t>
            </w:r>
          </w:p>
        </w:tc>
      </w:tr>
      <w:tr>
        <w:tc>
          <w:tcPr>
            <w:tcW w:w="1456" w:type="dxa"/>
            <w:vAlign w:val="center"/>
          </w:tcPr>
          <w:p>
            <w:pPr>
              <w:jc w:val="center"/>
              <w:rPr>
                <w:noProof/>
              </w:rPr>
            </w:pPr>
            <w:r>
              <w:rPr>
                <w:noProof/>
              </w:rPr>
              <w:t>Finlande</w:t>
            </w:r>
            <w:r>
              <w:rPr>
                <w:noProof/>
                <w:vertAlign w:val="superscript"/>
              </w:rPr>
              <w:footnoteReference w:id="1"/>
            </w:r>
          </w:p>
        </w:tc>
        <w:tc>
          <w:tcPr>
            <w:tcW w:w="4215" w:type="dxa"/>
            <w:tcBorders>
              <w:top w:val="single" w:sz="4" w:space="0" w:color="auto"/>
              <w:bottom w:val="single" w:sz="4" w:space="0" w:color="auto"/>
            </w:tcBorders>
            <w:vAlign w:val="center"/>
          </w:tcPr>
          <w:p>
            <w:pPr>
              <w:jc w:val="center"/>
              <w:rPr>
                <w:noProof/>
              </w:rPr>
            </w:pPr>
            <w:r>
              <w:rPr>
                <w:noProof/>
              </w:rPr>
              <w:t>Finanssivalvonta (autorité finlandaise de surveillance financière)</w:t>
            </w:r>
          </w:p>
          <w:p>
            <w:pPr>
              <w:jc w:val="center"/>
              <w:rPr>
                <w:noProof/>
                <w:lang w:val="fi-FI"/>
              </w:rPr>
            </w:pPr>
            <w:r>
              <w:rPr>
                <w:noProof/>
                <w:lang w:val="fi-FI"/>
              </w:rPr>
              <w:t>Snellmaninkatu 6, Helsinki</w:t>
            </w:r>
          </w:p>
          <w:p>
            <w:pPr>
              <w:jc w:val="center"/>
              <w:rPr>
                <w:noProof/>
                <w:lang w:val="fi-FI"/>
              </w:rPr>
            </w:pPr>
            <w:r>
              <w:rPr>
                <w:noProof/>
                <w:lang w:val="fi-FI"/>
              </w:rPr>
              <w:t>PL 103, FI-00101</w:t>
            </w:r>
          </w:p>
          <w:p>
            <w:pPr>
              <w:jc w:val="center"/>
              <w:rPr>
                <w:noProof/>
                <w:lang w:val="fi-FI"/>
              </w:rPr>
            </w:pPr>
            <w:r>
              <w:rPr>
                <w:noProof/>
                <w:lang w:val="fi-FI"/>
              </w:rPr>
              <w:t>Helsinki, SUOMI/FINLAND</w:t>
            </w:r>
          </w:p>
          <w:p>
            <w:pPr>
              <w:jc w:val="center"/>
              <w:rPr>
                <w:noProof/>
              </w:rPr>
            </w:pPr>
            <w:hyperlink r:id="rId20">
              <w:r>
                <w:rPr>
                  <w:rStyle w:val="Hyperlink"/>
                  <w:noProof/>
                </w:rPr>
                <w:t>kirjaamo@fiva.fi</w:t>
              </w:r>
            </w:hyperlink>
            <w:r>
              <w:rPr>
                <w:noProof/>
              </w:rPr>
              <w:t xml:space="preserve"> Tél. +358 1083151,</w:t>
            </w:r>
          </w:p>
          <w:p>
            <w:pPr>
              <w:jc w:val="center"/>
              <w:rPr>
                <w:noProof/>
              </w:rPr>
            </w:pPr>
            <w:r>
              <w:rPr>
                <w:noProof/>
              </w:rPr>
              <w:t>Ligne d’assistance téléphonique pour les utilisateurs de services bancaires, d’investissement et d’assurance</w:t>
            </w:r>
          </w:p>
          <w:p>
            <w:pPr>
              <w:jc w:val="center"/>
              <w:rPr>
                <w:noProof/>
              </w:rPr>
            </w:pPr>
            <w:r>
              <w:rPr>
                <w:noProof/>
              </w:rPr>
              <w:t>Tél. 0800-0-5099</w:t>
            </w:r>
          </w:p>
        </w:tc>
        <w:tc>
          <w:tcPr>
            <w:tcW w:w="4470" w:type="dxa"/>
            <w:tcBorders>
              <w:top w:val="single" w:sz="4" w:space="0" w:color="auto"/>
              <w:bottom w:val="single" w:sz="4" w:space="0" w:color="auto"/>
            </w:tcBorders>
            <w:vAlign w:val="center"/>
          </w:tcPr>
          <w:p>
            <w:pPr>
              <w:jc w:val="center"/>
              <w:rPr>
                <w:noProof/>
              </w:rPr>
            </w:pPr>
            <w:r>
              <w:rPr>
                <w:noProof/>
              </w:rPr>
              <w:t>Kuluttaja-asiamies (médiateur auprès des consommateurs)</w:t>
            </w:r>
          </w:p>
          <w:p>
            <w:pPr>
              <w:jc w:val="center"/>
              <w:rPr>
                <w:noProof/>
              </w:rPr>
            </w:pPr>
            <w:r>
              <w:rPr>
                <w:noProof/>
              </w:rPr>
              <w:t>Kilpailu- ja kuluttajavirasto (autorité finlandaise de la concurrence et des consommateurs)</w:t>
            </w:r>
          </w:p>
          <w:p>
            <w:pPr>
              <w:jc w:val="center"/>
              <w:rPr>
                <w:noProof/>
                <w:lang w:val="fi-FI"/>
              </w:rPr>
            </w:pPr>
            <w:r>
              <w:rPr>
                <w:noProof/>
                <w:lang w:val="fi-FI"/>
              </w:rPr>
              <w:t>Siltasaarenkatu 12 A, 00530 Helsinki</w:t>
            </w:r>
          </w:p>
          <w:p>
            <w:pPr>
              <w:jc w:val="center"/>
              <w:rPr>
                <w:noProof/>
                <w:lang w:val="fi-FI"/>
              </w:rPr>
            </w:pPr>
            <w:r>
              <w:rPr>
                <w:noProof/>
                <w:lang w:val="fi-FI"/>
              </w:rPr>
              <w:t>PL 5, FI-00531 Helsinki, SUOMI/FINLAND</w:t>
            </w:r>
          </w:p>
          <w:p>
            <w:pPr>
              <w:jc w:val="center"/>
              <w:rPr>
                <w:noProof/>
              </w:rPr>
            </w:pPr>
            <w:r>
              <w:rPr>
                <w:noProof/>
              </w:rPr>
              <w:t>Tél. +358 295053000</w:t>
            </w:r>
          </w:p>
        </w:tc>
      </w:tr>
      <w:tr>
        <w:tc>
          <w:tcPr>
            <w:tcW w:w="1456" w:type="dxa"/>
            <w:vAlign w:val="center"/>
          </w:tcPr>
          <w:p>
            <w:pPr>
              <w:jc w:val="center"/>
              <w:rPr>
                <w:noProof/>
              </w:rPr>
            </w:pPr>
            <w:r>
              <w:rPr>
                <w:noProof/>
              </w:rPr>
              <w:t>France</w:t>
            </w:r>
          </w:p>
        </w:tc>
        <w:tc>
          <w:tcPr>
            <w:tcW w:w="4215" w:type="dxa"/>
            <w:tcBorders>
              <w:top w:val="single" w:sz="4" w:space="0" w:color="auto"/>
              <w:bottom w:val="single" w:sz="4" w:space="0" w:color="auto"/>
            </w:tcBorders>
            <w:vAlign w:val="center"/>
          </w:tcPr>
          <w:p>
            <w:pPr>
              <w:jc w:val="center"/>
              <w:rPr>
                <w:noProof/>
              </w:rPr>
            </w:pPr>
            <w:r>
              <w:rPr>
                <w:noProof/>
              </w:rPr>
              <w:t>Autorité de contrôle prudentiel et de résolution (ACPR)</w:t>
            </w:r>
          </w:p>
          <w:p>
            <w:pPr>
              <w:jc w:val="center"/>
              <w:rPr>
                <w:noProof/>
              </w:rPr>
            </w:pPr>
            <w:r>
              <w:rPr>
                <w:noProof/>
              </w:rPr>
              <w:t>Secrétariat général de l’ACPR</w:t>
            </w:r>
          </w:p>
          <w:p>
            <w:pPr>
              <w:jc w:val="center"/>
              <w:rPr>
                <w:noProof/>
              </w:rPr>
            </w:pPr>
            <w:r>
              <w:rPr>
                <w:noProof/>
              </w:rPr>
              <w:t>61 rue Taitbout</w:t>
            </w:r>
          </w:p>
          <w:p>
            <w:pPr>
              <w:jc w:val="center"/>
              <w:rPr>
                <w:noProof/>
              </w:rPr>
            </w:pPr>
            <w:r>
              <w:rPr>
                <w:noProof/>
              </w:rPr>
              <w:t>75426 Paris Cedex 09, FRANCE</w:t>
            </w:r>
          </w:p>
          <w:p>
            <w:pPr>
              <w:jc w:val="center"/>
              <w:rPr>
                <w:noProof/>
                <w:sz w:val="16"/>
                <w:szCs w:val="16"/>
              </w:rPr>
            </w:pPr>
          </w:p>
          <w:p>
            <w:pPr>
              <w:jc w:val="center"/>
              <w:rPr>
                <w:noProof/>
              </w:rPr>
            </w:pPr>
            <w:r>
              <w:rPr>
                <w:noProof/>
              </w:rPr>
              <w:t>Banque de France</w:t>
            </w:r>
          </w:p>
          <w:p>
            <w:pPr>
              <w:jc w:val="center"/>
              <w:rPr>
                <w:noProof/>
              </w:rPr>
            </w:pPr>
            <w:r>
              <w:rPr>
                <w:noProof/>
              </w:rPr>
              <w:t>Direction des systèmes de paiement et des infrastructures de marché</w:t>
            </w:r>
          </w:p>
          <w:p>
            <w:pPr>
              <w:jc w:val="center"/>
              <w:rPr>
                <w:noProof/>
              </w:rPr>
            </w:pPr>
            <w:r>
              <w:rPr>
                <w:noProof/>
              </w:rPr>
              <w:t>31 rue Croix des Petits-Champs</w:t>
            </w:r>
          </w:p>
          <w:p>
            <w:pPr>
              <w:jc w:val="center"/>
              <w:rPr>
                <w:noProof/>
              </w:rPr>
            </w:pPr>
            <w:r>
              <w:rPr>
                <w:noProof/>
              </w:rPr>
              <w:t>75049 Paris Cedex 01, FRANCE</w:t>
            </w:r>
          </w:p>
          <w:p>
            <w:pPr>
              <w:jc w:val="center"/>
              <w:rPr>
                <w:noProof/>
                <w:sz w:val="16"/>
                <w:szCs w:val="16"/>
              </w:rPr>
            </w:pPr>
          </w:p>
          <w:p>
            <w:pPr>
              <w:jc w:val="center"/>
              <w:rPr>
                <w:noProof/>
              </w:rPr>
            </w:pPr>
            <w:r>
              <w:rPr>
                <w:noProof/>
              </w:rPr>
              <w:t>Direction générale de la concurrence, de la consommation et de la répression des fraudes (DGCCRF)</w:t>
            </w:r>
          </w:p>
          <w:p>
            <w:pPr>
              <w:jc w:val="center"/>
              <w:rPr>
                <w:noProof/>
              </w:rPr>
            </w:pPr>
            <w:r>
              <w:rPr>
                <w:noProof/>
              </w:rPr>
              <w:lastRenderedPageBreak/>
              <w:t>59 boulevard Vincent Auriol</w:t>
            </w:r>
          </w:p>
          <w:p>
            <w:pPr>
              <w:jc w:val="center"/>
              <w:rPr>
                <w:noProof/>
              </w:rPr>
            </w:pPr>
            <w:r>
              <w:rPr>
                <w:noProof/>
              </w:rPr>
              <w:t>75703 Paris Cedex 13, FRANCE</w:t>
            </w:r>
          </w:p>
        </w:tc>
        <w:tc>
          <w:tcPr>
            <w:tcW w:w="4470" w:type="dxa"/>
            <w:tcBorders>
              <w:top w:val="single" w:sz="4" w:space="0" w:color="auto"/>
              <w:bottom w:val="single" w:sz="4" w:space="0" w:color="auto"/>
            </w:tcBorders>
            <w:vAlign w:val="center"/>
          </w:tcPr>
          <w:p>
            <w:pPr>
              <w:jc w:val="center"/>
              <w:rPr>
                <w:noProof/>
              </w:rPr>
            </w:pPr>
            <w:r>
              <w:rPr>
                <w:noProof/>
              </w:rPr>
              <w:lastRenderedPageBreak/>
              <w:t>Direction générale de la concurrence, de la consommation et de la répression des fraudes (DGCCRF)</w:t>
            </w:r>
          </w:p>
          <w:p>
            <w:pPr>
              <w:jc w:val="center"/>
              <w:rPr>
                <w:noProof/>
              </w:rPr>
            </w:pPr>
            <w:r>
              <w:rPr>
                <w:noProof/>
              </w:rPr>
              <w:t>59 boulevard Vincent Auriol</w:t>
            </w:r>
          </w:p>
          <w:p>
            <w:pPr>
              <w:jc w:val="center"/>
              <w:rPr>
                <w:noProof/>
              </w:rPr>
            </w:pPr>
            <w:r>
              <w:rPr>
                <w:noProof/>
              </w:rPr>
              <w:t>75703 Paris Cedex 13, FRANCE</w:t>
            </w:r>
          </w:p>
        </w:tc>
      </w:tr>
      <w:tr>
        <w:tc>
          <w:tcPr>
            <w:tcW w:w="1456" w:type="dxa"/>
            <w:vAlign w:val="center"/>
          </w:tcPr>
          <w:p>
            <w:pPr>
              <w:jc w:val="center"/>
              <w:rPr>
                <w:noProof/>
              </w:rPr>
            </w:pPr>
            <w:r>
              <w:rPr>
                <w:noProof/>
              </w:rPr>
              <w:lastRenderedPageBreak/>
              <w:t>Allemagne</w:t>
            </w:r>
          </w:p>
        </w:tc>
        <w:tc>
          <w:tcPr>
            <w:tcW w:w="4215" w:type="dxa"/>
            <w:tcBorders>
              <w:top w:val="single" w:sz="4" w:space="0" w:color="auto"/>
              <w:bottom w:val="single" w:sz="4" w:space="0" w:color="auto"/>
            </w:tcBorders>
            <w:vAlign w:val="center"/>
          </w:tcPr>
          <w:p>
            <w:pPr>
              <w:jc w:val="center"/>
              <w:rPr>
                <w:noProof/>
              </w:rPr>
            </w:pPr>
            <w:r>
              <w:rPr>
                <w:noProof/>
              </w:rPr>
              <w:t>Bundesanstalt für Finanzdienstleistungsaufsicht (BaFin) (office fédéral allemand de surveillance des services financiers)</w:t>
            </w:r>
          </w:p>
          <w:p>
            <w:pPr>
              <w:jc w:val="center"/>
              <w:rPr>
                <w:noProof/>
              </w:rPr>
            </w:pPr>
            <w:r>
              <w:rPr>
                <w:noProof/>
              </w:rPr>
              <w:t>Graurheindorfer Straße 108</w:t>
            </w:r>
          </w:p>
          <w:p>
            <w:pPr>
              <w:jc w:val="center"/>
              <w:rPr>
                <w:noProof/>
                <w:lang w:val="de-DE"/>
              </w:rPr>
            </w:pPr>
            <w:r>
              <w:rPr>
                <w:noProof/>
                <w:lang w:val="de-DE"/>
              </w:rPr>
              <w:t>53117 Bonn, DEUTSCHLAND</w:t>
            </w:r>
          </w:p>
          <w:p>
            <w:pPr>
              <w:jc w:val="center"/>
              <w:rPr>
                <w:noProof/>
                <w:lang w:val="de-DE"/>
              </w:rPr>
            </w:pPr>
            <w:r>
              <w:rPr>
                <w:noProof/>
                <w:lang w:val="de-DE"/>
              </w:rPr>
              <w:t xml:space="preserve">Courriel: </w:t>
            </w:r>
            <w:hyperlink r:id="rId21">
              <w:r>
                <w:rPr>
                  <w:rStyle w:val="Hyperlink"/>
                  <w:noProof/>
                  <w:lang w:val="de-DE"/>
                </w:rPr>
                <w:t>poststelle@bafin.de</w:t>
              </w:r>
            </w:hyperlink>
            <w:r>
              <w:rPr>
                <w:noProof/>
                <w:lang w:val="de-DE"/>
              </w:rPr>
              <w:t xml:space="preserve"> </w:t>
            </w:r>
          </w:p>
        </w:tc>
        <w:tc>
          <w:tcPr>
            <w:tcW w:w="4470" w:type="dxa"/>
            <w:tcBorders>
              <w:top w:val="single" w:sz="4" w:space="0" w:color="auto"/>
              <w:bottom w:val="single" w:sz="4" w:space="0" w:color="auto"/>
            </w:tcBorders>
            <w:vAlign w:val="center"/>
          </w:tcPr>
          <w:p>
            <w:pPr>
              <w:jc w:val="center"/>
              <w:rPr>
                <w:noProof/>
              </w:rPr>
            </w:pPr>
            <w:r>
              <w:rPr>
                <w:noProof/>
              </w:rPr>
              <w:t>Liste des chambres de commerce et d'industrie et des chambres des métiers visées par l'article 8 de la loi UWG et par l'article4 de la loi UklaG</w:t>
            </w:r>
            <w:r>
              <w:rPr>
                <w:rStyle w:val="FootnoteReference"/>
                <w:noProof/>
              </w:rPr>
              <w:footnoteReference w:id="2"/>
            </w:r>
            <w:r>
              <w:rPr>
                <w:noProof/>
              </w:rPr>
              <w:t xml:space="preserve"> </w:t>
            </w:r>
          </w:p>
        </w:tc>
      </w:tr>
    </w:tbl>
    <w:p>
      <w:pPr>
        <w:rPr>
          <w:noProof/>
        </w:rPr>
      </w:pPr>
      <w:r>
        <w:rPr>
          <w:noProof/>
        </w:rPr>
        <w:br w:type="page"/>
      </w:r>
    </w:p>
    <w:tbl>
      <w:tblPr>
        <w:tblStyle w:val="TableGrid"/>
        <w:tblW w:w="10141" w:type="dxa"/>
        <w:tblInd w:w="-176" w:type="dxa"/>
        <w:tblLayout w:type="fixed"/>
        <w:tblLook w:val="04A0" w:firstRow="1" w:lastRow="0" w:firstColumn="1" w:lastColumn="0" w:noHBand="0" w:noVBand="1"/>
      </w:tblPr>
      <w:tblGrid>
        <w:gridCol w:w="1456"/>
        <w:gridCol w:w="4215"/>
        <w:gridCol w:w="4470"/>
      </w:tblGrid>
      <w:tr>
        <w:tc>
          <w:tcPr>
            <w:tcW w:w="1456" w:type="dxa"/>
            <w:vAlign w:val="center"/>
          </w:tcPr>
          <w:p>
            <w:pPr>
              <w:jc w:val="center"/>
              <w:rPr>
                <w:noProof/>
              </w:rPr>
            </w:pPr>
            <w:r>
              <w:rPr>
                <w:noProof/>
              </w:rPr>
              <w:t>Grèce</w:t>
            </w:r>
            <w:r>
              <w:rPr>
                <w:rStyle w:val="FootnoteReference"/>
                <w:noProof/>
              </w:rPr>
              <w:footnoteReference w:id="3"/>
            </w:r>
          </w:p>
        </w:tc>
        <w:tc>
          <w:tcPr>
            <w:tcW w:w="4215" w:type="dxa"/>
            <w:tcBorders>
              <w:top w:val="single" w:sz="4" w:space="0" w:color="auto"/>
              <w:bottom w:val="single" w:sz="4" w:space="0" w:color="auto"/>
            </w:tcBorders>
            <w:vAlign w:val="center"/>
          </w:tcPr>
          <w:p>
            <w:pPr>
              <w:jc w:val="center"/>
              <w:rPr>
                <w:noProof/>
              </w:rPr>
            </w:pPr>
            <w:r>
              <w:rPr>
                <w:noProof/>
              </w:rPr>
              <w:t>Τράπεζα της Ελλάδος/Bank of Greece (Banque de Grèce)</w:t>
            </w:r>
          </w:p>
          <w:p>
            <w:pPr>
              <w:jc w:val="center"/>
              <w:rPr>
                <w:noProof/>
              </w:rPr>
            </w:pPr>
            <w:r>
              <w:rPr>
                <w:noProof/>
              </w:rPr>
              <w:t xml:space="preserve">21 E. Venizelos Avenue, 10250 Athènes, ΕΛΛΑΔΑ/GREECE </w:t>
            </w:r>
          </w:p>
          <w:p>
            <w:pPr>
              <w:jc w:val="center"/>
              <w:rPr>
                <w:rStyle w:val="Hyperlink"/>
                <w:noProof/>
                <w:sz w:val="22"/>
                <w:szCs w:val="22"/>
              </w:rPr>
            </w:pPr>
            <w:hyperlink r:id="rId22">
              <w:r>
                <w:rPr>
                  <w:rStyle w:val="Hyperlink"/>
                  <w:noProof/>
                  <w:sz w:val="22"/>
                </w:rPr>
                <w:t>www.bankofgreece.gr/pages/en/other/communication.aspx</w:t>
              </w:r>
            </w:hyperlink>
          </w:p>
          <w:p>
            <w:pPr>
              <w:jc w:val="center"/>
              <w:rPr>
                <w:rStyle w:val="Hyperlink"/>
                <w:noProof/>
                <w:sz w:val="22"/>
                <w:szCs w:val="22"/>
              </w:rPr>
            </w:pPr>
          </w:p>
          <w:p>
            <w:pPr>
              <w:jc w:val="center"/>
              <w:rPr>
                <w:noProof/>
              </w:rPr>
            </w:pPr>
            <w:r>
              <w:rPr>
                <w:noProof/>
              </w:rPr>
              <w:t xml:space="preserve">Secrétariat général pour la protection des consommateurs, 20 Kaningos Square, 10181 Athènes, ΕΛΛΑΔΑ/GREECE </w:t>
            </w:r>
          </w:p>
          <w:p>
            <w:pPr>
              <w:jc w:val="center"/>
              <w:rPr>
                <w:noProof/>
              </w:rPr>
            </w:pPr>
            <w:hyperlink r:id="rId23">
              <w:r>
                <w:rPr>
                  <w:rStyle w:val="Hyperlink"/>
                  <w:noProof/>
                </w:rPr>
                <w:t>www.1520.gov.gr/epikoinia</w:t>
              </w:r>
            </w:hyperlink>
            <w:r>
              <w:rPr>
                <w:noProof/>
              </w:rPr>
              <w:t xml:space="preserve"> </w:t>
            </w:r>
            <w:hyperlink r:id="rId24">
              <w:r>
                <w:rPr>
                  <w:rStyle w:val="Hyperlink"/>
                  <w:noProof/>
                </w:rPr>
                <w:t>www.1520.gov.gr/ypovoli-kataggelias?id=253</w:t>
              </w:r>
            </w:hyperlink>
          </w:p>
        </w:tc>
        <w:tc>
          <w:tcPr>
            <w:tcW w:w="4470" w:type="dxa"/>
            <w:tcBorders>
              <w:top w:val="single" w:sz="4" w:space="0" w:color="auto"/>
              <w:bottom w:val="single" w:sz="4" w:space="0" w:color="auto"/>
            </w:tcBorders>
            <w:vAlign w:val="center"/>
          </w:tcPr>
          <w:p>
            <w:pPr>
              <w:jc w:val="center"/>
              <w:rPr>
                <w:noProof/>
              </w:rPr>
            </w:pPr>
            <w:r>
              <w:rPr>
                <w:noProof/>
              </w:rPr>
              <w:t xml:space="preserve"> </w:t>
            </w:r>
          </w:p>
        </w:tc>
      </w:tr>
      <w:tr>
        <w:tc>
          <w:tcPr>
            <w:tcW w:w="1456" w:type="dxa"/>
            <w:vAlign w:val="center"/>
          </w:tcPr>
          <w:p>
            <w:pPr>
              <w:jc w:val="center"/>
              <w:rPr>
                <w:noProof/>
              </w:rPr>
            </w:pPr>
            <w:r>
              <w:rPr>
                <w:noProof/>
              </w:rPr>
              <w:t>Irlande</w:t>
            </w:r>
          </w:p>
        </w:tc>
        <w:tc>
          <w:tcPr>
            <w:tcW w:w="4215" w:type="dxa"/>
            <w:tcBorders>
              <w:top w:val="single" w:sz="4" w:space="0" w:color="auto"/>
              <w:bottom w:val="single" w:sz="4" w:space="0" w:color="auto"/>
            </w:tcBorders>
            <w:vAlign w:val="center"/>
          </w:tcPr>
          <w:p>
            <w:pPr>
              <w:jc w:val="center"/>
              <w:rPr>
                <w:noProof/>
              </w:rPr>
            </w:pPr>
            <w:r>
              <w:rPr>
                <w:noProof/>
              </w:rPr>
              <w:t>Banc Ceannais na hÉireann/Central Bank of Ireland (Banque centrale d’Irlande)</w:t>
            </w:r>
          </w:p>
          <w:p>
            <w:pPr>
              <w:jc w:val="center"/>
              <w:rPr>
                <w:noProof/>
              </w:rPr>
            </w:pPr>
            <w:r>
              <w:rPr>
                <w:noProof/>
              </w:rPr>
              <w:t>PO Box 559, Dame Street, Dublin 2, D02 P656, ÉIRE/IRELAND</w:t>
            </w:r>
          </w:p>
          <w:p>
            <w:pPr>
              <w:jc w:val="center"/>
              <w:rPr>
                <w:noProof/>
              </w:rPr>
            </w:pPr>
            <w:r>
              <w:rPr>
                <w:noProof/>
              </w:rPr>
              <w:t xml:space="preserve">Courriel: </w:t>
            </w:r>
            <w:hyperlink r:id="rId25">
              <w:r>
                <w:rPr>
                  <w:rStyle w:val="Hyperlink"/>
                  <w:noProof/>
                </w:rPr>
                <w:t>enquiries@centraibank.ie</w:t>
              </w:r>
            </w:hyperlink>
          </w:p>
        </w:tc>
        <w:tc>
          <w:tcPr>
            <w:tcW w:w="4470" w:type="dxa"/>
            <w:tcBorders>
              <w:top w:val="single" w:sz="4" w:space="0" w:color="auto"/>
              <w:bottom w:val="single" w:sz="4" w:space="0" w:color="auto"/>
            </w:tcBorders>
            <w:vAlign w:val="center"/>
          </w:tcPr>
          <w:p>
            <w:pPr>
              <w:jc w:val="center"/>
              <w:rPr>
                <w:noProof/>
              </w:rPr>
            </w:pPr>
            <w:r>
              <w:rPr>
                <w:noProof/>
              </w:rPr>
              <w:t>Competition and Consumer Protection Commission (commission de la concurrence et de la protection des consommateurs)</w:t>
            </w:r>
          </w:p>
          <w:p>
            <w:pPr>
              <w:jc w:val="center"/>
              <w:rPr>
                <w:noProof/>
              </w:rPr>
            </w:pPr>
            <w:r>
              <w:rPr>
                <w:noProof/>
              </w:rPr>
              <w:t>PO Box 12585, Dublin 1, ÉIRE/IRELAND</w:t>
            </w:r>
          </w:p>
          <w:p>
            <w:pPr>
              <w:jc w:val="center"/>
              <w:rPr>
                <w:noProof/>
              </w:rPr>
            </w:pPr>
            <w:r>
              <w:rPr>
                <w:noProof/>
              </w:rPr>
              <w:t xml:space="preserve">Courriel: </w:t>
            </w:r>
            <w:hyperlink r:id="rId26">
              <w:r>
                <w:rPr>
                  <w:rStyle w:val="Hyperlink"/>
                  <w:noProof/>
                </w:rPr>
                <w:t>consumerenforcement@ccpc.ie</w:t>
              </w:r>
            </w:hyperlink>
          </w:p>
        </w:tc>
      </w:tr>
      <w:tr>
        <w:tc>
          <w:tcPr>
            <w:tcW w:w="1456" w:type="dxa"/>
            <w:vAlign w:val="center"/>
          </w:tcPr>
          <w:p>
            <w:pPr>
              <w:jc w:val="center"/>
              <w:rPr>
                <w:noProof/>
              </w:rPr>
            </w:pPr>
            <w:r>
              <w:rPr>
                <w:noProof/>
              </w:rPr>
              <w:t>Italie</w:t>
            </w:r>
          </w:p>
        </w:tc>
        <w:tc>
          <w:tcPr>
            <w:tcW w:w="4215" w:type="dxa"/>
            <w:tcBorders>
              <w:top w:val="single" w:sz="4" w:space="0" w:color="auto"/>
              <w:bottom w:val="single" w:sz="4" w:space="0" w:color="auto"/>
              <w:right w:val="single" w:sz="4" w:space="0" w:color="auto"/>
            </w:tcBorders>
            <w:vAlign w:val="center"/>
          </w:tcPr>
          <w:p>
            <w:pPr>
              <w:jc w:val="center"/>
              <w:rPr>
                <w:noProof/>
                <w:lang w:val="it-IT"/>
              </w:rPr>
            </w:pPr>
            <w:r>
              <w:rPr>
                <w:noProof/>
                <w:lang w:val="it-IT"/>
              </w:rPr>
              <w:t xml:space="preserve">Banca d’Italia (Banque d’Italie) </w:t>
            </w:r>
          </w:p>
          <w:p>
            <w:pPr>
              <w:jc w:val="center"/>
              <w:rPr>
                <w:noProof/>
                <w:lang w:val="it-IT"/>
              </w:rPr>
            </w:pPr>
            <w:r>
              <w:rPr>
                <w:noProof/>
                <w:lang w:val="it-IT"/>
              </w:rPr>
              <w:t xml:space="preserve">Via Nazionale 91, 00184 Roma, ITALIA </w:t>
            </w:r>
            <w:hyperlink r:id="rId27">
              <w:r>
                <w:rPr>
                  <w:rStyle w:val="Hyperlink"/>
                  <w:noProof/>
                  <w:lang w:val="it-IT"/>
                </w:rPr>
                <w:t>email@bancaditalia.it</w:t>
              </w:r>
            </w:hyperlink>
            <w:r>
              <w:rPr>
                <w:noProof/>
                <w:lang w:val="it-IT"/>
              </w:rPr>
              <w:t xml:space="preserve"> </w:t>
            </w:r>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lang w:val="it-IT"/>
              </w:rPr>
            </w:pPr>
            <w:r>
              <w:rPr>
                <w:noProof/>
                <w:lang w:val="it-IT"/>
              </w:rPr>
              <w:t>Autorità Garante della Concorrenza e del Mercato (autorité italienne de la concurrence)</w:t>
            </w:r>
          </w:p>
          <w:p>
            <w:pPr>
              <w:jc w:val="center"/>
              <w:rPr>
                <w:noProof/>
                <w:lang w:val="it-IT"/>
              </w:rPr>
            </w:pPr>
            <w:r>
              <w:rPr>
                <w:noProof/>
                <w:lang w:val="it-IT"/>
              </w:rPr>
              <w:t xml:space="preserve">Piazza Verdi 6/A, 00198 Roma, ITALIA </w:t>
            </w:r>
            <w:hyperlink r:id="rId28">
              <w:r>
                <w:rPr>
                  <w:rStyle w:val="Hyperlink"/>
                  <w:noProof/>
                  <w:lang w:val="it-IT"/>
                </w:rPr>
                <w:t>www.agcm.it</w:t>
              </w:r>
            </w:hyperlink>
            <w:r>
              <w:rPr>
                <w:noProof/>
                <w:lang w:val="it-IT"/>
              </w:rPr>
              <w:t xml:space="preserve"> (site internet en anglais également)</w:t>
            </w:r>
          </w:p>
        </w:tc>
      </w:tr>
      <w:tr>
        <w:tc>
          <w:tcPr>
            <w:tcW w:w="1456" w:type="dxa"/>
            <w:vAlign w:val="center"/>
          </w:tcPr>
          <w:p>
            <w:pPr>
              <w:jc w:val="center"/>
              <w:rPr>
                <w:noProof/>
              </w:rPr>
            </w:pPr>
            <w:r>
              <w:rPr>
                <w:noProof/>
              </w:rPr>
              <w:t>Lettonie</w:t>
            </w:r>
          </w:p>
        </w:tc>
        <w:tc>
          <w:tcPr>
            <w:tcW w:w="4215" w:type="dxa"/>
            <w:tcBorders>
              <w:top w:val="single" w:sz="4" w:space="0" w:color="auto"/>
              <w:bottom w:val="single" w:sz="4" w:space="0" w:color="auto"/>
              <w:right w:val="single" w:sz="4" w:space="0" w:color="auto"/>
            </w:tcBorders>
            <w:vAlign w:val="center"/>
          </w:tcPr>
          <w:p>
            <w:pPr>
              <w:jc w:val="center"/>
              <w:rPr>
                <w:noProof/>
              </w:rPr>
            </w:pPr>
            <w:r>
              <w:rPr>
                <w:noProof/>
              </w:rPr>
              <w:t>Finanšu un kapitāla tirgus komisija (commission des marchés financiers et de capitaux)</w:t>
            </w:r>
          </w:p>
          <w:p>
            <w:pPr>
              <w:jc w:val="center"/>
              <w:rPr>
                <w:noProof/>
              </w:rPr>
            </w:pPr>
            <w:r>
              <w:rPr>
                <w:noProof/>
              </w:rPr>
              <w:t xml:space="preserve">Kungu iela 1, Riga, LATVIJA </w:t>
            </w:r>
          </w:p>
          <w:p>
            <w:pPr>
              <w:jc w:val="center"/>
              <w:rPr>
                <w:noProof/>
              </w:rPr>
            </w:pPr>
            <w:r>
              <w:rPr>
                <w:noProof/>
              </w:rPr>
              <w:t xml:space="preserve">Courriel: </w:t>
            </w:r>
            <w:hyperlink r:id="rId29">
              <w:r>
                <w:rPr>
                  <w:rStyle w:val="Hyperlink"/>
                  <w:noProof/>
                </w:rPr>
                <w:t>fktk@fktk.lv</w:t>
              </w:r>
            </w:hyperlink>
            <w:r>
              <w:rPr>
                <w:noProof/>
              </w:rPr>
              <w:t xml:space="preserve"> Tél. +371 67774800</w:t>
            </w:r>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rPr>
            </w:pPr>
          </w:p>
        </w:tc>
      </w:tr>
      <w:tr>
        <w:tc>
          <w:tcPr>
            <w:tcW w:w="1456" w:type="dxa"/>
            <w:vAlign w:val="center"/>
          </w:tcPr>
          <w:p>
            <w:pPr>
              <w:jc w:val="center"/>
              <w:rPr>
                <w:noProof/>
              </w:rPr>
            </w:pPr>
            <w:r>
              <w:rPr>
                <w:noProof/>
              </w:rPr>
              <w:t>Lituanie</w:t>
            </w:r>
          </w:p>
        </w:tc>
        <w:tc>
          <w:tcPr>
            <w:tcW w:w="8685" w:type="dxa"/>
            <w:gridSpan w:val="2"/>
            <w:tcBorders>
              <w:top w:val="single" w:sz="4" w:space="0" w:color="auto"/>
              <w:bottom w:val="single" w:sz="4" w:space="0" w:color="auto"/>
              <w:right w:val="single" w:sz="4" w:space="0" w:color="auto"/>
            </w:tcBorders>
            <w:vAlign w:val="center"/>
          </w:tcPr>
          <w:p>
            <w:pPr>
              <w:jc w:val="center"/>
              <w:rPr>
                <w:noProof/>
              </w:rPr>
            </w:pPr>
            <w:r>
              <w:rPr>
                <w:noProof/>
              </w:rPr>
              <w:t>Lietuvos Bankas (Banque de Lituanie)</w:t>
            </w:r>
          </w:p>
          <w:p>
            <w:pPr>
              <w:jc w:val="center"/>
              <w:rPr>
                <w:noProof/>
              </w:rPr>
            </w:pPr>
            <w:r>
              <w:rPr>
                <w:noProof/>
              </w:rPr>
              <w:t>Totorių g. 4, LT-01121 Vilnius, LIETUVA/LITHUANIA</w:t>
            </w:r>
          </w:p>
          <w:p>
            <w:pPr>
              <w:jc w:val="center"/>
              <w:rPr>
                <w:noProof/>
              </w:rPr>
            </w:pPr>
            <w:r>
              <w:rPr>
                <w:noProof/>
              </w:rPr>
              <w:t>Tél. +370 52680029</w:t>
            </w:r>
          </w:p>
          <w:p>
            <w:pPr>
              <w:jc w:val="center"/>
              <w:rPr>
                <w:noProof/>
              </w:rPr>
            </w:pPr>
            <w:r>
              <w:rPr>
                <w:noProof/>
              </w:rPr>
              <w:t>Fax +370 52680038</w:t>
            </w:r>
          </w:p>
        </w:tc>
      </w:tr>
      <w:tr>
        <w:tc>
          <w:tcPr>
            <w:tcW w:w="1456" w:type="dxa"/>
            <w:vAlign w:val="center"/>
          </w:tcPr>
          <w:p>
            <w:pPr>
              <w:jc w:val="center"/>
              <w:rPr>
                <w:noProof/>
              </w:rPr>
            </w:pPr>
            <w:r>
              <w:rPr>
                <w:noProof/>
              </w:rPr>
              <w:t>Luxembourg</w:t>
            </w:r>
          </w:p>
        </w:tc>
        <w:tc>
          <w:tcPr>
            <w:tcW w:w="8685" w:type="dxa"/>
            <w:gridSpan w:val="2"/>
            <w:tcBorders>
              <w:top w:val="single" w:sz="4" w:space="0" w:color="auto"/>
              <w:bottom w:val="single" w:sz="4" w:space="0" w:color="auto"/>
              <w:right w:val="single" w:sz="4" w:space="0" w:color="auto"/>
            </w:tcBorders>
            <w:vAlign w:val="center"/>
          </w:tcPr>
          <w:p>
            <w:pPr>
              <w:jc w:val="center"/>
              <w:rPr>
                <w:noProof/>
              </w:rPr>
            </w:pPr>
            <w:r>
              <w:rPr>
                <w:noProof/>
              </w:rPr>
              <w:t xml:space="preserve">Commission de surveillance du secteur financier </w:t>
            </w:r>
          </w:p>
          <w:p>
            <w:pPr>
              <w:jc w:val="center"/>
              <w:rPr>
                <w:noProof/>
              </w:rPr>
            </w:pPr>
            <w:r>
              <w:rPr>
                <w:noProof/>
              </w:rPr>
              <w:t xml:space="preserve">Tél. +352 26251-1 (central) - </w:t>
            </w:r>
            <w:hyperlink r:id="rId30">
              <w:r>
                <w:rPr>
                  <w:rStyle w:val="Hyperlink"/>
                  <w:noProof/>
                </w:rPr>
                <w:t>www.cssf.lu</w:t>
              </w:r>
            </w:hyperlink>
            <w:r>
              <w:rPr>
                <w:noProof/>
              </w:rPr>
              <w:t xml:space="preserve"> – </w:t>
            </w:r>
            <w:hyperlink r:id="rId31">
              <w:r>
                <w:rPr>
                  <w:rStyle w:val="Hyperlink"/>
                  <w:noProof/>
                </w:rPr>
                <w:t>direction@cssf.lu</w:t>
              </w:r>
            </w:hyperlink>
            <w:r>
              <w:rPr>
                <w:noProof/>
              </w:rPr>
              <w:t xml:space="preserve"> </w:t>
            </w:r>
          </w:p>
          <w:p>
            <w:pPr>
              <w:jc w:val="center"/>
              <w:rPr>
                <w:noProof/>
              </w:rPr>
            </w:pPr>
            <w:r>
              <w:rPr>
                <w:noProof/>
              </w:rPr>
              <w:t>283, route d’Arlon, L-1150 Luxembourg, LUXEMBOURG</w:t>
            </w:r>
          </w:p>
          <w:p>
            <w:pPr>
              <w:jc w:val="center"/>
              <w:rPr>
                <w:noProof/>
              </w:rPr>
            </w:pPr>
            <w:r>
              <w:rPr>
                <w:noProof/>
              </w:rPr>
              <w:t>Adresse postale: L-2991 Luxembourg, LUXEMBOURG</w:t>
            </w:r>
          </w:p>
        </w:tc>
      </w:tr>
      <w:tr>
        <w:tc>
          <w:tcPr>
            <w:tcW w:w="1456" w:type="dxa"/>
            <w:vAlign w:val="center"/>
          </w:tcPr>
          <w:p>
            <w:pPr>
              <w:jc w:val="center"/>
              <w:rPr>
                <w:noProof/>
              </w:rPr>
            </w:pPr>
            <w:r>
              <w:rPr>
                <w:noProof/>
              </w:rPr>
              <w:t>Malte</w:t>
            </w:r>
          </w:p>
        </w:tc>
        <w:tc>
          <w:tcPr>
            <w:tcW w:w="8685" w:type="dxa"/>
            <w:gridSpan w:val="2"/>
            <w:tcBorders>
              <w:top w:val="single" w:sz="4" w:space="0" w:color="auto"/>
              <w:bottom w:val="single" w:sz="4" w:space="0" w:color="auto"/>
              <w:right w:val="single" w:sz="4" w:space="0" w:color="auto"/>
            </w:tcBorders>
            <w:vAlign w:val="center"/>
          </w:tcPr>
          <w:p>
            <w:pPr>
              <w:jc w:val="center"/>
              <w:rPr>
                <w:noProof/>
                <w:lang w:val="sv-SE"/>
              </w:rPr>
            </w:pPr>
            <w:r>
              <w:rPr>
                <w:noProof/>
                <w:lang w:val="sv-SE"/>
              </w:rPr>
              <w:t>Bank Ċentrali ta’ Malta/Central Bank of Malta (Banque centrale de Malte)</w:t>
            </w:r>
          </w:p>
          <w:p>
            <w:pPr>
              <w:jc w:val="center"/>
              <w:rPr>
                <w:noProof/>
                <w:lang w:val="sv-SE"/>
              </w:rPr>
            </w:pPr>
            <w:r>
              <w:rPr>
                <w:noProof/>
                <w:lang w:val="sv-SE"/>
              </w:rPr>
              <w:t>Pjazza Kastilja</w:t>
            </w:r>
          </w:p>
          <w:p>
            <w:pPr>
              <w:jc w:val="center"/>
              <w:rPr>
                <w:noProof/>
                <w:lang w:val="sv-SE"/>
              </w:rPr>
            </w:pPr>
            <w:r>
              <w:rPr>
                <w:noProof/>
                <w:lang w:val="sv-SE"/>
              </w:rPr>
              <w:t>Valletta, VLT 1060, MALTA</w:t>
            </w:r>
          </w:p>
          <w:p>
            <w:pPr>
              <w:jc w:val="center"/>
              <w:rPr>
                <w:noProof/>
              </w:rPr>
            </w:pPr>
            <w:hyperlink r:id="rId32">
              <w:r>
                <w:rPr>
                  <w:rStyle w:val="Hyperlink"/>
                  <w:noProof/>
                </w:rPr>
                <w:t>oversight@centralbankmalta.org</w:t>
              </w:r>
            </w:hyperlink>
          </w:p>
        </w:tc>
      </w:tr>
      <w:tr>
        <w:tc>
          <w:tcPr>
            <w:tcW w:w="1456" w:type="dxa"/>
            <w:vAlign w:val="center"/>
          </w:tcPr>
          <w:p>
            <w:pPr>
              <w:jc w:val="center"/>
              <w:rPr>
                <w:noProof/>
              </w:rPr>
            </w:pPr>
            <w:r>
              <w:rPr>
                <w:noProof/>
              </w:rPr>
              <w:t>Pays-Bas</w:t>
            </w:r>
          </w:p>
        </w:tc>
        <w:tc>
          <w:tcPr>
            <w:tcW w:w="4215" w:type="dxa"/>
            <w:tcBorders>
              <w:top w:val="single" w:sz="4" w:space="0" w:color="auto"/>
              <w:bottom w:val="single" w:sz="4" w:space="0" w:color="auto"/>
              <w:right w:val="single" w:sz="4" w:space="0" w:color="auto"/>
            </w:tcBorders>
            <w:vAlign w:val="center"/>
          </w:tcPr>
          <w:p>
            <w:pPr>
              <w:jc w:val="center"/>
              <w:rPr>
                <w:noProof/>
              </w:rPr>
            </w:pPr>
            <w:r>
              <w:rPr>
                <w:noProof/>
              </w:rPr>
              <w:t xml:space="preserve">De Nederlandsche Bank (Banque des Pays-Bas) – </w:t>
            </w:r>
            <w:hyperlink r:id="rId33">
              <w:r>
                <w:rPr>
                  <w:rStyle w:val="Hyperlink"/>
                  <w:noProof/>
                </w:rPr>
                <w:t>www.dnb.nl</w:t>
              </w:r>
            </w:hyperlink>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 xml:space="preserve">Autoriteit Consument &amp; Markt (autorité néerlandaise des consommateurs et des marchés) – </w:t>
            </w:r>
            <w:hyperlink r:id="rId34">
              <w:r>
                <w:rPr>
                  <w:rStyle w:val="Hyperlink"/>
                  <w:noProof/>
                </w:rPr>
                <w:t>www.acm.nl</w:t>
              </w:r>
            </w:hyperlink>
          </w:p>
        </w:tc>
      </w:tr>
      <w:tr>
        <w:tc>
          <w:tcPr>
            <w:tcW w:w="1456" w:type="dxa"/>
            <w:vAlign w:val="center"/>
          </w:tcPr>
          <w:p>
            <w:pPr>
              <w:jc w:val="center"/>
              <w:rPr>
                <w:noProof/>
              </w:rPr>
            </w:pPr>
            <w:r>
              <w:rPr>
                <w:noProof/>
              </w:rPr>
              <w:t>Portugal</w:t>
            </w:r>
          </w:p>
        </w:tc>
        <w:tc>
          <w:tcPr>
            <w:tcW w:w="8685" w:type="dxa"/>
            <w:gridSpan w:val="2"/>
            <w:tcBorders>
              <w:top w:val="single" w:sz="4" w:space="0" w:color="auto"/>
              <w:bottom w:val="single" w:sz="4" w:space="0" w:color="auto"/>
              <w:right w:val="single" w:sz="4" w:space="0" w:color="auto"/>
            </w:tcBorders>
            <w:vAlign w:val="center"/>
          </w:tcPr>
          <w:p>
            <w:pPr>
              <w:jc w:val="center"/>
              <w:rPr>
                <w:noProof/>
                <w:lang w:val="pt-PT"/>
              </w:rPr>
            </w:pPr>
            <w:r>
              <w:rPr>
                <w:noProof/>
                <w:lang w:val="pt-PT"/>
              </w:rPr>
              <w:t>Banco de Portugal (Banque du Portugal)</w:t>
            </w:r>
          </w:p>
          <w:p>
            <w:pPr>
              <w:jc w:val="center"/>
              <w:rPr>
                <w:noProof/>
                <w:lang w:val="pt-PT"/>
              </w:rPr>
            </w:pPr>
            <w:r>
              <w:rPr>
                <w:noProof/>
                <w:lang w:val="pt-PT"/>
              </w:rPr>
              <w:t>Apartado 2240, 1106-001 Lisboa, PORTUGAL</w:t>
            </w:r>
          </w:p>
          <w:p>
            <w:pPr>
              <w:jc w:val="center"/>
              <w:rPr>
                <w:noProof/>
                <w:lang w:val="pt-PT"/>
              </w:rPr>
            </w:pPr>
            <w:hyperlink r:id="rId35">
              <w:r>
                <w:rPr>
                  <w:rStyle w:val="Hyperlink"/>
                  <w:noProof/>
                  <w:lang w:val="pt-PT"/>
                </w:rPr>
                <w:t>info@bportugal.pt</w:t>
              </w:r>
            </w:hyperlink>
            <w:r>
              <w:rPr>
                <w:noProof/>
                <w:lang w:val="pt-PT"/>
              </w:rPr>
              <w:t xml:space="preserve"> ou site internet: </w:t>
            </w:r>
            <w:hyperlink r:id="rId36">
              <w:r>
                <w:rPr>
                  <w:rStyle w:val="Hyperlink"/>
                  <w:noProof/>
                  <w:lang w:val="pt-PT"/>
                </w:rPr>
                <w:t>http://clientebancario.bportugal.pt/pt-PT/Reclamacoes/Paginas/Formulariodenovareclamacao.aspx</w:t>
              </w:r>
            </w:hyperlink>
          </w:p>
        </w:tc>
      </w:tr>
      <w:tr>
        <w:tc>
          <w:tcPr>
            <w:tcW w:w="1456" w:type="dxa"/>
            <w:vAlign w:val="center"/>
          </w:tcPr>
          <w:p>
            <w:pPr>
              <w:jc w:val="center"/>
              <w:rPr>
                <w:noProof/>
              </w:rPr>
            </w:pPr>
            <w:r>
              <w:rPr>
                <w:noProof/>
              </w:rPr>
              <w:t>Slovaquie</w:t>
            </w:r>
          </w:p>
        </w:tc>
        <w:tc>
          <w:tcPr>
            <w:tcW w:w="4215" w:type="dxa"/>
            <w:tcBorders>
              <w:top w:val="single" w:sz="4" w:space="0" w:color="auto"/>
              <w:bottom w:val="single" w:sz="4" w:space="0" w:color="auto"/>
              <w:right w:val="single" w:sz="4" w:space="0" w:color="auto"/>
            </w:tcBorders>
            <w:vAlign w:val="center"/>
          </w:tcPr>
          <w:p>
            <w:pPr>
              <w:jc w:val="center"/>
              <w:rPr>
                <w:noProof/>
              </w:rPr>
            </w:pPr>
            <w:r>
              <w:rPr>
                <w:noProof/>
              </w:rPr>
              <w:t>Národná banka Slovenska (Banque nationale de Slovaquie)</w:t>
            </w:r>
          </w:p>
          <w:p>
            <w:pPr>
              <w:jc w:val="center"/>
              <w:rPr>
                <w:noProof/>
              </w:rPr>
            </w:pPr>
            <w:hyperlink r:id="rId37">
              <w:r>
                <w:rPr>
                  <w:rStyle w:val="Hyperlink"/>
                  <w:noProof/>
                </w:rPr>
                <w:t>http://www.nbs.sk</w:t>
              </w:r>
            </w:hyperlink>
            <w:r>
              <w:rPr>
                <w:noProof/>
              </w:rPr>
              <w:t xml:space="preserve"> </w:t>
            </w:r>
          </w:p>
          <w:p>
            <w:pPr>
              <w:jc w:val="center"/>
              <w:rPr>
                <w:noProof/>
              </w:rPr>
            </w:pPr>
            <w:hyperlink r:id="rId38">
              <w:r>
                <w:rPr>
                  <w:rStyle w:val="Hyperlink"/>
                  <w:noProof/>
                </w:rPr>
                <w:t>info@nbs.sk</w:t>
              </w:r>
            </w:hyperlink>
            <w:r>
              <w:rPr>
                <w:noProof/>
              </w:rPr>
              <w:t xml:space="preserve"> </w:t>
            </w:r>
          </w:p>
          <w:p>
            <w:pPr>
              <w:jc w:val="center"/>
              <w:rPr>
                <w:noProof/>
              </w:rPr>
            </w:pPr>
          </w:p>
          <w:p>
            <w:pPr>
              <w:jc w:val="center"/>
              <w:rPr>
                <w:noProof/>
              </w:rPr>
            </w:pPr>
            <w:r>
              <w:rPr>
                <w:noProof/>
              </w:rPr>
              <w:t>Úrad pre reguláciu elektronických komunikácií a poštových služieb (autorité slovaque de surveillance des communications électroniques et des services postaux)</w:t>
            </w:r>
          </w:p>
          <w:p>
            <w:pPr>
              <w:jc w:val="center"/>
              <w:rPr>
                <w:noProof/>
              </w:rPr>
            </w:pPr>
            <w:hyperlink r:id="rId39">
              <w:r>
                <w:rPr>
                  <w:rStyle w:val="Hyperlink"/>
                  <w:noProof/>
                </w:rPr>
                <w:t>inspection@teleoff.gov.sk</w:t>
              </w:r>
            </w:hyperlink>
            <w:r>
              <w:rPr>
                <w:noProof/>
              </w:rPr>
              <w:t xml:space="preserve"> </w:t>
            </w:r>
          </w:p>
          <w:p>
            <w:pPr>
              <w:jc w:val="center"/>
              <w:rPr>
                <w:noProof/>
              </w:rPr>
            </w:pPr>
          </w:p>
          <w:p>
            <w:pPr>
              <w:jc w:val="center"/>
              <w:rPr>
                <w:noProof/>
              </w:rPr>
            </w:pPr>
            <w:r>
              <w:rPr>
                <w:noProof/>
              </w:rPr>
              <w:t xml:space="preserve">Ministerstvo spravodlivosti (ministère de la justice) </w:t>
            </w:r>
            <w:hyperlink r:id="rId40">
              <w:r>
                <w:rPr>
                  <w:rStyle w:val="Hyperlink"/>
                  <w:noProof/>
                </w:rPr>
                <w:t>http://www.justice.gov.sk</w:t>
              </w:r>
            </w:hyperlink>
          </w:p>
          <w:p>
            <w:pPr>
              <w:jc w:val="center"/>
              <w:rPr>
                <w:noProof/>
              </w:rPr>
            </w:pPr>
          </w:p>
          <w:p>
            <w:pPr>
              <w:jc w:val="center"/>
              <w:rPr>
                <w:noProof/>
              </w:rPr>
            </w:pPr>
            <w:r>
              <w:rPr>
                <w:noProof/>
              </w:rPr>
              <w:t>Ministerstvo financií (ministère des finances)</w:t>
            </w:r>
          </w:p>
          <w:p>
            <w:pPr>
              <w:jc w:val="center"/>
              <w:rPr>
                <w:noProof/>
              </w:rPr>
            </w:pPr>
            <w:hyperlink r:id="rId41">
              <w:r>
                <w:rPr>
                  <w:rStyle w:val="Hyperlink"/>
                  <w:noProof/>
                </w:rPr>
                <w:t>http://www.finance.gov.sk</w:t>
              </w:r>
            </w:hyperlink>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 xml:space="preserve"> </w:t>
            </w:r>
          </w:p>
          <w:p>
            <w:pPr>
              <w:jc w:val="center"/>
              <w:rPr>
                <w:noProof/>
              </w:rPr>
            </w:pPr>
            <w:r>
              <w:rPr>
                <w:noProof/>
              </w:rPr>
              <w:t>Slovenská obchodná inšpekcia (inspection slovaque du commerce)</w:t>
            </w:r>
          </w:p>
          <w:p>
            <w:pPr>
              <w:jc w:val="center"/>
              <w:rPr>
                <w:noProof/>
              </w:rPr>
            </w:pPr>
            <w:hyperlink r:id="rId42">
              <w:r>
                <w:rPr>
                  <w:rStyle w:val="Hyperlink"/>
                  <w:noProof/>
                </w:rPr>
                <w:t>http://www.soi.sk</w:t>
              </w:r>
            </w:hyperlink>
            <w:r>
              <w:rPr>
                <w:noProof/>
              </w:rPr>
              <w:t xml:space="preserve"> </w:t>
            </w:r>
            <w:hyperlink r:id="rId43">
              <w:r>
                <w:rPr>
                  <w:rStyle w:val="Hyperlink"/>
                  <w:noProof/>
                </w:rPr>
                <w:t>info@soi.sk</w:t>
              </w:r>
            </w:hyperlink>
            <w:r>
              <w:rPr>
                <w:noProof/>
              </w:rPr>
              <w:t xml:space="preserve"> </w:t>
            </w:r>
          </w:p>
        </w:tc>
      </w:tr>
      <w:tr>
        <w:tc>
          <w:tcPr>
            <w:tcW w:w="1456" w:type="dxa"/>
            <w:vAlign w:val="center"/>
          </w:tcPr>
          <w:p>
            <w:pPr>
              <w:jc w:val="center"/>
              <w:rPr>
                <w:noProof/>
              </w:rPr>
            </w:pPr>
            <w:r>
              <w:rPr>
                <w:noProof/>
              </w:rPr>
              <w:t>Slovénie</w:t>
            </w:r>
          </w:p>
        </w:tc>
        <w:tc>
          <w:tcPr>
            <w:tcW w:w="8685" w:type="dxa"/>
            <w:gridSpan w:val="2"/>
            <w:tcBorders>
              <w:top w:val="single" w:sz="4" w:space="0" w:color="auto"/>
              <w:bottom w:val="single" w:sz="4" w:space="0" w:color="auto"/>
              <w:right w:val="single" w:sz="4" w:space="0" w:color="auto"/>
            </w:tcBorders>
            <w:vAlign w:val="center"/>
          </w:tcPr>
          <w:p>
            <w:pPr>
              <w:jc w:val="center"/>
              <w:rPr>
                <w:noProof/>
              </w:rPr>
            </w:pPr>
            <w:r>
              <w:rPr>
                <w:noProof/>
              </w:rPr>
              <w:t>Banka Slovenija (Banque de Slovénie)</w:t>
            </w:r>
          </w:p>
          <w:p>
            <w:pPr>
              <w:jc w:val="center"/>
              <w:rPr>
                <w:noProof/>
              </w:rPr>
            </w:pPr>
            <w:r>
              <w:rPr>
                <w:noProof/>
              </w:rPr>
              <w:t>Slovenska 35</w:t>
            </w:r>
          </w:p>
          <w:p>
            <w:pPr>
              <w:jc w:val="center"/>
              <w:rPr>
                <w:noProof/>
              </w:rPr>
            </w:pPr>
            <w:r>
              <w:rPr>
                <w:noProof/>
              </w:rPr>
              <w:t>SI-1505 Ljubljana</w:t>
            </w:r>
          </w:p>
          <w:p>
            <w:pPr>
              <w:jc w:val="center"/>
              <w:rPr>
                <w:noProof/>
              </w:rPr>
            </w:pPr>
            <w:r>
              <w:rPr>
                <w:noProof/>
              </w:rPr>
              <w:t>SLOVENIJA</w:t>
            </w:r>
          </w:p>
          <w:p>
            <w:pPr>
              <w:jc w:val="center"/>
              <w:rPr>
                <w:noProof/>
              </w:rPr>
            </w:pPr>
            <w:hyperlink r:id="rId44">
              <w:r>
                <w:rPr>
                  <w:rStyle w:val="Hyperlink"/>
                  <w:noProof/>
                </w:rPr>
                <w:t>pr@bsi.si</w:t>
              </w:r>
            </w:hyperlink>
          </w:p>
        </w:tc>
      </w:tr>
    </w:tbl>
    <w:p>
      <w:pPr>
        <w:rPr>
          <w:noProof/>
        </w:rPr>
      </w:pPr>
      <w:r>
        <w:rPr>
          <w:noProof/>
        </w:rPr>
        <w:br w:type="page"/>
      </w:r>
    </w:p>
    <w:tbl>
      <w:tblPr>
        <w:tblStyle w:val="TableGrid"/>
        <w:tblW w:w="10141" w:type="dxa"/>
        <w:tblInd w:w="-176" w:type="dxa"/>
        <w:tblLayout w:type="fixed"/>
        <w:tblLook w:val="04A0" w:firstRow="1" w:lastRow="0" w:firstColumn="1" w:lastColumn="0" w:noHBand="0" w:noVBand="1"/>
      </w:tblPr>
      <w:tblGrid>
        <w:gridCol w:w="1456"/>
        <w:gridCol w:w="4215"/>
        <w:gridCol w:w="4470"/>
      </w:tblGrid>
      <w:tr>
        <w:tc>
          <w:tcPr>
            <w:tcW w:w="1456" w:type="dxa"/>
            <w:vAlign w:val="center"/>
          </w:tcPr>
          <w:p>
            <w:pPr>
              <w:jc w:val="center"/>
              <w:rPr>
                <w:noProof/>
              </w:rPr>
            </w:pPr>
            <w:r>
              <w:rPr>
                <w:noProof/>
              </w:rPr>
              <w:t>Espagne</w:t>
            </w:r>
          </w:p>
        </w:tc>
        <w:tc>
          <w:tcPr>
            <w:tcW w:w="4215" w:type="dxa"/>
            <w:tcBorders>
              <w:top w:val="single" w:sz="4" w:space="0" w:color="auto"/>
              <w:bottom w:val="single" w:sz="4" w:space="0" w:color="auto"/>
              <w:right w:val="single" w:sz="4" w:space="0" w:color="auto"/>
            </w:tcBorders>
            <w:vAlign w:val="center"/>
          </w:tcPr>
          <w:p>
            <w:pPr>
              <w:jc w:val="center"/>
              <w:rPr>
                <w:noProof/>
                <w:lang w:val="es-ES"/>
              </w:rPr>
            </w:pPr>
            <w:r>
              <w:rPr>
                <w:noProof/>
                <w:lang w:val="es-ES"/>
              </w:rPr>
              <w:t>Banco de España (Banque d’Espagne)</w:t>
            </w:r>
          </w:p>
          <w:p>
            <w:pPr>
              <w:jc w:val="center"/>
              <w:rPr>
                <w:noProof/>
                <w:lang w:val="es-ES"/>
              </w:rPr>
            </w:pPr>
            <w:hyperlink r:id="rId45">
              <w:r>
                <w:rPr>
                  <w:rStyle w:val="Hyperlink"/>
                  <w:noProof/>
                  <w:lang w:val="es-ES"/>
                </w:rPr>
                <w:t>http://www.bde.es</w:t>
              </w:r>
            </w:hyperlink>
            <w:r>
              <w:rPr>
                <w:noProof/>
                <w:lang w:val="es-ES"/>
              </w:rPr>
              <w:t xml:space="preserve">   </w:t>
            </w:r>
            <w:hyperlink r:id="rId46">
              <w:r>
                <w:rPr>
                  <w:rStyle w:val="Hyperlink"/>
                  <w:noProof/>
                  <w:lang w:val="es-ES"/>
                </w:rPr>
                <w:t>paymentsystems@bde.es</w:t>
              </w:r>
            </w:hyperlink>
            <w:r>
              <w:rPr>
                <w:noProof/>
                <w:lang w:val="es-ES"/>
              </w:rPr>
              <w:t xml:space="preserve"> </w:t>
            </w:r>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Autorités des consommateurs des communautés autonomes</w:t>
            </w:r>
            <w:r>
              <w:rPr>
                <w:rStyle w:val="FootnoteReference"/>
                <w:noProof/>
              </w:rPr>
              <w:footnoteReference w:id="4"/>
            </w:r>
          </w:p>
          <w:p>
            <w:pPr>
              <w:rPr>
                <w:noProof/>
              </w:rPr>
            </w:pPr>
          </w:p>
          <w:p>
            <w:pPr>
              <w:jc w:val="center"/>
              <w:rPr>
                <w:noProof/>
              </w:rPr>
            </w:pPr>
            <w:r>
              <w:rPr>
                <w:noProof/>
              </w:rPr>
              <w:t>coordonnées par AECOSAN</w:t>
            </w:r>
          </w:p>
          <w:p>
            <w:pPr>
              <w:jc w:val="center"/>
              <w:rPr>
                <w:noProof/>
              </w:rPr>
            </w:pPr>
            <w:r>
              <w:rPr>
                <w:noProof/>
              </w:rPr>
              <w:t>C/Príncipe de Vergara, 54, 28006, Madrid, ESPAÑA</w:t>
            </w:r>
          </w:p>
        </w:tc>
      </w:tr>
    </w:tbl>
    <w:p>
      <w:pPr>
        <w:jc w:val="center"/>
        <w:rPr>
          <w:noProof/>
        </w:rPr>
      </w:pPr>
    </w:p>
    <w:tbl>
      <w:tblPr>
        <w:tblStyle w:val="TableGrid"/>
        <w:tblW w:w="9782" w:type="dxa"/>
        <w:tblInd w:w="-176" w:type="dxa"/>
        <w:tblLook w:val="04A0" w:firstRow="1" w:lastRow="0" w:firstColumn="1" w:lastColumn="0" w:noHBand="0" w:noVBand="1"/>
      </w:tblPr>
      <w:tblGrid>
        <w:gridCol w:w="1448"/>
        <w:gridCol w:w="4167"/>
        <w:gridCol w:w="4167"/>
      </w:tblGrid>
      <w:tr>
        <w:tc>
          <w:tcPr>
            <w:tcW w:w="1448" w:type="dxa"/>
          </w:tcPr>
          <w:p>
            <w:pPr>
              <w:jc w:val="center"/>
              <w:rPr>
                <w:b/>
                <w:noProof/>
              </w:rPr>
            </w:pPr>
            <w:r>
              <w:rPr>
                <w:b/>
                <w:noProof/>
              </w:rPr>
              <w:t>Hors zone euro</w:t>
            </w:r>
          </w:p>
        </w:tc>
        <w:tc>
          <w:tcPr>
            <w:tcW w:w="4167" w:type="dxa"/>
            <w:tcBorders>
              <w:top w:val="single" w:sz="4" w:space="0" w:color="auto"/>
              <w:bottom w:val="single" w:sz="4" w:space="0" w:color="auto"/>
            </w:tcBorders>
          </w:tcPr>
          <w:p>
            <w:pPr>
              <w:jc w:val="center"/>
              <w:rPr>
                <w:b/>
                <w:noProof/>
              </w:rPr>
            </w:pPr>
            <w:r>
              <w:rPr>
                <w:b/>
                <w:noProof/>
              </w:rPr>
              <w:t>Autorité compétente chargée d’assurer le respect du règlement par les prestataires de services de paiement</w:t>
            </w:r>
          </w:p>
        </w:tc>
        <w:tc>
          <w:tcPr>
            <w:tcW w:w="4167" w:type="dxa"/>
            <w:tcBorders>
              <w:top w:val="single" w:sz="4" w:space="0" w:color="auto"/>
              <w:bottom w:val="single" w:sz="4" w:space="0" w:color="auto"/>
            </w:tcBorders>
          </w:tcPr>
          <w:p>
            <w:pPr>
              <w:jc w:val="center"/>
              <w:rPr>
                <w:b/>
                <w:noProof/>
              </w:rPr>
            </w:pPr>
            <w:r>
              <w:rPr>
                <w:b/>
                <w:noProof/>
              </w:rPr>
              <w:t>Autorité compétente chargée d’assurer le respect du règlement par les utilisateurs de services de paiement</w:t>
            </w:r>
          </w:p>
        </w:tc>
      </w:tr>
      <w:tr>
        <w:tc>
          <w:tcPr>
            <w:tcW w:w="1448" w:type="dxa"/>
            <w:vAlign w:val="center"/>
          </w:tcPr>
          <w:p>
            <w:pPr>
              <w:jc w:val="center"/>
              <w:rPr>
                <w:noProof/>
              </w:rPr>
            </w:pPr>
            <w:r>
              <w:rPr>
                <w:noProof/>
              </w:rPr>
              <w:t>Bulgarie</w:t>
            </w:r>
          </w:p>
        </w:tc>
        <w:tc>
          <w:tcPr>
            <w:tcW w:w="8334" w:type="dxa"/>
            <w:gridSpan w:val="2"/>
            <w:tcBorders>
              <w:top w:val="single" w:sz="4" w:space="0" w:color="auto"/>
              <w:bottom w:val="single" w:sz="4" w:space="0" w:color="auto"/>
            </w:tcBorders>
            <w:vAlign w:val="center"/>
          </w:tcPr>
          <w:p>
            <w:pPr>
              <w:jc w:val="center"/>
              <w:rPr>
                <w:noProof/>
              </w:rPr>
            </w:pPr>
            <w:r>
              <w:rPr>
                <w:noProof/>
              </w:rPr>
              <w:t>Българска народна банка/Bulgarian National Bank (Banque nationale de Bulgarie)</w:t>
            </w:r>
          </w:p>
          <w:p>
            <w:pPr>
              <w:jc w:val="center"/>
              <w:rPr>
                <w:noProof/>
              </w:rPr>
            </w:pPr>
            <w:r>
              <w:rPr>
                <w:noProof/>
              </w:rPr>
              <w:t>1, Knyaz Alexander І Sq., 1000 Sofia, БЪЛГАРИЯ/BULGARIA</w:t>
            </w:r>
          </w:p>
          <w:p>
            <w:pPr>
              <w:jc w:val="center"/>
              <w:rPr>
                <w:noProof/>
              </w:rPr>
            </w:pPr>
            <w:r>
              <w:rPr>
                <w:noProof/>
              </w:rPr>
              <w:t xml:space="preserve">Coordonnées pour le dépôt des plaintes: </w:t>
            </w:r>
            <w:hyperlink r:id="rId47">
              <w:r>
                <w:rPr>
                  <w:rStyle w:val="Hyperlink"/>
                  <w:noProof/>
                </w:rPr>
                <w:t>krastev.k@bnbank.org</w:t>
              </w:r>
            </w:hyperlink>
          </w:p>
        </w:tc>
      </w:tr>
      <w:tr>
        <w:tc>
          <w:tcPr>
            <w:tcW w:w="1448" w:type="dxa"/>
            <w:vAlign w:val="center"/>
          </w:tcPr>
          <w:p>
            <w:pPr>
              <w:jc w:val="center"/>
              <w:rPr>
                <w:noProof/>
              </w:rPr>
            </w:pPr>
            <w:r>
              <w:rPr>
                <w:noProof/>
              </w:rPr>
              <w:t>Croatie</w:t>
            </w:r>
            <w:r>
              <w:rPr>
                <w:rStyle w:val="FootnoteReference"/>
                <w:noProof/>
              </w:rPr>
              <w:footnoteReference w:id="5"/>
            </w:r>
          </w:p>
        </w:tc>
        <w:tc>
          <w:tcPr>
            <w:tcW w:w="4167" w:type="dxa"/>
            <w:tcBorders>
              <w:top w:val="single" w:sz="4" w:space="0" w:color="auto"/>
              <w:bottom w:val="single" w:sz="4" w:space="0" w:color="auto"/>
            </w:tcBorders>
            <w:vAlign w:val="center"/>
          </w:tcPr>
          <w:p>
            <w:pPr>
              <w:jc w:val="center"/>
              <w:rPr>
                <w:noProof/>
              </w:rPr>
            </w:pPr>
            <w:r>
              <w:rPr>
                <w:noProof/>
              </w:rPr>
              <w:t>Ministarstvo financija, Financijski inspektorat (ministère des finances, inspection des finances)</w:t>
            </w:r>
          </w:p>
          <w:p>
            <w:pPr>
              <w:jc w:val="center"/>
              <w:rPr>
                <w:noProof/>
              </w:rPr>
            </w:pPr>
            <w:r>
              <w:rPr>
                <w:noProof/>
              </w:rPr>
              <w:t>Ulica grada Vukovara 72</w:t>
            </w:r>
          </w:p>
          <w:p>
            <w:pPr>
              <w:jc w:val="center"/>
              <w:rPr>
                <w:noProof/>
              </w:rPr>
            </w:pPr>
            <w:r>
              <w:rPr>
                <w:noProof/>
              </w:rPr>
              <w:t>HR-10002 Zagreb</w:t>
            </w:r>
          </w:p>
          <w:p>
            <w:pPr>
              <w:jc w:val="center"/>
              <w:rPr>
                <w:noProof/>
              </w:rPr>
            </w:pPr>
            <w:r>
              <w:rPr>
                <w:noProof/>
              </w:rPr>
              <w:t>HRVATSKA</w:t>
            </w:r>
          </w:p>
          <w:p>
            <w:pPr>
              <w:jc w:val="center"/>
              <w:rPr>
                <w:noProof/>
              </w:rPr>
            </w:pPr>
            <w:r>
              <w:rPr>
                <w:noProof/>
              </w:rPr>
              <w:t>P.O. BOX 274</w:t>
            </w:r>
          </w:p>
          <w:p>
            <w:pPr>
              <w:jc w:val="center"/>
              <w:rPr>
                <w:noProof/>
              </w:rPr>
            </w:pPr>
            <w:r>
              <w:rPr>
                <w:noProof/>
              </w:rPr>
              <w:t xml:space="preserve">Courriel: </w:t>
            </w:r>
            <w:hyperlink r:id="rId48">
              <w:r>
                <w:rPr>
                  <w:rStyle w:val="Hyperlink"/>
                  <w:noProof/>
                </w:rPr>
                <w:t>info.fi@mfin.hr</w:t>
              </w:r>
            </w:hyperlink>
          </w:p>
        </w:tc>
        <w:tc>
          <w:tcPr>
            <w:tcW w:w="4167" w:type="dxa"/>
            <w:tcBorders>
              <w:top w:val="single" w:sz="4" w:space="0" w:color="auto"/>
              <w:bottom w:val="single" w:sz="4" w:space="0" w:color="auto"/>
            </w:tcBorders>
            <w:vAlign w:val="center"/>
          </w:tcPr>
          <w:p>
            <w:pPr>
              <w:jc w:val="center"/>
              <w:rPr>
                <w:noProof/>
              </w:rPr>
            </w:pPr>
            <w:r>
              <w:rPr>
                <w:noProof/>
              </w:rPr>
              <w:t>Hrvatska narodna banka (Banque nationale de Croatie)</w:t>
            </w:r>
          </w:p>
          <w:p>
            <w:pPr>
              <w:jc w:val="center"/>
              <w:rPr>
                <w:noProof/>
              </w:rPr>
            </w:pPr>
            <w:r>
              <w:rPr>
                <w:noProof/>
              </w:rPr>
              <w:t>Trg hrvatskih velikana 3</w:t>
            </w:r>
          </w:p>
          <w:p>
            <w:pPr>
              <w:jc w:val="center"/>
              <w:rPr>
                <w:noProof/>
              </w:rPr>
            </w:pPr>
            <w:r>
              <w:rPr>
                <w:noProof/>
              </w:rPr>
              <w:t>HR-10002 Zagreb</w:t>
            </w:r>
          </w:p>
          <w:p>
            <w:pPr>
              <w:jc w:val="center"/>
              <w:rPr>
                <w:noProof/>
              </w:rPr>
            </w:pPr>
            <w:r>
              <w:rPr>
                <w:noProof/>
              </w:rPr>
              <w:t>HRVATSKA</w:t>
            </w:r>
          </w:p>
          <w:p>
            <w:pPr>
              <w:jc w:val="center"/>
              <w:rPr>
                <w:noProof/>
              </w:rPr>
            </w:pPr>
            <w:r>
              <w:rPr>
                <w:noProof/>
              </w:rPr>
              <w:t>P.O. BOX 603</w:t>
            </w:r>
          </w:p>
          <w:p>
            <w:pPr>
              <w:jc w:val="center"/>
              <w:rPr>
                <w:noProof/>
              </w:rPr>
            </w:pPr>
            <w:r>
              <w:rPr>
                <w:noProof/>
              </w:rPr>
              <w:t xml:space="preserve">Courriel: </w:t>
            </w:r>
            <w:hyperlink r:id="rId49">
              <w:r>
                <w:rPr>
                  <w:rStyle w:val="Hyperlink"/>
                  <w:noProof/>
                </w:rPr>
                <w:t>prituzbe-zpp@hnb.hr</w:t>
              </w:r>
            </w:hyperlink>
          </w:p>
        </w:tc>
      </w:tr>
      <w:tr>
        <w:tc>
          <w:tcPr>
            <w:tcW w:w="1448" w:type="dxa"/>
            <w:vAlign w:val="center"/>
          </w:tcPr>
          <w:p>
            <w:pPr>
              <w:jc w:val="center"/>
              <w:rPr>
                <w:noProof/>
              </w:rPr>
            </w:pPr>
            <w:r>
              <w:rPr>
                <w:noProof/>
              </w:rPr>
              <w:t>République tchèque</w:t>
            </w:r>
          </w:p>
        </w:tc>
        <w:tc>
          <w:tcPr>
            <w:tcW w:w="8334" w:type="dxa"/>
            <w:gridSpan w:val="2"/>
            <w:tcBorders>
              <w:top w:val="single" w:sz="4" w:space="0" w:color="auto"/>
              <w:bottom w:val="single" w:sz="4" w:space="0" w:color="auto"/>
            </w:tcBorders>
            <w:vAlign w:val="center"/>
          </w:tcPr>
          <w:p>
            <w:pPr>
              <w:jc w:val="center"/>
              <w:rPr>
                <w:noProof/>
              </w:rPr>
            </w:pPr>
            <w:r>
              <w:rPr>
                <w:noProof/>
              </w:rPr>
              <w:t>Česká národní banka (Banque nationale tchèque)</w:t>
            </w:r>
          </w:p>
          <w:p>
            <w:pPr>
              <w:jc w:val="center"/>
              <w:rPr>
                <w:noProof/>
              </w:rPr>
            </w:pPr>
            <w:r>
              <w:rPr>
                <w:noProof/>
              </w:rPr>
              <w:t>Adresse: Na Příkopě 28, 115 03 Praha 1, ČESKÁ REPUBLIKA</w:t>
            </w:r>
          </w:p>
          <w:p>
            <w:pPr>
              <w:jc w:val="center"/>
              <w:rPr>
                <w:noProof/>
              </w:rPr>
            </w:pPr>
            <w:r>
              <w:rPr>
                <w:noProof/>
              </w:rPr>
              <w:t xml:space="preserve">Tél. +420 224411111 – Fax +420 224412404 – Courriel: </w:t>
            </w:r>
            <w:hyperlink r:id="rId50">
              <w:r>
                <w:rPr>
                  <w:rStyle w:val="Hyperlink"/>
                  <w:noProof/>
                </w:rPr>
                <w:t>podatelna@cnb.cz</w:t>
              </w:r>
            </w:hyperlink>
          </w:p>
          <w:p>
            <w:pPr>
              <w:jc w:val="center"/>
              <w:rPr>
                <w:noProof/>
              </w:rPr>
            </w:pPr>
            <w:hyperlink r:id="rId51">
              <w:r>
                <w:rPr>
                  <w:rStyle w:val="Hyperlink"/>
                  <w:noProof/>
                  <w:sz w:val="22"/>
                </w:rPr>
                <w:t>http://www.cnb.cz/en/about_cnb/form_general_enquiry/general_enquiry.html</w:t>
              </w:r>
            </w:hyperlink>
          </w:p>
        </w:tc>
      </w:tr>
      <w:tr>
        <w:tc>
          <w:tcPr>
            <w:tcW w:w="1448" w:type="dxa"/>
            <w:vAlign w:val="center"/>
          </w:tcPr>
          <w:p>
            <w:pPr>
              <w:jc w:val="center"/>
              <w:rPr>
                <w:noProof/>
              </w:rPr>
            </w:pPr>
            <w:r>
              <w:rPr>
                <w:noProof/>
              </w:rPr>
              <w:t>Danemark</w:t>
            </w:r>
          </w:p>
        </w:tc>
        <w:tc>
          <w:tcPr>
            <w:tcW w:w="8334" w:type="dxa"/>
            <w:gridSpan w:val="2"/>
            <w:tcBorders>
              <w:top w:val="single" w:sz="4" w:space="0" w:color="auto"/>
              <w:bottom w:val="single" w:sz="4" w:space="0" w:color="auto"/>
            </w:tcBorders>
            <w:vAlign w:val="center"/>
          </w:tcPr>
          <w:p>
            <w:pPr>
              <w:jc w:val="center"/>
              <w:rPr>
                <w:noProof/>
              </w:rPr>
            </w:pPr>
            <w:r>
              <w:rPr>
                <w:noProof/>
              </w:rPr>
              <w:t>Finanstilsynet (autorité danoise de surveillance financière)</w:t>
            </w:r>
          </w:p>
          <w:p>
            <w:pPr>
              <w:jc w:val="center"/>
              <w:rPr>
                <w:noProof/>
              </w:rPr>
            </w:pPr>
            <w:r>
              <w:rPr>
                <w:noProof/>
              </w:rPr>
              <w:t>Århusgade 110, 2100 København Ø, DANMARK</w:t>
            </w:r>
          </w:p>
          <w:p>
            <w:pPr>
              <w:jc w:val="center"/>
              <w:rPr>
                <w:noProof/>
              </w:rPr>
            </w:pPr>
            <w:r>
              <w:rPr>
                <w:noProof/>
              </w:rPr>
              <w:t>Tél. +45 33558282</w:t>
            </w:r>
          </w:p>
          <w:p>
            <w:pPr>
              <w:jc w:val="center"/>
              <w:rPr>
                <w:noProof/>
                <w:sz w:val="16"/>
                <w:szCs w:val="16"/>
              </w:rPr>
            </w:pPr>
          </w:p>
          <w:p>
            <w:pPr>
              <w:jc w:val="center"/>
              <w:rPr>
                <w:noProof/>
              </w:rPr>
            </w:pPr>
            <w:r>
              <w:rPr>
                <w:noProof/>
              </w:rPr>
              <w:t>Konkurrence- og Forbrugerstyrelsen (autorité danoise de la concurrence et des consommateurs)</w:t>
            </w:r>
          </w:p>
          <w:p>
            <w:pPr>
              <w:jc w:val="center"/>
              <w:rPr>
                <w:noProof/>
              </w:rPr>
            </w:pPr>
            <w:r>
              <w:rPr>
                <w:noProof/>
              </w:rPr>
              <w:t>Carl Jacobsens Vej 35, 2500 Valby, DANMARK</w:t>
            </w:r>
          </w:p>
          <w:p>
            <w:pPr>
              <w:jc w:val="center"/>
              <w:rPr>
                <w:noProof/>
              </w:rPr>
            </w:pPr>
            <w:r>
              <w:rPr>
                <w:noProof/>
              </w:rPr>
              <w:t>Tél. +45 41715000</w:t>
            </w:r>
          </w:p>
        </w:tc>
      </w:tr>
      <w:tr>
        <w:tc>
          <w:tcPr>
            <w:tcW w:w="1448" w:type="dxa"/>
            <w:vAlign w:val="center"/>
          </w:tcPr>
          <w:p>
            <w:pPr>
              <w:jc w:val="center"/>
              <w:rPr>
                <w:noProof/>
              </w:rPr>
            </w:pPr>
            <w:r>
              <w:rPr>
                <w:noProof/>
              </w:rPr>
              <w:t>Hongrie</w:t>
            </w:r>
          </w:p>
        </w:tc>
        <w:tc>
          <w:tcPr>
            <w:tcW w:w="8334" w:type="dxa"/>
            <w:gridSpan w:val="2"/>
            <w:tcBorders>
              <w:top w:val="single" w:sz="4" w:space="0" w:color="auto"/>
              <w:bottom w:val="single" w:sz="4" w:space="0" w:color="auto"/>
            </w:tcBorders>
            <w:vAlign w:val="center"/>
          </w:tcPr>
          <w:p>
            <w:pPr>
              <w:jc w:val="center"/>
              <w:rPr>
                <w:noProof/>
              </w:rPr>
            </w:pPr>
            <w:r>
              <w:rPr>
                <w:noProof/>
              </w:rPr>
              <w:t>Magyar Nemzeti Bank (MNB) (Banque nationale de Hongrie )</w:t>
            </w:r>
          </w:p>
          <w:p>
            <w:pPr>
              <w:jc w:val="center"/>
              <w:rPr>
                <w:noProof/>
              </w:rPr>
            </w:pPr>
            <w:r>
              <w:rPr>
                <w:noProof/>
              </w:rPr>
              <w:t>Budapest, Szabadság tér 9, 1054,</w:t>
            </w:r>
          </w:p>
          <w:p>
            <w:pPr>
              <w:jc w:val="center"/>
              <w:rPr>
                <w:noProof/>
              </w:rPr>
            </w:pPr>
            <w:r>
              <w:rPr>
                <w:noProof/>
              </w:rPr>
              <w:t xml:space="preserve">MAGYARORSZÁG/HUNGARY </w:t>
            </w:r>
            <w:hyperlink r:id="rId52">
              <w:r>
                <w:rPr>
                  <w:rStyle w:val="Hyperlink"/>
                  <w:noProof/>
                </w:rPr>
                <w:t>ugyfelszolgalat@mnb.hu</w:t>
              </w:r>
            </w:hyperlink>
            <w:r>
              <w:rPr>
                <w:noProof/>
              </w:rPr>
              <w:t xml:space="preserve"> ou </w:t>
            </w:r>
            <w:hyperlink r:id="rId53">
              <w:r>
                <w:rPr>
                  <w:rStyle w:val="Hyperlink"/>
                  <w:noProof/>
                </w:rPr>
                <w:t>info@.mnb.hu</w:t>
              </w:r>
            </w:hyperlink>
          </w:p>
        </w:tc>
      </w:tr>
      <w:tr>
        <w:tc>
          <w:tcPr>
            <w:tcW w:w="1448" w:type="dxa"/>
            <w:vAlign w:val="center"/>
          </w:tcPr>
          <w:p>
            <w:pPr>
              <w:jc w:val="center"/>
              <w:rPr>
                <w:noProof/>
              </w:rPr>
            </w:pPr>
            <w:r>
              <w:rPr>
                <w:noProof/>
              </w:rPr>
              <w:t>Pologne</w:t>
            </w:r>
            <w:r>
              <w:rPr>
                <w:rStyle w:val="FootnoteReference"/>
                <w:noProof/>
              </w:rPr>
              <w:footnoteReference w:id="6"/>
            </w:r>
          </w:p>
        </w:tc>
        <w:tc>
          <w:tcPr>
            <w:tcW w:w="4167" w:type="dxa"/>
            <w:tcBorders>
              <w:top w:val="single" w:sz="4" w:space="0" w:color="auto"/>
              <w:bottom w:val="single" w:sz="4" w:space="0" w:color="auto"/>
            </w:tcBorders>
            <w:vAlign w:val="center"/>
          </w:tcPr>
          <w:p>
            <w:pPr>
              <w:jc w:val="center"/>
              <w:rPr>
                <w:noProof/>
              </w:rPr>
            </w:pPr>
            <w:r>
              <w:rPr>
                <w:noProof/>
              </w:rPr>
              <w:t>Komisja Nadzoru Finansowego (autorité polonaise de surveillance financière),</w:t>
            </w:r>
          </w:p>
          <w:p>
            <w:pPr>
              <w:jc w:val="center"/>
              <w:rPr>
                <w:noProof/>
                <w:lang w:val="pl-PL"/>
              </w:rPr>
            </w:pPr>
            <w:r>
              <w:rPr>
                <w:noProof/>
                <w:lang w:val="pl-PL"/>
              </w:rPr>
              <w:t>Plac Powstańców Warszawy 1 skr. poczt. 419, 00-950 Warszawa, POLSKA/POLAND</w:t>
            </w:r>
          </w:p>
          <w:p>
            <w:pPr>
              <w:jc w:val="center"/>
              <w:rPr>
                <w:noProof/>
                <w:lang w:val="pl-PL"/>
              </w:rPr>
            </w:pPr>
            <w:r>
              <w:rPr>
                <w:noProof/>
                <w:lang w:val="pl-PL"/>
              </w:rPr>
              <w:t>Tél. +48 222625000</w:t>
            </w:r>
          </w:p>
          <w:p>
            <w:pPr>
              <w:jc w:val="center"/>
              <w:rPr>
                <w:noProof/>
                <w:lang w:val="pl-PL"/>
              </w:rPr>
            </w:pPr>
            <w:r>
              <w:rPr>
                <w:noProof/>
                <w:lang w:val="pl-PL"/>
              </w:rPr>
              <w:t xml:space="preserve">Courriel: </w:t>
            </w:r>
            <w:hyperlink r:id="rId54">
              <w:r>
                <w:rPr>
                  <w:rStyle w:val="Hyperlink"/>
                  <w:noProof/>
                  <w:lang w:val="pl-PL"/>
                </w:rPr>
                <w:t>knf@knf.gov.pl</w:t>
              </w:r>
            </w:hyperlink>
          </w:p>
        </w:tc>
        <w:tc>
          <w:tcPr>
            <w:tcW w:w="4167" w:type="dxa"/>
            <w:tcBorders>
              <w:top w:val="single" w:sz="4" w:space="0" w:color="auto"/>
              <w:bottom w:val="single" w:sz="4" w:space="0" w:color="auto"/>
            </w:tcBorders>
            <w:vAlign w:val="center"/>
          </w:tcPr>
          <w:p>
            <w:pPr>
              <w:jc w:val="center"/>
              <w:rPr>
                <w:noProof/>
                <w:lang w:val="pl-PL"/>
              </w:rPr>
            </w:pPr>
            <w:r>
              <w:rPr>
                <w:noProof/>
                <w:lang w:val="pl-PL"/>
              </w:rPr>
              <w:t>Sąd Polubowny (tribunal arbitral), Plac Powstańców Warszawy 1, 00-030 Warszawa, POLSKA/POLAND</w:t>
            </w:r>
          </w:p>
          <w:p>
            <w:pPr>
              <w:jc w:val="center"/>
              <w:rPr>
                <w:noProof/>
              </w:rPr>
            </w:pPr>
            <w:r>
              <w:rPr>
                <w:noProof/>
              </w:rPr>
              <w:t>Tél. + 48 222624054</w:t>
            </w:r>
          </w:p>
          <w:p>
            <w:pPr>
              <w:jc w:val="center"/>
              <w:rPr>
                <w:noProof/>
              </w:rPr>
            </w:pPr>
            <w:r>
              <w:rPr>
                <w:noProof/>
              </w:rPr>
              <w:t xml:space="preserve">Courriel: sad.pohłbo </w:t>
            </w:r>
            <w:hyperlink r:id="rId55">
              <w:r>
                <w:rPr>
                  <w:rStyle w:val="Hyperlink"/>
                  <w:noProof/>
                </w:rPr>
                <w:t>wnv@knf.gov.pl</w:t>
              </w:r>
            </w:hyperlink>
          </w:p>
          <w:p>
            <w:pPr>
              <w:jc w:val="center"/>
              <w:rPr>
                <w:noProof/>
                <w:sz w:val="16"/>
                <w:szCs w:val="16"/>
              </w:rPr>
            </w:pPr>
          </w:p>
          <w:p>
            <w:pPr>
              <w:jc w:val="center"/>
              <w:rPr>
                <w:noProof/>
                <w:lang w:val="pl-PL"/>
              </w:rPr>
            </w:pPr>
            <w:r>
              <w:rPr>
                <w:noProof/>
                <w:lang w:val="pl-PL"/>
              </w:rPr>
              <w:t>ou</w:t>
            </w:r>
          </w:p>
          <w:p>
            <w:pPr>
              <w:jc w:val="center"/>
              <w:rPr>
                <w:noProof/>
                <w:sz w:val="16"/>
                <w:szCs w:val="16"/>
                <w:lang w:val="pl-PL"/>
              </w:rPr>
            </w:pPr>
          </w:p>
          <w:p>
            <w:pPr>
              <w:jc w:val="center"/>
              <w:rPr>
                <w:noProof/>
                <w:lang w:val="pl-PL"/>
              </w:rPr>
            </w:pPr>
            <w:r>
              <w:rPr>
                <w:noProof/>
                <w:lang w:val="pl-PL"/>
              </w:rPr>
              <w:t>Rzecznik Finansowy (médiateur financier), Al. Jerozolimskie 87, 02-001 Warszawa, POLSKA/POLAND</w:t>
            </w:r>
          </w:p>
          <w:p>
            <w:pPr>
              <w:jc w:val="center"/>
              <w:rPr>
                <w:noProof/>
              </w:rPr>
            </w:pPr>
            <w:r>
              <w:rPr>
                <w:noProof/>
              </w:rPr>
              <w:t>Tél. +48 223337326 – Tél. +48 223337327</w:t>
            </w:r>
          </w:p>
        </w:tc>
      </w:tr>
      <w:tr>
        <w:tc>
          <w:tcPr>
            <w:tcW w:w="1448" w:type="dxa"/>
            <w:vAlign w:val="center"/>
          </w:tcPr>
          <w:p>
            <w:pPr>
              <w:jc w:val="center"/>
              <w:rPr>
                <w:noProof/>
              </w:rPr>
            </w:pPr>
            <w:r>
              <w:rPr>
                <w:noProof/>
              </w:rPr>
              <w:t>Roumanie</w:t>
            </w:r>
          </w:p>
        </w:tc>
        <w:tc>
          <w:tcPr>
            <w:tcW w:w="8334" w:type="dxa"/>
            <w:gridSpan w:val="2"/>
            <w:tcBorders>
              <w:top w:val="single" w:sz="4" w:space="0" w:color="auto"/>
              <w:bottom w:val="single" w:sz="4" w:space="0" w:color="auto"/>
            </w:tcBorders>
            <w:vAlign w:val="center"/>
          </w:tcPr>
          <w:p>
            <w:pPr>
              <w:jc w:val="center"/>
              <w:rPr>
                <w:noProof/>
              </w:rPr>
            </w:pPr>
            <w:r>
              <w:rPr>
                <w:noProof/>
              </w:rPr>
              <w:t>Banca Naţională a României (Banque nationale de Roumanie)</w:t>
            </w:r>
          </w:p>
          <w:p>
            <w:pPr>
              <w:jc w:val="center"/>
              <w:rPr>
                <w:noProof/>
              </w:rPr>
            </w:pPr>
            <w:r>
              <w:rPr>
                <w:noProof/>
              </w:rPr>
              <w:t>25 Lipscani Street 3, 030031 Bucureşti, ROMÂNIA</w:t>
            </w:r>
          </w:p>
          <w:p>
            <w:pPr>
              <w:jc w:val="center"/>
              <w:rPr>
                <w:noProof/>
              </w:rPr>
            </w:pPr>
            <w:hyperlink r:id="rId56">
              <w:r>
                <w:rPr>
                  <w:rStyle w:val="Hyperlink"/>
                  <w:noProof/>
                </w:rPr>
                <w:t>info@bnro.ro</w:t>
              </w:r>
            </w:hyperlink>
            <w:r>
              <w:rPr>
                <w:noProof/>
              </w:rPr>
              <w:br/>
              <w:t>Tél. +40 213130410 ou +40 213152750</w:t>
            </w:r>
          </w:p>
        </w:tc>
      </w:tr>
      <w:tr>
        <w:tc>
          <w:tcPr>
            <w:tcW w:w="1448" w:type="dxa"/>
            <w:vAlign w:val="center"/>
          </w:tcPr>
          <w:p>
            <w:pPr>
              <w:jc w:val="center"/>
              <w:rPr>
                <w:noProof/>
              </w:rPr>
            </w:pPr>
            <w:r>
              <w:rPr>
                <w:noProof/>
              </w:rPr>
              <w:t>Suède</w:t>
            </w:r>
          </w:p>
        </w:tc>
        <w:tc>
          <w:tcPr>
            <w:tcW w:w="8334" w:type="dxa"/>
            <w:gridSpan w:val="2"/>
            <w:tcBorders>
              <w:top w:val="single" w:sz="4" w:space="0" w:color="auto"/>
              <w:bottom w:val="single" w:sz="4" w:space="0" w:color="auto"/>
            </w:tcBorders>
            <w:vAlign w:val="center"/>
          </w:tcPr>
          <w:p>
            <w:pPr>
              <w:jc w:val="center"/>
              <w:rPr>
                <w:noProof/>
              </w:rPr>
            </w:pPr>
            <w:r>
              <w:rPr>
                <w:noProof/>
              </w:rPr>
              <w:t>Finansinspektionen (autorité suédoise de surveillance financière)</w:t>
            </w:r>
          </w:p>
          <w:p>
            <w:pPr>
              <w:jc w:val="center"/>
              <w:rPr>
                <w:noProof/>
              </w:rPr>
            </w:pPr>
            <w:r>
              <w:rPr>
                <w:noProof/>
              </w:rPr>
              <w:t>Box 7821</w:t>
            </w:r>
          </w:p>
          <w:p>
            <w:pPr>
              <w:jc w:val="center"/>
              <w:rPr>
                <w:noProof/>
              </w:rPr>
            </w:pPr>
            <w:r>
              <w:rPr>
                <w:noProof/>
              </w:rPr>
              <w:t>SE-103 97 Stockholm, SVERIGE</w:t>
            </w:r>
          </w:p>
          <w:p>
            <w:pPr>
              <w:jc w:val="center"/>
              <w:rPr>
                <w:noProof/>
              </w:rPr>
            </w:pPr>
            <w:r>
              <w:rPr>
                <w:noProof/>
              </w:rPr>
              <w:t xml:space="preserve">Courriel: </w:t>
            </w:r>
            <w:hyperlink r:id="rId57">
              <w:r>
                <w:rPr>
                  <w:rStyle w:val="Hyperlink"/>
                  <w:noProof/>
                </w:rPr>
                <w:t>finansinspektionen@fi.se</w:t>
              </w:r>
            </w:hyperlink>
            <w:r>
              <w:rPr>
                <w:noProof/>
              </w:rPr>
              <w:t xml:space="preserve"> </w:t>
            </w:r>
          </w:p>
        </w:tc>
      </w:tr>
      <w:tr>
        <w:trPr>
          <w:trHeight w:val="240"/>
        </w:trPr>
        <w:tc>
          <w:tcPr>
            <w:tcW w:w="1448" w:type="dxa"/>
            <w:vAlign w:val="center"/>
          </w:tcPr>
          <w:p>
            <w:pPr>
              <w:jc w:val="center"/>
              <w:rPr>
                <w:noProof/>
              </w:rPr>
            </w:pPr>
            <w:r>
              <w:rPr>
                <w:noProof/>
              </w:rPr>
              <w:t>Royaume-Uni</w:t>
            </w:r>
          </w:p>
        </w:tc>
        <w:tc>
          <w:tcPr>
            <w:tcW w:w="4167" w:type="dxa"/>
            <w:tcBorders>
              <w:top w:val="single" w:sz="4" w:space="0" w:color="auto"/>
              <w:bottom w:val="single" w:sz="4" w:space="0" w:color="auto"/>
            </w:tcBorders>
            <w:vAlign w:val="center"/>
          </w:tcPr>
          <w:p>
            <w:pPr>
              <w:jc w:val="center"/>
              <w:rPr>
                <w:noProof/>
              </w:rPr>
            </w:pPr>
            <w:r>
              <w:rPr>
                <w:noProof/>
              </w:rPr>
              <w:t>Financial Conduct Authority (autorité britannique de conduite financière)</w:t>
            </w:r>
          </w:p>
          <w:p>
            <w:pPr>
              <w:jc w:val="center"/>
              <w:rPr>
                <w:noProof/>
                <w:lang w:val="en-GB"/>
              </w:rPr>
            </w:pPr>
            <w:r>
              <w:rPr>
                <w:noProof/>
                <w:lang w:val="en-GB"/>
              </w:rPr>
              <w:t>25 The North Colonnade, London,</w:t>
            </w:r>
          </w:p>
          <w:p>
            <w:pPr>
              <w:jc w:val="center"/>
              <w:rPr>
                <w:noProof/>
                <w:lang w:val="en-GB"/>
              </w:rPr>
            </w:pPr>
            <w:r>
              <w:rPr>
                <w:noProof/>
                <w:lang w:val="en-GB"/>
              </w:rPr>
              <w:t>E14 5HS, UNITED KINGDOM</w:t>
            </w:r>
          </w:p>
        </w:tc>
        <w:tc>
          <w:tcPr>
            <w:tcW w:w="4167" w:type="dxa"/>
            <w:tcBorders>
              <w:top w:val="single" w:sz="4" w:space="0" w:color="auto"/>
              <w:bottom w:val="single" w:sz="4" w:space="0" w:color="auto"/>
            </w:tcBorders>
            <w:vAlign w:val="center"/>
          </w:tcPr>
          <w:p>
            <w:pPr>
              <w:jc w:val="center"/>
              <w:rPr>
                <w:noProof/>
              </w:rPr>
            </w:pPr>
            <w:r>
              <w:rPr>
                <w:noProof/>
              </w:rPr>
              <w:t>Financial Ombudsman Service (service du médiateur financier)</w:t>
            </w:r>
          </w:p>
        </w:tc>
      </w:tr>
    </w:tbl>
    <w:p>
      <w:pPr>
        <w:rPr>
          <w:noProof/>
        </w:rPr>
      </w:pPr>
    </w:p>
    <w:sectPr>
      <w:headerReference w:type="even" r:id="rId58"/>
      <w:headerReference w:type="default" r:id="rId59"/>
      <w:footerReference w:type="even" r:id="rId60"/>
      <w:footerReference w:type="default" r:id="rId61"/>
      <w:headerReference w:type="first" r:id="rId62"/>
      <w:footerReference w:type="first" r:id="rId63"/>
      <w:pgSz w:w="11906" w:h="16838" w:code="9"/>
      <w:pgMar w:top="1021" w:right="1588" w:bottom="1021" w:left="1588" w:header="567" w:footer="454"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pPr>
    <w:r>
      <w:t>Commission européenne/Europese Commissie, 1049 Bruxelles/Brussel, BELGIQUE/BELGIË – Tél. +32 22991111.</w:t>
    </w:r>
    <w:r>
      <w:br/>
      <w:t>Bureau: J-99 01/032 – Tél. ligne directe +32 22968699 – Fax +32 22969839.</w:t>
    </w:r>
  </w:p>
  <w:p>
    <w:pPr>
      <w:pStyle w:val="Footer"/>
    </w:pPr>
  </w:p>
  <w:p>
    <w:pPr>
      <w:pStyle w:val="Footer"/>
      <w:rPr>
        <w:sz w:val="12"/>
        <w:szCs w:val="12"/>
      </w:rPr>
    </w:pPr>
    <w:r>
      <w:t>Alexander.STEIN@ec.europa.eu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La Finanssivalvonta (FIN-FSA) est compétente pour les prestataires de services de paiement et pour les utilisateurs de services de paiement.</w:t>
      </w:r>
    </w:p>
  </w:footnote>
  <w:footnote w:id="2">
    <w:p>
      <w:pPr>
        <w:pStyle w:val="FootnoteText"/>
      </w:pPr>
      <w:r>
        <w:rPr>
          <w:rStyle w:val="FootnoteReference"/>
        </w:rPr>
        <w:footnoteRef/>
      </w:r>
      <w:r>
        <w:t xml:space="preserve"> </w:t>
      </w:r>
      <w:hyperlink r:id="rId1">
        <w:r>
          <w:rPr>
            <w:rStyle w:val="Hyperlink"/>
          </w:rPr>
          <w:t>http://www.bmwi.de/Redaktion/DE/Downloads/I/industrie-und-handelskammern-handwerkskammern-uwg-uklag-liste.pdf;jsessionid=3E4C6ED1BD48A17A825D906F2AF3A35E?__blob=publicationFile&amp;v=2</w:t>
        </w:r>
      </w:hyperlink>
      <w:r>
        <w:t xml:space="preserve"> </w:t>
      </w:r>
    </w:p>
  </w:footnote>
  <w:footnote w:id="3">
    <w:p>
      <w:pPr>
        <w:pStyle w:val="FootnoteText"/>
        <w:ind w:left="0" w:firstLine="0"/>
      </w:pPr>
      <w:r>
        <w:rPr>
          <w:rStyle w:val="FootnoteReference"/>
        </w:rPr>
        <w:footnoteRef/>
      </w:r>
      <w:r>
        <w:t xml:space="preserve"> Les dispositions de l'article 30 de la loi 4141/2013  ne désignent pas expressément d'autorité compétente pour les utilisateurs de services de paiement, qu’il s’agisse de consommateurs ou non.</w:t>
      </w:r>
    </w:p>
  </w:footnote>
  <w:footnote w:id="4">
    <w:p>
      <w:pPr>
        <w:pStyle w:val="FootnoteText"/>
        <w:ind w:left="0" w:firstLine="0"/>
      </w:pPr>
      <w:r>
        <w:rPr>
          <w:rStyle w:val="FootnoteReference"/>
        </w:rPr>
        <w:footnoteRef/>
      </w:r>
      <w:r>
        <w:t xml:space="preserve"> Ces autorités sont coordonnées par l’Agencia Española de Consumo, Seguridad Alimentaria y Nutrición (AECOSAN), Subdirección General de Coordinación, Calidad y Cooperación en Consumo (agence espagnole de la consommation, la sécurité alimentaire et la nutrition, sous-direction générale de la coordination, la qualité et la coopération en matière de consommation) </w:t>
      </w:r>
      <w:hyperlink r:id="rId2">
        <w:r>
          <w:rPr>
            <w:rStyle w:val="Hyperlink"/>
          </w:rPr>
          <w:t>http://www.aecosan.msssi.gob.es/AECOSAN/web/home/aecosan_inicio.htm</w:t>
        </w:r>
      </w:hyperlink>
      <w:r>
        <w:t xml:space="preserve"> </w:t>
      </w:r>
    </w:p>
    <w:p>
      <w:pPr>
        <w:pStyle w:val="FootnoteText"/>
        <w:ind w:left="0" w:firstLine="0"/>
      </w:pPr>
      <w:hyperlink r:id="rId3">
        <w:r>
          <w:rPr>
            <w:rStyle w:val="Hyperlink"/>
          </w:rPr>
          <w:t>http://aesan.msssi.gob.es/SIAC-WEB/contacto.do?reqCode=newSearch</w:t>
        </w:r>
      </w:hyperlink>
      <w:r>
        <w:t xml:space="preserve"> </w:t>
      </w:r>
    </w:p>
  </w:footnote>
  <w:footnote w:id="5">
    <w:p>
      <w:pPr>
        <w:pStyle w:val="FootnoteText"/>
        <w:ind w:left="0" w:firstLine="0"/>
      </w:pPr>
      <w:r>
        <w:rPr>
          <w:rStyle w:val="FootnoteReference"/>
        </w:rPr>
        <w:footnoteRef/>
      </w:r>
      <w:r>
        <w:t xml:space="preserve"> La Banque nationale de Croatie est compétente pour les prestataires de services de paiement et pour les utilisateurs de services de paiement.</w:t>
      </w:r>
    </w:p>
  </w:footnote>
  <w:footnote w:id="6">
    <w:p>
      <w:pPr>
        <w:pStyle w:val="FootnoteText"/>
        <w:ind w:left="0" w:firstLine="0"/>
      </w:pPr>
      <w:r>
        <w:rPr>
          <w:rStyle w:val="FootnoteReference"/>
        </w:rPr>
        <w:footnoteRef/>
      </w:r>
      <w:r>
        <w:t xml:space="preserve"> Bien que deux instances soient indiquées pour les utilisateurs de services de paiement, elles ne sont pas compétentes pour les plaintes contre d’autres utilisateurs de services de paiement qui ne respecteraient pas le règlement (voir le point 2.3 sur la discrimination concernant l’IBAN).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70A4C45C"/>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0"/>
    <w:docVar w:name="LW_CORRIGENDUM" w:val="&lt;UNUSED&gt;"/>
    <w:docVar w:name="LW_COVERPAGE_EXISTS" w:val="True"/>
    <w:docVar w:name="LW_COVERPAGE_GUID" w:val="C14A5287-2AAD-4A89-8AE2-45A9CDDA288E"/>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Bruxelles, le "/>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sur l\u8217?application du règlement (UE) nº 260/2012 établissant des exigences techniques et commerciales pour les virements et les prélèvements en euros et modifiant le règlement (CE) nº 924/2009"/>
    <w:docVar w:name="LW_PART_NBR" w:val="1"/>
    <w:docVar w:name="LW_PART_NBR_TOTAL" w:val="1"/>
    <w:docVar w:name="LW_REF.INST.NEW" w:val="COM"/>
    <w:docVar w:name="LW_REF.INST.NEW_ADOPTED" w:val="final"/>
    <w:docVar w:name="LW_REF.INST.NEW_TEXT" w:val="(2017)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au Parlement européen et au Conseil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0"/>
      <w:outlineLvl w:val="0"/>
    </w:pPr>
    <w:rPr>
      <w:rFonts w:ascii="Times New Roman" w:eastAsia="Times New Roman" w:hAnsi="Times New Roman" w:cs="Times New Roman"/>
      <w:b/>
      <w:smallCaps/>
      <w:sz w:val="24"/>
      <w:szCs w:val="20"/>
    </w:rPr>
  </w:style>
  <w:style w:type="paragraph" w:styleId="Heading3">
    <w:name w:val="heading 3"/>
    <w:basedOn w:val="Normal"/>
    <w:next w:val="Normal"/>
    <w:link w:val="Heading3Char"/>
    <w:qFormat/>
    <w:pPr>
      <w:keepNext/>
      <w:numPr>
        <w:ilvl w:val="2"/>
        <w:numId w:val="1"/>
      </w:numPr>
      <w:spacing w:before="180" w:after="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before="180" w:after="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FR"/>
    </w:rPr>
  </w:style>
  <w:style w:type="paragraph" w:styleId="FootnoteText">
    <w:name w:val="footnote text"/>
    <w:basedOn w:val="Normal"/>
    <w:link w:val="FootnoteTextChar"/>
    <w:uiPriority w:val="99"/>
    <w:qFormat/>
    <w:pPr>
      <w:spacing w:before="20" w:after="0" w:line="240" w:lineRule="auto"/>
      <w:ind w:left="113" w:hanging="113"/>
    </w:pPr>
    <w:rPr>
      <w:rFonts w:ascii="Times New Roman" w:eastAsia="Times New Roman" w:hAnsi="Times New Roman" w:cs="Times New Roman"/>
      <w:sz w:val="18"/>
      <w:szCs w:val="18"/>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18"/>
      <w:szCs w:val="18"/>
      <w:lang w:eastAsia="fr-FR"/>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0"/>
      <w:outlineLvl w:val="0"/>
    </w:pPr>
    <w:rPr>
      <w:rFonts w:ascii="Times New Roman" w:eastAsia="Times New Roman" w:hAnsi="Times New Roman" w:cs="Times New Roman"/>
      <w:b/>
      <w:smallCaps/>
      <w:sz w:val="24"/>
      <w:szCs w:val="20"/>
    </w:rPr>
  </w:style>
  <w:style w:type="paragraph" w:styleId="Heading3">
    <w:name w:val="heading 3"/>
    <w:basedOn w:val="Normal"/>
    <w:next w:val="Normal"/>
    <w:link w:val="Heading3Char"/>
    <w:qFormat/>
    <w:pPr>
      <w:keepNext/>
      <w:numPr>
        <w:ilvl w:val="2"/>
        <w:numId w:val="1"/>
      </w:numPr>
      <w:spacing w:before="180" w:after="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before="180" w:after="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FR"/>
    </w:rPr>
  </w:style>
  <w:style w:type="paragraph" w:styleId="FootnoteText">
    <w:name w:val="footnote text"/>
    <w:basedOn w:val="Normal"/>
    <w:link w:val="FootnoteTextChar"/>
    <w:uiPriority w:val="99"/>
    <w:qFormat/>
    <w:pPr>
      <w:spacing w:before="20" w:after="0" w:line="240" w:lineRule="auto"/>
      <w:ind w:left="113" w:hanging="113"/>
    </w:pPr>
    <w:rPr>
      <w:rFonts w:ascii="Times New Roman" w:eastAsia="Times New Roman" w:hAnsi="Times New Roman" w:cs="Times New Roman"/>
      <w:sz w:val="18"/>
      <w:szCs w:val="18"/>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18"/>
      <w:szCs w:val="18"/>
      <w:lang w:eastAsia="fr-FR"/>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fi.ee/" TargetMode="External"/><Relationship Id="rId26" Type="http://schemas.openxmlformats.org/officeDocument/2006/relationships/hyperlink" Target="mailto:consumerenforcement@ccpc.ie" TargetMode="External"/><Relationship Id="rId39" Type="http://schemas.openxmlformats.org/officeDocument/2006/relationships/hyperlink" Target="mailto:inspection@teleoff.gov.sk" TargetMode="External"/><Relationship Id="rId21" Type="http://schemas.openxmlformats.org/officeDocument/2006/relationships/hyperlink" Target="mailto:poststelle@bafin.de" TargetMode="External"/><Relationship Id="rId34" Type="http://schemas.openxmlformats.org/officeDocument/2006/relationships/hyperlink" Target="http://www.acm.nl/" TargetMode="External"/><Relationship Id="rId42" Type="http://schemas.openxmlformats.org/officeDocument/2006/relationships/hyperlink" Target="http://www.soi.sk/" TargetMode="External"/><Relationship Id="rId47" Type="http://schemas.openxmlformats.org/officeDocument/2006/relationships/hyperlink" Target="mailto:krastev.k@bnbank.org" TargetMode="External"/><Relationship Id="rId50" Type="http://schemas.openxmlformats.org/officeDocument/2006/relationships/hyperlink" Target="mailto:podatelna@cnb.cz" TargetMode="External"/><Relationship Id="rId55" Type="http://schemas.openxmlformats.org/officeDocument/2006/relationships/hyperlink" Target="mailto:wnv@knf.gov.pl"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nbb.be/" TargetMode="External"/><Relationship Id="rId20" Type="http://schemas.openxmlformats.org/officeDocument/2006/relationships/hyperlink" Target="mailto:kirjaamo@fiva.fi" TargetMode="External"/><Relationship Id="rId29" Type="http://schemas.openxmlformats.org/officeDocument/2006/relationships/hyperlink" Target="mailto:fktk@fktk.lv" TargetMode="External"/><Relationship Id="rId41" Type="http://schemas.openxmlformats.org/officeDocument/2006/relationships/hyperlink" Target="http://www.finance.gov.sk/" TargetMode="External"/><Relationship Id="rId54" Type="http://schemas.openxmlformats.org/officeDocument/2006/relationships/hyperlink" Target="mailto:knf@knf.gov.pl" TargetMode="External"/><Relationship Id="rId62"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1520.gov.gr/ypovoli-kataggelias?id=253" TargetMode="External"/><Relationship Id="rId32" Type="http://schemas.openxmlformats.org/officeDocument/2006/relationships/hyperlink" Target="mailto:oversight@centralbankmalta.org" TargetMode="External"/><Relationship Id="rId37" Type="http://schemas.openxmlformats.org/officeDocument/2006/relationships/hyperlink" Target="http://www.nbs.sk/" TargetMode="External"/><Relationship Id="rId40" Type="http://schemas.openxmlformats.org/officeDocument/2006/relationships/hyperlink" Target="http://www.justice.gov.sk/" TargetMode="External"/><Relationship Id="rId45" Type="http://schemas.openxmlformats.org/officeDocument/2006/relationships/hyperlink" Target="http://www.bde.es/" TargetMode="External"/><Relationship Id="rId53" Type="http://schemas.openxmlformats.org/officeDocument/2006/relationships/hyperlink" Target="mailto:info@.mnb.hu" TargetMode="Externa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fma.gv.at/en/complaints-and-points-of-contact/" TargetMode="External"/><Relationship Id="rId23" Type="http://schemas.openxmlformats.org/officeDocument/2006/relationships/hyperlink" Target="http://www.1520.gov.gr/epikoinia" TargetMode="External"/><Relationship Id="rId28" Type="http://schemas.openxmlformats.org/officeDocument/2006/relationships/hyperlink" Target="http://www.agcm.it/" TargetMode="External"/><Relationship Id="rId36" Type="http://schemas.openxmlformats.org/officeDocument/2006/relationships/hyperlink" Target="http://clientebancario.bportugal.pt/pt-PT/Reclamacoes/Paginas/Formulariodenovareclamacao.aspx" TargetMode="External"/><Relationship Id="rId49" Type="http://schemas.openxmlformats.org/officeDocument/2006/relationships/hyperlink" Target="mailto:prituzbe-zpp@hnb.hr" TargetMode="External"/><Relationship Id="rId57" Type="http://schemas.openxmlformats.org/officeDocument/2006/relationships/hyperlink" Target="mailto:finansinspektionen@fi.se" TargetMode="External"/><Relationship Id="rId61"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tarbijakaitseamet.ee/" TargetMode="External"/><Relationship Id="rId31" Type="http://schemas.openxmlformats.org/officeDocument/2006/relationships/hyperlink" Target="mailto:direction@cssf.lu" TargetMode="External"/><Relationship Id="rId44" Type="http://schemas.openxmlformats.org/officeDocument/2006/relationships/hyperlink" Target="mailto:pr@bsi.si" TargetMode="External"/><Relationship Id="rId52" Type="http://schemas.openxmlformats.org/officeDocument/2006/relationships/hyperlink" Target="mailto:ugyfelszolgalat@mnb.hu" TargetMode="Externa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ankofgreece.gr/pages/en/other/communication.aspx" TargetMode="External"/><Relationship Id="rId27" Type="http://schemas.openxmlformats.org/officeDocument/2006/relationships/hyperlink" Target="mailto:email@bancaditalia.it" TargetMode="External"/><Relationship Id="rId30" Type="http://schemas.openxmlformats.org/officeDocument/2006/relationships/hyperlink" Target="http://www.cssf.lu/" TargetMode="External"/><Relationship Id="rId35" Type="http://schemas.openxmlformats.org/officeDocument/2006/relationships/hyperlink" Target="mailto:info@bportugal.pt" TargetMode="External"/><Relationship Id="rId43" Type="http://schemas.openxmlformats.org/officeDocument/2006/relationships/hyperlink" Target="mailto:info@soi.sk" TargetMode="External"/><Relationship Id="rId48" Type="http://schemas.openxmlformats.org/officeDocument/2006/relationships/hyperlink" Target="mailto:info.fi@mfin.hr" TargetMode="External"/><Relationship Id="rId56" Type="http://schemas.openxmlformats.org/officeDocument/2006/relationships/hyperlink" Target="mailto:info@bnro.ro" TargetMode="External"/><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www.cnb.cz/en/about_cnb/form_general_enquiry/general_enquiry.html"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www.economie.fgov.be/" TargetMode="External"/><Relationship Id="rId25" Type="http://schemas.openxmlformats.org/officeDocument/2006/relationships/hyperlink" Target="mailto:enquiries@centraibank.ie" TargetMode="External"/><Relationship Id="rId33" Type="http://schemas.openxmlformats.org/officeDocument/2006/relationships/hyperlink" Target="http://www.dnb.nl/" TargetMode="External"/><Relationship Id="rId38" Type="http://schemas.openxmlformats.org/officeDocument/2006/relationships/hyperlink" Target="mailto:info@nbs.sk" TargetMode="External"/><Relationship Id="rId46" Type="http://schemas.openxmlformats.org/officeDocument/2006/relationships/hyperlink" Target="mailto:paymentsystems@bde.es" TargetMode="External"/><Relationship Id="rId59"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aesan.msssi.gob.es/SIAC-WEB/contacto.do?reqCode=newSearch" TargetMode="External"/><Relationship Id="rId2" Type="http://schemas.openxmlformats.org/officeDocument/2006/relationships/hyperlink" Target="http://www.aecosan.msssi.gob.es/AECOSAN/web/home/aecosan_inicio.htm" TargetMode="External"/><Relationship Id="rId1" Type="http://schemas.openxmlformats.org/officeDocument/2006/relationships/hyperlink" Target="http://www.bmwi.de/Redaktion/DE/Downloads/I/industrie-und-handelskammern-handwerkskammern-uwg-uklag-liste.pdf;jsessionid=3E4C6ED1BD48A17A825D906F2AF3A35E?__blob=publicationFile&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1275</Words>
  <Characters>9413</Characters>
  <Application>Microsoft Office Word</Application>
  <DocSecurity>0</DocSecurity>
  <Lines>376</Lines>
  <Paragraphs>267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ROOCK-DIERICKX Tessa (MARKT)</dc:creator>
  <cp:lastModifiedBy>DIGIT/A3</cp:lastModifiedBy>
  <cp:revision>13</cp:revision>
  <dcterms:created xsi:type="dcterms:W3CDTF">2017-10-10T07:22:00Z</dcterms:created>
  <dcterms:modified xsi:type="dcterms:W3CDTF">2017-11-23T09:17:00Z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ies>
</file>