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3A8A27BE-3729-4E1C-8F41-8AD48C950F5C" style="width:450.5pt;height:33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2"/>
          <w:cols w:space="720"/>
          <w:docGrid w:linePitch="326"/>
        </w:sectPr>
      </w:pPr>
    </w:p>
    <w:p>
      <w:pPr>
        <w:spacing w:before="0"/>
        <w:jc w:val="center"/>
        <w:rPr>
          <w:b/>
          <w:smallCaps/>
          <w:noProof/>
          <w:sz w:val="28"/>
          <w:szCs w:val="28"/>
        </w:rPr>
      </w:pPr>
      <w:bookmarkStart w:id="1" w:name="_GoBack"/>
      <w:bookmarkEnd w:id="1"/>
      <w:r>
        <w:rPr>
          <w:b/>
          <w:smallCaps/>
          <w:noProof/>
          <w:sz w:val="28"/>
          <w:szCs w:val="28"/>
        </w:rPr>
        <w:lastRenderedPageBreak/>
        <w:t>Report to the European Parliament and to the Council</w:t>
      </w:r>
    </w:p>
    <w:p>
      <w:pPr>
        <w:spacing w:before="0"/>
        <w:jc w:val="center"/>
        <w:rPr>
          <w:rFonts w:ascii="Times New Roman Bold" w:hAnsi="Times New Roman Bold"/>
          <w:b/>
          <w:noProof/>
        </w:rPr>
      </w:pPr>
    </w:p>
    <w:p>
      <w:pPr>
        <w:spacing w:before="0"/>
        <w:jc w:val="center"/>
        <w:rPr>
          <w:noProof/>
        </w:rPr>
      </w:pPr>
      <w:r>
        <w:rPr>
          <w:rFonts w:ascii="Times New Roman Bold" w:hAnsi="Times New Roman Bold"/>
          <w:b/>
          <w:noProof/>
        </w:rPr>
        <w:t>on the application of Regulation EU n°260/2012 establishing technical and business requirements for credit transfers and direct debits in euro and amending Regulation (EC) No 924/2009</w:t>
      </w:r>
    </w:p>
    <w:p>
      <w:pPr>
        <w:pStyle w:val="Heading1"/>
        <w:rPr>
          <w:noProof/>
        </w:rPr>
      </w:pPr>
      <w:r>
        <w:rPr>
          <w:noProof/>
        </w:rPr>
        <w:t>Introduction and summary</w:t>
      </w:r>
    </w:p>
    <w:p>
      <w:pPr>
        <w:rPr>
          <w:noProof/>
        </w:rPr>
      </w:pPr>
      <w:bookmarkStart w:id="2" w:name="_Toc415757538"/>
      <w:bookmarkStart w:id="3" w:name="_Toc421107921"/>
      <w:bookmarkStart w:id="4" w:name="_Toc421698629"/>
      <w:bookmarkStart w:id="5" w:name="_Toc421714608"/>
      <w:bookmarkStart w:id="6" w:name="_Toc423970783"/>
      <w:bookmarkStart w:id="7" w:name="_Toc430010962"/>
      <w:bookmarkStart w:id="8" w:name="_Ref414452041"/>
      <w:r>
        <w:rPr>
          <w:noProof/>
        </w:rPr>
        <w:t>Regulation EU n°260/2012</w:t>
      </w:r>
      <w:r>
        <w:rPr>
          <w:rStyle w:val="FootnoteReference"/>
          <w:noProof/>
        </w:rPr>
        <w:footnoteReference w:id="1"/>
      </w:r>
      <w:r>
        <w:rPr>
          <w:noProof/>
        </w:rPr>
        <w:t xml:space="preserve"> establishing technical and business requirements for credit transfers and direct debits in euro and amending Regulation (EC) No 924/2009, also known as </w:t>
      </w:r>
      <w:r>
        <w:rPr>
          <w:i/>
          <w:noProof/>
        </w:rPr>
        <w:t>the Single Euro Payments Area (SEPA) Regulation</w:t>
      </w:r>
      <w:r>
        <w:rPr>
          <w:noProof/>
        </w:rPr>
        <w:t xml:space="preserve"> or </w:t>
      </w:r>
      <w:r>
        <w:rPr>
          <w:i/>
          <w:noProof/>
        </w:rPr>
        <w:t>SEPA end-date Regulation</w:t>
      </w:r>
      <w:r>
        <w:rPr>
          <w:noProof/>
        </w:rPr>
        <w:t xml:space="preserve"> was adopted in 2012 and has been a major step forward in the proper functioning of the internal market through the creation of an integrated market for electronic payments in euro that makes no distinction between national and cross-border payments.</w:t>
      </w:r>
    </w:p>
    <w:p>
      <w:pPr>
        <w:rPr>
          <w:iCs/>
          <w:noProof/>
        </w:rPr>
      </w:pPr>
      <w:r>
        <w:rPr>
          <w:iCs/>
          <w:noProof/>
        </w:rPr>
        <w:t xml:space="preserve">The Regulation imposed 1 February 2014 as an end-date for migration in the euro area. A month before the initial end-date for migration, the end-date was postponed by 6 months until 1 August 2014 to take into account delays in the migration observed in various Member States. This 6-month delay was sufficient to ensure a smooth transition from legacy credit transfers and direct debits in euro to SEPA credit transfers (SCT) and direct debits (SDD). </w:t>
      </w:r>
    </w:p>
    <w:p>
      <w:pPr>
        <w:rPr>
          <w:iCs/>
          <w:noProof/>
        </w:rPr>
      </w:pPr>
      <w:r>
        <w:rPr>
          <w:iCs/>
          <w:noProof/>
        </w:rPr>
        <w:t>Member States that do not belong to the euro area had until 31 October 2016 to migrate to SCT and SDD.</w:t>
      </w:r>
    </w:p>
    <w:p>
      <w:pPr>
        <w:rPr>
          <w:i/>
          <w:iCs/>
          <w:noProof/>
        </w:rPr>
      </w:pPr>
      <w:r>
        <w:rPr>
          <w:noProof/>
        </w:rPr>
        <w:t>In its article 15, the SEPA Regulation mandates the Commission to present a report on the application of the Regulation</w:t>
      </w:r>
      <w:r>
        <w:rPr>
          <w:i/>
          <w:iCs/>
          <w:noProof/>
        </w:rPr>
        <w:t>: "By 1 February 2017, the Commission shall present to the European Parliament, the Council, the European Economic and Social Committee, ECB and EBA a report on the application of this Regulation accompanied, if appropriate, by a proposal."</w:t>
      </w:r>
    </w:p>
    <w:p>
      <w:pPr>
        <w:rPr>
          <w:iCs/>
          <w:noProof/>
        </w:rPr>
      </w:pPr>
      <w:r>
        <w:rPr>
          <w:iCs/>
          <w:noProof/>
        </w:rPr>
        <w:t xml:space="preserve">On 15 December, the European Commission sent a questionnaire to Member States for reply by 31 January 2017 about a series of issues related to the application of the Regulation such as the migration from legacy credit transfers and direct debits to SCT and SDD for each and every Member State, the use of options by Member States, the authorities designated for ensuring compliance with the Regulation and their powers, or the issues that may still be encountered across the EU with regards to the implementation of the Regulation. </w:t>
      </w:r>
    </w:p>
    <w:p>
      <w:pPr>
        <w:rPr>
          <w:iCs/>
          <w:noProof/>
        </w:rPr>
      </w:pPr>
      <w:r>
        <w:rPr>
          <w:iCs/>
          <w:noProof/>
        </w:rPr>
        <w:t>Member States' responses formed the basis for this implementation report.</w:t>
      </w:r>
    </w:p>
    <w:p>
      <w:pPr>
        <w:rPr>
          <w:iCs/>
          <w:noProof/>
        </w:rPr>
      </w:pPr>
      <w:r>
        <w:rPr>
          <w:iCs/>
          <w:noProof/>
        </w:rPr>
        <w:t>The report has also been submitted to and discussed at the EU Forum of national SEPA coordination committees of 21 April 2017, a European Commission expert group in charge of monitoring the implementation of SEPA across the EU.</w:t>
      </w:r>
    </w:p>
    <w:p>
      <w:pPr>
        <w:rPr>
          <w:b/>
          <w:iCs/>
          <w:noProof/>
        </w:rPr>
      </w:pPr>
      <w:r>
        <w:rPr>
          <w:b/>
          <w:iCs/>
          <w:noProof/>
        </w:rPr>
        <w:t xml:space="preserve">This report concludes that, overall, the SEPA Regulation is correctly applied across the EU. There is currently no need for a follow-up legislative proposal. The very few </w:t>
      </w:r>
      <w:r>
        <w:rPr>
          <w:b/>
          <w:iCs/>
          <w:noProof/>
        </w:rPr>
        <w:lastRenderedPageBreak/>
        <w:t xml:space="preserve">and well identified issues (IBAN discrimination and competent authorities competences) that persist have been addressed by Member States and their resolution should be closely monitored. The main issue to be closely observed is the IBAN discrimination by payees (i.e. imposing on payers to pay from an account located in a specific country, which is contrary to article 9 of the Regulation) as the number of cases have decreased but new cases could still appear. </w:t>
      </w:r>
    </w:p>
    <w:p>
      <w:pPr>
        <w:rPr>
          <w:iCs/>
          <w:noProof/>
        </w:rPr>
      </w:pPr>
      <w:r>
        <w:rPr>
          <w:iCs/>
          <w:noProof/>
        </w:rPr>
        <w:t>The SEPA project did not end with the completed migration to the SEPA SCT and SDD standards. It is very much alive through initiatives that participate in building the Single Euro Payments Area such as 'SCT inst' - a European project for instant payments in euro that will be launched in November 2017 - or the Mobile Proxy Forum - an initiative aiming at interoperating peer-to-peer mobile payments solutions across the EU, projects supported by the Euro Retail Payments Board, chaired by the European Central Bank and where the European Commission sits as an observer.</w:t>
      </w:r>
    </w:p>
    <w:p>
      <w:pPr>
        <w:pStyle w:val="Heading1"/>
        <w:rPr>
          <w:noProof/>
        </w:rPr>
      </w:pPr>
      <w:r>
        <w:rPr>
          <w:noProof/>
        </w:rPr>
        <w:t xml:space="preserve">Member States’ reporting </w:t>
      </w:r>
    </w:p>
    <w:bookmarkEnd w:id="2"/>
    <w:bookmarkEnd w:id="3"/>
    <w:bookmarkEnd w:id="4"/>
    <w:bookmarkEnd w:id="5"/>
    <w:bookmarkEnd w:id="6"/>
    <w:bookmarkEnd w:id="7"/>
    <w:p>
      <w:pPr>
        <w:pStyle w:val="Heading1"/>
        <w:numPr>
          <w:ilvl w:val="1"/>
          <w:numId w:val="3"/>
        </w:numPr>
        <w:rPr>
          <w:noProof/>
        </w:rPr>
      </w:pPr>
      <w:r>
        <w:rPr>
          <w:noProof/>
        </w:rPr>
        <w:t>Migration to SEPA Credit Transfers and SEPA Direct Debits</w:t>
      </w:r>
    </w:p>
    <w:bookmarkEnd w:id="8"/>
    <w:p>
      <w:pPr>
        <w:rPr>
          <w:noProof/>
        </w:rPr>
      </w:pPr>
      <w:r>
        <w:rPr>
          <w:noProof/>
        </w:rPr>
        <w:t>The figures below were communicated by Member States and reflect the state of play as of December 2016 regarding the use of SEPA instruments instead of legacy credit transfers and direct debits that were in use before. The figures show that, across the EU, nearly all credit transfers and direct debits in euro are now processed in compliance with the SCT and SDD standards (Tables 1 and 2). Some further efforts are to be done to reach full compliance in few non-euro area Member States for which the deadline for migration was 31 October 2016.</w:t>
      </w:r>
    </w:p>
    <w:p>
      <w:pPr>
        <w:rPr>
          <w:noProof/>
        </w:rPr>
      </w:pPr>
      <w:r>
        <w:rPr>
          <w:noProof/>
        </w:rPr>
        <w:t xml:space="preserve">With respect to SDD, some Member States decided to discontinue legacy direct debits and opt for solutions combining SEPA Credit Transfers and e-invoicing. In those cases, SEPA Direct Debits can still be offered by payment services providers within the country but will rather find a use in cross-border transactions and not national transactions anymore, mainly to serve companies that would need them in their cross-border activities. These countries are all marked "not applicable - N/A" in table 2, 5 and 6 even though there may be a very limited use of SDDs. </w:t>
      </w:r>
    </w:p>
    <w:p>
      <w:pPr>
        <w:spacing w:before="0" w:line="240" w:lineRule="auto"/>
        <w:jc w:val="left"/>
        <w:rPr>
          <w:b/>
          <w:noProof/>
          <w:u w:val="single"/>
        </w:rPr>
      </w:pPr>
    </w:p>
    <w:p>
      <w:pPr>
        <w:spacing w:before="0" w:line="240" w:lineRule="auto"/>
        <w:jc w:val="left"/>
        <w:rPr>
          <w:b/>
          <w:noProof/>
          <w:u w:val="single"/>
        </w:rPr>
      </w:pPr>
      <w:r>
        <w:rPr>
          <w:b/>
          <w:noProof/>
          <w:u w:val="single"/>
        </w:rPr>
        <w:br w:type="page"/>
      </w:r>
    </w:p>
    <w:p>
      <w:pPr>
        <w:rPr>
          <w:noProof/>
        </w:rPr>
      </w:pPr>
      <w:r>
        <w:rPr>
          <w:b/>
          <w:noProof/>
          <w:u w:val="single"/>
        </w:rPr>
        <w:t>Table 1</w:t>
      </w:r>
      <w:r>
        <w:rPr>
          <w:b/>
          <w:noProof/>
        </w:rPr>
        <w:t>:</w:t>
      </w:r>
      <w:r>
        <w:rPr>
          <w:noProof/>
        </w:rPr>
        <w:t xml:space="preserve"> SCT migration rates communicated by Member States as of end 2016 </w:t>
      </w:r>
    </w:p>
    <w:tbl>
      <w:tblPr>
        <w:tblStyle w:val="TableGrid"/>
        <w:tblW w:w="0" w:type="auto"/>
        <w:tblInd w:w="392" w:type="dxa"/>
        <w:tblLook w:val="04A0" w:firstRow="1" w:lastRow="0" w:firstColumn="1" w:lastColumn="0" w:noHBand="0" w:noVBand="1"/>
      </w:tblPr>
      <w:tblGrid>
        <w:gridCol w:w="1544"/>
        <w:gridCol w:w="1894"/>
        <w:gridCol w:w="956"/>
        <w:gridCol w:w="1566"/>
        <w:gridCol w:w="1894"/>
      </w:tblGrid>
      <w:tr>
        <w:trPr>
          <w:trHeight w:val="227"/>
        </w:trPr>
        <w:tc>
          <w:tcPr>
            <w:tcW w:w="0" w:type="auto"/>
            <w:vAlign w:val="center"/>
          </w:tcPr>
          <w:p>
            <w:pPr>
              <w:spacing w:before="0"/>
              <w:jc w:val="center"/>
              <w:rPr>
                <w:b/>
                <w:noProof/>
                <w:sz w:val="20"/>
              </w:rPr>
            </w:pPr>
            <w:r>
              <w:rPr>
                <w:b/>
                <w:noProof/>
                <w:sz w:val="20"/>
              </w:rPr>
              <w:t>Euro area</w:t>
            </w:r>
          </w:p>
        </w:tc>
        <w:tc>
          <w:tcPr>
            <w:tcW w:w="0" w:type="auto"/>
            <w:vAlign w:val="center"/>
          </w:tcPr>
          <w:p>
            <w:pPr>
              <w:spacing w:before="0"/>
              <w:jc w:val="center"/>
              <w:rPr>
                <w:b/>
                <w:noProof/>
                <w:sz w:val="20"/>
              </w:rPr>
            </w:pPr>
            <w:r>
              <w:rPr>
                <w:b/>
                <w:noProof/>
                <w:sz w:val="20"/>
              </w:rPr>
              <w:t>SCT migration rate</w:t>
            </w:r>
          </w:p>
        </w:tc>
        <w:tc>
          <w:tcPr>
            <w:tcW w:w="956" w:type="dxa"/>
            <w:tcBorders>
              <w:top w:val="nil"/>
              <w:bottom w:val="nil"/>
            </w:tcBorders>
            <w:vAlign w:val="center"/>
          </w:tcPr>
          <w:p>
            <w:pPr>
              <w:spacing w:before="0"/>
              <w:jc w:val="center"/>
              <w:rPr>
                <w:b/>
                <w:noProof/>
              </w:rPr>
            </w:pPr>
          </w:p>
        </w:tc>
        <w:tc>
          <w:tcPr>
            <w:tcW w:w="0" w:type="auto"/>
            <w:vAlign w:val="center"/>
          </w:tcPr>
          <w:p>
            <w:pPr>
              <w:spacing w:before="0"/>
              <w:jc w:val="center"/>
              <w:rPr>
                <w:b/>
                <w:noProof/>
                <w:sz w:val="20"/>
              </w:rPr>
            </w:pPr>
            <w:r>
              <w:rPr>
                <w:b/>
                <w:noProof/>
                <w:sz w:val="20"/>
              </w:rPr>
              <w:t>Non Euro area</w:t>
            </w:r>
          </w:p>
        </w:tc>
        <w:tc>
          <w:tcPr>
            <w:tcW w:w="0" w:type="auto"/>
            <w:vAlign w:val="center"/>
          </w:tcPr>
          <w:p>
            <w:pPr>
              <w:spacing w:before="0"/>
              <w:jc w:val="center"/>
              <w:rPr>
                <w:b/>
                <w:noProof/>
                <w:sz w:val="20"/>
              </w:rPr>
            </w:pPr>
            <w:r>
              <w:rPr>
                <w:b/>
                <w:noProof/>
                <w:sz w:val="20"/>
              </w:rPr>
              <w:t>SCT migration rate</w:t>
            </w:r>
          </w:p>
        </w:tc>
      </w:tr>
      <w:tr>
        <w:trPr>
          <w:trHeight w:val="227"/>
        </w:trPr>
        <w:tc>
          <w:tcPr>
            <w:tcW w:w="0" w:type="auto"/>
            <w:vAlign w:val="center"/>
          </w:tcPr>
          <w:p>
            <w:pPr>
              <w:spacing w:before="0"/>
              <w:jc w:val="center"/>
              <w:rPr>
                <w:noProof/>
                <w:sz w:val="20"/>
              </w:rPr>
            </w:pPr>
            <w:r>
              <w:rPr>
                <w:noProof/>
                <w:sz w:val="20"/>
              </w:rPr>
              <w:t>Austria</w:t>
            </w:r>
          </w:p>
        </w:tc>
        <w:tc>
          <w:tcPr>
            <w:tcW w:w="0" w:type="auto"/>
            <w:vAlign w:val="center"/>
          </w:tcPr>
          <w:p>
            <w:pPr>
              <w:spacing w:before="0"/>
              <w:jc w:val="center"/>
              <w:rPr>
                <w:noProof/>
                <w:sz w:val="20"/>
              </w:rPr>
            </w:pPr>
            <w:r>
              <w:rPr>
                <w:noProof/>
                <w:sz w:val="20"/>
              </w:rPr>
              <w:t>100%</w:t>
            </w:r>
          </w:p>
        </w:tc>
        <w:tc>
          <w:tcPr>
            <w:tcW w:w="956"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Bulgaria</w:t>
            </w:r>
          </w:p>
        </w:tc>
        <w:tc>
          <w:tcPr>
            <w:tcW w:w="0" w:type="auto"/>
            <w:vAlign w:val="center"/>
          </w:tcPr>
          <w:p>
            <w:pPr>
              <w:spacing w:before="0"/>
              <w:jc w:val="center"/>
              <w:rPr>
                <w:noProof/>
                <w:sz w:val="20"/>
              </w:rPr>
            </w:pPr>
            <w:r>
              <w:rPr>
                <w:noProof/>
                <w:sz w:val="20"/>
              </w:rPr>
              <w:t>64%</w:t>
            </w:r>
            <w:r>
              <w:rPr>
                <w:rStyle w:val="FootnoteReference"/>
                <w:noProof/>
                <w:sz w:val="20"/>
              </w:rPr>
              <w:footnoteReference w:id="2"/>
            </w:r>
          </w:p>
        </w:tc>
      </w:tr>
      <w:tr>
        <w:trPr>
          <w:trHeight w:val="227"/>
        </w:trPr>
        <w:tc>
          <w:tcPr>
            <w:tcW w:w="0" w:type="auto"/>
            <w:vAlign w:val="center"/>
          </w:tcPr>
          <w:p>
            <w:pPr>
              <w:spacing w:before="0"/>
              <w:jc w:val="center"/>
              <w:rPr>
                <w:noProof/>
                <w:sz w:val="20"/>
              </w:rPr>
            </w:pPr>
            <w:r>
              <w:rPr>
                <w:noProof/>
                <w:sz w:val="20"/>
              </w:rPr>
              <w:t>Belgium</w:t>
            </w:r>
          </w:p>
        </w:tc>
        <w:tc>
          <w:tcPr>
            <w:tcW w:w="0" w:type="auto"/>
            <w:vAlign w:val="center"/>
          </w:tcPr>
          <w:p>
            <w:pPr>
              <w:spacing w:before="0"/>
              <w:jc w:val="center"/>
              <w:rPr>
                <w:noProof/>
                <w:sz w:val="20"/>
              </w:rPr>
            </w:pPr>
            <w:r>
              <w:rPr>
                <w:noProof/>
                <w:sz w:val="20"/>
              </w:rPr>
              <w:t>100%</w:t>
            </w:r>
          </w:p>
        </w:tc>
        <w:tc>
          <w:tcPr>
            <w:tcW w:w="956"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Croatia</w:t>
            </w:r>
          </w:p>
        </w:tc>
        <w:tc>
          <w:tcPr>
            <w:tcW w:w="0" w:type="auto"/>
            <w:vAlign w:val="center"/>
          </w:tcPr>
          <w:p>
            <w:pPr>
              <w:spacing w:before="0"/>
              <w:jc w:val="center"/>
              <w:rPr>
                <w:noProof/>
                <w:sz w:val="20"/>
              </w:rPr>
            </w:pPr>
            <w:r>
              <w:rPr>
                <w:noProof/>
                <w:sz w:val="20"/>
              </w:rPr>
              <w:t>100%</w:t>
            </w:r>
          </w:p>
        </w:tc>
      </w:tr>
      <w:tr>
        <w:trPr>
          <w:trHeight w:val="227"/>
        </w:trPr>
        <w:tc>
          <w:tcPr>
            <w:tcW w:w="0" w:type="auto"/>
            <w:vAlign w:val="center"/>
          </w:tcPr>
          <w:p>
            <w:pPr>
              <w:spacing w:before="0"/>
              <w:jc w:val="center"/>
              <w:rPr>
                <w:noProof/>
                <w:sz w:val="20"/>
              </w:rPr>
            </w:pPr>
            <w:r>
              <w:rPr>
                <w:noProof/>
                <w:sz w:val="20"/>
              </w:rPr>
              <w:t>Cyprus</w:t>
            </w:r>
          </w:p>
        </w:tc>
        <w:tc>
          <w:tcPr>
            <w:tcW w:w="0" w:type="auto"/>
            <w:vAlign w:val="center"/>
          </w:tcPr>
          <w:p>
            <w:pPr>
              <w:spacing w:before="0"/>
              <w:jc w:val="center"/>
              <w:rPr>
                <w:noProof/>
                <w:sz w:val="20"/>
              </w:rPr>
            </w:pPr>
            <w:r>
              <w:rPr>
                <w:noProof/>
                <w:sz w:val="20"/>
              </w:rPr>
              <w:t>100%</w:t>
            </w:r>
          </w:p>
        </w:tc>
        <w:tc>
          <w:tcPr>
            <w:tcW w:w="956"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Czech Republic</w:t>
            </w:r>
          </w:p>
        </w:tc>
        <w:tc>
          <w:tcPr>
            <w:tcW w:w="0" w:type="auto"/>
            <w:vAlign w:val="center"/>
          </w:tcPr>
          <w:p>
            <w:pPr>
              <w:spacing w:before="0"/>
              <w:jc w:val="center"/>
              <w:rPr>
                <w:noProof/>
                <w:sz w:val="20"/>
              </w:rPr>
            </w:pPr>
            <w:r>
              <w:rPr>
                <w:noProof/>
                <w:sz w:val="20"/>
              </w:rPr>
              <w:t>100%</w:t>
            </w:r>
          </w:p>
        </w:tc>
      </w:tr>
      <w:tr>
        <w:trPr>
          <w:trHeight w:val="227"/>
        </w:trPr>
        <w:tc>
          <w:tcPr>
            <w:tcW w:w="0" w:type="auto"/>
            <w:vAlign w:val="center"/>
          </w:tcPr>
          <w:p>
            <w:pPr>
              <w:spacing w:before="0"/>
              <w:jc w:val="center"/>
              <w:rPr>
                <w:noProof/>
                <w:sz w:val="20"/>
              </w:rPr>
            </w:pPr>
            <w:r>
              <w:rPr>
                <w:noProof/>
                <w:sz w:val="20"/>
              </w:rPr>
              <w:t>Estonia</w:t>
            </w:r>
          </w:p>
        </w:tc>
        <w:tc>
          <w:tcPr>
            <w:tcW w:w="0" w:type="auto"/>
            <w:vAlign w:val="center"/>
          </w:tcPr>
          <w:p>
            <w:pPr>
              <w:spacing w:before="0"/>
              <w:jc w:val="center"/>
              <w:rPr>
                <w:noProof/>
                <w:sz w:val="20"/>
              </w:rPr>
            </w:pPr>
            <w:r>
              <w:rPr>
                <w:noProof/>
                <w:sz w:val="20"/>
              </w:rPr>
              <w:t>100%</w:t>
            </w:r>
          </w:p>
        </w:tc>
        <w:tc>
          <w:tcPr>
            <w:tcW w:w="956"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Denmark</w:t>
            </w:r>
          </w:p>
        </w:tc>
        <w:tc>
          <w:tcPr>
            <w:tcW w:w="0" w:type="auto"/>
            <w:vAlign w:val="center"/>
          </w:tcPr>
          <w:p>
            <w:pPr>
              <w:spacing w:before="0"/>
              <w:jc w:val="center"/>
              <w:rPr>
                <w:noProof/>
                <w:sz w:val="20"/>
              </w:rPr>
            </w:pPr>
            <w:r>
              <w:rPr>
                <w:noProof/>
                <w:sz w:val="20"/>
              </w:rPr>
              <w:t>100%</w:t>
            </w:r>
          </w:p>
        </w:tc>
      </w:tr>
      <w:tr>
        <w:trPr>
          <w:trHeight w:val="227"/>
        </w:trPr>
        <w:tc>
          <w:tcPr>
            <w:tcW w:w="0" w:type="auto"/>
            <w:vAlign w:val="center"/>
          </w:tcPr>
          <w:p>
            <w:pPr>
              <w:spacing w:before="0"/>
              <w:jc w:val="center"/>
              <w:rPr>
                <w:noProof/>
                <w:sz w:val="20"/>
              </w:rPr>
            </w:pPr>
            <w:r>
              <w:rPr>
                <w:noProof/>
                <w:sz w:val="20"/>
              </w:rPr>
              <w:t>Finland</w:t>
            </w:r>
          </w:p>
        </w:tc>
        <w:tc>
          <w:tcPr>
            <w:tcW w:w="0" w:type="auto"/>
            <w:vAlign w:val="center"/>
          </w:tcPr>
          <w:p>
            <w:pPr>
              <w:spacing w:before="0"/>
              <w:jc w:val="center"/>
              <w:rPr>
                <w:noProof/>
                <w:sz w:val="20"/>
              </w:rPr>
            </w:pPr>
            <w:r>
              <w:rPr>
                <w:noProof/>
                <w:sz w:val="20"/>
              </w:rPr>
              <w:t>100%</w:t>
            </w:r>
          </w:p>
        </w:tc>
        <w:tc>
          <w:tcPr>
            <w:tcW w:w="956"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Hungary</w:t>
            </w:r>
          </w:p>
        </w:tc>
        <w:tc>
          <w:tcPr>
            <w:tcW w:w="0" w:type="auto"/>
            <w:vAlign w:val="center"/>
          </w:tcPr>
          <w:p>
            <w:pPr>
              <w:spacing w:before="0"/>
              <w:jc w:val="center"/>
              <w:rPr>
                <w:noProof/>
                <w:sz w:val="20"/>
              </w:rPr>
            </w:pPr>
            <w:r>
              <w:rPr>
                <w:noProof/>
                <w:sz w:val="20"/>
              </w:rPr>
              <w:t>100%</w:t>
            </w:r>
          </w:p>
        </w:tc>
      </w:tr>
      <w:tr>
        <w:trPr>
          <w:trHeight w:val="227"/>
        </w:trPr>
        <w:tc>
          <w:tcPr>
            <w:tcW w:w="0" w:type="auto"/>
            <w:vAlign w:val="center"/>
          </w:tcPr>
          <w:p>
            <w:pPr>
              <w:spacing w:before="0"/>
              <w:jc w:val="center"/>
              <w:rPr>
                <w:noProof/>
                <w:sz w:val="20"/>
              </w:rPr>
            </w:pPr>
            <w:r>
              <w:rPr>
                <w:noProof/>
                <w:sz w:val="20"/>
              </w:rPr>
              <w:t>France</w:t>
            </w:r>
          </w:p>
        </w:tc>
        <w:tc>
          <w:tcPr>
            <w:tcW w:w="0" w:type="auto"/>
            <w:vAlign w:val="center"/>
          </w:tcPr>
          <w:p>
            <w:pPr>
              <w:spacing w:before="0"/>
              <w:jc w:val="center"/>
              <w:rPr>
                <w:noProof/>
                <w:sz w:val="20"/>
              </w:rPr>
            </w:pPr>
            <w:r>
              <w:rPr>
                <w:noProof/>
                <w:sz w:val="20"/>
              </w:rPr>
              <w:t>100%</w:t>
            </w:r>
          </w:p>
        </w:tc>
        <w:tc>
          <w:tcPr>
            <w:tcW w:w="956"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Poland</w:t>
            </w:r>
          </w:p>
        </w:tc>
        <w:tc>
          <w:tcPr>
            <w:tcW w:w="0" w:type="auto"/>
            <w:vAlign w:val="center"/>
          </w:tcPr>
          <w:p>
            <w:pPr>
              <w:spacing w:before="0"/>
              <w:jc w:val="center"/>
              <w:rPr>
                <w:noProof/>
                <w:sz w:val="20"/>
              </w:rPr>
            </w:pPr>
            <w:r>
              <w:rPr>
                <w:noProof/>
                <w:sz w:val="20"/>
              </w:rPr>
              <w:t>100%</w:t>
            </w:r>
          </w:p>
        </w:tc>
      </w:tr>
      <w:tr>
        <w:trPr>
          <w:trHeight w:val="227"/>
        </w:trPr>
        <w:tc>
          <w:tcPr>
            <w:tcW w:w="0" w:type="auto"/>
            <w:vAlign w:val="center"/>
          </w:tcPr>
          <w:p>
            <w:pPr>
              <w:spacing w:before="0"/>
              <w:jc w:val="center"/>
              <w:rPr>
                <w:noProof/>
                <w:sz w:val="20"/>
              </w:rPr>
            </w:pPr>
            <w:r>
              <w:rPr>
                <w:noProof/>
                <w:sz w:val="20"/>
              </w:rPr>
              <w:t>Germany</w:t>
            </w:r>
          </w:p>
        </w:tc>
        <w:tc>
          <w:tcPr>
            <w:tcW w:w="0" w:type="auto"/>
            <w:vAlign w:val="center"/>
          </w:tcPr>
          <w:p>
            <w:pPr>
              <w:spacing w:before="0"/>
              <w:jc w:val="center"/>
              <w:rPr>
                <w:noProof/>
                <w:sz w:val="20"/>
              </w:rPr>
            </w:pPr>
            <w:r>
              <w:rPr>
                <w:noProof/>
                <w:sz w:val="20"/>
              </w:rPr>
              <w:t>100%</w:t>
            </w:r>
          </w:p>
        </w:tc>
        <w:tc>
          <w:tcPr>
            <w:tcW w:w="956"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Romania</w:t>
            </w:r>
          </w:p>
        </w:tc>
        <w:tc>
          <w:tcPr>
            <w:tcW w:w="0" w:type="auto"/>
            <w:vAlign w:val="center"/>
          </w:tcPr>
          <w:p>
            <w:pPr>
              <w:spacing w:before="0"/>
              <w:jc w:val="center"/>
              <w:rPr>
                <w:noProof/>
                <w:sz w:val="20"/>
              </w:rPr>
            </w:pPr>
            <w:r>
              <w:rPr>
                <w:noProof/>
                <w:sz w:val="20"/>
              </w:rPr>
              <w:t>Partially compliant</w:t>
            </w:r>
            <w:r>
              <w:rPr>
                <w:rStyle w:val="FootnoteReference"/>
                <w:noProof/>
                <w:sz w:val="20"/>
              </w:rPr>
              <w:footnoteReference w:id="3"/>
            </w:r>
          </w:p>
        </w:tc>
      </w:tr>
      <w:tr>
        <w:trPr>
          <w:trHeight w:val="227"/>
        </w:trPr>
        <w:tc>
          <w:tcPr>
            <w:tcW w:w="0" w:type="auto"/>
            <w:vAlign w:val="center"/>
          </w:tcPr>
          <w:p>
            <w:pPr>
              <w:spacing w:before="0"/>
              <w:jc w:val="center"/>
              <w:rPr>
                <w:noProof/>
                <w:sz w:val="20"/>
              </w:rPr>
            </w:pPr>
            <w:r>
              <w:rPr>
                <w:noProof/>
                <w:sz w:val="20"/>
              </w:rPr>
              <w:t>Greece</w:t>
            </w:r>
          </w:p>
        </w:tc>
        <w:tc>
          <w:tcPr>
            <w:tcW w:w="0" w:type="auto"/>
            <w:vAlign w:val="center"/>
          </w:tcPr>
          <w:p>
            <w:pPr>
              <w:spacing w:before="0"/>
              <w:jc w:val="center"/>
              <w:rPr>
                <w:noProof/>
                <w:sz w:val="20"/>
              </w:rPr>
            </w:pPr>
            <w:r>
              <w:rPr>
                <w:noProof/>
                <w:sz w:val="20"/>
              </w:rPr>
              <w:t>100%</w:t>
            </w:r>
          </w:p>
        </w:tc>
        <w:tc>
          <w:tcPr>
            <w:tcW w:w="956" w:type="dxa"/>
            <w:tcBorders>
              <w:top w:val="nil"/>
              <w:bottom w:val="nil"/>
            </w:tcBorders>
            <w:vAlign w:val="center"/>
          </w:tcPr>
          <w:p>
            <w:pPr>
              <w:spacing w:before="0"/>
              <w:jc w:val="center"/>
              <w:rPr>
                <w:noProof/>
              </w:rPr>
            </w:pPr>
          </w:p>
        </w:tc>
        <w:tc>
          <w:tcPr>
            <w:tcW w:w="0" w:type="auto"/>
            <w:tcBorders>
              <w:bottom w:val="single" w:sz="4" w:space="0" w:color="auto"/>
            </w:tcBorders>
            <w:vAlign w:val="center"/>
          </w:tcPr>
          <w:p>
            <w:pPr>
              <w:spacing w:before="0"/>
              <w:jc w:val="center"/>
              <w:rPr>
                <w:noProof/>
                <w:sz w:val="20"/>
              </w:rPr>
            </w:pPr>
            <w:r>
              <w:rPr>
                <w:noProof/>
                <w:sz w:val="20"/>
              </w:rPr>
              <w:t>Sweden</w:t>
            </w:r>
          </w:p>
        </w:tc>
        <w:tc>
          <w:tcPr>
            <w:tcW w:w="0" w:type="auto"/>
            <w:tcBorders>
              <w:bottom w:val="single" w:sz="4" w:space="0" w:color="auto"/>
            </w:tcBorders>
            <w:vAlign w:val="center"/>
          </w:tcPr>
          <w:p>
            <w:pPr>
              <w:spacing w:before="0"/>
              <w:jc w:val="center"/>
              <w:rPr>
                <w:noProof/>
                <w:sz w:val="20"/>
              </w:rPr>
            </w:pPr>
            <w:r>
              <w:rPr>
                <w:noProof/>
                <w:sz w:val="20"/>
              </w:rPr>
              <w:t>100%</w:t>
            </w:r>
          </w:p>
        </w:tc>
      </w:tr>
      <w:tr>
        <w:trPr>
          <w:trHeight w:val="227"/>
        </w:trPr>
        <w:tc>
          <w:tcPr>
            <w:tcW w:w="0" w:type="auto"/>
            <w:vAlign w:val="center"/>
          </w:tcPr>
          <w:p>
            <w:pPr>
              <w:spacing w:before="0"/>
              <w:jc w:val="center"/>
              <w:rPr>
                <w:noProof/>
                <w:sz w:val="20"/>
              </w:rPr>
            </w:pPr>
            <w:r>
              <w:rPr>
                <w:noProof/>
                <w:sz w:val="20"/>
              </w:rPr>
              <w:t>Ireland</w:t>
            </w:r>
          </w:p>
        </w:tc>
        <w:tc>
          <w:tcPr>
            <w:tcW w:w="0" w:type="auto"/>
            <w:vAlign w:val="center"/>
          </w:tcPr>
          <w:p>
            <w:pPr>
              <w:spacing w:before="0"/>
              <w:jc w:val="center"/>
              <w:rPr>
                <w:noProof/>
                <w:sz w:val="20"/>
              </w:rPr>
            </w:pPr>
            <w:r>
              <w:rPr>
                <w:noProof/>
                <w:sz w:val="20"/>
              </w:rPr>
              <w:t>100%</w:t>
            </w:r>
          </w:p>
        </w:tc>
        <w:tc>
          <w:tcPr>
            <w:tcW w:w="956" w:type="dxa"/>
            <w:tcBorders>
              <w:top w:val="nil"/>
              <w:bottom w:val="nil"/>
            </w:tcBorders>
            <w:vAlign w:val="center"/>
          </w:tcPr>
          <w:p>
            <w:pPr>
              <w:spacing w:before="0"/>
              <w:jc w:val="center"/>
              <w:rPr>
                <w:noProof/>
              </w:rPr>
            </w:pPr>
          </w:p>
        </w:tc>
        <w:tc>
          <w:tcPr>
            <w:tcW w:w="0" w:type="auto"/>
            <w:tcBorders>
              <w:bottom w:val="single" w:sz="4" w:space="0" w:color="auto"/>
            </w:tcBorders>
            <w:vAlign w:val="center"/>
          </w:tcPr>
          <w:p>
            <w:pPr>
              <w:spacing w:before="0"/>
              <w:jc w:val="center"/>
              <w:rPr>
                <w:noProof/>
                <w:sz w:val="20"/>
              </w:rPr>
            </w:pPr>
            <w:r>
              <w:rPr>
                <w:noProof/>
                <w:sz w:val="20"/>
              </w:rPr>
              <w:t>United Kingdom</w:t>
            </w:r>
          </w:p>
        </w:tc>
        <w:tc>
          <w:tcPr>
            <w:tcW w:w="0" w:type="auto"/>
            <w:tcBorders>
              <w:bottom w:val="single" w:sz="4" w:space="0" w:color="auto"/>
            </w:tcBorders>
            <w:vAlign w:val="center"/>
          </w:tcPr>
          <w:p>
            <w:pPr>
              <w:spacing w:before="0"/>
              <w:jc w:val="center"/>
              <w:rPr>
                <w:noProof/>
                <w:sz w:val="20"/>
              </w:rPr>
            </w:pPr>
            <w:r>
              <w:rPr>
                <w:noProof/>
                <w:sz w:val="20"/>
              </w:rPr>
              <w:t>100%</w:t>
            </w:r>
          </w:p>
        </w:tc>
      </w:tr>
      <w:tr>
        <w:trPr>
          <w:trHeight w:val="227"/>
        </w:trPr>
        <w:tc>
          <w:tcPr>
            <w:tcW w:w="0" w:type="auto"/>
            <w:vAlign w:val="center"/>
          </w:tcPr>
          <w:p>
            <w:pPr>
              <w:spacing w:before="0"/>
              <w:jc w:val="center"/>
              <w:rPr>
                <w:noProof/>
                <w:sz w:val="20"/>
              </w:rPr>
            </w:pPr>
            <w:r>
              <w:rPr>
                <w:noProof/>
                <w:sz w:val="20"/>
              </w:rPr>
              <w:t>Italy</w:t>
            </w:r>
          </w:p>
        </w:tc>
        <w:tc>
          <w:tcPr>
            <w:tcW w:w="0" w:type="auto"/>
            <w:vAlign w:val="center"/>
          </w:tcPr>
          <w:p>
            <w:pPr>
              <w:spacing w:before="0"/>
              <w:jc w:val="center"/>
              <w:rPr>
                <w:noProof/>
                <w:sz w:val="20"/>
              </w:rPr>
            </w:pPr>
            <w:r>
              <w:rPr>
                <w:noProof/>
                <w:sz w:val="20"/>
              </w:rPr>
              <w:t>100%</w:t>
            </w:r>
          </w:p>
        </w:tc>
        <w:tc>
          <w:tcPr>
            <w:tcW w:w="956" w:type="dxa"/>
            <w:tcBorders>
              <w:top w:val="nil"/>
              <w:bottom w:val="nil"/>
              <w:right w:val="nil"/>
            </w:tcBorders>
            <w:vAlign w:val="center"/>
          </w:tcPr>
          <w:p>
            <w:pPr>
              <w:spacing w:before="0"/>
              <w:jc w:val="center"/>
              <w:rPr>
                <w:noProof/>
              </w:rPr>
            </w:pPr>
          </w:p>
        </w:tc>
        <w:tc>
          <w:tcPr>
            <w:tcW w:w="0" w:type="auto"/>
            <w:tcBorders>
              <w:top w:val="single" w:sz="4" w:space="0" w:color="auto"/>
              <w:left w:val="nil"/>
              <w:bottom w:val="nil"/>
              <w:right w:val="nil"/>
            </w:tcBorders>
            <w:vAlign w:val="center"/>
          </w:tcPr>
          <w:p>
            <w:pPr>
              <w:spacing w:before="0"/>
              <w:jc w:val="center"/>
              <w:rPr>
                <w:noProof/>
                <w:sz w:val="20"/>
              </w:rPr>
            </w:pPr>
          </w:p>
        </w:tc>
        <w:tc>
          <w:tcPr>
            <w:tcW w:w="0" w:type="auto"/>
            <w:tcBorders>
              <w:top w:val="single" w:sz="4" w:space="0" w:color="auto"/>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Latvia</w:t>
            </w:r>
          </w:p>
        </w:tc>
        <w:tc>
          <w:tcPr>
            <w:tcW w:w="0" w:type="auto"/>
            <w:vAlign w:val="center"/>
          </w:tcPr>
          <w:p>
            <w:pPr>
              <w:spacing w:before="0"/>
              <w:jc w:val="center"/>
              <w:rPr>
                <w:noProof/>
                <w:sz w:val="20"/>
              </w:rPr>
            </w:pPr>
            <w:r>
              <w:rPr>
                <w:noProof/>
                <w:sz w:val="20"/>
              </w:rPr>
              <w:t>100%</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Lithuania</w:t>
            </w:r>
          </w:p>
        </w:tc>
        <w:tc>
          <w:tcPr>
            <w:tcW w:w="0" w:type="auto"/>
            <w:vAlign w:val="center"/>
          </w:tcPr>
          <w:p>
            <w:pPr>
              <w:spacing w:before="0"/>
              <w:jc w:val="center"/>
              <w:rPr>
                <w:noProof/>
                <w:sz w:val="20"/>
              </w:rPr>
            </w:pPr>
            <w:r>
              <w:rPr>
                <w:noProof/>
                <w:sz w:val="20"/>
              </w:rPr>
              <w:t>100%</w:t>
            </w:r>
            <w:r>
              <w:rPr>
                <w:rStyle w:val="FootnoteReference"/>
                <w:noProof/>
                <w:sz w:val="20"/>
              </w:rPr>
              <w:footnoteReference w:id="4"/>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Luxembourg</w:t>
            </w:r>
          </w:p>
        </w:tc>
        <w:tc>
          <w:tcPr>
            <w:tcW w:w="0" w:type="auto"/>
            <w:vAlign w:val="center"/>
          </w:tcPr>
          <w:p>
            <w:pPr>
              <w:spacing w:before="0"/>
              <w:jc w:val="center"/>
              <w:rPr>
                <w:noProof/>
                <w:sz w:val="20"/>
              </w:rPr>
            </w:pPr>
            <w:r>
              <w:rPr>
                <w:noProof/>
                <w:sz w:val="20"/>
              </w:rPr>
              <w:t>100%</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Malta</w:t>
            </w:r>
          </w:p>
        </w:tc>
        <w:tc>
          <w:tcPr>
            <w:tcW w:w="0" w:type="auto"/>
            <w:vAlign w:val="center"/>
          </w:tcPr>
          <w:p>
            <w:pPr>
              <w:spacing w:before="0"/>
              <w:jc w:val="center"/>
              <w:rPr>
                <w:noProof/>
                <w:sz w:val="20"/>
              </w:rPr>
            </w:pPr>
            <w:r>
              <w:rPr>
                <w:noProof/>
                <w:sz w:val="20"/>
              </w:rPr>
              <w:t>100%</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The Netherlands</w:t>
            </w:r>
          </w:p>
        </w:tc>
        <w:tc>
          <w:tcPr>
            <w:tcW w:w="0" w:type="auto"/>
            <w:vAlign w:val="center"/>
          </w:tcPr>
          <w:p>
            <w:pPr>
              <w:spacing w:before="0"/>
              <w:jc w:val="center"/>
              <w:rPr>
                <w:noProof/>
                <w:sz w:val="20"/>
              </w:rPr>
            </w:pPr>
            <w:r>
              <w:rPr>
                <w:noProof/>
                <w:sz w:val="20"/>
              </w:rPr>
              <w:t>100%</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Portugal</w:t>
            </w:r>
          </w:p>
        </w:tc>
        <w:tc>
          <w:tcPr>
            <w:tcW w:w="0" w:type="auto"/>
            <w:vAlign w:val="center"/>
          </w:tcPr>
          <w:p>
            <w:pPr>
              <w:spacing w:before="0"/>
              <w:jc w:val="center"/>
              <w:rPr>
                <w:noProof/>
                <w:sz w:val="20"/>
              </w:rPr>
            </w:pPr>
            <w:r>
              <w:rPr>
                <w:noProof/>
                <w:sz w:val="20"/>
              </w:rPr>
              <w:t>100%</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Slovakia</w:t>
            </w:r>
          </w:p>
        </w:tc>
        <w:tc>
          <w:tcPr>
            <w:tcW w:w="0" w:type="auto"/>
            <w:vAlign w:val="center"/>
          </w:tcPr>
          <w:p>
            <w:pPr>
              <w:spacing w:before="0"/>
              <w:jc w:val="center"/>
              <w:rPr>
                <w:noProof/>
                <w:sz w:val="20"/>
              </w:rPr>
            </w:pPr>
            <w:r>
              <w:rPr>
                <w:noProof/>
                <w:sz w:val="20"/>
              </w:rPr>
              <w:t>100%</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Slovenia</w:t>
            </w:r>
          </w:p>
        </w:tc>
        <w:tc>
          <w:tcPr>
            <w:tcW w:w="0" w:type="auto"/>
            <w:vAlign w:val="center"/>
          </w:tcPr>
          <w:p>
            <w:pPr>
              <w:spacing w:before="0"/>
              <w:jc w:val="center"/>
              <w:rPr>
                <w:noProof/>
                <w:sz w:val="20"/>
              </w:rPr>
            </w:pPr>
            <w:r>
              <w:rPr>
                <w:noProof/>
                <w:sz w:val="20"/>
              </w:rPr>
              <w:t>100%</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Spain</w:t>
            </w:r>
          </w:p>
        </w:tc>
        <w:tc>
          <w:tcPr>
            <w:tcW w:w="0" w:type="auto"/>
            <w:vAlign w:val="center"/>
          </w:tcPr>
          <w:p>
            <w:pPr>
              <w:spacing w:before="0"/>
              <w:jc w:val="center"/>
              <w:rPr>
                <w:noProof/>
                <w:sz w:val="20"/>
              </w:rPr>
            </w:pPr>
            <w:r>
              <w:rPr>
                <w:noProof/>
                <w:sz w:val="20"/>
              </w:rPr>
              <w:t>100%</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bl>
    <w:p>
      <w:pPr>
        <w:rPr>
          <w:noProof/>
          <w:u w:val="single"/>
        </w:rPr>
      </w:pPr>
    </w:p>
    <w:p>
      <w:pPr>
        <w:spacing w:before="0" w:line="240" w:lineRule="auto"/>
        <w:jc w:val="left"/>
        <w:rPr>
          <w:b/>
          <w:noProof/>
          <w:u w:val="single"/>
        </w:rPr>
      </w:pPr>
      <w:r>
        <w:rPr>
          <w:b/>
          <w:noProof/>
          <w:u w:val="single"/>
        </w:rPr>
        <w:br w:type="page"/>
      </w:r>
    </w:p>
    <w:p>
      <w:pPr>
        <w:rPr>
          <w:noProof/>
        </w:rPr>
      </w:pPr>
      <w:r>
        <w:rPr>
          <w:b/>
          <w:noProof/>
          <w:u w:val="single"/>
        </w:rPr>
        <w:t>Table 2</w:t>
      </w:r>
      <w:r>
        <w:rPr>
          <w:b/>
          <w:noProof/>
        </w:rPr>
        <w:t>:</w:t>
      </w:r>
      <w:r>
        <w:rPr>
          <w:noProof/>
        </w:rPr>
        <w:t xml:space="preserve"> SDD migration rates communicated by Member States as of end 2016 </w:t>
      </w:r>
    </w:p>
    <w:tbl>
      <w:tblPr>
        <w:tblStyle w:val="TableGrid"/>
        <w:tblW w:w="0" w:type="auto"/>
        <w:tblInd w:w="392" w:type="dxa"/>
        <w:tblLook w:val="04A0" w:firstRow="1" w:lastRow="0" w:firstColumn="1" w:lastColumn="0" w:noHBand="0" w:noVBand="1"/>
      </w:tblPr>
      <w:tblGrid>
        <w:gridCol w:w="1544"/>
        <w:gridCol w:w="1905"/>
        <w:gridCol w:w="945"/>
        <w:gridCol w:w="1566"/>
        <w:gridCol w:w="1905"/>
      </w:tblGrid>
      <w:tr>
        <w:tc>
          <w:tcPr>
            <w:tcW w:w="0" w:type="auto"/>
            <w:vAlign w:val="center"/>
          </w:tcPr>
          <w:p>
            <w:pPr>
              <w:spacing w:before="0"/>
              <w:jc w:val="center"/>
              <w:rPr>
                <w:b/>
                <w:noProof/>
                <w:sz w:val="20"/>
              </w:rPr>
            </w:pPr>
            <w:r>
              <w:rPr>
                <w:b/>
                <w:noProof/>
                <w:sz w:val="20"/>
              </w:rPr>
              <w:t>Euro area</w:t>
            </w:r>
          </w:p>
        </w:tc>
        <w:tc>
          <w:tcPr>
            <w:tcW w:w="0" w:type="auto"/>
            <w:vAlign w:val="center"/>
          </w:tcPr>
          <w:p>
            <w:pPr>
              <w:spacing w:before="0"/>
              <w:jc w:val="center"/>
              <w:rPr>
                <w:b/>
                <w:noProof/>
                <w:sz w:val="20"/>
              </w:rPr>
            </w:pPr>
            <w:r>
              <w:rPr>
                <w:b/>
                <w:noProof/>
                <w:sz w:val="20"/>
              </w:rPr>
              <w:t>SDD migration rate</w:t>
            </w:r>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b/>
                <w:noProof/>
                <w:sz w:val="20"/>
              </w:rPr>
            </w:pPr>
            <w:r>
              <w:rPr>
                <w:b/>
                <w:noProof/>
                <w:sz w:val="20"/>
              </w:rPr>
              <w:t>Non Euro area</w:t>
            </w:r>
          </w:p>
        </w:tc>
        <w:tc>
          <w:tcPr>
            <w:tcW w:w="0" w:type="auto"/>
            <w:vAlign w:val="center"/>
          </w:tcPr>
          <w:p>
            <w:pPr>
              <w:spacing w:before="0"/>
              <w:jc w:val="center"/>
              <w:rPr>
                <w:b/>
                <w:noProof/>
                <w:sz w:val="20"/>
              </w:rPr>
            </w:pPr>
            <w:r>
              <w:rPr>
                <w:b/>
                <w:noProof/>
                <w:sz w:val="20"/>
              </w:rPr>
              <w:t>SDD migration rate</w:t>
            </w:r>
          </w:p>
        </w:tc>
      </w:tr>
      <w:tr>
        <w:tc>
          <w:tcPr>
            <w:tcW w:w="0" w:type="auto"/>
            <w:vAlign w:val="center"/>
          </w:tcPr>
          <w:p>
            <w:pPr>
              <w:spacing w:before="0"/>
              <w:jc w:val="center"/>
              <w:rPr>
                <w:noProof/>
                <w:sz w:val="20"/>
              </w:rPr>
            </w:pPr>
            <w:r>
              <w:rPr>
                <w:noProof/>
                <w:sz w:val="20"/>
              </w:rPr>
              <w:t>Austria</w:t>
            </w:r>
          </w:p>
        </w:tc>
        <w:tc>
          <w:tcPr>
            <w:tcW w:w="0" w:type="auto"/>
            <w:vAlign w:val="center"/>
          </w:tcPr>
          <w:p>
            <w:pPr>
              <w:spacing w:before="0"/>
              <w:jc w:val="center"/>
              <w:rPr>
                <w:noProof/>
                <w:sz w:val="20"/>
              </w:rPr>
            </w:pPr>
            <w:r>
              <w:rPr>
                <w:noProof/>
                <w:sz w:val="20"/>
              </w:rPr>
              <w:t>100%</w:t>
            </w:r>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Bulgaria</w:t>
            </w:r>
          </w:p>
        </w:tc>
        <w:tc>
          <w:tcPr>
            <w:tcW w:w="0" w:type="auto"/>
            <w:vAlign w:val="center"/>
          </w:tcPr>
          <w:p>
            <w:pPr>
              <w:spacing w:before="0"/>
              <w:jc w:val="center"/>
              <w:rPr>
                <w:noProof/>
                <w:sz w:val="20"/>
              </w:rPr>
            </w:pPr>
            <w:r>
              <w:rPr>
                <w:noProof/>
                <w:sz w:val="20"/>
              </w:rPr>
              <w:t>N/A</w:t>
            </w:r>
            <w:r>
              <w:rPr>
                <w:rStyle w:val="FootnoteReference"/>
                <w:noProof/>
                <w:sz w:val="20"/>
              </w:rPr>
              <w:footnoteReference w:id="5"/>
            </w:r>
          </w:p>
        </w:tc>
      </w:tr>
      <w:tr>
        <w:tc>
          <w:tcPr>
            <w:tcW w:w="0" w:type="auto"/>
            <w:vAlign w:val="center"/>
          </w:tcPr>
          <w:p>
            <w:pPr>
              <w:spacing w:before="0"/>
              <w:jc w:val="center"/>
              <w:rPr>
                <w:noProof/>
                <w:sz w:val="20"/>
              </w:rPr>
            </w:pPr>
            <w:r>
              <w:rPr>
                <w:noProof/>
                <w:sz w:val="20"/>
              </w:rPr>
              <w:t>Belgium</w:t>
            </w:r>
          </w:p>
        </w:tc>
        <w:tc>
          <w:tcPr>
            <w:tcW w:w="0" w:type="auto"/>
            <w:vAlign w:val="center"/>
          </w:tcPr>
          <w:p>
            <w:pPr>
              <w:spacing w:before="0"/>
              <w:jc w:val="center"/>
              <w:rPr>
                <w:noProof/>
                <w:sz w:val="20"/>
              </w:rPr>
            </w:pPr>
            <w:r>
              <w:rPr>
                <w:noProof/>
                <w:sz w:val="20"/>
              </w:rPr>
              <w:t>100%</w:t>
            </w:r>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Croatia</w:t>
            </w:r>
          </w:p>
        </w:tc>
        <w:tc>
          <w:tcPr>
            <w:tcW w:w="0" w:type="auto"/>
            <w:vAlign w:val="center"/>
          </w:tcPr>
          <w:p>
            <w:pPr>
              <w:spacing w:before="0"/>
              <w:jc w:val="center"/>
              <w:rPr>
                <w:noProof/>
                <w:sz w:val="20"/>
              </w:rPr>
            </w:pPr>
            <w:r>
              <w:rPr>
                <w:noProof/>
                <w:sz w:val="20"/>
              </w:rPr>
              <w:t>N/A</w:t>
            </w:r>
            <w:r>
              <w:rPr>
                <w:rStyle w:val="FootnoteReference"/>
                <w:noProof/>
                <w:sz w:val="20"/>
              </w:rPr>
              <w:footnoteReference w:id="6"/>
            </w:r>
          </w:p>
        </w:tc>
      </w:tr>
      <w:tr>
        <w:tc>
          <w:tcPr>
            <w:tcW w:w="0" w:type="auto"/>
            <w:vAlign w:val="center"/>
          </w:tcPr>
          <w:p>
            <w:pPr>
              <w:spacing w:before="0"/>
              <w:jc w:val="center"/>
              <w:rPr>
                <w:noProof/>
                <w:sz w:val="20"/>
              </w:rPr>
            </w:pPr>
            <w:r>
              <w:rPr>
                <w:noProof/>
                <w:sz w:val="20"/>
              </w:rPr>
              <w:t>Cyprus</w:t>
            </w:r>
          </w:p>
        </w:tc>
        <w:tc>
          <w:tcPr>
            <w:tcW w:w="0" w:type="auto"/>
            <w:vAlign w:val="center"/>
          </w:tcPr>
          <w:p>
            <w:pPr>
              <w:spacing w:before="0"/>
              <w:jc w:val="center"/>
              <w:rPr>
                <w:noProof/>
                <w:sz w:val="20"/>
              </w:rPr>
            </w:pPr>
            <w:r>
              <w:rPr>
                <w:noProof/>
                <w:sz w:val="20"/>
              </w:rPr>
              <w:t>100%</w:t>
            </w:r>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Czech Republic</w:t>
            </w:r>
          </w:p>
        </w:tc>
        <w:tc>
          <w:tcPr>
            <w:tcW w:w="0" w:type="auto"/>
            <w:vAlign w:val="center"/>
          </w:tcPr>
          <w:p>
            <w:pPr>
              <w:spacing w:before="0"/>
              <w:jc w:val="center"/>
              <w:rPr>
                <w:noProof/>
                <w:sz w:val="20"/>
              </w:rPr>
            </w:pPr>
            <w:r>
              <w:rPr>
                <w:noProof/>
                <w:sz w:val="20"/>
              </w:rPr>
              <w:t>100%</w:t>
            </w:r>
          </w:p>
        </w:tc>
      </w:tr>
      <w:tr>
        <w:tc>
          <w:tcPr>
            <w:tcW w:w="0" w:type="auto"/>
            <w:vAlign w:val="center"/>
          </w:tcPr>
          <w:p>
            <w:pPr>
              <w:spacing w:before="0"/>
              <w:jc w:val="center"/>
              <w:rPr>
                <w:noProof/>
                <w:sz w:val="20"/>
              </w:rPr>
            </w:pPr>
            <w:r>
              <w:rPr>
                <w:noProof/>
                <w:sz w:val="20"/>
              </w:rPr>
              <w:t>Estonia</w:t>
            </w:r>
          </w:p>
        </w:tc>
        <w:tc>
          <w:tcPr>
            <w:tcW w:w="0" w:type="auto"/>
            <w:vAlign w:val="center"/>
          </w:tcPr>
          <w:p>
            <w:pPr>
              <w:spacing w:before="0"/>
              <w:jc w:val="center"/>
              <w:rPr>
                <w:noProof/>
                <w:sz w:val="20"/>
              </w:rPr>
            </w:pPr>
            <w:r>
              <w:rPr>
                <w:noProof/>
                <w:sz w:val="20"/>
              </w:rPr>
              <w:t>N/A</w:t>
            </w:r>
            <w:bookmarkStart w:id="9" w:name="_Ref478377609"/>
            <w:r>
              <w:rPr>
                <w:rStyle w:val="FootnoteReference"/>
                <w:noProof/>
                <w:sz w:val="20"/>
              </w:rPr>
              <w:footnoteReference w:id="7"/>
            </w:r>
            <w:bookmarkEnd w:id="9"/>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Denmark</w:t>
            </w:r>
          </w:p>
        </w:tc>
        <w:tc>
          <w:tcPr>
            <w:tcW w:w="0" w:type="auto"/>
            <w:vAlign w:val="center"/>
          </w:tcPr>
          <w:p>
            <w:pPr>
              <w:spacing w:before="0"/>
              <w:jc w:val="center"/>
              <w:rPr>
                <w:noProof/>
                <w:sz w:val="20"/>
              </w:rPr>
            </w:pPr>
            <w:r>
              <w:rPr>
                <w:noProof/>
                <w:sz w:val="20"/>
              </w:rPr>
              <w:t>100%</w:t>
            </w:r>
          </w:p>
        </w:tc>
      </w:tr>
      <w:tr>
        <w:tc>
          <w:tcPr>
            <w:tcW w:w="0" w:type="auto"/>
            <w:vAlign w:val="center"/>
          </w:tcPr>
          <w:p>
            <w:pPr>
              <w:spacing w:before="0"/>
              <w:jc w:val="center"/>
              <w:rPr>
                <w:noProof/>
                <w:sz w:val="20"/>
              </w:rPr>
            </w:pPr>
            <w:r>
              <w:rPr>
                <w:noProof/>
                <w:sz w:val="20"/>
              </w:rPr>
              <w:t>Finland</w:t>
            </w:r>
          </w:p>
        </w:tc>
        <w:tc>
          <w:tcPr>
            <w:tcW w:w="0" w:type="auto"/>
            <w:vAlign w:val="center"/>
          </w:tcPr>
          <w:p>
            <w:pPr>
              <w:spacing w:before="0"/>
              <w:jc w:val="center"/>
              <w:rPr>
                <w:noProof/>
                <w:sz w:val="20"/>
              </w:rPr>
            </w:pPr>
            <w:r>
              <w:rPr>
                <w:noProof/>
                <w:sz w:val="20"/>
              </w:rPr>
              <w:t>100%</w:t>
            </w:r>
            <w:r>
              <w:rPr>
                <w:rStyle w:val="FootnoteReference"/>
                <w:noProof/>
                <w:sz w:val="20"/>
              </w:rPr>
              <w:footnoteReference w:id="8"/>
            </w:r>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Hungary</w:t>
            </w:r>
          </w:p>
        </w:tc>
        <w:tc>
          <w:tcPr>
            <w:tcW w:w="0" w:type="auto"/>
            <w:vAlign w:val="center"/>
          </w:tcPr>
          <w:p>
            <w:pPr>
              <w:spacing w:before="0"/>
              <w:jc w:val="center"/>
              <w:rPr>
                <w:noProof/>
                <w:sz w:val="20"/>
              </w:rPr>
            </w:pPr>
            <w:r>
              <w:rPr>
                <w:noProof/>
                <w:sz w:val="20"/>
              </w:rPr>
              <w:t>100%</w:t>
            </w:r>
            <w:r>
              <w:rPr>
                <w:rStyle w:val="FootnoteReference"/>
                <w:noProof/>
                <w:sz w:val="20"/>
              </w:rPr>
              <w:footnoteReference w:id="9"/>
            </w:r>
          </w:p>
        </w:tc>
      </w:tr>
      <w:tr>
        <w:tc>
          <w:tcPr>
            <w:tcW w:w="0" w:type="auto"/>
            <w:vAlign w:val="center"/>
          </w:tcPr>
          <w:p>
            <w:pPr>
              <w:spacing w:before="0"/>
              <w:jc w:val="center"/>
              <w:rPr>
                <w:noProof/>
                <w:sz w:val="20"/>
              </w:rPr>
            </w:pPr>
            <w:r>
              <w:rPr>
                <w:noProof/>
                <w:sz w:val="20"/>
              </w:rPr>
              <w:t>France</w:t>
            </w:r>
          </w:p>
        </w:tc>
        <w:tc>
          <w:tcPr>
            <w:tcW w:w="0" w:type="auto"/>
            <w:vAlign w:val="center"/>
          </w:tcPr>
          <w:p>
            <w:pPr>
              <w:spacing w:before="0"/>
              <w:jc w:val="center"/>
              <w:rPr>
                <w:noProof/>
                <w:sz w:val="20"/>
              </w:rPr>
            </w:pPr>
            <w:r>
              <w:rPr>
                <w:noProof/>
                <w:sz w:val="20"/>
              </w:rPr>
              <w:t>100%</w:t>
            </w:r>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Poland</w:t>
            </w:r>
          </w:p>
        </w:tc>
        <w:tc>
          <w:tcPr>
            <w:tcW w:w="0" w:type="auto"/>
            <w:vAlign w:val="center"/>
          </w:tcPr>
          <w:p>
            <w:pPr>
              <w:spacing w:before="0"/>
              <w:jc w:val="center"/>
              <w:rPr>
                <w:noProof/>
                <w:sz w:val="20"/>
              </w:rPr>
            </w:pPr>
            <w:r>
              <w:rPr>
                <w:noProof/>
                <w:sz w:val="20"/>
              </w:rPr>
              <w:t>100%</w:t>
            </w:r>
          </w:p>
        </w:tc>
      </w:tr>
      <w:tr>
        <w:tc>
          <w:tcPr>
            <w:tcW w:w="0" w:type="auto"/>
            <w:vAlign w:val="center"/>
          </w:tcPr>
          <w:p>
            <w:pPr>
              <w:spacing w:before="0"/>
              <w:jc w:val="center"/>
              <w:rPr>
                <w:noProof/>
                <w:sz w:val="20"/>
              </w:rPr>
            </w:pPr>
            <w:r>
              <w:rPr>
                <w:noProof/>
                <w:sz w:val="20"/>
              </w:rPr>
              <w:t>Germany</w:t>
            </w:r>
          </w:p>
        </w:tc>
        <w:tc>
          <w:tcPr>
            <w:tcW w:w="0" w:type="auto"/>
            <w:vAlign w:val="center"/>
          </w:tcPr>
          <w:p>
            <w:pPr>
              <w:spacing w:before="0"/>
              <w:jc w:val="center"/>
              <w:rPr>
                <w:noProof/>
                <w:sz w:val="20"/>
              </w:rPr>
            </w:pPr>
            <w:r>
              <w:rPr>
                <w:noProof/>
                <w:sz w:val="20"/>
              </w:rPr>
              <w:t>100%</w:t>
            </w:r>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Romania</w:t>
            </w:r>
          </w:p>
        </w:tc>
        <w:tc>
          <w:tcPr>
            <w:tcW w:w="0" w:type="auto"/>
            <w:vAlign w:val="center"/>
          </w:tcPr>
          <w:p>
            <w:pPr>
              <w:spacing w:before="0"/>
              <w:jc w:val="center"/>
              <w:rPr>
                <w:noProof/>
                <w:sz w:val="20"/>
              </w:rPr>
            </w:pPr>
            <w:r>
              <w:rPr>
                <w:noProof/>
                <w:sz w:val="20"/>
              </w:rPr>
              <w:t>100%</w:t>
            </w:r>
          </w:p>
        </w:tc>
      </w:tr>
      <w:tr>
        <w:tc>
          <w:tcPr>
            <w:tcW w:w="0" w:type="auto"/>
            <w:vAlign w:val="center"/>
          </w:tcPr>
          <w:p>
            <w:pPr>
              <w:spacing w:before="0"/>
              <w:jc w:val="center"/>
              <w:rPr>
                <w:noProof/>
                <w:sz w:val="20"/>
              </w:rPr>
            </w:pPr>
            <w:r>
              <w:rPr>
                <w:noProof/>
                <w:sz w:val="20"/>
              </w:rPr>
              <w:t>Greece</w:t>
            </w:r>
          </w:p>
        </w:tc>
        <w:tc>
          <w:tcPr>
            <w:tcW w:w="0" w:type="auto"/>
            <w:vAlign w:val="center"/>
          </w:tcPr>
          <w:p>
            <w:pPr>
              <w:spacing w:before="0"/>
              <w:jc w:val="center"/>
              <w:rPr>
                <w:noProof/>
                <w:sz w:val="20"/>
              </w:rPr>
            </w:pPr>
            <w:r>
              <w:rPr>
                <w:noProof/>
                <w:sz w:val="20"/>
              </w:rPr>
              <w:t>100%</w:t>
            </w:r>
          </w:p>
        </w:tc>
        <w:tc>
          <w:tcPr>
            <w:tcW w:w="945" w:type="dxa"/>
            <w:tcBorders>
              <w:top w:val="nil"/>
              <w:bottom w:val="nil"/>
            </w:tcBorders>
            <w:vAlign w:val="center"/>
          </w:tcPr>
          <w:p>
            <w:pPr>
              <w:spacing w:before="0"/>
              <w:jc w:val="center"/>
              <w:rPr>
                <w:noProof/>
              </w:rPr>
            </w:pPr>
          </w:p>
        </w:tc>
        <w:tc>
          <w:tcPr>
            <w:tcW w:w="0" w:type="auto"/>
            <w:tcBorders>
              <w:bottom w:val="single" w:sz="4" w:space="0" w:color="auto"/>
            </w:tcBorders>
            <w:vAlign w:val="center"/>
          </w:tcPr>
          <w:p>
            <w:pPr>
              <w:spacing w:before="0"/>
              <w:jc w:val="center"/>
              <w:rPr>
                <w:noProof/>
                <w:sz w:val="20"/>
              </w:rPr>
            </w:pPr>
            <w:r>
              <w:rPr>
                <w:noProof/>
                <w:sz w:val="20"/>
              </w:rPr>
              <w:t>Sweden</w:t>
            </w:r>
          </w:p>
        </w:tc>
        <w:tc>
          <w:tcPr>
            <w:tcW w:w="0" w:type="auto"/>
            <w:tcBorders>
              <w:bottom w:val="single" w:sz="4" w:space="0" w:color="auto"/>
            </w:tcBorders>
            <w:vAlign w:val="center"/>
          </w:tcPr>
          <w:p>
            <w:pPr>
              <w:spacing w:before="0"/>
              <w:jc w:val="center"/>
              <w:rPr>
                <w:noProof/>
                <w:sz w:val="20"/>
              </w:rPr>
            </w:pPr>
            <w:r>
              <w:rPr>
                <w:noProof/>
                <w:sz w:val="20"/>
              </w:rPr>
              <w:t>N/A</w:t>
            </w:r>
            <w:r>
              <w:rPr>
                <w:rStyle w:val="FootnoteReference"/>
                <w:noProof/>
                <w:sz w:val="20"/>
              </w:rPr>
              <w:footnoteReference w:id="10"/>
            </w:r>
          </w:p>
        </w:tc>
      </w:tr>
      <w:tr>
        <w:tc>
          <w:tcPr>
            <w:tcW w:w="0" w:type="auto"/>
            <w:vAlign w:val="center"/>
          </w:tcPr>
          <w:p>
            <w:pPr>
              <w:spacing w:before="0"/>
              <w:jc w:val="center"/>
              <w:rPr>
                <w:noProof/>
                <w:sz w:val="20"/>
              </w:rPr>
            </w:pPr>
            <w:r>
              <w:rPr>
                <w:noProof/>
                <w:sz w:val="20"/>
              </w:rPr>
              <w:t>Ireland</w:t>
            </w:r>
          </w:p>
        </w:tc>
        <w:tc>
          <w:tcPr>
            <w:tcW w:w="0" w:type="auto"/>
            <w:vAlign w:val="center"/>
          </w:tcPr>
          <w:p>
            <w:pPr>
              <w:spacing w:before="0"/>
              <w:jc w:val="center"/>
              <w:rPr>
                <w:noProof/>
                <w:sz w:val="20"/>
              </w:rPr>
            </w:pPr>
            <w:r>
              <w:rPr>
                <w:noProof/>
                <w:sz w:val="20"/>
              </w:rPr>
              <w:t>100%</w:t>
            </w:r>
          </w:p>
        </w:tc>
        <w:tc>
          <w:tcPr>
            <w:tcW w:w="945" w:type="dxa"/>
            <w:tcBorders>
              <w:top w:val="nil"/>
              <w:bottom w:val="nil"/>
            </w:tcBorders>
            <w:vAlign w:val="center"/>
          </w:tcPr>
          <w:p>
            <w:pPr>
              <w:spacing w:before="0"/>
              <w:jc w:val="center"/>
              <w:rPr>
                <w:noProof/>
              </w:rPr>
            </w:pPr>
          </w:p>
        </w:tc>
        <w:tc>
          <w:tcPr>
            <w:tcW w:w="0" w:type="auto"/>
            <w:tcBorders>
              <w:bottom w:val="single" w:sz="4" w:space="0" w:color="auto"/>
            </w:tcBorders>
            <w:vAlign w:val="center"/>
          </w:tcPr>
          <w:p>
            <w:pPr>
              <w:spacing w:before="0"/>
              <w:jc w:val="center"/>
              <w:rPr>
                <w:noProof/>
                <w:sz w:val="20"/>
              </w:rPr>
            </w:pPr>
            <w:r>
              <w:rPr>
                <w:noProof/>
                <w:sz w:val="20"/>
              </w:rPr>
              <w:t>United Kingdom</w:t>
            </w:r>
          </w:p>
        </w:tc>
        <w:tc>
          <w:tcPr>
            <w:tcW w:w="0" w:type="auto"/>
            <w:tcBorders>
              <w:bottom w:val="single" w:sz="4" w:space="0" w:color="auto"/>
            </w:tcBorders>
            <w:vAlign w:val="center"/>
          </w:tcPr>
          <w:p>
            <w:pPr>
              <w:spacing w:before="0"/>
              <w:jc w:val="center"/>
              <w:rPr>
                <w:noProof/>
                <w:sz w:val="20"/>
              </w:rPr>
            </w:pPr>
            <w:r>
              <w:rPr>
                <w:noProof/>
                <w:sz w:val="20"/>
              </w:rPr>
              <w:t>100%</w:t>
            </w:r>
          </w:p>
        </w:tc>
      </w:tr>
      <w:tr>
        <w:tc>
          <w:tcPr>
            <w:tcW w:w="0" w:type="auto"/>
            <w:vAlign w:val="center"/>
          </w:tcPr>
          <w:p>
            <w:pPr>
              <w:spacing w:before="0"/>
              <w:jc w:val="center"/>
              <w:rPr>
                <w:noProof/>
                <w:sz w:val="20"/>
              </w:rPr>
            </w:pPr>
            <w:r>
              <w:rPr>
                <w:noProof/>
                <w:sz w:val="20"/>
              </w:rPr>
              <w:t>Italy</w:t>
            </w:r>
          </w:p>
        </w:tc>
        <w:tc>
          <w:tcPr>
            <w:tcW w:w="0" w:type="auto"/>
            <w:vAlign w:val="center"/>
          </w:tcPr>
          <w:p>
            <w:pPr>
              <w:spacing w:before="0"/>
              <w:jc w:val="center"/>
              <w:rPr>
                <w:noProof/>
                <w:sz w:val="20"/>
              </w:rPr>
            </w:pPr>
            <w:r>
              <w:rPr>
                <w:noProof/>
                <w:sz w:val="20"/>
              </w:rPr>
              <w:t>100%</w:t>
            </w:r>
          </w:p>
        </w:tc>
        <w:tc>
          <w:tcPr>
            <w:tcW w:w="0" w:type="auto"/>
            <w:tcBorders>
              <w:top w:val="nil"/>
              <w:bottom w:val="nil"/>
              <w:right w:val="nil"/>
            </w:tcBorders>
            <w:vAlign w:val="center"/>
          </w:tcPr>
          <w:p>
            <w:pPr>
              <w:spacing w:before="0"/>
              <w:jc w:val="center"/>
              <w:rPr>
                <w:noProof/>
              </w:rPr>
            </w:pPr>
          </w:p>
        </w:tc>
        <w:tc>
          <w:tcPr>
            <w:tcW w:w="0" w:type="auto"/>
            <w:tcBorders>
              <w:top w:val="single" w:sz="4" w:space="0" w:color="auto"/>
              <w:left w:val="nil"/>
              <w:bottom w:val="nil"/>
              <w:right w:val="nil"/>
            </w:tcBorders>
            <w:vAlign w:val="center"/>
          </w:tcPr>
          <w:p>
            <w:pPr>
              <w:spacing w:before="0"/>
              <w:jc w:val="center"/>
              <w:rPr>
                <w:noProof/>
                <w:sz w:val="20"/>
              </w:rPr>
            </w:pPr>
          </w:p>
        </w:tc>
        <w:tc>
          <w:tcPr>
            <w:tcW w:w="0" w:type="auto"/>
            <w:tcBorders>
              <w:top w:val="single" w:sz="4" w:space="0" w:color="auto"/>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Latvia</w:t>
            </w:r>
          </w:p>
        </w:tc>
        <w:tc>
          <w:tcPr>
            <w:tcW w:w="0" w:type="auto"/>
            <w:vAlign w:val="center"/>
          </w:tcPr>
          <w:p>
            <w:pPr>
              <w:spacing w:before="0"/>
              <w:jc w:val="center"/>
              <w:rPr>
                <w:noProof/>
                <w:sz w:val="20"/>
              </w:rPr>
            </w:pPr>
            <w:r>
              <w:rPr>
                <w:noProof/>
                <w:sz w:val="20"/>
              </w:rPr>
              <w:t>N/A</w:t>
            </w:r>
            <w:r>
              <w:rPr>
                <w:noProof/>
                <w:sz w:val="20"/>
                <w:vertAlign w:val="superscript"/>
              </w:rPr>
              <w:fldChar w:fldCharType="begin"/>
            </w:r>
            <w:r>
              <w:rPr>
                <w:noProof/>
                <w:sz w:val="20"/>
                <w:vertAlign w:val="superscript"/>
              </w:rPr>
              <w:instrText xml:space="preserve"> NOTEREF _Ref478377609 \h  * MERGEFORMAT </w:instrText>
            </w:r>
            <w:r>
              <w:rPr>
                <w:noProof/>
                <w:sz w:val="20"/>
                <w:vertAlign w:val="superscript"/>
              </w:rPr>
            </w:r>
            <w:r>
              <w:rPr>
                <w:noProof/>
                <w:sz w:val="20"/>
                <w:vertAlign w:val="superscript"/>
              </w:rPr>
              <w:fldChar w:fldCharType="separate"/>
            </w:r>
            <w:r>
              <w:rPr>
                <w:noProof/>
                <w:sz w:val="20"/>
                <w:vertAlign w:val="superscript"/>
              </w:rPr>
              <w:t>7</w:t>
            </w:r>
            <w:r>
              <w:rPr>
                <w:noProof/>
                <w:sz w:val="20"/>
                <w:vertAlign w:val="superscript"/>
              </w:rPr>
              <w:fldChar w:fldCharType="end"/>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Lithuania</w:t>
            </w:r>
          </w:p>
        </w:tc>
        <w:tc>
          <w:tcPr>
            <w:tcW w:w="0" w:type="auto"/>
            <w:vAlign w:val="center"/>
          </w:tcPr>
          <w:p>
            <w:pPr>
              <w:spacing w:before="0"/>
              <w:jc w:val="center"/>
              <w:rPr>
                <w:noProof/>
                <w:sz w:val="20"/>
              </w:rPr>
            </w:pPr>
            <w:r>
              <w:rPr>
                <w:noProof/>
                <w:sz w:val="20"/>
              </w:rPr>
              <w:t>N/A</w:t>
            </w:r>
            <w:r>
              <w:rPr>
                <w:noProof/>
                <w:sz w:val="20"/>
                <w:vertAlign w:val="superscript"/>
              </w:rPr>
              <w:fldChar w:fldCharType="begin"/>
            </w:r>
            <w:r>
              <w:rPr>
                <w:noProof/>
                <w:sz w:val="20"/>
                <w:vertAlign w:val="superscript"/>
              </w:rPr>
              <w:instrText xml:space="preserve"> NOTEREF _Ref478377609 \h  * MERGEFORMAT </w:instrText>
            </w:r>
            <w:r>
              <w:rPr>
                <w:noProof/>
                <w:sz w:val="20"/>
                <w:vertAlign w:val="superscript"/>
              </w:rPr>
            </w:r>
            <w:r>
              <w:rPr>
                <w:noProof/>
                <w:sz w:val="20"/>
                <w:vertAlign w:val="superscript"/>
              </w:rPr>
              <w:fldChar w:fldCharType="separate"/>
            </w:r>
            <w:r>
              <w:rPr>
                <w:noProof/>
                <w:sz w:val="20"/>
                <w:vertAlign w:val="superscript"/>
              </w:rPr>
              <w:t>7</w:t>
            </w:r>
            <w:r>
              <w:rPr>
                <w:noProof/>
                <w:sz w:val="20"/>
                <w:vertAlign w:val="superscript"/>
              </w:rPr>
              <w:fldChar w:fldCharType="end"/>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Luxembourg</w:t>
            </w:r>
          </w:p>
        </w:tc>
        <w:tc>
          <w:tcPr>
            <w:tcW w:w="0" w:type="auto"/>
            <w:vAlign w:val="center"/>
          </w:tcPr>
          <w:p>
            <w:pPr>
              <w:spacing w:before="0"/>
              <w:jc w:val="center"/>
              <w:rPr>
                <w:noProof/>
                <w:sz w:val="20"/>
              </w:rPr>
            </w:pPr>
            <w:r>
              <w:rPr>
                <w:noProof/>
                <w:sz w:val="20"/>
              </w:rPr>
              <w:t>100%</w:t>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Malta</w:t>
            </w:r>
          </w:p>
        </w:tc>
        <w:tc>
          <w:tcPr>
            <w:tcW w:w="0" w:type="auto"/>
            <w:vAlign w:val="center"/>
          </w:tcPr>
          <w:p>
            <w:pPr>
              <w:spacing w:before="0"/>
              <w:jc w:val="center"/>
              <w:rPr>
                <w:noProof/>
                <w:sz w:val="20"/>
              </w:rPr>
            </w:pPr>
            <w:r>
              <w:rPr>
                <w:noProof/>
                <w:sz w:val="20"/>
              </w:rPr>
              <w:t>100%</w:t>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The Netherlands</w:t>
            </w:r>
          </w:p>
        </w:tc>
        <w:tc>
          <w:tcPr>
            <w:tcW w:w="0" w:type="auto"/>
            <w:vAlign w:val="center"/>
          </w:tcPr>
          <w:p>
            <w:pPr>
              <w:spacing w:before="0"/>
              <w:jc w:val="center"/>
              <w:rPr>
                <w:noProof/>
                <w:sz w:val="20"/>
              </w:rPr>
            </w:pPr>
            <w:r>
              <w:rPr>
                <w:noProof/>
                <w:sz w:val="20"/>
              </w:rPr>
              <w:t>100%</w:t>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Portugal</w:t>
            </w:r>
          </w:p>
        </w:tc>
        <w:tc>
          <w:tcPr>
            <w:tcW w:w="0" w:type="auto"/>
            <w:vAlign w:val="center"/>
          </w:tcPr>
          <w:p>
            <w:pPr>
              <w:spacing w:before="0"/>
              <w:jc w:val="center"/>
              <w:rPr>
                <w:noProof/>
                <w:sz w:val="20"/>
              </w:rPr>
            </w:pPr>
            <w:r>
              <w:rPr>
                <w:noProof/>
                <w:sz w:val="20"/>
              </w:rPr>
              <w:t>100%</w:t>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Slovakia</w:t>
            </w:r>
          </w:p>
        </w:tc>
        <w:tc>
          <w:tcPr>
            <w:tcW w:w="0" w:type="auto"/>
            <w:vAlign w:val="center"/>
          </w:tcPr>
          <w:p>
            <w:pPr>
              <w:spacing w:before="0"/>
              <w:jc w:val="center"/>
              <w:rPr>
                <w:noProof/>
                <w:sz w:val="20"/>
              </w:rPr>
            </w:pPr>
            <w:r>
              <w:rPr>
                <w:noProof/>
                <w:sz w:val="20"/>
              </w:rPr>
              <w:t>100%</w:t>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Slovenia</w:t>
            </w:r>
          </w:p>
        </w:tc>
        <w:tc>
          <w:tcPr>
            <w:tcW w:w="0" w:type="auto"/>
            <w:vAlign w:val="center"/>
          </w:tcPr>
          <w:p>
            <w:pPr>
              <w:spacing w:before="0"/>
              <w:jc w:val="center"/>
              <w:rPr>
                <w:noProof/>
                <w:sz w:val="20"/>
              </w:rPr>
            </w:pPr>
            <w:r>
              <w:rPr>
                <w:noProof/>
                <w:sz w:val="20"/>
              </w:rPr>
              <w:t>100%</w:t>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Spain</w:t>
            </w:r>
          </w:p>
        </w:tc>
        <w:tc>
          <w:tcPr>
            <w:tcW w:w="0" w:type="auto"/>
            <w:vAlign w:val="center"/>
          </w:tcPr>
          <w:p>
            <w:pPr>
              <w:spacing w:before="0"/>
              <w:jc w:val="center"/>
              <w:rPr>
                <w:noProof/>
                <w:sz w:val="20"/>
              </w:rPr>
            </w:pPr>
            <w:r>
              <w:rPr>
                <w:noProof/>
                <w:sz w:val="20"/>
              </w:rPr>
              <w:t>100%</w:t>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bl>
    <w:p>
      <w:pPr>
        <w:rPr>
          <w:noProof/>
        </w:rPr>
      </w:pPr>
      <w:r>
        <w:rPr>
          <w:noProof/>
        </w:rPr>
        <w:t xml:space="preserve">A historical perspective, provided in tables 3, 4, 5 and 6, shows that depending on the Member States concerned, the migration flow either followed a big bang approach (e.g. Estonia) or a progressive migration to SEPA instruments (e.g. Germany). The same tables also indicate that the 6 month delay proved a necessary step as migration rates communicated for January 2014, though already quite high for SEPA Credit Transfers, were not sufficient to ensure full processing of payments in the case of SEPA Direct Debits. Unexpected issues could have arisen on 1 February 2014, when the SEPA end-date Regulation was supposed to become applicable, with the potential risk of payments not being processed after that date. </w:t>
      </w:r>
    </w:p>
    <w:p>
      <w:pPr>
        <w:spacing w:before="0" w:line="240" w:lineRule="auto"/>
        <w:jc w:val="left"/>
        <w:rPr>
          <w:b/>
          <w:noProof/>
          <w:u w:val="single"/>
        </w:rPr>
      </w:pPr>
      <w:r>
        <w:rPr>
          <w:b/>
          <w:noProof/>
          <w:u w:val="single"/>
        </w:rPr>
        <w:br w:type="page"/>
      </w:r>
    </w:p>
    <w:p>
      <w:pPr>
        <w:rPr>
          <w:noProof/>
        </w:rPr>
      </w:pPr>
      <w:r>
        <w:rPr>
          <w:b/>
          <w:noProof/>
          <w:u w:val="single"/>
        </w:rPr>
        <w:t>Table 3</w:t>
      </w:r>
      <w:r>
        <w:rPr>
          <w:rStyle w:val="FootnoteReference"/>
          <w:b/>
          <w:noProof/>
          <w:u w:val="single"/>
        </w:rPr>
        <w:footnoteReference w:id="11"/>
      </w:r>
      <w:r>
        <w:rPr>
          <w:b/>
          <w:noProof/>
        </w:rPr>
        <w:t>:</w:t>
      </w:r>
      <w:r>
        <w:rPr>
          <w:noProof/>
        </w:rPr>
        <w:t xml:space="preserve"> Evolution of SCT migration rates from 2008 to today for euro area Member States</w:t>
      </w:r>
    </w:p>
    <w:tbl>
      <w:tblPr>
        <w:tblStyle w:val="TableGrid"/>
        <w:tblW w:w="0" w:type="auto"/>
        <w:tblInd w:w="-34" w:type="dxa"/>
        <w:tblLook w:val="04A0" w:firstRow="1" w:lastRow="0" w:firstColumn="1" w:lastColumn="0" w:noHBand="0" w:noVBand="1"/>
      </w:tblPr>
      <w:tblGrid>
        <w:gridCol w:w="1769"/>
        <w:gridCol w:w="1187"/>
        <w:gridCol w:w="1187"/>
        <w:gridCol w:w="1207"/>
        <w:gridCol w:w="1208"/>
        <w:gridCol w:w="1213"/>
        <w:gridCol w:w="1209"/>
      </w:tblGrid>
      <w:tr>
        <w:tc>
          <w:tcPr>
            <w:tcW w:w="1769" w:type="dxa"/>
            <w:vAlign w:val="center"/>
          </w:tcPr>
          <w:p>
            <w:pPr>
              <w:spacing w:before="0"/>
              <w:jc w:val="center"/>
              <w:rPr>
                <w:b/>
                <w:noProof/>
                <w:sz w:val="20"/>
              </w:rPr>
            </w:pPr>
            <w:r>
              <w:rPr>
                <w:b/>
                <w:noProof/>
                <w:sz w:val="20"/>
              </w:rPr>
              <w:t>Euro area</w:t>
            </w:r>
          </w:p>
        </w:tc>
        <w:tc>
          <w:tcPr>
            <w:tcW w:w="1187" w:type="dxa"/>
            <w:tcBorders>
              <w:top w:val="single" w:sz="4" w:space="0" w:color="auto"/>
              <w:bottom w:val="single" w:sz="4" w:space="0" w:color="auto"/>
            </w:tcBorders>
            <w:vAlign w:val="center"/>
          </w:tcPr>
          <w:p>
            <w:pPr>
              <w:spacing w:before="0"/>
              <w:jc w:val="center"/>
              <w:rPr>
                <w:b/>
                <w:noProof/>
                <w:sz w:val="20"/>
              </w:rPr>
            </w:pPr>
            <w:r>
              <w:rPr>
                <w:b/>
                <w:noProof/>
                <w:sz w:val="20"/>
              </w:rPr>
              <w:t>2</w:t>
            </w:r>
            <w:r>
              <w:rPr>
                <w:b/>
                <w:noProof/>
                <w:sz w:val="20"/>
                <w:vertAlign w:val="superscript"/>
              </w:rPr>
              <w:t>nd</w:t>
            </w:r>
            <w:r>
              <w:rPr>
                <w:b/>
                <w:noProof/>
                <w:sz w:val="20"/>
              </w:rPr>
              <w:t xml:space="preserve"> half 2008</w:t>
            </w:r>
          </w:p>
        </w:tc>
        <w:tc>
          <w:tcPr>
            <w:tcW w:w="1187" w:type="dxa"/>
            <w:tcBorders>
              <w:top w:val="single" w:sz="4" w:space="0" w:color="auto"/>
              <w:bottom w:val="single" w:sz="4" w:space="0" w:color="auto"/>
            </w:tcBorders>
            <w:vAlign w:val="center"/>
          </w:tcPr>
          <w:p>
            <w:pPr>
              <w:spacing w:before="0"/>
              <w:jc w:val="center"/>
              <w:rPr>
                <w:b/>
                <w:noProof/>
                <w:sz w:val="20"/>
              </w:rPr>
            </w:pPr>
            <w:r>
              <w:rPr>
                <w:b/>
                <w:noProof/>
                <w:sz w:val="20"/>
              </w:rPr>
              <w:t>2</w:t>
            </w:r>
            <w:r>
              <w:rPr>
                <w:b/>
                <w:noProof/>
                <w:sz w:val="20"/>
                <w:vertAlign w:val="superscript"/>
              </w:rPr>
              <w:t>nd</w:t>
            </w:r>
            <w:r>
              <w:rPr>
                <w:b/>
                <w:noProof/>
                <w:sz w:val="20"/>
              </w:rPr>
              <w:t xml:space="preserve"> half 2011</w:t>
            </w:r>
          </w:p>
        </w:tc>
        <w:tc>
          <w:tcPr>
            <w:tcW w:w="1207" w:type="dxa"/>
            <w:tcBorders>
              <w:top w:val="single" w:sz="4" w:space="0" w:color="auto"/>
              <w:bottom w:val="single" w:sz="4" w:space="0" w:color="auto"/>
            </w:tcBorders>
            <w:vAlign w:val="center"/>
          </w:tcPr>
          <w:p>
            <w:pPr>
              <w:tabs>
                <w:tab w:val="left" w:pos="269"/>
                <w:tab w:val="center" w:pos="514"/>
              </w:tabs>
              <w:spacing w:before="0"/>
              <w:jc w:val="center"/>
              <w:rPr>
                <w:b/>
                <w:noProof/>
                <w:sz w:val="20"/>
              </w:rPr>
            </w:pPr>
            <w:r>
              <w:rPr>
                <w:b/>
                <w:noProof/>
                <w:sz w:val="20"/>
              </w:rPr>
              <w:t>Jan.2014</w:t>
            </w:r>
          </w:p>
        </w:tc>
        <w:tc>
          <w:tcPr>
            <w:tcW w:w="1208" w:type="dxa"/>
            <w:tcBorders>
              <w:top w:val="single" w:sz="4" w:space="0" w:color="auto"/>
              <w:bottom w:val="single" w:sz="4" w:space="0" w:color="auto"/>
            </w:tcBorders>
            <w:shd w:val="clear" w:color="auto" w:fill="FFC000"/>
            <w:vAlign w:val="center"/>
          </w:tcPr>
          <w:p>
            <w:pPr>
              <w:spacing w:before="0"/>
              <w:jc w:val="center"/>
              <w:rPr>
                <w:b/>
                <w:noProof/>
                <w:sz w:val="20"/>
              </w:rPr>
            </w:pPr>
            <w:r>
              <w:rPr>
                <w:b/>
                <w:noProof/>
                <w:sz w:val="20"/>
              </w:rPr>
              <w:t>Feb.2014</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b/>
                <w:noProof/>
                <w:sz w:val="20"/>
              </w:rPr>
            </w:pPr>
            <w:r>
              <w:rPr>
                <w:b/>
                <w:noProof/>
                <w:sz w:val="20"/>
              </w:rPr>
              <w:t>Aug.2014</w:t>
            </w:r>
          </w:p>
        </w:tc>
        <w:tc>
          <w:tcPr>
            <w:tcW w:w="1209" w:type="dxa"/>
            <w:tcBorders>
              <w:top w:val="single" w:sz="4" w:space="0" w:color="auto"/>
              <w:bottom w:val="single" w:sz="4" w:space="0" w:color="auto"/>
            </w:tcBorders>
            <w:vAlign w:val="center"/>
          </w:tcPr>
          <w:p>
            <w:pPr>
              <w:spacing w:before="0"/>
              <w:jc w:val="center"/>
              <w:rPr>
                <w:b/>
                <w:noProof/>
                <w:sz w:val="20"/>
              </w:rPr>
            </w:pPr>
            <w:r>
              <w:rPr>
                <w:b/>
                <w:noProof/>
                <w:sz w:val="20"/>
              </w:rPr>
              <w:t>Dec.2016</w:t>
            </w:r>
          </w:p>
        </w:tc>
      </w:tr>
      <w:tr>
        <w:tc>
          <w:tcPr>
            <w:tcW w:w="1769" w:type="dxa"/>
            <w:vAlign w:val="center"/>
          </w:tcPr>
          <w:p>
            <w:pPr>
              <w:spacing w:before="0"/>
              <w:jc w:val="center"/>
              <w:rPr>
                <w:noProof/>
                <w:sz w:val="20"/>
              </w:rPr>
            </w:pPr>
            <w:r>
              <w:rPr>
                <w:noProof/>
                <w:sz w:val="20"/>
              </w:rPr>
              <w:t>Austria</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1.44%</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11.89%</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66.2%</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74.95%</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90%</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Belgium</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2.76%</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44.79%</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86.79%</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95.64%</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Cyprus</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29.85%</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60.06%</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100%</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100%</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Estonia</w:t>
            </w:r>
          </w:p>
        </w:tc>
        <w:tc>
          <w:tcPr>
            <w:tcW w:w="1187" w:type="dxa"/>
            <w:tcBorders>
              <w:top w:val="single" w:sz="4" w:space="0" w:color="auto"/>
              <w:bottom w:val="single" w:sz="4" w:space="0" w:color="auto"/>
            </w:tcBorders>
            <w:vAlign w:val="center"/>
          </w:tcPr>
          <w:p>
            <w:pPr>
              <w:spacing w:before="0"/>
              <w:jc w:val="center"/>
              <w:rPr>
                <w:noProof/>
                <w:sz w:val="20"/>
              </w:rPr>
            </w:pP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0.95%</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2.65%</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99.7%</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Finland</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1.35%</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67.57%</w:t>
            </w:r>
          </w:p>
        </w:tc>
        <w:tc>
          <w:tcPr>
            <w:tcW w:w="1207" w:type="dxa"/>
            <w:tcBorders>
              <w:top w:val="single" w:sz="4" w:space="0" w:color="auto"/>
              <w:bottom w:val="single" w:sz="4" w:space="0" w:color="auto"/>
            </w:tcBorders>
            <w:vAlign w:val="center"/>
          </w:tcPr>
          <w:p>
            <w:pPr>
              <w:spacing w:before="0"/>
              <w:jc w:val="center"/>
              <w:rPr>
                <w:noProof/>
              </w:rPr>
            </w:pPr>
            <w:r>
              <w:rPr>
                <w:noProof/>
                <w:sz w:val="20"/>
              </w:rPr>
              <w:t>100%</w:t>
            </w:r>
          </w:p>
        </w:tc>
        <w:tc>
          <w:tcPr>
            <w:tcW w:w="1208" w:type="dxa"/>
            <w:tcBorders>
              <w:top w:val="single" w:sz="4" w:space="0" w:color="auto"/>
              <w:bottom w:val="single" w:sz="4" w:space="0" w:color="auto"/>
            </w:tcBorders>
            <w:shd w:val="clear" w:color="auto" w:fill="FFC000"/>
            <w:vAlign w:val="center"/>
          </w:tcPr>
          <w:p>
            <w:pPr>
              <w:spacing w:before="0"/>
              <w:jc w:val="center"/>
              <w:rPr>
                <w:noProof/>
              </w:rPr>
            </w:pPr>
            <w:r>
              <w:rPr>
                <w:noProof/>
                <w:sz w:val="20"/>
              </w:rPr>
              <w:t>100%</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France</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0.58%</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24.72%</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84,0%</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91.7%</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Germany</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0.29%</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5.56%</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58.51%</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77.85%</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Greece</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0.54%</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1.71%</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81.53%</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83.12%</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99.38%</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Ireland</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0.19%</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2.34%</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60.89%</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90.61%</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Italy</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0.73%</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10.62%</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61.49%</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89.86%</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100%</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Latvia</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100%</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100%</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Lithuania</w:t>
            </w:r>
            <w:r>
              <w:rPr>
                <w:rStyle w:val="FootnoteReference"/>
                <w:noProof/>
                <w:sz w:val="20"/>
              </w:rPr>
              <w:footnoteReference w:id="12"/>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Luxembourg</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85.76%</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90.27%</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96.3%</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96.3%</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97.81%</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Malta</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3.28%</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9.71%</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68.72%</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80.16%</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100%</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The Netherlands</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0.15%</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0.88%</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86.38%</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91.75%</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99.08%</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Portugal</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0.68%</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1.48%</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89.16%</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92.32%</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98.91%</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Slovakia</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0%</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1.03%</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100%</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100%</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Slovenia</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0.1%</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55.74%</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99.3%</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99.36%</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100%</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Spain</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1.51%</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31.77%</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82.71%</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90.5%</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100%</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w:t>
            </w:r>
          </w:p>
        </w:tc>
      </w:tr>
    </w:tbl>
    <w:p>
      <w:pPr>
        <w:rPr>
          <w:noProof/>
        </w:rPr>
      </w:pPr>
      <w:r>
        <w:rPr>
          <w:noProof/>
        </w:rPr>
        <w:t xml:space="preserve">The figures for February 2014 and August 2014 are highlighted as they show the differences in migration rates between the original end-date and the actual end-date that, in January 2014, was postponed by six months from February to August 2014. </w:t>
      </w:r>
    </w:p>
    <w:p>
      <w:pPr>
        <w:rPr>
          <w:noProof/>
        </w:rPr>
      </w:pPr>
      <w:r>
        <w:rPr>
          <w:noProof/>
        </w:rPr>
        <w:t xml:space="preserve">For Member States that do not belong to the euro area, the SEPA Regulation required a migration by 31 October 2016 as indicated in its article 16§8: </w:t>
      </w:r>
      <w:r>
        <w:rPr>
          <w:i/>
          <w:noProof/>
        </w:rPr>
        <w:t>"Payment Services Providers located in, and Payment Services Users making use of a payment service in a Member State which does not have the euro as its currency shall comply with the requirements of Articles 4 and 5 by 31 October 2016. Operators of retail payment systems for a Member State which does not have the euro as its currency shall comply with the requirements of Article 4(2) by 31 October 2016."</w:t>
      </w:r>
    </w:p>
    <w:p>
      <w:pPr>
        <w:spacing w:before="0" w:line="240" w:lineRule="auto"/>
        <w:jc w:val="left"/>
        <w:rPr>
          <w:b/>
          <w:noProof/>
          <w:u w:val="single"/>
        </w:rPr>
      </w:pPr>
    </w:p>
    <w:p>
      <w:pPr>
        <w:rPr>
          <w:noProof/>
        </w:rPr>
      </w:pPr>
      <w:r>
        <w:rPr>
          <w:b/>
          <w:noProof/>
          <w:u w:val="single"/>
        </w:rPr>
        <w:t>Table 4</w:t>
      </w:r>
      <w:r>
        <w:rPr>
          <w:b/>
          <w:noProof/>
        </w:rPr>
        <w:t>:</w:t>
      </w:r>
      <w:r>
        <w:rPr>
          <w:noProof/>
        </w:rPr>
        <w:t xml:space="preserve"> Evolution of SCT migration rates in 2015 and 2016 for non-euro area Member States</w:t>
      </w:r>
    </w:p>
    <w:tbl>
      <w:tblPr>
        <w:tblStyle w:val="TableGrid"/>
        <w:tblW w:w="0" w:type="auto"/>
        <w:tblInd w:w="-34" w:type="dxa"/>
        <w:tblLook w:val="04A0" w:firstRow="1" w:lastRow="0" w:firstColumn="1" w:lastColumn="0" w:noHBand="0" w:noVBand="1"/>
      </w:tblPr>
      <w:tblGrid>
        <w:gridCol w:w="1854"/>
        <w:gridCol w:w="1245"/>
        <w:gridCol w:w="1245"/>
        <w:gridCol w:w="1245"/>
        <w:gridCol w:w="1924"/>
      </w:tblGrid>
      <w:tr>
        <w:tc>
          <w:tcPr>
            <w:tcW w:w="1854" w:type="dxa"/>
          </w:tcPr>
          <w:p>
            <w:pPr>
              <w:spacing w:before="0"/>
              <w:jc w:val="center"/>
              <w:rPr>
                <w:b/>
                <w:noProof/>
                <w:sz w:val="20"/>
              </w:rPr>
            </w:pPr>
            <w:r>
              <w:rPr>
                <w:b/>
                <w:noProof/>
                <w:sz w:val="20"/>
              </w:rPr>
              <w:t>Non Euro area</w:t>
            </w:r>
          </w:p>
        </w:tc>
        <w:tc>
          <w:tcPr>
            <w:tcW w:w="1245" w:type="dxa"/>
            <w:tcBorders>
              <w:top w:val="single" w:sz="4" w:space="0" w:color="auto"/>
              <w:bottom w:val="single" w:sz="4" w:space="0" w:color="auto"/>
            </w:tcBorders>
          </w:tcPr>
          <w:p>
            <w:pPr>
              <w:spacing w:before="0"/>
              <w:jc w:val="center"/>
              <w:rPr>
                <w:b/>
                <w:noProof/>
                <w:sz w:val="20"/>
              </w:rPr>
            </w:pPr>
            <w:r>
              <w:rPr>
                <w:b/>
                <w:noProof/>
                <w:sz w:val="20"/>
              </w:rPr>
              <w:t>H2 2015</w:t>
            </w:r>
          </w:p>
        </w:tc>
        <w:tc>
          <w:tcPr>
            <w:tcW w:w="1245" w:type="dxa"/>
            <w:tcBorders>
              <w:top w:val="single" w:sz="4" w:space="0" w:color="auto"/>
              <w:bottom w:val="single" w:sz="4" w:space="0" w:color="auto"/>
            </w:tcBorders>
          </w:tcPr>
          <w:p>
            <w:pPr>
              <w:spacing w:before="0"/>
              <w:jc w:val="center"/>
              <w:rPr>
                <w:b/>
                <w:noProof/>
                <w:sz w:val="20"/>
              </w:rPr>
            </w:pPr>
            <w:r>
              <w:rPr>
                <w:b/>
                <w:noProof/>
                <w:sz w:val="20"/>
              </w:rPr>
              <w:t>Q1 2016</w:t>
            </w:r>
          </w:p>
        </w:tc>
        <w:tc>
          <w:tcPr>
            <w:tcW w:w="1245" w:type="dxa"/>
            <w:tcBorders>
              <w:top w:val="single" w:sz="4" w:space="0" w:color="auto"/>
              <w:bottom w:val="single" w:sz="4" w:space="0" w:color="auto"/>
            </w:tcBorders>
          </w:tcPr>
          <w:p>
            <w:pPr>
              <w:tabs>
                <w:tab w:val="left" w:pos="269"/>
                <w:tab w:val="center" w:pos="514"/>
              </w:tabs>
              <w:spacing w:before="0"/>
              <w:jc w:val="center"/>
              <w:rPr>
                <w:b/>
                <w:noProof/>
                <w:sz w:val="20"/>
              </w:rPr>
            </w:pPr>
            <w:r>
              <w:rPr>
                <w:b/>
                <w:noProof/>
                <w:sz w:val="20"/>
              </w:rPr>
              <w:t>Q2 2016</w:t>
            </w:r>
          </w:p>
        </w:tc>
        <w:tc>
          <w:tcPr>
            <w:tcW w:w="1924" w:type="dxa"/>
            <w:tcBorders>
              <w:top w:val="single" w:sz="4" w:space="0" w:color="auto"/>
              <w:bottom w:val="single" w:sz="4" w:space="0" w:color="auto"/>
            </w:tcBorders>
            <w:shd w:val="clear" w:color="auto" w:fill="E5B8B7" w:themeFill="accent2" w:themeFillTint="66"/>
          </w:tcPr>
          <w:p>
            <w:pPr>
              <w:spacing w:before="0"/>
              <w:jc w:val="center"/>
              <w:rPr>
                <w:b/>
                <w:noProof/>
                <w:sz w:val="20"/>
              </w:rPr>
            </w:pPr>
            <w:r>
              <w:rPr>
                <w:b/>
                <w:noProof/>
                <w:sz w:val="20"/>
              </w:rPr>
              <w:t>Dec 2016</w:t>
            </w:r>
          </w:p>
        </w:tc>
      </w:tr>
      <w:tr>
        <w:tc>
          <w:tcPr>
            <w:tcW w:w="1854" w:type="dxa"/>
          </w:tcPr>
          <w:p>
            <w:pPr>
              <w:spacing w:before="0"/>
              <w:jc w:val="center"/>
              <w:rPr>
                <w:noProof/>
                <w:sz w:val="20"/>
              </w:rPr>
            </w:pPr>
            <w:r>
              <w:rPr>
                <w:noProof/>
                <w:sz w:val="20"/>
              </w:rPr>
              <w:t>Bulgaria</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59.21%</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60.7%</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61.9%</w:t>
            </w:r>
          </w:p>
        </w:tc>
        <w:tc>
          <w:tcPr>
            <w:tcW w:w="1924" w:type="dxa"/>
            <w:tcBorders>
              <w:top w:val="single" w:sz="4" w:space="0" w:color="auto"/>
              <w:bottom w:val="single" w:sz="4" w:space="0" w:color="auto"/>
            </w:tcBorders>
            <w:shd w:val="clear" w:color="auto" w:fill="E5B8B7" w:themeFill="accent2" w:themeFillTint="66"/>
            <w:vAlign w:val="bottom"/>
          </w:tcPr>
          <w:p>
            <w:pPr>
              <w:spacing w:before="0"/>
              <w:jc w:val="center"/>
              <w:rPr>
                <w:noProof/>
                <w:sz w:val="20"/>
              </w:rPr>
            </w:pPr>
            <w:r>
              <w:rPr>
                <w:noProof/>
                <w:sz w:val="20"/>
              </w:rPr>
              <w:t>100%</w:t>
            </w:r>
          </w:p>
        </w:tc>
      </w:tr>
      <w:tr>
        <w:tc>
          <w:tcPr>
            <w:tcW w:w="1854" w:type="dxa"/>
          </w:tcPr>
          <w:p>
            <w:pPr>
              <w:spacing w:before="0"/>
              <w:jc w:val="center"/>
              <w:rPr>
                <w:noProof/>
                <w:sz w:val="20"/>
              </w:rPr>
            </w:pPr>
            <w:r>
              <w:rPr>
                <w:noProof/>
                <w:sz w:val="20"/>
              </w:rPr>
              <w:t>Croatia</w:t>
            </w:r>
          </w:p>
        </w:tc>
        <w:tc>
          <w:tcPr>
            <w:tcW w:w="1245" w:type="dxa"/>
            <w:tcBorders>
              <w:top w:val="single" w:sz="4" w:space="0" w:color="auto"/>
              <w:bottom w:val="single" w:sz="4" w:space="0" w:color="auto"/>
            </w:tcBorders>
            <w:vAlign w:val="bottom"/>
          </w:tcPr>
          <w:p>
            <w:pPr>
              <w:spacing w:before="0"/>
              <w:jc w:val="center"/>
              <w:rPr>
                <w:noProof/>
                <w:sz w:val="20"/>
              </w:rPr>
            </w:pPr>
          </w:p>
        </w:tc>
        <w:tc>
          <w:tcPr>
            <w:tcW w:w="1245" w:type="dxa"/>
            <w:tcBorders>
              <w:top w:val="single" w:sz="4" w:space="0" w:color="auto"/>
              <w:bottom w:val="single" w:sz="4" w:space="0" w:color="auto"/>
            </w:tcBorders>
            <w:vAlign w:val="bottom"/>
          </w:tcPr>
          <w:p>
            <w:pPr>
              <w:spacing w:before="0"/>
              <w:jc w:val="center"/>
              <w:rPr>
                <w:noProof/>
                <w:sz w:val="20"/>
              </w:rPr>
            </w:pPr>
          </w:p>
        </w:tc>
        <w:tc>
          <w:tcPr>
            <w:tcW w:w="1245" w:type="dxa"/>
            <w:tcBorders>
              <w:top w:val="single" w:sz="4" w:space="0" w:color="auto"/>
              <w:bottom w:val="single" w:sz="4" w:space="0" w:color="auto"/>
            </w:tcBorders>
            <w:vAlign w:val="bottom"/>
          </w:tcPr>
          <w:p>
            <w:pPr>
              <w:spacing w:before="0"/>
              <w:jc w:val="center"/>
              <w:rPr>
                <w:noProof/>
                <w:sz w:val="20"/>
              </w:rPr>
            </w:pPr>
          </w:p>
        </w:tc>
        <w:tc>
          <w:tcPr>
            <w:tcW w:w="1924" w:type="dxa"/>
            <w:tcBorders>
              <w:top w:val="single" w:sz="4" w:space="0" w:color="auto"/>
              <w:bottom w:val="single" w:sz="4" w:space="0" w:color="auto"/>
            </w:tcBorders>
            <w:shd w:val="clear" w:color="auto" w:fill="E5B8B7" w:themeFill="accent2" w:themeFillTint="66"/>
            <w:vAlign w:val="bottom"/>
          </w:tcPr>
          <w:p>
            <w:pPr>
              <w:spacing w:before="0"/>
              <w:jc w:val="center"/>
              <w:rPr>
                <w:noProof/>
                <w:sz w:val="20"/>
              </w:rPr>
            </w:pPr>
            <w:r>
              <w:rPr>
                <w:noProof/>
                <w:sz w:val="20"/>
              </w:rPr>
              <w:t>100%</w:t>
            </w:r>
          </w:p>
        </w:tc>
      </w:tr>
      <w:tr>
        <w:tc>
          <w:tcPr>
            <w:tcW w:w="1854" w:type="dxa"/>
          </w:tcPr>
          <w:p>
            <w:pPr>
              <w:spacing w:before="0"/>
              <w:jc w:val="center"/>
              <w:rPr>
                <w:noProof/>
                <w:sz w:val="20"/>
              </w:rPr>
            </w:pPr>
            <w:r>
              <w:rPr>
                <w:noProof/>
                <w:sz w:val="20"/>
              </w:rPr>
              <w:t>Czech Republic</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87.18%</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89.5%</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90.02%</w:t>
            </w:r>
          </w:p>
        </w:tc>
        <w:tc>
          <w:tcPr>
            <w:tcW w:w="1924" w:type="dxa"/>
            <w:tcBorders>
              <w:top w:val="single" w:sz="4" w:space="0" w:color="auto"/>
              <w:bottom w:val="single" w:sz="4" w:space="0" w:color="auto"/>
            </w:tcBorders>
            <w:shd w:val="clear" w:color="auto" w:fill="E5B8B7" w:themeFill="accent2" w:themeFillTint="66"/>
            <w:vAlign w:val="bottom"/>
          </w:tcPr>
          <w:p>
            <w:pPr>
              <w:spacing w:before="0"/>
              <w:jc w:val="center"/>
              <w:rPr>
                <w:noProof/>
                <w:sz w:val="20"/>
              </w:rPr>
            </w:pPr>
            <w:r>
              <w:rPr>
                <w:noProof/>
                <w:sz w:val="20"/>
              </w:rPr>
              <w:t>100%</w:t>
            </w:r>
          </w:p>
        </w:tc>
      </w:tr>
      <w:tr>
        <w:tc>
          <w:tcPr>
            <w:tcW w:w="1854" w:type="dxa"/>
          </w:tcPr>
          <w:p>
            <w:pPr>
              <w:spacing w:before="0"/>
              <w:jc w:val="center"/>
              <w:rPr>
                <w:noProof/>
                <w:sz w:val="20"/>
              </w:rPr>
            </w:pPr>
            <w:r>
              <w:rPr>
                <w:noProof/>
                <w:sz w:val="20"/>
              </w:rPr>
              <w:t>Denmark</w:t>
            </w:r>
          </w:p>
        </w:tc>
        <w:tc>
          <w:tcPr>
            <w:tcW w:w="1245" w:type="dxa"/>
            <w:tcBorders>
              <w:top w:val="single" w:sz="4" w:space="0" w:color="auto"/>
              <w:bottom w:val="single" w:sz="4" w:space="0" w:color="auto"/>
            </w:tcBorders>
          </w:tcPr>
          <w:p>
            <w:pPr>
              <w:spacing w:before="0"/>
              <w:jc w:val="center"/>
              <w:rPr>
                <w:noProof/>
                <w:sz w:val="20"/>
              </w:rPr>
            </w:pPr>
            <w:r>
              <w:rPr>
                <w:noProof/>
                <w:sz w:val="20"/>
              </w:rPr>
              <w:t>100%</w:t>
            </w:r>
          </w:p>
        </w:tc>
        <w:tc>
          <w:tcPr>
            <w:tcW w:w="1245" w:type="dxa"/>
            <w:tcBorders>
              <w:top w:val="single" w:sz="4" w:space="0" w:color="auto"/>
              <w:bottom w:val="single" w:sz="4" w:space="0" w:color="auto"/>
            </w:tcBorders>
          </w:tcPr>
          <w:p>
            <w:pPr>
              <w:spacing w:before="0"/>
              <w:jc w:val="center"/>
              <w:rPr>
                <w:noProof/>
                <w:sz w:val="20"/>
              </w:rPr>
            </w:pPr>
            <w:r>
              <w:rPr>
                <w:noProof/>
                <w:sz w:val="20"/>
              </w:rPr>
              <w:t>100%</w:t>
            </w:r>
          </w:p>
        </w:tc>
        <w:tc>
          <w:tcPr>
            <w:tcW w:w="1245" w:type="dxa"/>
            <w:tcBorders>
              <w:top w:val="single" w:sz="4" w:space="0" w:color="auto"/>
              <w:bottom w:val="single" w:sz="4" w:space="0" w:color="auto"/>
            </w:tcBorders>
          </w:tcPr>
          <w:p>
            <w:pPr>
              <w:spacing w:before="0"/>
              <w:jc w:val="center"/>
              <w:rPr>
                <w:noProof/>
                <w:sz w:val="20"/>
              </w:rPr>
            </w:pPr>
            <w:r>
              <w:rPr>
                <w:noProof/>
                <w:sz w:val="20"/>
              </w:rPr>
              <w:t>100%</w:t>
            </w:r>
          </w:p>
        </w:tc>
        <w:tc>
          <w:tcPr>
            <w:tcW w:w="1924" w:type="dxa"/>
            <w:tcBorders>
              <w:top w:val="single" w:sz="4" w:space="0" w:color="auto"/>
              <w:bottom w:val="single" w:sz="4" w:space="0" w:color="auto"/>
            </w:tcBorders>
            <w:shd w:val="clear" w:color="auto" w:fill="E5B8B7" w:themeFill="accent2" w:themeFillTint="66"/>
          </w:tcPr>
          <w:p>
            <w:pPr>
              <w:spacing w:before="0"/>
              <w:jc w:val="center"/>
              <w:rPr>
                <w:noProof/>
                <w:sz w:val="20"/>
              </w:rPr>
            </w:pPr>
            <w:r>
              <w:rPr>
                <w:noProof/>
                <w:sz w:val="20"/>
              </w:rPr>
              <w:t>100%</w:t>
            </w:r>
          </w:p>
        </w:tc>
      </w:tr>
      <w:tr>
        <w:tc>
          <w:tcPr>
            <w:tcW w:w="1854" w:type="dxa"/>
          </w:tcPr>
          <w:p>
            <w:pPr>
              <w:spacing w:before="0"/>
              <w:jc w:val="center"/>
              <w:rPr>
                <w:noProof/>
                <w:sz w:val="20"/>
              </w:rPr>
            </w:pPr>
            <w:r>
              <w:rPr>
                <w:noProof/>
                <w:sz w:val="20"/>
              </w:rPr>
              <w:t>Hungary</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84.35%</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84.16%</w:t>
            </w:r>
          </w:p>
        </w:tc>
        <w:tc>
          <w:tcPr>
            <w:tcW w:w="1245" w:type="dxa"/>
            <w:tcBorders>
              <w:top w:val="single" w:sz="4" w:space="0" w:color="auto"/>
              <w:bottom w:val="single" w:sz="4" w:space="0" w:color="auto"/>
            </w:tcBorders>
            <w:vAlign w:val="bottom"/>
          </w:tcPr>
          <w:p>
            <w:pPr>
              <w:spacing w:before="0"/>
              <w:jc w:val="center"/>
              <w:rPr>
                <w:noProof/>
                <w:sz w:val="20"/>
              </w:rPr>
            </w:pPr>
          </w:p>
        </w:tc>
        <w:tc>
          <w:tcPr>
            <w:tcW w:w="1924" w:type="dxa"/>
            <w:tcBorders>
              <w:top w:val="single" w:sz="4" w:space="0" w:color="auto"/>
              <w:bottom w:val="single" w:sz="4" w:space="0" w:color="auto"/>
            </w:tcBorders>
            <w:shd w:val="clear" w:color="auto" w:fill="E5B8B7" w:themeFill="accent2" w:themeFillTint="66"/>
            <w:vAlign w:val="bottom"/>
          </w:tcPr>
          <w:p>
            <w:pPr>
              <w:spacing w:before="0"/>
              <w:jc w:val="center"/>
              <w:rPr>
                <w:noProof/>
                <w:sz w:val="20"/>
              </w:rPr>
            </w:pPr>
            <w:r>
              <w:rPr>
                <w:noProof/>
                <w:sz w:val="20"/>
              </w:rPr>
              <w:t>100%</w:t>
            </w:r>
          </w:p>
        </w:tc>
      </w:tr>
      <w:tr>
        <w:tc>
          <w:tcPr>
            <w:tcW w:w="1854" w:type="dxa"/>
          </w:tcPr>
          <w:p>
            <w:pPr>
              <w:spacing w:before="0"/>
              <w:jc w:val="center"/>
              <w:rPr>
                <w:noProof/>
                <w:sz w:val="20"/>
              </w:rPr>
            </w:pPr>
            <w:r>
              <w:rPr>
                <w:noProof/>
                <w:sz w:val="20"/>
              </w:rPr>
              <w:t>Poland</w:t>
            </w:r>
          </w:p>
        </w:tc>
        <w:tc>
          <w:tcPr>
            <w:tcW w:w="1245" w:type="dxa"/>
            <w:tcBorders>
              <w:top w:val="single" w:sz="4" w:space="0" w:color="auto"/>
              <w:bottom w:val="single" w:sz="4" w:space="0" w:color="auto"/>
            </w:tcBorders>
            <w:vAlign w:val="bottom"/>
          </w:tcPr>
          <w:p>
            <w:pPr>
              <w:spacing w:before="0"/>
              <w:jc w:val="center"/>
              <w:rPr>
                <w:noProof/>
                <w:sz w:val="20"/>
              </w:rPr>
            </w:pPr>
          </w:p>
        </w:tc>
        <w:tc>
          <w:tcPr>
            <w:tcW w:w="1245" w:type="dxa"/>
            <w:tcBorders>
              <w:top w:val="single" w:sz="4" w:space="0" w:color="auto"/>
              <w:bottom w:val="single" w:sz="4" w:space="0" w:color="auto"/>
            </w:tcBorders>
            <w:vAlign w:val="bottom"/>
          </w:tcPr>
          <w:p>
            <w:pPr>
              <w:spacing w:before="0"/>
              <w:jc w:val="center"/>
              <w:rPr>
                <w:noProof/>
                <w:sz w:val="20"/>
              </w:rPr>
            </w:pPr>
          </w:p>
        </w:tc>
        <w:tc>
          <w:tcPr>
            <w:tcW w:w="1245" w:type="dxa"/>
            <w:tcBorders>
              <w:top w:val="single" w:sz="4" w:space="0" w:color="auto"/>
              <w:bottom w:val="single" w:sz="4" w:space="0" w:color="auto"/>
            </w:tcBorders>
            <w:vAlign w:val="bottom"/>
          </w:tcPr>
          <w:p>
            <w:pPr>
              <w:spacing w:before="0"/>
              <w:jc w:val="center"/>
              <w:rPr>
                <w:noProof/>
                <w:sz w:val="20"/>
              </w:rPr>
            </w:pPr>
          </w:p>
        </w:tc>
        <w:tc>
          <w:tcPr>
            <w:tcW w:w="1924" w:type="dxa"/>
            <w:tcBorders>
              <w:top w:val="single" w:sz="4" w:space="0" w:color="auto"/>
              <w:bottom w:val="single" w:sz="4" w:space="0" w:color="auto"/>
            </w:tcBorders>
            <w:shd w:val="clear" w:color="auto" w:fill="E5B8B7" w:themeFill="accent2" w:themeFillTint="66"/>
          </w:tcPr>
          <w:p>
            <w:pPr>
              <w:spacing w:before="0"/>
              <w:jc w:val="center"/>
              <w:rPr>
                <w:noProof/>
                <w:sz w:val="20"/>
              </w:rPr>
            </w:pPr>
            <w:r>
              <w:rPr>
                <w:noProof/>
                <w:sz w:val="20"/>
              </w:rPr>
              <w:t>100%</w:t>
            </w:r>
          </w:p>
        </w:tc>
      </w:tr>
      <w:tr>
        <w:tc>
          <w:tcPr>
            <w:tcW w:w="1854" w:type="dxa"/>
          </w:tcPr>
          <w:p>
            <w:pPr>
              <w:spacing w:before="0"/>
              <w:jc w:val="center"/>
              <w:rPr>
                <w:noProof/>
                <w:sz w:val="20"/>
              </w:rPr>
            </w:pPr>
            <w:r>
              <w:rPr>
                <w:noProof/>
                <w:sz w:val="20"/>
              </w:rPr>
              <w:t>Romania</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44.66%</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46.01%</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45.38%</w:t>
            </w:r>
          </w:p>
        </w:tc>
        <w:tc>
          <w:tcPr>
            <w:tcW w:w="1924" w:type="dxa"/>
            <w:tcBorders>
              <w:top w:val="single" w:sz="4" w:space="0" w:color="auto"/>
              <w:bottom w:val="single" w:sz="4" w:space="0" w:color="auto"/>
            </w:tcBorders>
            <w:shd w:val="clear" w:color="auto" w:fill="E5B8B7" w:themeFill="accent2" w:themeFillTint="66"/>
          </w:tcPr>
          <w:p>
            <w:pPr>
              <w:spacing w:before="0"/>
              <w:jc w:val="center"/>
              <w:rPr>
                <w:noProof/>
                <w:sz w:val="20"/>
              </w:rPr>
            </w:pPr>
            <w:r>
              <w:rPr>
                <w:noProof/>
                <w:sz w:val="20"/>
              </w:rPr>
              <w:t>Partially compliant</w:t>
            </w:r>
          </w:p>
        </w:tc>
      </w:tr>
      <w:tr>
        <w:tc>
          <w:tcPr>
            <w:tcW w:w="1854" w:type="dxa"/>
          </w:tcPr>
          <w:p>
            <w:pPr>
              <w:spacing w:before="0"/>
              <w:jc w:val="center"/>
              <w:rPr>
                <w:noProof/>
                <w:sz w:val="20"/>
              </w:rPr>
            </w:pPr>
            <w:r>
              <w:rPr>
                <w:noProof/>
                <w:sz w:val="20"/>
              </w:rPr>
              <w:t>Sweden</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95%</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95%</w:t>
            </w:r>
          </w:p>
        </w:tc>
        <w:tc>
          <w:tcPr>
            <w:tcW w:w="1245" w:type="dxa"/>
            <w:tcBorders>
              <w:top w:val="single" w:sz="4" w:space="0" w:color="auto"/>
              <w:bottom w:val="single" w:sz="4" w:space="0" w:color="auto"/>
            </w:tcBorders>
            <w:vAlign w:val="bottom"/>
          </w:tcPr>
          <w:p>
            <w:pPr>
              <w:spacing w:before="0"/>
              <w:jc w:val="center"/>
              <w:rPr>
                <w:noProof/>
                <w:sz w:val="20"/>
              </w:rPr>
            </w:pPr>
          </w:p>
        </w:tc>
        <w:tc>
          <w:tcPr>
            <w:tcW w:w="1924" w:type="dxa"/>
            <w:tcBorders>
              <w:top w:val="single" w:sz="4" w:space="0" w:color="auto"/>
              <w:bottom w:val="single" w:sz="4" w:space="0" w:color="auto"/>
            </w:tcBorders>
            <w:shd w:val="clear" w:color="auto" w:fill="E5B8B7" w:themeFill="accent2" w:themeFillTint="66"/>
          </w:tcPr>
          <w:p>
            <w:pPr>
              <w:spacing w:before="0"/>
              <w:jc w:val="center"/>
              <w:rPr>
                <w:noProof/>
                <w:sz w:val="20"/>
              </w:rPr>
            </w:pPr>
            <w:r>
              <w:rPr>
                <w:noProof/>
                <w:sz w:val="20"/>
              </w:rPr>
              <w:t>99%</w:t>
            </w:r>
          </w:p>
        </w:tc>
      </w:tr>
      <w:tr>
        <w:trPr>
          <w:trHeight w:val="240"/>
        </w:trPr>
        <w:tc>
          <w:tcPr>
            <w:tcW w:w="1854" w:type="dxa"/>
          </w:tcPr>
          <w:p>
            <w:pPr>
              <w:spacing w:before="0"/>
              <w:jc w:val="center"/>
              <w:rPr>
                <w:noProof/>
                <w:sz w:val="20"/>
              </w:rPr>
            </w:pPr>
            <w:r>
              <w:rPr>
                <w:noProof/>
                <w:sz w:val="20"/>
              </w:rPr>
              <w:t>United Kingdom</w:t>
            </w:r>
          </w:p>
        </w:tc>
        <w:tc>
          <w:tcPr>
            <w:tcW w:w="1245" w:type="dxa"/>
            <w:tcBorders>
              <w:top w:val="single" w:sz="4" w:space="0" w:color="auto"/>
              <w:bottom w:val="single" w:sz="4" w:space="0" w:color="auto"/>
            </w:tcBorders>
          </w:tcPr>
          <w:p>
            <w:pPr>
              <w:spacing w:before="0"/>
              <w:jc w:val="center"/>
              <w:rPr>
                <w:noProof/>
                <w:sz w:val="20"/>
              </w:rPr>
            </w:pPr>
            <w:r>
              <w:rPr>
                <w:noProof/>
                <w:sz w:val="20"/>
              </w:rPr>
              <w:t>100%</w:t>
            </w:r>
          </w:p>
        </w:tc>
        <w:tc>
          <w:tcPr>
            <w:tcW w:w="1245" w:type="dxa"/>
            <w:tcBorders>
              <w:top w:val="single" w:sz="4" w:space="0" w:color="auto"/>
              <w:bottom w:val="single" w:sz="4" w:space="0" w:color="auto"/>
            </w:tcBorders>
          </w:tcPr>
          <w:p>
            <w:pPr>
              <w:spacing w:before="0"/>
              <w:jc w:val="center"/>
              <w:rPr>
                <w:noProof/>
                <w:sz w:val="20"/>
              </w:rPr>
            </w:pPr>
            <w:r>
              <w:rPr>
                <w:noProof/>
                <w:sz w:val="20"/>
              </w:rPr>
              <w:t>100%</w:t>
            </w:r>
          </w:p>
        </w:tc>
        <w:tc>
          <w:tcPr>
            <w:tcW w:w="1245" w:type="dxa"/>
            <w:tcBorders>
              <w:top w:val="single" w:sz="4" w:space="0" w:color="auto"/>
              <w:bottom w:val="single" w:sz="4" w:space="0" w:color="auto"/>
            </w:tcBorders>
          </w:tcPr>
          <w:p>
            <w:pPr>
              <w:spacing w:before="0"/>
              <w:jc w:val="center"/>
              <w:rPr>
                <w:noProof/>
                <w:sz w:val="20"/>
              </w:rPr>
            </w:pPr>
            <w:r>
              <w:rPr>
                <w:noProof/>
                <w:sz w:val="20"/>
              </w:rPr>
              <w:t>100%</w:t>
            </w:r>
          </w:p>
        </w:tc>
        <w:tc>
          <w:tcPr>
            <w:tcW w:w="1924" w:type="dxa"/>
            <w:tcBorders>
              <w:top w:val="single" w:sz="4" w:space="0" w:color="auto"/>
              <w:bottom w:val="single" w:sz="4" w:space="0" w:color="auto"/>
            </w:tcBorders>
            <w:shd w:val="clear" w:color="auto" w:fill="E5B8B7" w:themeFill="accent2" w:themeFillTint="66"/>
          </w:tcPr>
          <w:p>
            <w:pPr>
              <w:spacing w:before="0"/>
              <w:jc w:val="center"/>
              <w:rPr>
                <w:noProof/>
                <w:sz w:val="20"/>
              </w:rPr>
            </w:pPr>
            <w:r>
              <w:rPr>
                <w:noProof/>
                <w:sz w:val="20"/>
              </w:rPr>
              <w:t>100%</w:t>
            </w:r>
          </w:p>
        </w:tc>
      </w:tr>
    </w:tbl>
    <w:p>
      <w:pPr>
        <w:rPr>
          <w:noProof/>
        </w:rPr>
      </w:pPr>
      <w:r>
        <w:rPr>
          <w:b/>
          <w:noProof/>
          <w:u w:val="single"/>
        </w:rPr>
        <w:t>Table 5</w:t>
      </w:r>
      <w:r>
        <w:rPr>
          <w:b/>
          <w:noProof/>
        </w:rPr>
        <w:t>:</w:t>
      </w:r>
      <w:r>
        <w:rPr>
          <w:noProof/>
        </w:rPr>
        <w:t xml:space="preserve"> Evolution of SDD migration rates from 2013 to today for euro area Member States</w:t>
      </w:r>
    </w:p>
    <w:tbl>
      <w:tblPr>
        <w:tblStyle w:val="TableGrid"/>
        <w:tblW w:w="0" w:type="auto"/>
        <w:tblInd w:w="-34" w:type="dxa"/>
        <w:tblLook w:val="04A0" w:firstRow="1" w:lastRow="0" w:firstColumn="1" w:lastColumn="0" w:noHBand="0" w:noVBand="1"/>
      </w:tblPr>
      <w:tblGrid>
        <w:gridCol w:w="1769"/>
        <w:gridCol w:w="1187"/>
        <w:gridCol w:w="1187"/>
        <w:gridCol w:w="1207"/>
        <w:gridCol w:w="1208"/>
        <w:gridCol w:w="1213"/>
        <w:gridCol w:w="1209"/>
      </w:tblGrid>
      <w:tr>
        <w:tc>
          <w:tcPr>
            <w:tcW w:w="1769" w:type="dxa"/>
            <w:vAlign w:val="center"/>
          </w:tcPr>
          <w:p>
            <w:pPr>
              <w:spacing w:before="0"/>
              <w:jc w:val="center"/>
              <w:rPr>
                <w:b/>
                <w:noProof/>
                <w:sz w:val="20"/>
              </w:rPr>
            </w:pPr>
            <w:r>
              <w:rPr>
                <w:b/>
                <w:noProof/>
                <w:sz w:val="20"/>
              </w:rPr>
              <w:t>Euro area</w:t>
            </w:r>
          </w:p>
        </w:tc>
        <w:tc>
          <w:tcPr>
            <w:tcW w:w="1187" w:type="dxa"/>
            <w:tcBorders>
              <w:top w:val="single" w:sz="4" w:space="0" w:color="auto"/>
              <w:bottom w:val="single" w:sz="4" w:space="0" w:color="auto"/>
            </w:tcBorders>
            <w:vAlign w:val="center"/>
          </w:tcPr>
          <w:p>
            <w:pPr>
              <w:spacing w:before="0"/>
              <w:jc w:val="center"/>
              <w:rPr>
                <w:b/>
                <w:noProof/>
                <w:sz w:val="20"/>
              </w:rPr>
            </w:pPr>
            <w:r>
              <w:rPr>
                <w:b/>
                <w:noProof/>
                <w:sz w:val="20"/>
              </w:rPr>
              <w:t>Q1 2013</w:t>
            </w:r>
          </w:p>
        </w:tc>
        <w:tc>
          <w:tcPr>
            <w:tcW w:w="1187" w:type="dxa"/>
            <w:tcBorders>
              <w:top w:val="single" w:sz="4" w:space="0" w:color="auto"/>
              <w:bottom w:val="single" w:sz="4" w:space="0" w:color="auto"/>
            </w:tcBorders>
            <w:vAlign w:val="center"/>
          </w:tcPr>
          <w:p>
            <w:pPr>
              <w:spacing w:before="0"/>
              <w:jc w:val="center"/>
              <w:rPr>
                <w:b/>
                <w:noProof/>
                <w:sz w:val="20"/>
              </w:rPr>
            </w:pPr>
            <w:r>
              <w:rPr>
                <w:b/>
                <w:noProof/>
                <w:sz w:val="20"/>
              </w:rPr>
              <w:t>Q4 2013</w:t>
            </w:r>
          </w:p>
        </w:tc>
        <w:tc>
          <w:tcPr>
            <w:tcW w:w="1207" w:type="dxa"/>
            <w:tcBorders>
              <w:top w:val="single" w:sz="4" w:space="0" w:color="auto"/>
              <w:bottom w:val="single" w:sz="4" w:space="0" w:color="auto"/>
            </w:tcBorders>
            <w:vAlign w:val="center"/>
          </w:tcPr>
          <w:p>
            <w:pPr>
              <w:tabs>
                <w:tab w:val="left" w:pos="269"/>
                <w:tab w:val="center" w:pos="514"/>
              </w:tabs>
              <w:spacing w:before="0"/>
              <w:jc w:val="center"/>
              <w:rPr>
                <w:b/>
                <w:noProof/>
                <w:sz w:val="20"/>
              </w:rPr>
            </w:pPr>
            <w:r>
              <w:rPr>
                <w:b/>
                <w:noProof/>
                <w:sz w:val="20"/>
              </w:rPr>
              <w:t>Jan.2014</w:t>
            </w:r>
          </w:p>
        </w:tc>
        <w:tc>
          <w:tcPr>
            <w:tcW w:w="1208" w:type="dxa"/>
            <w:tcBorders>
              <w:top w:val="single" w:sz="4" w:space="0" w:color="auto"/>
              <w:bottom w:val="single" w:sz="4" w:space="0" w:color="auto"/>
            </w:tcBorders>
            <w:shd w:val="clear" w:color="auto" w:fill="FFC000"/>
            <w:vAlign w:val="center"/>
          </w:tcPr>
          <w:p>
            <w:pPr>
              <w:spacing w:before="0"/>
              <w:jc w:val="center"/>
              <w:rPr>
                <w:b/>
                <w:noProof/>
                <w:sz w:val="20"/>
              </w:rPr>
            </w:pPr>
            <w:r>
              <w:rPr>
                <w:b/>
                <w:noProof/>
                <w:sz w:val="20"/>
              </w:rPr>
              <w:t>Feb.2014</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b/>
                <w:noProof/>
                <w:sz w:val="20"/>
              </w:rPr>
            </w:pPr>
            <w:r>
              <w:rPr>
                <w:b/>
                <w:noProof/>
                <w:sz w:val="20"/>
              </w:rPr>
              <w:t>Aug.2014</w:t>
            </w:r>
          </w:p>
        </w:tc>
        <w:tc>
          <w:tcPr>
            <w:tcW w:w="1209" w:type="dxa"/>
            <w:tcBorders>
              <w:top w:val="single" w:sz="4" w:space="0" w:color="auto"/>
              <w:bottom w:val="single" w:sz="4" w:space="0" w:color="auto"/>
            </w:tcBorders>
            <w:vAlign w:val="center"/>
          </w:tcPr>
          <w:p>
            <w:pPr>
              <w:spacing w:before="0"/>
              <w:jc w:val="center"/>
              <w:rPr>
                <w:b/>
                <w:noProof/>
                <w:sz w:val="20"/>
              </w:rPr>
            </w:pPr>
            <w:r>
              <w:rPr>
                <w:b/>
                <w:noProof/>
                <w:sz w:val="20"/>
              </w:rPr>
              <w:t>Dec.2016</w:t>
            </w:r>
          </w:p>
        </w:tc>
      </w:tr>
      <w:tr>
        <w:tc>
          <w:tcPr>
            <w:tcW w:w="1769" w:type="dxa"/>
            <w:vAlign w:val="center"/>
          </w:tcPr>
          <w:p>
            <w:pPr>
              <w:spacing w:before="0"/>
              <w:jc w:val="center"/>
              <w:rPr>
                <w:noProof/>
                <w:sz w:val="20"/>
              </w:rPr>
            </w:pPr>
            <w:r>
              <w:rPr>
                <w:noProof/>
                <w:sz w:val="20"/>
              </w:rPr>
              <w:t>Austria</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11.15%</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34.65%</w:t>
            </w:r>
          </w:p>
        </w:tc>
        <w:tc>
          <w:tcPr>
            <w:tcW w:w="120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73.95%</w:t>
            </w:r>
          </w:p>
        </w:tc>
        <w:tc>
          <w:tcPr>
            <w:tcW w:w="1208" w:type="dxa"/>
            <w:tcBorders>
              <w:top w:val="single" w:sz="4" w:space="0" w:color="auto"/>
              <w:bottom w:val="single" w:sz="4" w:space="0" w:color="auto"/>
            </w:tcBorders>
            <w:shd w:val="clear" w:color="auto" w:fill="FFC000"/>
            <w:vAlign w:val="center"/>
          </w:tcPr>
          <w:p>
            <w:pPr>
              <w:spacing w:before="0"/>
              <w:jc w:val="center"/>
              <w:rPr>
                <w:noProof/>
                <w:color w:val="000000"/>
                <w:sz w:val="20"/>
              </w:rPr>
            </w:pPr>
            <w:r>
              <w:rPr>
                <w:noProof/>
                <w:color w:val="000000"/>
                <w:sz w:val="20"/>
              </w:rPr>
              <w:t>87.89%</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99%</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Belgium</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19.17%</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38.54%</w:t>
            </w:r>
          </w:p>
        </w:tc>
        <w:tc>
          <w:tcPr>
            <w:tcW w:w="120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64.09%</w:t>
            </w:r>
          </w:p>
        </w:tc>
        <w:tc>
          <w:tcPr>
            <w:tcW w:w="1208" w:type="dxa"/>
            <w:tcBorders>
              <w:top w:val="single" w:sz="4" w:space="0" w:color="auto"/>
              <w:bottom w:val="single" w:sz="4" w:space="0" w:color="auto"/>
            </w:tcBorders>
            <w:shd w:val="clear" w:color="auto" w:fill="FFC000"/>
            <w:vAlign w:val="center"/>
          </w:tcPr>
          <w:p>
            <w:pPr>
              <w:spacing w:before="0"/>
              <w:jc w:val="center"/>
              <w:rPr>
                <w:noProof/>
                <w:color w:val="000000"/>
                <w:sz w:val="20"/>
              </w:rPr>
            </w:pPr>
            <w:r>
              <w:rPr>
                <w:noProof/>
                <w:color w:val="000000"/>
                <w:sz w:val="20"/>
              </w:rPr>
              <w:t>89.89%</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Cyprus</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0%</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0%</w:t>
            </w:r>
          </w:p>
        </w:tc>
        <w:tc>
          <w:tcPr>
            <w:tcW w:w="120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0%</w:t>
            </w:r>
          </w:p>
        </w:tc>
        <w:tc>
          <w:tcPr>
            <w:tcW w:w="1208" w:type="dxa"/>
            <w:tcBorders>
              <w:top w:val="single" w:sz="4" w:space="0" w:color="auto"/>
              <w:bottom w:val="single" w:sz="4" w:space="0" w:color="auto"/>
            </w:tcBorders>
            <w:shd w:val="clear" w:color="auto" w:fill="FFC000"/>
            <w:vAlign w:val="center"/>
          </w:tcPr>
          <w:p>
            <w:pPr>
              <w:spacing w:before="0"/>
              <w:jc w:val="center"/>
              <w:rPr>
                <w:noProof/>
                <w:color w:val="000000"/>
                <w:sz w:val="20"/>
              </w:rPr>
            </w:pPr>
            <w:r>
              <w:rPr>
                <w:noProof/>
                <w:color w:val="000000"/>
                <w:sz w:val="20"/>
              </w:rPr>
              <w:t>0%</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Estonia</w:t>
            </w:r>
          </w:p>
        </w:tc>
        <w:tc>
          <w:tcPr>
            <w:tcW w:w="1187" w:type="dxa"/>
            <w:tcBorders>
              <w:top w:val="single" w:sz="4" w:space="0" w:color="auto"/>
              <w:bottom w:val="single" w:sz="4" w:space="0" w:color="auto"/>
            </w:tcBorders>
            <w:vAlign w:val="center"/>
          </w:tcPr>
          <w:p>
            <w:pPr>
              <w:spacing w:before="0"/>
              <w:jc w:val="center"/>
              <w:rPr>
                <w:noProof/>
                <w:sz w:val="20"/>
              </w:rPr>
            </w:pPr>
          </w:p>
        </w:tc>
        <w:tc>
          <w:tcPr>
            <w:tcW w:w="1187" w:type="dxa"/>
            <w:tcBorders>
              <w:top w:val="single" w:sz="4" w:space="0" w:color="auto"/>
              <w:bottom w:val="single" w:sz="4" w:space="0" w:color="auto"/>
            </w:tcBorders>
            <w:vAlign w:val="center"/>
          </w:tcPr>
          <w:p>
            <w:pPr>
              <w:spacing w:before="0"/>
              <w:jc w:val="center"/>
              <w:rPr>
                <w:noProof/>
                <w:sz w:val="20"/>
              </w:rPr>
            </w:pPr>
          </w:p>
        </w:tc>
        <w:tc>
          <w:tcPr>
            <w:tcW w:w="1207" w:type="dxa"/>
            <w:tcBorders>
              <w:top w:val="single" w:sz="4" w:space="0" w:color="auto"/>
              <w:bottom w:val="single" w:sz="4" w:space="0" w:color="auto"/>
            </w:tcBorders>
            <w:vAlign w:val="center"/>
          </w:tcPr>
          <w:p>
            <w:pPr>
              <w:spacing w:before="0"/>
              <w:jc w:val="center"/>
              <w:rPr>
                <w:noProof/>
                <w:sz w:val="20"/>
              </w:rPr>
            </w:pP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N/A</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N/A</w:t>
            </w:r>
          </w:p>
        </w:tc>
      </w:tr>
      <w:tr>
        <w:tc>
          <w:tcPr>
            <w:tcW w:w="1769" w:type="dxa"/>
            <w:vAlign w:val="center"/>
          </w:tcPr>
          <w:p>
            <w:pPr>
              <w:spacing w:before="0"/>
              <w:jc w:val="center"/>
              <w:rPr>
                <w:noProof/>
                <w:sz w:val="20"/>
              </w:rPr>
            </w:pPr>
            <w:r>
              <w:rPr>
                <w:noProof/>
                <w:sz w:val="20"/>
              </w:rPr>
              <w:t>Finland</w:t>
            </w:r>
          </w:p>
        </w:tc>
        <w:tc>
          <w:tcPr>
            <w:tcW w:w="1187" w:type="dxa"/>
            <w:tcBorders>
              <w:top w:val="single" w:sz="4" w:space="0" w:color="auto"/>
              <w:bottom w:val="single" w:sz="4" w:space="0" w:color="auto"/>
            </w:tcBorders>
            <w:vAlign w:val="center"/>
          </w:tcPr>
          <w:p>
            <w:pPr>
              <w:spacing w:before="0"/>
              <w:jc w:val="center"/>
              <w:rPr>
                <w:noProof/>
                <w:sz w:val="20"/>
              </w:rPr>
            </w:pPr>
          </w:p>
        </w:tc>
        <w:tc>
          <w:tcPr>
            <w:tcW w:w="1187" w:type="dxa"/>
            <w:tcBorders>
              <w:top w:val="single" w:sz="4" w:space="0" w:color="auto"/>
              <w:bottom w:val="single" w:sz="4" w:space="0" w:color="auto"/>
            </w:tcBorders>
            <w:vAlign w:val="center"/>
          </w:tcPr>
          <w:p>
            <w:pPr>
              <w:spacing w:before="0"/>
              <w:jc w:val="center"/>
              <w:rPr>
                <w:noProof/>
                <w:sz w:val="20"/>
              </w:rPr>
            </w:pPr>
          </w:p>
        </w:tc>
        <w:tc>
          <w:tcPr>
            <w:tcW w:w="1207" w:type="dxa"/>
            <w:tcBorders>
              <w:top w:val="single" w:sz="4" w:space="0" w:color="auto"/>
              <w:bottom w:val="single" w:sz="4" w:space="0" w:color="auto"/>
            </w:tcBorders>
            <w:vAlign w:val="center"/>
          </w:tcPr>
          <w:p>
            <w:pPr>
              <w:spacing w:before="0"/>
              <w:jc w:val="center"/>
              <w:rPr>
                <w:noProof/>
                <w:sz w:val="20"/>
              </w:rPr>
            </w:pP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N/A</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N/A</w:t>
            </w:r>
          </w:p>
        </w:tc>
      </w:tr>
      <w:tr>
        <w:tc>
          <w:tcPr>
            <w:tcW w:w="1769" w:type="dxa"/>
            <w:vAlign w:val="center"/>
          </w:tcPr>
          <w:p>
            <w:pPr>
              <w:spacing w:before="0"/>
              <w:jc w:val="center"/>
              <w:rPr>
                <w:noProof/>
                <w:sz w:val="20"/>
              </w:rPr>
            </w:pPr>
            <w:r>
              <w:rPr>
                <w:noProof/>
                <w:sz w:val="20"/>
              </w:rPr>
              <w:t>France</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0.78%</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17.94%</w:t>
            </w:r>
          </w:p>
        </w:tc>
        <w:tc>
          <w:tcPr>
            <w:tcW w:w="120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72.51%</w:t>
            </w:r>
          </w:p>
        </w:tc>
        <w:tc>
          <w:tcPr>
            <w:tcW w:w="1208" w:type="dxa"/>
            <w:tcBorders>
              <w:top w:val="single" w:sz="4" w:space="0" w:color="auto"/>
              <w:bottom w:val="single" w:sz="4" w:space="0" w:color="auto"/>
            </w:tcBorders>
            <w:shd w:val="clear" w:color="auto" w:fill="FFC000"/>
            <w:vAlign w:val="center"/>
          </w:tcPr>
          <w:p>
            <w:pPr>
              <w:spacing w:before="0"/>
              <w:jc w:val="center"/>
              <w:rPr>
                <w:noProof/>
                <w:color w:val="000000"/>
                <w:sz w:val="20"/>
              </w:rPr>
            </w:pPr>
            <w:r>
              <w:rPr>
                <w:noProof/>
                <w:color w:val="000000"/>
                <w:sz w:val="20"/>
              </w:rPr>
              <w:t>87.02%</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Germany</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0.14%</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10.51%</w:t>
            </w:r>
          </w:p>
        </w:tc>
        <w:tc>
          <w:tcPr>
            <w:tcW w:w="120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29.4%</w:t>
            </w:r>
          </w:p>
        </w:tc>
        <w:tc>
          <w:tcPr>
            <w:tcW w:w="1208" w:type="dxa"/>
            <w:tcBorders>
              <w:top w:val="single" w:sz="4" w:space="0" w:color="auto"/>
              <w:bottom w:val="single" w:sz="4" w:space="0" w:color="auto"/>
            </w:tcBorders>
            <w:shd w:val="clear" w:color="auto" w:fill="FFC000"/>
            <w:vAlign w:val="center"/>
          </w:tcPr>
          <w:p>
            <w:pPr>
              <w:spacing w:before="0"/>
              <w:jc w:val="center"/>
              <w:rPr>
                <w:noProof/>
                <w:color w:val="000000"/>
                <w:sz w:val="20"/>
              </w:rPr>
            </w:pPr>
            <w:r>
              <w:rPr>
                <w:noProof/>
                <w:color w:val="000000"/>
                <w:sz w:val="20"/>
              </w:rPr>
              <w:t>53.4%</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Greece</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50.13%</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67.84%</w:t>
            </w:r>
          </w:p>
        </w:tc>
        <w:tc>
          <w:tcPr>
            <w:tcW w:w="120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70.1%</w:t>
            </w:r>
          </w:p>
        </w:tc>
        <w:tc>
          <w:tcPr>
            <w:tcW w:w="1208" w:type="dxa"/>
            <w:tcBorders>
              <w:top w:val="single" w:sz="4" w:space="0" w:color="auto"/>
              <w:bottom w:val="single" w:sz="4" w:space="0" w:color="auto"/>
            </w:tcBorders>
            <w:shd w:val="clear" w:color="auto" w:fill="FFC000"/>
            <w:vAlign w:val="center"/>
          </w:tcPr>
          <w:p>
            <w:pPr>
              <w:spacing w:before="0"/>
              <w:jc w:val="center"/>
              <w:rPr>
                <w:noProof/>
                <w:color w:val="000000"/>
                <w:sz w:val="20"/>
              </w:rPr>
            </w:pPr>
            <w:r>
              <w:rPr>
                <w:noProof/>
                <w:color w:val="000000"/>
                <w:sz w:val="20"/>
              </w:rPr>
              <w:t>69.53%</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99.64%</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Ireland</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0.42%</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22.09%</w:t>
            </w:r>
          </w:p>
        </w:tc>
        <w:tc>
          <w:tcPr>
            <w:tcW w:w="120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61.35%</w:t>
            </w:r>
          </w:p>
        </w:tc>
        <w:tc>
          <w:tcPr>
            <w:tcW w:w="1208" w:type="dxa"/>
            <w:tcBorders>
              <w:top w:val="single" w:sz="4" w:space="0" w:color="auto"/>
              <w:bottom w:val="single" w:sz="4" w:space="0" w:color="auto"/>
            </w:tcBorders>
            <w:shd w:val="clear" w:color="auto" w:fill="FFC000"/>
            <w:vAlign w:val="center"/>
          </w:tcPr>
          <w:p>
            <w:pPr>
              <w:spacing w:before="0"/>
              <w:jc w:val="center"/>
              <w:rPr>
                <w:noProof/>
                <w:color w:val="000000"/>
                <w:sz w:val="20"/>
              </w:rPr>
            </w:pPr>
            <w:r>
              <w:rPr>
                <w:noProof/>
                <w:color w:val="000000"/>
                <w:sz w:val="20"/>
              </w:rPr>
              <w:t>89.65%</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Italy</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0.01%</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2.83%</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34.3%</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53.28%</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Latvia</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0%</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0%</w:t>
            </w:r>
            <w:r>
              <w:rPr>
                <w:rStyle w:val="FootnoteReference"/>
                <w:noProof/>
                <w:color w:val="000000"/>
                <w:sz w:val="20"/>
              </w:rPr>
              <w:footnoteReference w:id="13"/>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N/A</w:t>
            </w:r>
          </w:p>
        </w:tc>
      </w:tr>
      <w:tr>
        <w:tc>
          <w:tcPr>
            <w:tcW w:w="1769" w:type="dxa"/>
            <w:vAlign w:val="center"/>
          </w:tcPr>
          <w:p>
            <w:pPr>
              <w:spacing w:before="0"/>
              <w:jc w:val="center"/>
              <w:rPr>
                <w:noProof/>
                <w:sz w:val="20"/>
              </w:rPr>
            </w:pPr>
            <w:r>
              <w:rPr>
                <w:noProof/>
                <w:sz w:val="20"/>
              </w:rPr>
              <w:t>Lithuania</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N/A</w:t>
            </w:r>
          </w:p>
        </w:tc>
      </w:tr>
      <w:tr>
        <w:tc>
          <w:tcPr>
            <w:tcW w:w="1769" w:type="dxa"/>
            <w:vAlign w:val="center"/>
          </w:tcPr>
          <w:p>
            <w:pPr>
              <w:spacing w:before="0"/>
              <w:jc w:val="center"/>
              <w:rPr>
                <w:noProof/>
                <w:sz w:val="20"/>
              </w:rPr>
            </w:pPr>
            <w:r>
              <w:rPr>
                <w:noProof/>
                <w:sz w:val="20"/>
              </w:rPr>
              <w:t>Luxembourg</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0.06%</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15.92%</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49.09%</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74.37%</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98.05%</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Malta</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23.35%</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47.79%</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The Netherlands</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0.01%</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32.62%</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73.62%</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84.38%</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99.81%</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Portugal</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0.1%</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7.55%</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26.68%</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53.14%</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99.88%</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Slovakia</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0.01%</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100%</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Slovenia</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86.81%</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99.33%</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100%</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100%</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w:t>
            </w:r>
          </w:p>
        </w:tc>
      </w:tr>
      <w:tr>
        <w:tc>
          <w:tcPr>
            <w:tcW w:w="1769" w:type="dxa"/>
            <w:vAlign w:val="center"/>
          </w:tcPr>
          <w:p>
            <w:pPr>
              <w:spacing w:before="0"/>
              <w:jc w:val="center"/>
              <w:rPr>
                <w:noProof/>
                <w:sz w:val="20"/>
              </w:rPr>
            </w:pPr>
            <w:r>
              <w:rPr>
                <w:noProof/>
                <w:sz w:val="20"/>
              </w:rPr>
              <w:t>Spain</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0.02%</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1.8%</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15.34%</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48.82%</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w:t>
            </w:r>
          </w:p>
        </w:tc>
      </w:tr>
    </w:tbl>
    <w:p>
      <w:pPr>
        <w:rPr>
          <w:noProof/>
        </w:rPr>
      </w:pPr>
      <w:r>
        <w:rPr>
          <w:b/>
          <w:noProof/>
          <w:u w:val="single"/>
        </w:rPr>
        <w:t>Table 6</w:t>
      </w:r>
      <w:r>
        <w:rPr>
          <w:b/>
          <w:noProof/>
        </w:rPr>
        <w:t>:</w:t>
      </w:r>
      <w:r>
        <w:rPr>
          <w:noProof/>
        </w:rPr>
        <w:t xml:space="preserve"> Evolution of SDD migration rates in 2015 and 2016 for non-euro area Member States</w:t>
      </w:r>
    </w:p>
    <w:tbl>
      <w:tblPr>
        <w:tblStyle w:val="TableGrid"/>
        <w:tblW w:w="0" w:type="auto"/>
        <w:tblInd w:w="-34" w:type="dxa"/>
        <w:tblLook w:val="04A0" w:firstRow="1" w:lastRow="0" w:firstColumn="1" w:lastColumn="0" w:noHBand="0" w:noVBand="1"/>
      </w:tblPr>
      <w:tblGrid>
        <w:gridCol w:w="1854"/>
        <w:gridCol w:w="1245"/>
        <w:gridCol w:w="1245"/>
        <w:gridCol w:w="1245"/>
        <w:gridCol w:w="1245"/>
      </w:tblGrid>
      <w:tr>
        <w:tc>
          <w:tcPr>
            <w:tcW w:w="1854" w:type="dxa"/>
            <w:vAlign w:val="center"/>
          </w:tcPr>
          <w:p>
            <w:pPr>
              <w:spacing w:before="0"/>
              <w:jc w:val="center"/>
              <w:rPr>
                <w:b/>
                <w:noProof/>
                <w:sz w:val="20"/>
              </w:rPr>
            </w:pPr>
            <w:r>
              <w:rPr>
                <w:b/>
                <w:noProof/>
                <w:sz w:val="20"/>
              </w:rPr>
              <w:t>Non Euro area</w:t>
            </w:r>
          </w:p>
        </w:tc>
        <w:tc>
          <w:tcPr>
            <w:tcW w:w="1245" w:type="dxa"/>
            <w:tcBorders>
              <w:top w:val="single" w:sz="4" w:space="0" w:color="auto"/>
              <w:bottom w:val="single" w:sz="4" w:space="0" w:color="auto"/>
            </w:tcBorders>
            <w:vAlign w:val="center"/>
          </w:tcPr>
          <w:p>
            <w:pPr>
              <w:spacing w:before="0"/>
              <w:jc w:val="center"/>
              <w:rPr>
                <w:b/>
                <w:noProof/>
                <w:sz w:val="20"/>
              </w:rPr>
            </w:pPr>
            <w:r>
              <w:rPr>
                <w:b/>
                <w:noProof/>
                <w:sz w:val="20"/>
              </w:rPr>
              <w:t>H2 2015</w:t>
            </w:r>
          </w:p>
        </w:tc>
        <w:tc>
          <w:tcPr>
            <w:tcW w:w="1245" w:type="dxa"/>
            <w:tcBorders>
              <w:top w:val="single" w:sz="4" w:space="0" w:color="auto"/>
              <w:bottom w:val="single" w:sz="4" w:space="0" w:color="auto"/>
            </w:tcBorders>
            <w:vAlign w:val="center"/>
          </w:tcPr>
          <w:p>
            <w:pPr>
              <w:spacing w:before="0"/>
              <w:jc w:val="center"/>
              <w:rPr>
                <w:b/>
                <w:noProof/>
                <w:sz w:val="20"/>
              </w:rPr>
            </w:pPr>
            <w:r>
              <w:rPr>
                <w:b/>
                <w:noProof/>
                <w:sz w:val="20"/>
              </w:rPr>
              <w:t>Q1 2016</w:t>
            </w:r>
          </w:p>
        </w:tc>
        <w:tc>
          <w:tcPr>
            <w:tcW w:w="1245" w:type="dxa"/>
            <w:tcBorders>
              <w:top w:val="single" w:sz="4" w:space="0" w:color="auto"/>
              <w:bottom w:val="single" w:sz="4" w:space="0" w:color="auto"/>
            </w:tcBorders>
            <w:vAlign w:val="center"/>
          </w:tcPr>
          <w:p>
            <w:pPr>
              <w:tabs>
                <w:tab w:val="left" w:pos="269"/>
                <w:tab w:val="center" w:pos="514"/>
              </w:tabs>
              <w:spacing w:before="0"/>
              <w:jc w:val="center"/>
              <w:rPr>
                <w:b/>
                <w:noProof/>
                <w:sz w:val="20"/>
              </w:rPr>
            </w:pPr>
            <w:r>
              <w:rPr>
                <w:b/>
                <w:noProof/>
                <w:sz w:val="20"/>
              </w:rPr>
              <w:t>Q2 2016</w:t>
            </w: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b/>
                <w:noProof/>
                <w:sz w:val="20"/>
              </w:rPr>
            </w:pPr>
            <w:r>
              <w:rPr>
                <w:b/>
                <w:noProof/>
                <w:sz w:val="20"/>
              </w:rPr>
              <w:t>Dec 2016</w:t>
            </w:r>
          </w:p>
        </w:tc>
      </w:tr>
      <w:tr>
        <w:tc>
          <w:tcPr>
            <w:tcW w:w="1854" w:type="dxa"/>
            <w:vAlign w:val="center"/>
          </w:tcPr>
          <w:p>
            <w:pPr>
              <w:spacing w:before="0"/>
              <w:jc w:val="center"/>
              <w:rPr>
                <w:noProof/>
                <w:sz w:val="20"/>
              </w:rPr>
            </w:pPr>
            <w:r>
              <w:rPr>
                <w:noProof/>
                <w:sz w:val="20"/>
              </w:rPr>
              <w:t>Bulgaria</w:t>
            </w: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N/A</w:t>
            </w:r>
          </w:p>
        </w:tc>
      </w:tr>
      <w:tr>
        <w:tc>
          <w:tcPr>
            <w:tcW w:w="1854" w:type="dxa"/>
            <w:vAlign w:val="center"/>
          </w:tcPr>
          <w:p>
            <w:pPr>
              <w:spacing w:before="0"/>
              <w:jc w:val="center"/>
              <w:rPr>
                <w:noProof/>
                <w:sz w:val="20"/>
              </w:rPr>
            </w:pPr>
            <w:r>
              <w:rPr>
                <w:noProof/>
                <w:sz w:val="20"/>
              </w:rPr>
              <w:t>Croatia</w:t>
            </w: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N/A</w:t>
            </w:r>
          </w:p>
        </w:tc>
      </w:tr>
      <w:tr>
        <w:tc>
          <w:tcPr>
            <w:tcW w:w="1854" w:type="dxa"/>
            <w:vAlign w:val="center"/>
          </w:tcPr>
          <w:p>
            <w:pPr>
              <w:spacing w:before="0"/>
              <w:jc w:val="center"/>
              <w:rPr>
                <w:noProof/>
                <w:sz w:val="20"/>
              </w:rPr>
            </w:pPr>
            <w:r>
              <w:rPr>
                <w:noProof/>
                <w:sz w:val="20"/>
              </w:rPr>
              <w:t>Czech Republic</w:t>
            </w: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w:t>
            </w:r>
          </w:p>
        </w:tc>
      </w:tr>
      <w:tr>
        <w:tc>
          <w:tcPr>
            <w:tcW w:w="1854" w:type="dxa"/>
            <w:vAlign w:val="center"/>
          </w:tcPr>
          <w:p>
            <w:pPr>
              <w:spacing w:before="0"/>
              <w:jc w:val="center"/>
              <w:rPr>
                <w:noProof/>
                <w:sz w:val="20"/>
              </w:rPr>
            </w:pPr>
            <w:r>
              <w:rPr>
                <w:noProof/>
                <w:sz w:val="20"/>
              </w:rPr>
              <w:t>Denmark</w:t>
            </w: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w:t>
            </w:r>
          </w:p>
        </w:tc>
      </w:tr>
      <w:tr>
        <w:tc>
          <w:tcPr>
            <w:tcW w:w="1854" w:type="dxa"/>
            <w:vAlign w:val="center"/>
          </w:tcPr>
          <w:p>
            <w:pPr>
              <w:spacing w:before="0"/>
              <w:jc w:val="center"/>
              <w:rPr>
                <w:noProof/>
                <w:sz w:val="20"/>
              </w:rPr>
            </w:pPr>
            <w:r>
              <w:rPr>
                <w:noProof/>
                <w:sz w:val="20"/>
              </w:rPr>
              <w:t>Hungary</w:t>
            </w: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w:t>
            </w:r>
          </w:p>
        </w:tc>
      </w:tr>
      <w:tr>
        <w:tc>
          <w:tcPr>
            <w:tcW w:w="1854" w:type="dxa"/>
            <w:vAlign w:val="center"/>
          </w:tcPr>
          <w:p>
            <w:pPr>
              <w:spacing w:before="0"/>
              <w:jc w:val="center"/>
              <w:rPr>
                <w:noProof/>
                <w:sz w:val="20"/>
              </w:rPr>
            </w:pPr>
            <w:r>
              <w:rPr>
                <w:noProof/>
                <w:sz w:val="20"/>
              </w:rPr>
              <w:t>Poland</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100%</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100%</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100%</w:t>
            </w: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w:t>
            </w:r>
          </w:p>
        </w:tc>
      </w:tr>
      <w:tr>
        <w:tc>
          <w:tcPr>
            <w:tcW w:w="1854" w:type="dxa"/>
            <w:vAlign w:val="center"/>
          </w:tcPr>
          <w:p>
            <w:pPr>
              <w:spacing w:before="0"/>
              <w:jc w:val="center"/>
              <w:rPr>
                <w:noProof/>
                <w:sz w:val="20"/>
              </w:rPr>
            </w:pPr>
            <w:r>
              <w:rPr>
                <w:noProof/>
                <w:sz w:val="20"/>
              </w:rPr>
              <w:t>Romania</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0.04%</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0%</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0.02%</w:t>
            </w: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w:t>
            </w:r>
          </w:p>
        </w:tc>
      </w:tr>
      <w:tr>
        <w:tc>
          <w:tcPr>
            <w:tcW w:w="1854" w:type="dxa"/>
            <w:vAlign w:val="center"/>
          </w:tcPr>
          <w:p>
            <w:pPr>
              <w:spacing w:before="0"/>
              <w:jc w:val="center"/>
              <w:rPr>
                <w:noProof/>
                <w:sz w:val="20"/>
              </w:rPr>
            </w:pPr>
            <w:r>
              <w:rPr>
                <w:noProof/>
                <w:sz w:val="20"/>
              </w:rPr>
              <w:t>Sweden</w:t>
            </w: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N/A</w:t>
            </w:r>
          </w:p>
        </w:tc>
      </w:tr>
      <w:tr>
        <w:trPr>
          <w:trHeight w:val="240"/>
        </w:trPr>
        <w:tc>
          <w:tcPr>
            <w:tcW w:w="1854" w:type="dxa"/>
            <w:vAlign w:val="center"/>
          </w:tcPr>
          <w:p>
            <w:pPr>
              <w:spacing w:before="0"/>
              <w:jc w:val="center"/>
              <w:rPr>
                <w:noProof/>
                <w:sz w:val="20"/>
              </w:rPr>
            </w:pPr>
            <w:r>
              <w:rPr>
                <w:noProof/>
                <w:sz w:val="20"/>
              </w:rPr>
              <w:t>United Kingdom</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100%</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100%</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100%</w:t>
            </w: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w:t>
            </w:r>
          </w:p>
        </w:tc>
      </w:tr>
    </w:tbl>
    <w:p>
      <w:pPr>
        <w:pStyle w:val="Heading1"/>
        <w:numPr>
          <w:ilvl w:val="1"/>
          <w:numId w:val="3"/>
        </w:numPr>
        <w:rPr>
          <w:noProof/>
        </w:rPr>
      </w:pPr>
      <w:r>
        <w:rPr>
          <w:noProof/>
        </w:rPr>
        <w:t>Options used by Member States</w:t>
      </w:r>
    </w:p>
    <w:p>
      <w:pPr>
        <w:rPr>
          <w:noProof/>
        </w:rPr>
      </w:pPr>
      <w:bookmarkStart w:id="10" w:name="_Toc430010965"/>
      <w:r>
        <w:rPr>
          <w:noProof/>
        </w:rPr>
        <w:t xml:space="preserve">In order to allow for a smooth transition to SCT and SDD, the SEPA Regulation allowed for various options to be activated by Member States of the euro area until February 2016. </w:t>
      </w:r>
    </w:p>
    <w:p>
      <w:pPr>
        <w:rPr>
          <w:noProof/>
        </w:rPr>
      </w:pPr>
      <w:r>
        <w:rPr>
          <w:noProof/>
        </w:rPr>
        <w:t xml:space="preserve">These options were the following: </w:t>
      </w:r>
    </w:p>
    <w:p>
      <w:pPr>
        <w:rPr>
          <w:noProof/>
        </w:rPr>
      </w:pPr>
    </w:p>
    <w:p>
      <w:pPr>
        <w:pStyle w:val="ListParagraph"/>
        <w:numPr>
          <w:ilvl w:val="0"/>
          <w:numId w:val="39"/>
        </w:numPr>
        <w:spacing w:before="0" w:after="200"/>
        <w:contextualSpacing/>
        <w:rPr>
          <w:noProof/>
        </w:rPr>
      </w:pPr>
      <w:r>
        <w:rPr>
          <w:b/>
          <w:noProof/>
        </w:rPr>
        <w:t>Option 1:</w:t>
      </w:r>
      <w:r>
        <w:rPr>
          <w:noProof/>
        </w:rPr>
        <w:t xml:space="preserve"> </w:t>
      </w:r>
      <w:r>
        <w:rPr>
          <w:b/>
          <w:noProof/>
        </w:rPr>
        <w:t>conversion facilities for consumers</w:t>
      </w:r>
      <w:r>
        <w:rPr>
          <w:noProof/>
        </w:rPr>
        <w:t>. Typically, consumers' payment services providers would accept a national account number (BBAN) to initiate a transaction and convert that number into an international account number (IBAN).</w:t>
      </w:r>
    </w:p>
    <w:p>
      <w:pPr>
        <w:pStyle w:val="ListParagraph"/>
        <w:numPr>
          <w:ilvl w:val="0"/>
          <w:numId w:val="0"/>
        </w:numPr>
        <w:ind w:left="357"/>
        <w:jc w:val="both"/>
        <w:rPr>
          <w:noProof/>
        </w:rPr>
      </w:pPr>
    </w:p>
    <w:p>
      <w:pPr>
        <w:pStyle w:val="ListParagraph"/>
        <w:keepLines w:val="0"/>
        <w:numPr>
          <w:ilvl w:val="0"/>
          <w:numId w:val="39"/>
        </w:numPr>
        <w:spacing w:before="0" w:after="200"/>
        <w:contextualSpacing/>
        <w:jc w:val="both"/>
        <w:rPr>
          <w:noProof/>
        </w:rPr>
      </w:pPr>
      <w:r>
        <w:rPr>
          <w:b/>
          <w:noProof/>
        </w:rPr>
        <w:t xml:space="preserve">Option 2: continuation of niche products. </w:t>
      </w:r>
      <w:r>
        <w:rPr>
          <w:noProof/>
        </w:rPr>
        <w:t>Domestic legacy credit transfer or direct debit transactions with a cumulative market share, based on the official payment statistics published annually by the ECB, of less than 10 % of the total number of credit transfers or direct debit transactions respectively, could be continued until 1 February 2016 (e.g. TIP in France, RID Finanziario in Italy, Direct Debit with no refund in the Netherlands).</w:t>
      </w:r>
    </w:p>
    <w:p>
      <w:pPr>
        <w:pStyle w:val="ListParagraph"/>
        <w:numPr>
          <w:ilvl w:val="0"/>
          <w:numId w:val="0"/>
        </w:numPr>
        <w:ind w:left="357"/>
        <w:jc w:val="both"/>
        <w:rPr>
          <w:noProof/>
        </w:rPr>
      </w:pPr>
    </w:p>
    <w:p>
      <w:pPr>
        <w:pStyle w:val="ListParagraph"/>
        <w:keepLines w:val="0"/>
        <w:numPr>
          <w:ilvl w:val="0"/>
          <w:numId w:val="39"/>
        </w:numPr>
        <w:spacing w:before="0" w:after="200"/>
        <w:contextualSpacing/>
        <w:jc w:val="both"/>
        <w:rPr>
          <w:noProof/>
        </w:rPr>
      </w:pPr>
      <w:r>
        <w:rPr>
          <w:b/>
          <w:noProof/>
        </w:rPr>
        <w:t>Option 3:</w:t>
      </w:r>
      <w:r>
        <w:rPr>
          <w:noProof/>
        </w:rPr>
        <w:t xml:space="preserve"> </w:t>
      </w:r>
      <w:r>
        <w:rPr>
          <w:b/>
          <w:noProof/>
        </w:rPr>
        <w:t>one-off direct debits</w:t>
      </w:r>
      <w:r>
        <w:rPr>
          <w:noProof/>
        </w:rPr>
        <w:t>. These services allowing consumers to make payment transactions that would be generated using a payment card at the point of sale which would result in a direct debit to and from a payment account identified by a BBAN or an IBAN could be continued until 1 February 2016 (e.g Elektronisches Lastschriftverfahren – ELV – payments in Austria and Germany), unless made compliant with the SEPA requirements.</w:t>
      </w:r>
    </w:p>
    <w:p>
      <w:pPr>
        <w:pStyle w:val="ListParagraph"/>
        <w:numPr>
          <w:ilvl w:val="0"/>
          <w:numId w:val="0"/>
        </w:numPr>
        <w:ind w:left="357"/>
        <w:jc w:val="both"/>
        <w:rPr>
          <w:noProof/>
        </w:rPr>
      </w:pPr>
    </w:p>
    <w:p>
      <w:pPr>
        <w:pStyle w:val="ListParagraph"/>
        <w:keepLines w:val="0"/>
        <w:numPr>
          <w:ilvl w:val="0"/>
          <w:numId w:val="39"/>
        </w:numPr>
        <w:spacing w:before="0" w:after="200"/>
        <w:contextualSpacing/>
        <w:jc w:val="both"/>
        <w:rPr>
          <w:noProof/>
        </w:rPr>
      </w:pPr>
      <w:r>
        <w:rPr>
          <w:b/>
          <w:noProof/>
        </w:rPr>
        <w:t>Option 4:</w:t>
      </w:r>
      <w:r>
        <w:rPr>
          <w:noProof/>
        </w:rPr>
        <w:t xml:space="preserve"> </w:t>
      </w:r>
      <w:r>
        <w:rPr>
          <w:b/>
          <w:noProof/>
        </w:rPr>
        <w:t>a delayed usage of standard message format</w:t>
      </w:r>
      <w:r>
        <w:rPr>
          <w:noProof/>
        </w:rPr>
        <w:t xml:space="preserve"> </w:t>
      </w:r>
      <w:r>
        <w:rPr>
          <w:b/>
          <w:noProof/>
        </w:rPr>
        <w:t>ISO 20022 XML</w:t>
      </w:r>
      <w:r>
        <w:rPr>
          <w:noProof/>
        </w:rPr>
        <w:t xml:space="preserve"> for payment services users (PSUs) which initiate or receive individual credit transfers or direct debits that are bundled together for transmission. </w:t>
      </w:r>
    </w:p>
    <w:p>
      <w:pPr>
        <w:pStyle w:val="ListParagraph"/>
        <w:numPr>
          <w:ilvl w:val="0"/>
          <w:numId w:val="0"/>
        </w:numPr>
        <w:ind w:left="357"/>
        <w:jc w:val="both"/>
        <w:rPr>
          <w:noProof/>
        </w:rPr>
      </w:pPr>
    </w:p>
    <w:p>
      <w:pPr>
        <w:pStyle w:val="ListParagraph"/>
        <w:keepLines w:val="0"/>
        <w:numPr>
          <w:ilvl w:val="0"/>
          <w:numId w:val="39"/>
        </w:numPr>
        <w:spacing w:before="0" w:after="200"/>
        <w:contextualSpacing/>
        <w:jc w:val="both"/>
        <w:rPr>
          <w:noProof/>
        </w:rPr>
      </w:pPr>
      <w:r>
        <w:rPr>
          <w:b/>
          <w:noProof/>
        </w:rPr>
        <w:t>Option 5:</w:t>
      </w:r>
      <w:r>
        <w:rPr>
          <w:noProof/>
        </w:rPr>
        <w:t xml:space="preserve"> </w:t>
      </w:r>
      <w:r>
        <w:rPr>
          <w:b/>
          <w:noProof/>
        </w:rPr>
        <w:t>a delayed BIC elimination for national payment transactions</w:t>
      </w:r>
      <w:r>
        <w:rPr>
          <w:noProof/>
        </w:rPr>
        <w:t xml:space="preserve">, as today payers do not have to provide BIC for payments to be executed within the EU, the IBAN only is sufficient. </w:t>
      </w:r>
    </w:p>
    <w:p>
      <w:pPr>
        <w:rPr>
          <w:noProof/>
        </w:rPr>
      </w:pPr>
      <w:r>
        <w:rPr>
          <w:noProof/>
        </w:rPr>
        <w:t xml:space="preserve">Most Member States made use of at least one of these options as indicated in Table 7 which shows, where relevant, the use as well as the later deactivation of those options by Member States. </w:t>
      </w:r>
    </w:p>
    <w:p>
      <w:pPr>
        <w:rPr>
          <w:noProof/>
        </w:rPr>
      </w:pPr>
      <w:r>
        <w:rPr>
          <w:noProof/>
        </w:rPr>
        <w:t>These options were only relevant for Member States of the euro area given that they were valid until 1 February 2016 for Member States that had migrated before. They were not applicable for Member States</w:t>
      </w:r>
      <w:r>
        <w:rPr>
          <w:noProof/>
          <w:vertAlign w:val="superscript"/>
        </w:rPr>
        <w:footnoteReference w:id="14"/>
      </w:r>
      <w:r>
        <w:rPr>
          <w:noProof/>
        </w:rPr>
        <w:t xml:space="preserve"> from outside the euro area which had a target date for migration set on 31 October 2016. </w:t>
      </w:r>
    </w:p>
    <w:p>
      <w:pPr>
        <w:rPr>
          <w:noProof/>
        </w:rPr>
      </w:pPr>
      <w:r>
        <w:rPr>
          <w:b/>
          <w:noProof/>
          <w:u w:val="single"/>
        </w:rPr>
        <w:t>Table 7</w:t>
      </w:r>
      <w:r>
        <w:rPr>
          <w:b/>
          <w:noProof/>
        </w:rPr>
        <w:t>:</w:t>
      </w:r>
      <w:r>
        <w:rPr>
          <w:noProof/>
        </w:rPr>
        <w:t xml:space="preserve"> Use of options by Member States and current status of these options.</w:t>
      </w:r>
    </w:p>
    <w:tbl>
      <w:tblPr>
        <w:tblStyle w:val="TableGrid"/>
        <w:tblW w:w="9640" w:type="dxa"/>
        <w:tblInd w:w="-176" w:type="dxa"/>
        <w:tblLook w:val="04A0" w:firstRow="1" w:lastRow="0" w:firstColumn="1" w:lastColumn="0" w:noHBand="0" w:noVBand="1"/>
      </w:tblPr>
      <w:tblGrid>
        <w:gridCol w:w="1702"/>
        <w:gridCol w:w="1134"/>
        <w:gridCol w:w="1134"/>
        <w:gridCol w:w="1134"/>
        <w:gridCol w:w="1134"/>
        <w:gridCol w:w="1134"/>
        <w:gridCol w:w="2268"/>
      </w:tblGrid>
      <w:tr>
        <w:tc>
          <w:tcPr>
            <w:tcW w:w="1702" w:type="dxa"/>
            <w:vAlign w:val="center"/>
          </w:tcPr>
          <w:p>
            <w:pPr>
              <w:spacing w:before="0"/>
              <w:jc w:val="center"/>
              <w:rPr>
                <w:b/>
                <w:noProof/>
                <w:sz w:val="22"/>
              </w:rPr>
            </w:pPr>
            <w:r>
              <w:rPr>
                <w:b/>
                <w:noProof/>
                <w:sz w:val="22"/>
              </w:rPr>
              <w:t>Euro area</w:t>
            </w:r>
          </w:p>
        </w:tc>
        <w:tc>
          <w:tcPr>
            <w:tcW w:w="1134" w:type="dxa"/>
            <w:tcBorders>
              <w:top w:val="single" w:sz="4" w:space="0" w:color="auto"/>
              <w:bottom w:val="single" w:sz="4" w:space="0" w:color="auto"/>
            </w:tcBorders>
            <w:vAlign w:val="center"/>
          </w:tcPr>
          <w:p>
            <w:pPr>
              <w:spacing w:before="0"/>
              <w:jc w:val="center"/>
              <w:rPr>
                <w:b/>
                <w:noProof/>
                <w:sz w:val="22"/>
              </w:rPr>
            </w:pPr>
            <w:r>
              <w:rPr>
                <w:b/>
                <w:noProof/>
                <w:sz w:val="22"/>
              </w:rPr>
              <w:t>Option 1</w:t>
            </w:r>
          </w:p>
        </w:tc>
        <w:tc>
          <w:tcPr>
            <w:tcW w:w="1134" w:type="dxa"/>
            <w:tcBorders>
              <w:top w:val="single" w:sz="4" w:space="0" w:color="auto"/>
              <w:bottom w:val="single" w:sz="4" w:space="0" w:color="auto"/>
            </w:tcBorders>
            <w:vAlign w:val="center"/>
          </w:tcPr>
          <w:p>
            <w:pPr>
              <w:spacing w:before="0"/>
              <w:jc w:val="center"/>
              <w:rPr>
                <w:b/>
                <w:noProof/>
                <w:sz w:val="22"/>
              </w:rPr>
            </w:pPr>
            <w:r>
              <w:rPr>
                <w:b/>
                <w:noProof/>
                <w:sz w:val="22"/>
              </w:rPr>
              <w:t>Option 2</w:t>
            </w:r>
          </w:p>
        </w:tc>
        <w:tc>
          <w:tcPr>
            <w:tcW w:w="1134" w:type="dxa"/>
            <w:tcBorders>
              <w:top w:val="single" w:sz="4" w:space="0" w:color="auto"/>
              <w:bottom w:val="single" w:sz="4" w:space="0" w:color="auto"/>
            </w:tcBorders>
            <w:vAlign w:val="center"/>
          </w:tcPr>
          <w:p>
            <w:pPr>
              <w:spacing w:before="0"/>
              <w:jc w:val="center"/>
              <w:rPr>
                <w:b/>
                <w:noProof/>
                <w:sz w:val="22"/>
              </w:rPr>
            </w:pPr>
            <w:r>
              <w:rPr>
                <w:b/>
                <w:noProof/>
                <w:sz w:val="22"/>
              </w:rPr>
              <w:t>Option 3</w:t>
            </w:r>
          </w:p>
        </w:tc>
        <w:tc>
          <w:tcPr>
            <w:tcW w:w="1134" w:type="dxa"/>
            <w:tcBorders>
              <w:top w:val="single" w:sz="4" w:space="0" w:color="auto"/>
              <w:bottom w:val="single" w:sz="4" w:space="0" w:color="auto"/>
            </w:tcBorders>
            <w:shd w:val="clear" w:color="auto" w:fill="FFFFFF" w:themeFill="background1"/>
            <w:vAlign w:val="center"/>
          </w:tcPr>
          <w:p>
            <w:pPr>
              <w:spacing w:before="0"/>
              <w:jc w:val="center"/>
              <w:rPr>
                <w:b/>
                <w:noProof/>
                <w:sz w:val="22"/>
              </w:rPr>
            </w:pPr>
            <w:r>
              <w:rPr>
                <w:b/>
                <w:noProof/>
                <w:sz w:val="22"/>
              </w:rPr>
              <w:t>Option 4</w:t>
            </w:r>
          </w:p>
        </w:tc>
        <w:tc>
          <w:tcPr>
            <w:tcW w:w="1134" w:type="dxa"/>
            <w:tcBorders>
              <w:top w:val="single" w:sz="4" w:space="0" w:color="auto"/>
              <w:bottom w:val="single" w:sz="4" w:space="0" w:color="auto"/>
            </w:tcBorders>
            <w:shd w:val="clear" w:color="auto" w:fill="FFFFFF" w:themeFill="background1"/>
            <w:vAlign w:val="center"/>
          </w:tcPr>
          <w:p>
            <w:pPr>
              <w:spacing w:before="0"/>
              <w:jc w:val="center"/>
              <w:rPr>
                <w:b/>
                <w:noProof/>
                <w:sz w:val="22"/>
              </w:rPr>
            </w:pPr>
            <w:r>
              <w:rPr>
                <w:b/>
                <w:noProof/>
                <w:sz w:val="22"/>
              </w:rPr>
              <w:t>Option 5</w:t>
            </w:r>
          </w:p>
        </w:tc>
        <w:tc>
          <w:tcPr>
            <w:tcW w:w="2268" w:type="dxa"/>
            <w:tcBorders>
              <w:top w:val="single" w:sz="4" w:space="0" w:color="auto"/>
              <w:bottom w:val="single" w:sz="4" w:space="0" w:color="auto"/>
            </w:tcBorders>
            <w:shd w:val="clear" w:color="auto" w:fill="FFFFFF" w:themeFill="background1"/>
            <w:vAlign w:val="center"/>
          </w:tcPr>
          <w:p>
            <w:pPr>
              <w:spacing w:before="0"/>
              <w:jc w:val="center"/>
              <w:rPr>
                <w:b/>
                <w:noProof/>
                <w:sz w:val="22"/>
              </w:rPr>
            </w:pPr>
            <w:r>
              <w:rPr>
                <w:b/>
                <w:noProof/>
                <w:sz w:val="22"/>
              </w:rPr>
              <w:t>Status in May 2017</w:t>
            </w:r>
          </w:p>
        </w:tc>
      </w:tr>
      <w:tr>
        <w:tc>
          <w:tcPr>
            <w:tcW w:w="1702" w:type="dxa"/>
            <w:vAlign w:val="center"/>
          </w:tcPr>
          <w:p>
            <w:pPr>
              <w:spacing w:before="0"/>
              <w:jc w:val="center"/>
              <w:rPr>
                <w:noProof/>
                <w:sz w:val="22"/>
              </w:rPr>
            </w:pPr>
            <w:r>
              <w:rPr>
                <w:noProof/>
                <w:sz w:val="22"/>
              </w:rPr>
              <w:t>Austria</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All deactivated</w:t>
            </w:r>
          </w:p>
        </w:tc>
      </w:tr>
      <w:tr>
        <w:tc>
          <w:tcPr>
            <w:tcW w:w="1702" w:type="dxa"/>
            <w:vAlign w:val="center"/>
          </w:tcPr>
          <w:p>
            <w:pPr>
              <w:spacing w:before="0"/>
              <w:jc w:val="center"/>
              <w:rPr>
                <w:noProof/>
                <w:sz w:val="22"/>
              </w:rPr>
            </w:pPr>
            <w:r>
              <w:rPr>
                <w:noProof/>
                <w:sz w:val="22"/>
              </w:rPr>
              <w:t>Belgium</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None activated</w:t>
            </w:r>
          </w:p>
        </w:tc>
      </w:tr>
      <w:tr>
        <w:tc>
          <w:tcPr>
            <w:tcW w:w="1702" w:type="dxa"/>
            <w:vAlign w:val="center"/>
          </w:tcPr>
          <w:p>
            <w:pPr>
              <w:spacing w:before="0"/>
              <w:jc w:val="center"/>
              <w:rPr>
                <w:noProof/>
                <w:sz w:val="22"/>
              </w:rPr>
            </w:pPr>
            <w:r>
              <w:rPr>
                <w:noProof/>
                <w:sz w:val="22"/>
              </w:rPr>
              <w:t>Cyprus</w:t>
            </w: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w:t>
            </w: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All deactivated</w:t>
            </w:r>
          </w:p>
        </w:tc>
      </w:tr>
      <w:tr>
        <w:tc>
          <w:tcPr>
            <w:tcW w:w="1702" w:type="dxa"/>
            <w:vAlign w:val="center"/>
          </w:tcPr>
          <w:p>
            <w:pPr>
              <w:spacing w:before="0"/>
              <w:jc w:val="center"/>
              <w:rPr>
                <w:noProof/>
                <w:sz w:val="22"/>
              </w:rPr>
            </w:pPr>
            <w:r>
              <w:rPr>
                <w:noProof/>
                <w:sz w:val="22"/>
              </w:rPr>
              <w:t>Estonia</w:t>
            </w: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Partially deactivated</w:t>
            </w:r>
            <w:r>
              <w:rPr>
                <w:rStyle w:val="FootnoteReference"/>
                <w:noProof/>
                <w:sz w:val="22"/>
              </w:rPr>
              <w:footnoteReference w:id="15"/>
            </w:r>
          </w:p>
        </w:tc>
      </w:tr>
      <w:tr>
        <w:tc>
          <w:tcPr>
            <w:tcW w:w="1702" w:type="dxa"/>
            <w:vAlign w:val="center"/>
          </w:tcPr>
          <w:p>
            <w:pPr>
              <w:spacing w:before="0"/>
              <w:jc w:val="center"/>
              <w:rPr>
                <w:noProof/>
                <w:sz w:val="22"/>
              </w:rPr>
            </w:pPr>
            <w:r>
              <w:rPr>
                <w:noProof/>
                <w:sz w:val="22"/>
              </w:rPr>
              <w:t>Finland</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None activated</w:t>
            </w:r>
          </w:p>
        </w:tc>
      </w:tr>
      <w:tr>
        <w:tc>
          <w:tcPr>
            <w:tcW w:w="1702" w:type="dxa"/>
            <w:vAlign w:val="center"/>
          </w:tcPr>
          <w:p>
            <w:pPr>
              <w:spacing w:before="0"/>
              <w:jc w:val="center"/>
              <w:rPr>
                <w:noProof/>
                <w:sz w:val="22"/>
              </w:rPr>
            </w:pPr>
            <w:r>
              <w:rPr>
                <w:noProof/>
                <w:sz w:val="22"/>
              </w:rPr>
              <w:t>France</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Deactivated</w:t>
            </w:r>
          </w:p>
        </w:tc>
      </w:tr>
      <w:tr>
        <w:tc>
          <w:tcPr>
            <w:tcW w:w="1702" w:type="dxa"/>
            <w:vAlign w:val="center"/>
          </w:tcPr>
          <w:p>
            <w:pPr>
              <w:spacing w:before="0"/>
              <w:jc w:val="center"/>
              <w:rPr>
                <w:noProof/>
                <w:sz w:val="22"/>
              </w:rPr>
            </w:pPr>
            <w:r>
              <w:rPr>
                <w:noProof/>
                <w:sz w:val="22"/>
              </w:rPr>
              <w:t>Germany</w:t>
            </w: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w:t>
            </w: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All deactivated</w:t>
            </w:r>
          </w:p>
        </w:tc>
      </w:tr>
      <w:tr>
        <w:tc>
          <w:tcPr>
            <w:tcW w:w="1702" w:type="dxa"/>
            <w:vAlign w:val="center"/>
          </w:tcPr>
          <w:p>
            <w:pPr>
              <w:spacing w:before="0"/>
              <w:jc w:val="center"/>
              <w:rPr>
                <w:noProof/>
                <w:sz w:val="22"/>
              </w:rPr>
            </w:pPr>
            <w:r>
              <w:rPr>
                <w:noProof/>
                <w:sz w:val="22"/>
              </w:rPr>
              <w:t>Greece</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w:t>
            </w: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All deactivated</w:t>
            </w:r>
          </w:p>
        </w:tc>
      </w:tr>
      <w:tr>
        <w:tc>
          <w:tcPr>
            <w:tcW w:w="1702" w:type="dxa"/>
            <w:vAlign w:val="center"/>
          </w:tcPr>
          <w:p>
            <w:pPr>
              <w:spacing w:before="0"/>
              <w:jc w:val="center"/>
              <w:rPr>
                <w:noProof/>
                <w:sz w:val="22"/>
              </w:rPr>
            </w:pPr>
            <w:r>
              <w:rPr>
                <w:noProof/>
                <w:sz w:val="22"/>
              </w:rPr>
              <w:t>Ireland</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w:t>
            </w: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Deactivated</w:t>
            </w:r>
          </w:p>
        </w:tc>
      </w:tr>
      <w:tr>
        <w:tc>
          <w:tcPr>
            <w:tcW w:w="1702" w:type="dxa"/>
            <w:vAlign w:val="center"/>
          </w:tcPr>
          <w:p>
            <w:pPr>
              <w:spacing w:before="0"/>
              <w:jc w:val="center"/>
              <w:rPr>
                <w:noProof/>
                <w:sz w:val="22"/>
              </w:rPr>
            </w:pPr>
            <w:r>
              <w:rPr>
                <w:noProof/>
                <w:sz w:val="22"/>
              </w:rPr>
              <w:t>Italy</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All deactivated</w:t>
            </w:r>
          </w:p>
        </w:tc>
      </w:tr>
      <w:tr>
        <w:tc>
          <w:tcPr>
            <w:tcW w:w="1702" w:type="dxa"/>
            <w:vAlign w:val="center"/>
          </w:tcPr>
          <w:p>
            <w:pPr>
              <w:spacing w:before="0"/>
              <w:jc w:val="center"/>
              <w:rPr>
                <w:noProof/>
                <w:sz w:val="22"/>
              </w:rPr>
            </w:pPr>
            <w:r>
              <w:rPr>
                <w:noProof/>
                <w:sz w:val="22"/>
              </w:rPr>
              <w:t>Latvia</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Deactivated</w:t>
            </w:r>
          </w:p>
        </w:tc>
      </w:tr>
      <w:tr>
        <w:tc>
          <w:tcPr>
            <w:tcW w:w="1702" w:type="dxa"/>
            <w:vAlign w:val="center"/>
          </w:tcPr>
          <w:p>
            <w:pPr>
              <w:spacing w:before="0"/>
              <w:jc w:val="center"/>
              <w:rPr>
                <w:noProof/>
                <w:sz w:val="22"/>
              </w:rPr>
            </w:pPr>
            <w:r>
              <w:rPr>
                <w:noProof/>
                <w:sz w:val="22"/>
              </w:rPr>
              <w:t>Lithuania</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None activated</w:t>
            </w:r>
          </w:p>
        </w:tc>
      </w:tr>
      <w:tr>
        <w:tc>
          <w:tcPr>
            <w:tcW w:w="1702" w:type="dxa"/>
            <w:vAlign w:val="center"/>
          </w:tcPr>
          <w:p>
            <w:pPr>
              <w:spacing w:before="0"/>
              <w:jc w:val="center"/>
              <w:rPr>
                <w:noProof/>
                <w:sz w:val="22"/>
              </w:rPr>
            </w:pPr>
            <w:r>
              <w:rPr>
                <w:noProof/>
                <w:sz w:val="22"/>
              </w:rPr>
              <w:t>Luxembourg</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None activated</w:t>
            </w:r>
          </w:p>
        </w:tc>
      </w:tr>
      <w:tr>
        <w:tc>
          <w:tcPr>
            <w:tcW w:w="1702" w:type="dxa"/>
            <w:vAlign w:val="center"/>
          </w:tcPr>
          <w:p>
            <w:pPr>
              <w:spacing w:before="0"/>
              <w:jc w:val="center"/>
              <w:rPr>
                <w:noProof/>
                <w:sz w:val="22"/>
              </w:rPr>
            </w:pPr>
            <w:r>
              <w:rPr>
                <w:noProof/>
                <w:sz w:val="22"/>
              </w:rPr>
              <w:t>Malta</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Deactivated</w:t>
            </w:r>
          </w:p>
        </w:tc>
      </w:tr>
      <w:tr>
        <w:tc>
          <w:tcPr>
            <w:tcW w:w="1702" w:type="dxa"/>
            <w:vAlign w:val="center"/>
          </w:tcPr>
          <w:p>
            <w:pPr>
              <w:spacing w:before="0"/>
              <w:jc w:val="center"/>
              <w:rPr>
                <w:noProof/>
                <w:sz w:val="22"/>
              </w:rPr>
            </w:pPr>
            <w:r>
              <w:rPr>
                <w:noProof/>
                <w:sz w:val="22"/>
              </w:rPr>
              <w:t>The Netherlands</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All deactivated</w:t>
            </w:r>
          </w:p>
        </w:tc>
      </w:tr>
      <w:tr>
        <w:tc>
          <w:tcPr>
            <w:tcW w:w="1702" w:type="dxa"/>
            <w:vAlign w:val="center"/>
          </w:tcPr>
          <w:p>
            <w:pPr>
              <w:spacing w:before="0"/>
              <w:jc w:val="center"/>
              <w:rPr>
                <w:noProof/>
                <w:sz w:val="22"/>
              </w:rPr>
            </w:pPr>
            <w:r>
              <w:rPr>
                <w:noProof/>
                <w:sz w:val="22"/>
              </w:rPr>
              <w:t>Portugal</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All deactivated</w:t>
            </w:r>
          </w:p>
        </w:tc>
      </w:tr>
      <w:tr>
        <w:tc>
          <w:tcPr>
            <w:tcW w:w="1702" w:type="dxa"/>
            <w:vAlign w:val="center"/>
          </w:tcPr>
          <w:p>
            <w:pPr>
              <w:spacing w:before="0"/>
              <w:jc w:val="center"/>
              <w:rPr>
                <w:noProof/>
                <w:sz w:val="22"/>
              </w:rPr>
            </w:pPr>
            <w:r>
              <w:rPr>
                <w:noProof/>
                <w:sz w:val="22"/>
              </w:rPr>
              <w:t>Slovakia</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All deactivated</w:t>
            </w:r>
          </w:p>
        </w:tc>
      </w:tr>
      <w:tr>
        <w:tc>
          <w:tcPr>
            <w:tcW w:w="1702" w:type="dxa"/>
            <w:vAlign w:val="center"/>
          </w:tcPr>
          <w:p>
            <w:pPr>
              <w:spacing w:before="0"/>
              <w:jc w:val="center"/>
              <w:rPr>
                <w:noProof/>
                <w:sz w:val="22"/>
              </w:rPr>
            </w:pPr>
            <w:r>
              <w:rPr>
                <w:noProof/>
                <w:sz w:val="22"/>
              </w:rPr>
              <w:t>Slovenia</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None activated</w:t>
            </w:r>
          </w:p>
        </w:tc>
      </w:tr>
      <w:tr>
        <w:tc>
          <w:tcPr>
            <w:tcW w:w="1702" w:type="dxa"/>
            <w:vAlign w:val="center"/>
          </w:tcPr>
          <w:p>
            <w:pPr>
              <w:spacing w:before="0"/>
              <w:jc w:val="center"/>
              <w:rPr>
                <w:noProof/>
                <w:sz w:val="22"/>
              </w:rPr>
            </w:pPr>
            <w:r>
              <w:rPr>
                <w:noProof/>
                <w:sz w:val="22"/>
              </w:rPr>
              <w:t>Spain</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All deactivated</w:t>
            </w:r>
          </w:p>
        </w:tc>
      </w:tr>
    </w:tbl>
    <w:p>
      <w:pPr>
        <w:pStyle w:val="Heading1"/>
        <w:numPr>
          <w:ilvl w:val="1"/>
          <w:numId w:val="3"/>
        </w:numPr>
        <w:jc w:val="both"/>
        <w:rPr>
          <w:noProof/>
        </w:rPr>
      </w:pPr>
      <w:r>
        <w:rPr>
          <w:noProof/>
        </w:rPr>
        <w:t>IBAN discrimination</w:t>
      </w:r>
    </w:p>
    <w:p>
      <w:pPr>
        <w:rPr>
          <w:noProof/>
        </w:rPr>
      </w:pPr>
      <w:r>
        <w:rPr>
          <w:noProof/>
        </w:rPr>
        <w:t>Consumers across the EU have reported and complained about firms and payments (e.g., tax payments, cross-border utility payments) that can only be done from or to a national payment account in euro. Such restrictions are not allowed under article 3 (reachability) and article 9 (payment accessibility) of the SEPA Regulation and constitute a real barrier to the smooth functioning of SEPA.</w:t>
      </w:r>
    </w:p>
    <w:p>
      <w:pPr>
        <w:rPr>
          <w:noProof/>
        </w:rPr>
      </w:pPr>
      <w:r>
        <w:rPr>
          <w:noProof/>
        </w:rPr>
        <w:t xml:space="preserve">This issue was and remains the number one priority for the European Commission in relation with the application of the SEPA Regulation as it undermines one of the most tangible benefits that consumers and companies can experience from the SEPA Regulation: the freedom to pay from anywhere within the EU, the freedom to use one and only one bank account (in euro) for each and every transaction within the EU allowing them also to reduce the costs linked to the maintenance of two or more payment accounts. </w:t>
      </w:r>
    </w:p>
    <w:p>
      <w:pPr>
        <w:rPr>
          <w:noProof/>
        </w:rPr>
      </w:pPr>
      <w:r>
        <w:rPr>
          <w:noProof/>
        </w:rPr>
        <w:t xml:space="preserve">The European Commission raised the issue in various fora to ensure awareness among market participants of the payment industry but also Member States: the Payment Systems Market Expert Group, the EU Forum on National SEPA Committees and the Euro Retail Payments Board. </w:t>
      </w:r>
    </w:p>
    <w:p>
      <w:pPr>
        <w:rPr>
          <w:noProof/>
        </w:rPr>
      </w:pPr>
      <w:r>
        <w:rPr>
          <w:noProof/>
        </w:rPr>
        <w:t xml:space="preserve">In addition, the European Commission services informed individual complainants of their rights and directed them towards the National authorities designated to ensure compliance with the SEPA Regulation at national level. </w:t>
      </w:r>
    </w:p>
    <w:p>
      <w:pPr>
        <w:rPr>
          <w:noProof/>
        </w:rPr>
      </w:pPr>
      <w:r>
        <w:rPr>
          <w:noProof/>
        </w:rPr>
        <w:t xml:space="preserve">Finally, in 2015 and 2016, the European Commission services addressed about fifteen letters to Member States where cases of IBAN discrimination had been reported, enquiring on continued discriminations that were not addressed by National authorities. It appeared that various Member States had designated authorities in charge of the compliance of Payment Services Providers but not Payment Services Users (such as utility company) – see chapter 2.4 for more details. </w:t>
      </w:r>
    </w:p>
    <w:p>
      <w:pPr>
        <w:rPr>
          <w:noProof/>
        </w:rPr>
      </w:pPr>
      <w:r>
        <w:rPr>
          <w:noProof/>
        </w:rPr>
        <w:t xml:space="preserve">National authorities have been addressing these issues: </w:t>
      </w:r>
    </w:p>
    <w:p>
      <w:pPr>
        <w:pStyle w:val="ListParagraph"/>
        <w:numPr>
          <w:ilvl w:val="0"/>
          <w:numId w:val="46"/>
        </w:numPr>
        <w:jc w:val="both"/>
        <w:rPr>
          <w:noProof/>
        </w:rPr>
      </w:pPr>
      <w:r>
        <w:rPr>
          <w:noProof/>
        </w:rPr>
        <w:t>De Nederlandsche Bank (DNB), the Central Bank for the Netherlands, has received more than 250 complaints of payment services users about IBAN-discrimination, mostly consumers' complaints against companies. DNB has been  particularly active in dealing with these cases in proposing intermediation and solving complaints. To address the problem of discrimination of foreign payment services users, DNB has also put in place cooperation arrangements with other relevant competent authorities, including central banks.</w:t>
      </w:r>
    </w:p>
    <w:p>
      <w:pPr>
        <w:pStyle w:val="ListParagraph"/>
        <w:numPr>
          <w:ilvl w:val="0"/>
          <w:numId w:val="46"/>
        </w:numPr>
        <w:jc w:val="both"/>
        <w:rPr>
          <w:noProof/>
        </w:rPr>
      </w:pPr>
      <w:r>
        <w:rPr>
          <w:noProof/>
        </w:rPr>
        <w:t>BaFin and the Bundesbank registered 75 complaints by the end of 2016. 66 of these were related to IBAN discrimination. Where the complaints were justified, remedies could be given, both in cases of breaches by payment service providers or by payment service users. According to feedback from companies, technical conversion problems were often involved, which were remedied over time. It appears that the different measures taken allowed to solve these problems.</w:t>
      </w:r>
    </w:p>
    <w:p>
      <w:pPr>
        <w:pStyle w:val="ListParagraph"/>
        <w:numPr>
          <w:ilvl w:val="0"/>
          <w:numId w:val="46"/>
        </w:numPr>
        <w:jc w:val="both"/>
        <w:rPr>
          <w:noProof/>
        </w:rPr>
      </w:pPr>
      <w:r>
        <w:rPr>
          <w:noProof/>
        </w:rPr>
        <w:t>Banca d’Italia received 4 complaints in 2013, 35 complaints in 2014, 14 complaints in 2015 and 6 complaints in 2016. The Italian Competition Authority has not received any complaints to date. In 2017, Banca d’Italia received two complaints related to IBAN discrimination. As in similar cases, Banca d’Italia contributes to solving these problems by contacting the parties involved and facilitating the dialogue.</w:t>
      </w:r>
    </w:p>
    <w:p>
      <w:pPr>
        <w:rPr>
          <w:noProof/>
        </w:rPr>
      </w:pPr>
      <w:r>
        <w:rPr>
          <w:noProof/>
        </w:rPr>
        <w:t xml:space="preserve">Cases of IBAN discrimination were particularly reported in countries where the usage of SEPA Direct Debit is high and/or deemed convenient by consumers or companies (such as Belgium, France, Italy, Germany, Spain or the Netherlands) who welcome the possibility to use them also across borders, as offered by the SEPA Regulation. Most reported cases are due to a lack of knowledge of the Regulation's requirement by payment services users or limitations in legacy processes that do not allow foreign IBANs to be used (e.g. online or paper forms limiting the IBAN number to a fixed number of digits or displaying a pre-filled country prefix). </w:t>
      </w:r>
    </w:p>
    <w:p>
      <w:pPr>
        <w:rPr>
          <w:noProof/>
        </w:rPr>
      </w:pPr>
      <w:r>
        <w:rPr>
          <w:noProof/>
        </w:rPr>
        <w:t>By contrast, countries where SDD are not widely used or which are not members of the euro area generally receive fewer complaints. For instance, Bulgaria, Croatia, Cyprus, Czech Republic, Denmark, Estonia, Greece, Hungary, Ireland, Lithuania, Luxembourg, Malta, Poland, Romania, Slovenia and Sweden reported less than 20 complaints altogether since the end-date (1 August 2014 or 31 October 2016 depending on the country).</w:t>
      </w:r>
    </w:p>
    <w:bookmarkEnd w:id="10"/>
    <w:p>
      <w:pPr>
        <w:pStyle w:val="Heading1"/>
        <w:numPr>
          <w:ilvl w:val="1"/>
          <w:numId w:val="3"/>
        </w:numPr>
        <w:jc w:val="both"/>
        <w:rPr>
          <w:noProof/>
        </w:rPr>
      </w:pPr>
      <w:r>
        <w:rPr>
          <w:noProof/>
        </w:rPr>
        <w:t>Designation of competent authorities and their powers</w:t>
      </w:r>
    </w:p>
    <w:p>
      <w:pPr>
        <w:rPr>
          <w:noProof/>
        </w:rPr>
      </w:pPr>
      <w:r>
        <w:rPr>
          <w:noProof/>
        </w:rPr>
        <w:t>The migration to SEPA involved various authorities such as the European Central Bank and national Central Banks. Major stakeholders in the migration were national competent authorities in charge of ensuring compliance with the Regulation.</w:t>
      </w:r>
    </w:p>
    <w:p>
      <w:pPr>
        <w:rPr>
          <w:noProof/>
        </w:rPr>
      </w:pPr>
      <w:r>
        <w:rPr>
          <w:noProof/>
        </w:rPr>
        <w:t>In this respect, an issue encountered during the migration process and the subsequent months after 1 August 2014 is the scope of action of national competent authorities. Article 10 requires that Member States designate competent authorities for ensuring compliance with the Regulation. Some Member States interpreted the SEPA Regulation as limiting the obligation imposed on national competent authorities to ensure only that payment services providers comply with the Regulation, when the Regulation in fact contains obligations vis-à-vis payment services users (payees) as well (i.e. Article 9).</w:t>
      </w:r>
    </w:p>
    <w:p>
      <w:pPr>
        <w:rPr>
          <w:noProof/>
        </w:rPr>
      </w:pPr>
      <w:r>
        <w:rPr>
          <w:noProof/>
        </w:rPr>
        <w:t xml:space="preserve">In practice, nearly all payment services providers were compliant with the Regulation on the 'end-date', i.e. 1 August 2014. This was, however, not the case for a number of payment services users, be they tax authorities, energy providers, telecommunication operators, insurance companies or other utility companies that did not respect the Regulation and in particular its article 9 related to the acceptance of any euro payment account within the EU for making or receiving payments. </w:t>
      </w:r>
    </w:p>
    <w:p>
      <w:pPr>
        <w:rPr>
          <w:noProof/>
        </w:rPr>
      </w:pPr>
      <w:r>
        <w:rPr>
          <w:noProof/>
        </w:rPr>
        <w:t>In a number of cases, the competent authorities designated by Member States – in most cases Central Banks – had not been given powers over these payment services users. As a consequence, the Commission launched a series of pre-infringement procedures (called EU Pilots) to make sure that authorities would also be designated by Member States to ensure the compliance of payment services users. All but three Member States</w:t>
      </w:r>
      <w:r>
        <w:rPr>
          <w:rStyle w:val="FootnoteReference"/>
          <w:noProof/>
        </w:rPr>
        <w:footnoteReference w:id="16"/>
      </w:r>
      <w:r>
        <w:rPr>
          <w:noProof/>
        </w:rPr>
        <w:t xml:space="preserve"> are now compliant with the requirements of the Regulation. </w:t>
      </w:r>
    </w:p>
    <w:p>
      <w:pPr>
        <w:rPr>
          <w:noProof/>
        </w:rPr>
      </w:pPr>
      <w:r>
        <w:rPr>
          <w:noProof/>
        </w:rPr>
        <w:t xml:space="preserve">Competent authorities and contact points for complaints are listed in Annex. </w:t>
      </w:r>
    </w:p>
    <w:p>
      <w:pPr>
        <w:pStyle w:val="Heading1"/>
        <w:rPr>
          <w:noProof/>
        </w:rPr>
      </w:pPr>
      <w:r>
        <w:rPr>
          <w:noProof/>
        </w:rPr>
        <w:t>Conclusion and next steps for the SEPA project</w:t>
      </w:r>
    </w:p>
    <w:p>
      <w:pPr>
        <w:rPr>
          <w:noProof/>
        </w:rPr>
      </w:pPr>
      <w:r>
        <w:rPr>
          <w:noProof/>
        </w:rPr>
        <w:t>Overall, the SEPA Regulation has been correctly applied and implemented across the EU. There is currently no need for any follow-up legislative proposal. However, a few issues that have been addressed will continue to be closely monitored to ensure they are definitively tackled, in particular IBAN discrimination.</w:t>
      </w:r>
    </w:p>
    <w:p>
      <w:pPr>
        <w:rPr>
          <w:noProof/>
        </w:rPr>
      </w:pPr>
      <w:r>
        <w:rPr>
          <w:noProof/>
        </w:rPr>
        <w:t>SCTs and SDDs have given European citizens an effective way to make credit transfers and direct debits in euro within the European Union. Based on this standard, new players have emerged on the payments market, offering payment initiation services and peer-to-peer mobile payments. Also, the emergence of new types of players can be expected thanks to the revised Payments Services Directive and the development of new projects within SEPA, such as SEPA instant payments that will be available as of November 2017.</w:t>
      </w:r>
    </w:p>
    <w:p>
      <w:pPr>
        <w:rPr>
          <w:noProof/>
        </w:rPr>
      </w:pPr>
      <w:r>
        <w:rPr>
          <w:noProof/>
        </w:rPr>
        <w:t>These developments are supported by the Euro Retail Payments Board, an ECB-chaired body. This new entity, which replaced the former SEPA Council, aims at fostering the development of an integrated, innovative and competitive market for retail payments in euro in the European Union. It is composed of members from both the supply side of the market (banking community, payment institutions and e-money institutions) and the demand side of the market (consumers, retailers, online retailers, businesses/corporates, SMEs and national public administrations). In addition, five national central banks representing the Eurosystem and one representing the non-euro area community take part in the meetings on a rotating basis. The European Commission attends as an observer.</w:t>
      </w:r>
    </w:p>
    <w:p>
      <w:pPr>
        <w:rPr>
          <w:noProof/>
        </w:rPr>
      </w:pPr>
      <w:r>
        <w:rPr>
          <w:noProof/>
        </w:rPr>
        <w:t>National SEPA committees and their European Forum set up by the Commission have played a key role in implementing the Single Euro Payments Area and in achieving the goal of allowing Europeans to do all their transactions in euro anywhere in the EU from a single account. While the SEPA transition is now almost completed, the transformation of payment systems is still on-going at a fast pace. Most of the national SEPA committees have been transformed into national payments committees/councils to steer this transformation. These national payments committees/councils now focus on new challenges, such as the transition to instant payments or mobile payments. Moreover, with the entry into force of PSD2 in January 2018, the national committees will have to monitor other developments and notably the arrival of new players on the payments market, such as account information aggregators and payment initiation service providers.</w:t>
      </w:r>
    </w:p>
    <w:p>
      <w:pPr>
        <w:rPr>
          <w:noProof/>
        </w:rPr>
      </w:pPr>
      <w:r>
        <w:rPr>
          <w:noProof/>
        </w:rPr>
        <w:t>In order to support these new developments in the field of payments, to coordinate national initiatives and exchange information and best practices, the Commission is  examining, in close cooperation with the European Central Bank, how the EU Forum of national SEPA committees can be transformed into a platform for these reformed national payment committees/councils.</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021" w:right="1588" w:bottom="1021" w:left="1588" w:header="567" w:footer="454"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line="240" w:lineRule="auto"/>
      </w:pPr>
      <w:r>
        <w:separator/>
      </w:r>
    </w:p>
  </w:endnote>
  <w:endnote w:type="continuationSeparator" w:id="0">
    <w:p>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0"/>
      <w:jc w:val="center"/>
    </w:pPr>
    <w:r>
      <w:fldChar w:fldCharType="begin"/>
    </w:r>
    <w:r>
      <w:instrText>PAGE</w:instrText>
    </w:r>
    <w:r>
      <w:fldChar w:fldCharType="separate"/>
    </w:r>
    <w:r>
      <w:rPr>
        <w:noProof/>
      </w:rPr>
      <w:t>2</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p>
  <w:p>
    <w:pPr>
      <w:pStyle w:val="Footer"/>
    </w:pPr>
    <w:r>
      <w:rPr>
        <w:lang w:val="fr-FR"/>
      </w:rPr>
      <w:t xml:space="preserve">Commission européenne/Europese Commissie, 1049 Bruxelles/Brussel, BELGIQUE/BELGIË - Tel. </w:t>
    </w:r>
    <w:r>
      <w:t>+32 22991111</w:t>
    </w:r>
    <w:r>
      <w:rPr>
        <w:noProof/>
      </w:rPr>
      <w:br/>
      <w:t>Office: J-99 01/032 - Tel. direct line +32 229-69839</w:t>
    </w:r>
  </w:p>
  <w:p>
    <w:pPr>
      <w:pStyle w:val="Footer"/>
    </w:pPr>
  </w:p>
  <w:p>
    <w:pPr>
      <w:pStyle w:val="Footer"/>
      <w:rPr>
        <w:sz w:val="12"/>
        <w:szCs w:val="12"/>
      </w:rPr>
    </w:pPr>
    <w:r>
      <w:t>Alexander.STEIN@ec.europa.eu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line="240" w:lineRule="auto"/>
      </w:pPr>
      <w:r>
        <w:separator/>
      </w:r>
    </w:p>
  </w:footnote>
  <w:footnote w:type="continuationSeparator" w:id="0">
    <w:p>
      <w:pPr>
        <w:spacing w:before="0" w:line="240" w:lineRule="auto"/>
      </w:pPr>
      <w:r>
        <w:continuationSeparator/>
      </w:r>
    </w:p>
  </w:footnote>
  <w:footnote w:id="1">
    <w:p>
      <w:pPr>
        <w:pStyle w:val="FootnoteText"/>
      </w:pPr>
      <w:r>
        <w:rPr>
          <w:rStyle w:val="FootnoteReference"/>
        </w:rPr>
        <w:footnoteRef/>
      </w:r>
      <w:r>
        <w:t xml:space="preserve"> </w:t>
      </w:r>
      <w:hyperlink r:id="rId1" w:history="1">
        <w:r>
          <w:rPr>
            <w:rStyle w:val="Hyperlink"/>
          </w:rPr>
          <w:t>http://eur-lex.europa.eu/legal-content/EN/ALL/?uri=celex%3A32012R0260</w:t>
        </w:r>
      </w:hyperlink>
      <w:r>
        <w:t xml:space="preserve"> </w:t>
      </w:r>
    </w:p>
  </w:footnote>
  <w:footnote w:id="2">
    <w:p>
      <w:pPr>
        <w:pStyle w:val="FootnoteText"/>
        <w:ind w:left="0" w:firstLine="0"/>
        <w:jc w:val="both"/>
      </w:pPr>
      <w:r>
        <w:rPr>
          <w:rStyle w:val="FootnoteReference"/>
        </w:rPr>
        <w:footnoteRef/>
      </w:r>
      <w:r>
        <w:t xml:space="preserve"> Figures as of 31 September 2016. All payment services providers (PSPs) have confirmed their readiness for compliance by October 31, 2016, which should be reflected in the finalised statistics for SCT for Q4 of 2016 – not yet available</w:t>
      </w:r>
    </w:p>
  </w:footnote>
  <w:footnote w:id="3">
    <w:p>
      <w:pPr>
        <w:pStyle w:val="FootnoteText"/>
        <w:ind w:left="0" w:firstLine="0"/>
        <w:jc w:val="both"/>
      </w:pPr>
      <w:r>
        <w:rPr>
          <w:rStyle w:val="FootnoteReference"/>
        </w:rPr>
        <w:footnoteRef/>
      </w:r>
      <w:r>
        <w:t xml:space="preserve"> Most requirements have been implemented. However, four institutions in Romania appear to be only partially compliant.</w:t>
      </w:r>
    </w:p>
  </w:footnote>
  <w:footnote w:id="4">
    <w:p>
      <w:pPr>
        <w:pStyle w:val="FootnoteText"/>
        <w:ind w:left="0" w:firstLine="0"/>
        <w:jc w:val="both"/>
      </w:pPr>
      <w:r>
        <w:rPr>
          <w:rStyle w:val="FootnoteReference"/>
        </w:rPr>
        <w:footnoteRef/>
      </w:r>
      <w:r>
        <w:t xml:space="preserve"> One particular type of credit transfer service, so-called utility payments, is still in transition from legacy practices to SEPA requirements. Utility payments are addressed to utility providers and require additional data for payment reconciliation and consumption readings. According to inter-sectoral agreement between PSPs and utility providers, utility payments are to migrate to SEPA credit transfers by 1 April 2017.</w:t>
      </w:r>
    </w:p>
  </w:footnote>
  <w:footnote w:id="5">
    <w:p>
      <w:pPr>
        <w:pStyle w:val="FootnoteText"/>
        <w:ind w:left="0" w:firstLine="0"/>
      </w:pPr>
      <w:r>
        <w:rPr>
          <w:rStyle w:val="FootnoteReference"/>
        </w:rPr>
        <w:footnoteRef/>
      </w:r>
      <w:r>
        <w:t xml:space="preserve"> Not relevant as only one bank has adhered to a SEPA Direct debit scheme (SDD B2B scheme).</w:t>
      </w:r>
    </w:p>
  </w:footnote>
  <w:footnote w:id="6">
    <w:p>
      <w:pPr>
        <w:pStyle w:val="FootnoteText"/>
        <w:ind w:left="0" w:firstLine="0"/>
        <w:jc w:val="both"/>
      </w:pPr>
      <w:r>
        <w:rPr>
          <w:rStyle w:val="FootnoteReference"/>
        </w:rPr>
        <w:footnoteRef/>
      </w:r>
      <w:r>
        <w:t xml:space="preserve"> Payment service providers in the Republic of Croatia do not provide direct debit services in euro.</w:t>
      </w:r>
    </w:p>
  </w:footnote>
  <w:footnote w:id="7">
    <w:p>
      <w:pPr>
        <w:pStyle w:val="FootnoteText"/>
        <w:ind w:left="0" w:firstLine="0"/>
      </w:pPr>
      <w:r>
        <w:rPr>
          <w:rStyle w:val="FootnoteReference"/>
        </w:rPr>
        <w:footnoteRef/>
      </w:r>
      <w:r>
        <w:t xml:space="preserve"> National direct debits were replaced by SEPA credit transfers combined with e-invoices</w:t>
      </w:r>
    </w:p>
  </w:footnote>
  <w:footnote w:id="8">
    <w:p>
      <w:pPr>
        <w:pStyle w:val="FootnoteText"/>
      </w:pPr>
      <w:r>
        <w:rPr>
          <w:rStyle w:val="FootnoteReference"/>
        </w:rPr>
        <w:footnoteRef/>
      </w:r>
      <w:r>
        <w:t xml:space="preserve"> Very low use of SEPA Direct Debits. National direct debits were replaced by SEPA Credit Transfer combined with e-invoices but banks remain reachable for SDD.</w:t>
      </w:r>
    </w:p>
  </w:footnote>
  <w:footnote w:id="9">
    <w:p>
      <w:pPr>
        <w:pStyle w:val="FootnoteText"/>
        <w:ind w:left="0" w:firstLine="0"/>
        <w:jc w:val="both"/>
      </w:pPr>
      <w:r>
        <w:rPr>
          <w:rStyle w:val="FootnoteReference"/>
        </w:rPr>
        <w:footnoteRef/>
      </w:r>
      <w:r>
        <w:t xml:space="preserve"> Only one payment service provider offers SDD services</w:t>
      </w:r>
    </w:p>
  </w:footnote>
  <w:footnote w:id="10">
    <w:p>
      <w:pPr>
        <w:pStyle w:val="FootnoteText"/>
        <w:ind w:left="0" w:firstLine="0"/>
      </w:pPr>
      <w:r>
        <w:rPr>
          <w:rStyle w:val="FootnoteReference"/>
        </w:rPr>
        <w:footnoteRef/>
      </w:r>
      <w:r>
        <w:t xml:space="preserve"> Not relevant as only very few SDD processed</w:t>
      </w:r>
    </w:p>
  </w:footnote>
  <w:footnote w:id="11">
    <w:p>
      <w:pPr>
        <w:pStyle w:val="FootnoteText"/>
        <w:ind w:left="0" w:firstLine="0"/>
      </w:pPr>
      <w:r>
        <w:rPr>
          <w:rStyle w:val="FootnoteReference"/>
        </w:rPr>
        <w:footnoteRef/>
      </w:r>
      <w:r>
        <w:t xml:space="preserve"> Except for data marked "December 2016", all data for tables 3 to 6 are extracted from ECB tables available on the ECB website - </w:t>
      </w:r>
      <w:hyperlink r:id="rId2" w:history="1">
        <w:r>
          <w:rPr>
            <w:rStyle w:val="Hyperlink"/>
          </w:rPr>
          <w:t>http://www.ecb.europa.eu/paym/retpaym/paymint/indicators/html/index.en.html</w:t>
        </w:r>
      </w:hyperlink>
      <w:r>
        <w:t xml:space="preserve"> </w:t>
      </w:r>
    </w:p>
  </w:footnote>
  <w:footnote w:id="12">
    <w:p>
      <w:pPr>
        <w:pStyle w:val="FootnoteText"/>
      </w:pPr>
      <w:r>
        <w:rPr>
          <w:rStyle w:val="FootnoteReference"/>
        </w:rPr>
        <w:footnoteRef/>
      </w:r>
      <w:r>
        <w:t xml:space="preserve"> Lithuania joined the euro area on 1 January 2015 and had until the 1 January 2016 to migrate all euro credit transfers.</w:t>
      </w:r>
    </w:p>
  </w:footnote>
  <w:footnote w:id="13">
    <w:p>
      <w:pPr>
        <w:pStyle w:val="FootnoteText"/>
      </w:pPr>
      <w:r>
        <w:rPr>
          <w:rStyle w:val="FootnoteReference"/>
        </w:rPr>
        <w:footnoteRef/>
      </w:r>
      <w:r>
        <w:t xml:space="preserve"> Latvia had until 1 January 2015 to migrate. Latvia replaced legacy direct debits with SCT-based e-invoicing solutions</w:t>
      </w:r>
    </w:p>
  </w:footnote>
  <w:footnote w:id="14">
    <w:p>
      <w:pPr>
        <w:pStyle w:val="FootnoteText"/>
        <w:ind w:left="0" w:firstLine="0"/>
        <w:jc w:val="both"/>
      </w:pPr>
      <w:r>
        <w:rPr>
          <w:rStyle w:val="FootnoteReference"/>
        </w:rPr>
        <w:footnoteRef/>
      </w:r>
      <w:r>
        <w:t xml:space="preserve"> In the UK, the ‘Payments in Euro (Credit Transfers and Direct Debits) Regulations 2012’ were laid before Parliament on 18 December 2012 and came into force on 15 January 2013. Article 19 of these Regulations states what derogations were applied. Regulation 19 provides for the derogation under Article 16(3) and (4) of the SEPA Regulation to apply in relation to the requirements of Articles 8(2) and (3) of that Regulation until 1st February 2016. The derogations under Article 16(2) and (8), applying to non-euro Member States, mean that the requirements of Articles 3, 4 and 5 of the SEPA Regulation did not apply until 31 October 2016. Essentially this meant that, for most requirements, PSPs located in the UK were set a migration end date of 31 October 2016.</w:t>
      </w:r>
    </w:p>
  </w:footnote>
  <w:footnote w:id="15">
    <w:p>
      <w:pPr>
        <w:pStyle w:val="FootnoteText"/>
        <w:ind w:left="0" w:firstLine="0"/>
      </w:pPr>
      <w:r>
        <w:rPr>
          <w:rStyle w:val="FootnoteReference"/>
        </w:rPr>
        <w:footnoteRef/>
      </w:r>
      <w:r>
        <w:t xml:space="preserve"> Some credit insitutions in Estonia still provide the services for conversion from BBAN to IBAN</w:t>
      </w:r>
    </w:p>
  </w:footnote>
  <w:footnote w:id="16">
    <w:p>
      <w:pPr>
        <w:pStyle w:val="FootnoteText"/>
      </w:pPr>
      <w:r>
        <w:rPr>
          <w:rStyle w:val="FootnoteReference"/>
        </w:rPr>
        <w:footnoteRef/>
      </w:r>
      <w:r>
        <w:t xml:space="preserve"> Poland, Latvia, Greece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1F55399"/>
    <w:multiLevelType w:val="hybridMultilevel"/>
    <w:tmpl w:val="BDDA011E"/>
    <w:lvl w:ilvl="0" w:tplc="0413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046291"/>
    <w:multiLevelType w:val="hybridMultilevel"/>
    <w:tmpl w:val="C10A1C32"/>
    <w:lvl w:ilvl="0" w:tplc="A7F02C7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C041CC"/>
    <w:multiLevelType w:val="hybridMultilevel"/>
    <w:tmpl w:val="3A961E90"/>
    <w:lvl w:ilvl="0" w:tplc="7A7C5B34">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1A5D07BF"/>
    <w:multiLevelType w:val="hybridMultilevel"/>
    <w:tmpl w:val="754A15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A26F04"/>
    <w:multiLevelType w:val="hybridMultilevel"/>
    <w:tmpl w:val="0A0834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734306"/>
    <w:multiLevelType w:val="multilevel"/>
    <w:tmpl w:val="70A4C45C"/>
    <w:lvl w:ilvl="0">
      <w:start w:val="1"/>
      <w:numFmt w:val="decimal"/>
      <w:pStyle w:val="Heading1"/>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14B3744"/>
    <w:multiLevelType w:val="hybridMultilevel"/>
    <w:tmpl w:val="A2EE2CA0"/>
    <w:lvl w:ilvl="0" w:tplc="B878798C">
      <w:numFmt w:val="bullet"/>
      <w:lvlText w:val="-"/>
      <w:lvlJc w:val="left"/>
      <w:pPr>
        <w:ind w:left="720" w:hanging="360"/>
      </w:pPr>
      <w:rPr>
        <w:rFonts w:ascii="Times New Roman" w:eastAsia="Times New Roman" w:hAnsi="Times New Roman"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4304869"/>
    <w:multiLevelType w:val="hybridMultilevel"/>
    <w:tmpl w:val="6B3686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4B58258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FBB718E"/>
    <w:multiLevelType w:val="hybridMultilevel"/>
    <w:tmpl w:val="552ABC98"/>
    <w:lvl w:ilvl="0" w:tplc="0809000F">
      <w:start w:val="1"/>
      <w:numFmt w:val="decimal"/>
      <w:lvlText w:val="%1."/>
      <w:lvlJc w:val="left"/>
      <w:pPr>
        <w:ind w:left="-708" w:hanging="360"/>
      </w:pPr>
    </w:lvl>
    <w:lvl w:ilvl="1" w:tplc="08090019" w:tentative="1">
      <w:start w:val="1"/>
      <w:numFmt w:val="lowerLetter"/>
      <w:lvlText w:val="%2."/>
      <w:lvlJc w:val="left"/>
      <w:pPr>
        <w:ind w:left="12" w:hanging="360"/>
      </w:pPr>
    </w:lvl>
    <w:lvl w:ilvl="2" w:tplc="0809001B" w:tentative="1">
      <w:start w:val="1"/>
      <w:numFmt w:val="lowerRoman"/>
      <w:lvlText w:val="%3."/>
      <w:lvlJc w:val="right"/>
      <w:pPr>
        <w:ind w:left="732" w:hanging="180"/>
      </w:pPr>
    </w:lvl>
    <w:lvl w:ilvl="3" w:tplc="0809000F" w:tentative="1">
      <w:start w:val="1"/>
      <w:numFmt w:val="decimal"/>
      <w:lvlText w:val="%4."/>
      <w:lvlJc w:val="left"/>
      <w:pPr>
        <w:ind w:left="1452" w:hanging="360"/>
      </w:pPr>
    </w:lvl>
    <w:lvl w:ilvl="4" w:tplc="08090019" w:tentative="1">
      <w:start w:val="1"/>
      <w:numFmt w:val="lowerLetter"/>
      <w:lvlText w:val="%5."/>
      <w:lvlJc w:val="left"/>
      <w:pPr>
        <w:ind w:left="2172" w:hanging="360"/>
      </w:pPr>
    </w:lvl>
    <w:lvl w:ilvl="5" w:tplc="0809001B" w:tentative="1">
      <w:start w:val="1"/>
      <w:numFmt w:val="lowerRoman"/>
      <w:lvlText w:val="%6."/>
      <w:lvlJc w:val="right"/>
      <w:pPr>
        <w:ind w:left="2892" w:hanging="180"/>
      </w:pPr>
    </w:lvl>
    <w:lvl w:ilvl="6" w:tplc="0809000F" w:tentative="1">
      <w:start w:val="1"/>
      <w:numFmt w:val="decimal"/>
      <w:lvlText w:val="%7."/>
      <w:lvlJc w:val="left"/>
      <w:pPr>
        <w:ind w:left="3612" w:hanging="360"/>
      </w:pPr>
    </w:lvl>
    <w:lvl w:ilvl="7" w:tplc="08090019" w:tentative="1">
      <w:start w:val="1"/>
      <w:numFmt w:val="lowerLetter"/>
      <w:lvlText w:val="%8."/>
      <w:lvlJc w:val="left"/>
      <w:pPr>
        <w:ind w:left="4332" w:hanging="360"/>
      </w:pPr>
    </w:lvl>
    <w:lvl w:ilvl="8" w:tplc="0809001B" w:tentative="1">
      <w:start w:val="1"/>
      <w:numFmt w:val="lowerRoman"/>
      <w:lvlText w:val="%9."/>
      <w:lvlJc w:val="right"/>
      <w:pPr>
        <w:ind w:left="5052" w:hanging="180"/>
      </w:pPr>
    </w:lvl>
  </w:abstractNum>
  <w:abstractNum w:abstractNumId="21">
    <w:nsid w:val="520C629E"/>
    <w:multiLevelType w:val="hybridMultilevel"/>
    <w:tmpl w:val="499E8FF2"/>
    <w:lvl w:ilvl="0" w:tplc="B878798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4C650F0"/>
    <w:multiLevelType w:val="hybridMultilevel"/>
    <w:tmpl w:val="A1F0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F3608A"/>
    <w:multiLevelType w:val="hybridMultilevel"/>
    <w:tmpl w:val="B966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68400E"/>
    <w:multiLevelType w:val="hybridMultilevel"/>
    <w:tmpl w:val="3ADA18D8"/>
    <w:lvl w:ilvl="0" w:tplc="A06CF5F4">
      <w:start w:val="1"/>
      <w:numFmt w:val="bullet"/>
      <w:pStyle w:val="ListParagraph"/>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nsid w:val="6EC01A42"/>
    <w:multiLevelType w:val="hybridMultilevel"/>
    <w:tmpl w:val="0C7A0F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31E1CB2"/>
    <w:multiLevelType w:val="hybridMultilevel"/>
    <w:tmpl w:val="56185E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742B65B4"/>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7B949F6"/>
    <w:multiLevelType w:val="hybridMultilevel"/>
    <w:tmpl w:val="048478E0"/>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8"/>
  </w:num>
  <w:num w:numId="4">
    <w:abstractNumId w:val="17"/>
  </w:num>
  <w:num w:numId="5">
    <w:abstractNumId w:val="10"/>
  </w:num>
  <w:num w:numId="6">
    <w:abstractNumId w:val="16"/>
  </w:num>
  <w:num w:numId="7">
    <w:abstractNumId w:val="25"/>
  </w:num>
  <w:num w:numId="8">
    <w:abstractNumId w:val="29"/>
  </w:num>
  <w:num w:numId="9">
    <w:abstractNumId w:val="13"/>
  </w:num>
  <w:num w:numId="10">
    <w:abstractNumId w:val="24"/>
  </w:num>
  <w:num w:numId="11">
    <w:abstractNumId w:val="23"/>
  </w:num>
  <w:num w:numId="12">
    <w:abstractNumId w:val="18"/>
  </w:num>
  <w:num w:numId="13">
    <w:abstractNumId w:val="22"/>
  </w:num>
  <w:num w:numId="14">
    <w:abstractNumId w:val="9"/>
  </w:num>
  <w:num w:numId="15">
    <w:abstractNumId w:val="15"/>
  </w:num>
  <w:num w:numId="16">
    <w:abstractNumId w:val="7"/>
  </w:num>
  <w:num w:numId="17">
    <w:abstractNumId w:val="11"/>
  </w:num>
  <w:num w:numId="18">
    <w:abstractNumId w:val="31"/>
  </w:num>
  <w:num w:numId="19">
    <w:abstractNumId w:val="28"/>
  </w:num>
  <w:num w:numId="20">
    <w:abstractNumId w:val="3"/>
  </w:num>
  <w:num w:numId="21">
    <w:abstractNumId w:val="34"/>
  </w:num>
  <w:num w:numId="22">
    <w:abstractNumId w:val="21"/>
  </w:num>
  <w:num w:numId="23">
    <w:abstractNumId w:val="12"/>
  </w:num>
  <w:num w:numId="24">
    <w:abstractNumId w:val="19"/>
  </w:num>
  <w:num w:numId="25">
    <w:abstractNumId w:val="20"/>
  </w:num>
  <w:num w:numId="26">
    <w:abstractNumId w:val="33"/>
  </w:num>
  <w:num w:numId="27">
    <w:abstractNumId w:val="14"/>
  </w:num>
  <w:num w:numId="28">
    <w:abstractNumId w:val="5"/>
  </w:num>
  <w:num w:numId="29">
    <w:abstractNumId w:val="30"/>
  </w:num>
  <w:num w:numId="30">
    <w:abstractNumId w:val="6"/>
  </w:num>
  <w:num w:numId="31">
    <w:abstractNumId w:val="2"/>
  </w:num>
  <w:num w:numId="32">
    <w:abstractNumId w:val="8"/>
  </w:num>
  <w:num w:numId="33">
    <w:abstractNumId w:val="4"/>
  </w:num>
  <w:num w:numId="34">
    <w:abstractNumId w:val="8"/>
  </w:num>
  <w:num w:numId="35">
    <w:abstractNumId w:val="8"/>
  </w:num>
  <w:num w:numId="36">
    <w:abstractNumId w:val="32"/>
  </w:num>
  <w:num w:numId="37">
    <w:abstractNumId w:val="8"/>
  </w:num>
  <w:num w:numId="38">
    <w:abstractNumId w:val="8"/>
  </w:num>
  <w:num w:numId="39">
    <w:abstractNumId w:val="26"/>
  </w:num>
  <w:num w:numId="40">
    <w:abstractNumId w:va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8"/>
  </w:num>
  <w:num w:numId="46">
    <w:abstractNumId w:val="27"/>
  </w:num>
  <w:num w:numId="47">
    <w:abstractNumId w:val="8"/>
  </w:num>
  <w:num w:numId="48">
    <w:abstractNumId w:val="8"/>
  </w:num>
  <w:num w:numId="49">
    <w:abstractNumId w:val="8"/>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
    <w15:presenceInfo w15:providerId="None" w15:userI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A8A27BE-3729-4E1C-8F41-8AD48C950F5C"/>
    <w:docVar w:name="LW_COVERPAGE_TYPE" w:val="1"/>
    <w:docVar w:name="LW_CROSSREFERENCE" w:val="&lt;UNUSED&gt;"/>
    <w:docVar w:name="LW_DocType" w:val="REP"/>
    <w:docVar w:name="LW_EMISSION" w:val="23.11.2017"/>
    <w:docVar w:name="LW_EMISSION_ISODATE" w:val="2017-11-2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application of Regulation EU n°260/2012 establishing technical and business requirements for credit transfers and direct debits in euro and amending Regulation (EC) No 924/2009"/>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toc 1" w:uiPriority="39"/>
    <w:lsdException w:name="toc 2" w:uiPriority="39"/>
    <w:lsdException w:name="footnote text" w:uiPriority="99"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lsdException w:name="Emphasis" w:semiHidden="0" w:uiPriority="20" w:unhideWhenUsed="0"/>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nhideWhenUsed="0" w:qFormat="1"/>
  </w:latentStyles>
  <w:style w:type="paragraph" w:default="1" w:styleId="Normal">
    <w:name w:val="Normal"/>
    <w:qFormat/>
    <w:pPr>
      <w:spacing w:before="180" w:line="276" w:lineRule="auto"/>
      <w:jc w:val="both"/>
    </w:pPr>
    <w:rPr>
      <w:sz w:val="24"/>
      <w:lang w:eastAsia="en-US"/>
    </w:rPr>
  </w:style>
  <w:style w:type="paragraph" w:styleId="Heading1">
    <w:name w:val="heading 1"/>
    <w:basedOn w:val="Normal"/>
    <w:next w:val="Normal"/>
    <w:qFormat/>
    <w:pPr>
      <w:keepNext/>
      <w:numPr>
        <w:numId w:val="3"/>
      </w:numPr>
      <w:spacing w:before="360"/>
      <w:jc w:val="left"/>
      <w:outlineLvl w:val="0"/>
    </w:pPr>
    <w:rPr>
      <w:b/>
      <w:smallCaps/>
    </w:rPr>
  </w:style>
  <w:style w:type="paragraph" w:styleId="Heading2">
    <w:name w:val="heading 2"/>
    <w:basedOn w:val="Normal"/>
    <w:next w:val="Normal"/>
    <w:link w:val="Heading2Char"/>
    <w:qFormat/>
    <w:pPr>
      <w:keepNext/>
      <w:spacing w:before="240"/>
      <w:jc w:val="left"/>
      <w:outlineLvl w:val="1"/>
    </w:pPr>
    <w:rPr>
      <w:b/>
      <w:smallCaps/>
      <w:sz w:val="22"/>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keepNext/>
      <w:keepLines/>
      <w:spacing w:before="240" w:after="120"/>
      <w:jc w:val="left"/>
    </w:pPr>
    <w:rPr>
      <w:b/>
      <w:sz w:val="23"/>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unhideWhenUsed/>
    <w:pPr>
      <w:tabs>
        <w:tab w:val="center" w:pos="4535"/>
        <w:tab w:val="right" w:pos="9071"/>
        <w:tab w:val="right" w:pos="9921"/>
      </w:tabs>
      <w:spacing w:before="360" w:line="240" w:lineRule="auto"/>
      <w:ind w:left="-850" w:right="-850"/>
      <w:jc w:val="left"/>
    </w:pPr>
    <w:rPr>
      <w:rFonts w:eastAsiaTheme="minorHAnsi"/>
      <w:szCs w:val="22"/>
    </w:rPr>
  </w:style>
  <w:style w:type="paragraph" w:styleId="FootnoteText">
    <w:name w:val="footnote text"/>
    <w:basedOn w:val="Normal"/>
    <w:link w:val="FootnoteTextChar"/>
    <w:uiPriority w:val="99"/>
    <w:qFormat/>
    <w:pPr>
      <w:spacing w:before="20" w:line="240" w:lineRule="auto"/>
      <w:ind w:left="113" w:hanging="113"/>
      <w:jc w:val="left"/>
    </w:pPr>
    <w:rPr>
      <w:sz w:val="18"/>
      <w:szCs w:val="18"/>
    </w:rPr>
  </w:style>
  <w:style w:type="paragraph" w:styleId="Header">
    <w:name w:val="header"/>
    <w:basedOn w:val="Normal"/>
    <w:link w:val="HeaderChar"/>
    <w:uiPriority w:val="99"/>
    <w:unhideWhenUsed/>
    <w:pPr>
      <w:tabs>
        <w:tab w:val="center" w:pos="4535"/>
        <w:tab w:val="right" w:pos="9071"/>
      </w:tabs>
      <w:spacing w:before="0" w:after="120" w:line="240" w:lineRule="auto"/>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60" w:line="240" w:lineRule="auto"/>
      <w:jc w:val="left"/>
    </w:pPr>
    <w:rPr>
      <w:bCs/>
      <w:sz w:val="22"/>
    </w:rPr>
  </w:style>
  <w:style w:type="paragraph" w:styleId="TOC2">
    <w:name w:val="toc 2"/>
    <w:basedOn w:val="Normal"/>
    <w:next w:val="Normal"/>
    <w:uiPriority w:val="39"/>
    <w:pPr>
      <w:spacing w:before="120"/>
      <w:ind w:left="240"/>
      <w:jc w:val="left"/>
    </w:pPr>
    <w:rPr>
      <w:rFonts w:asciiTheme="minorHAnsi" w:hAnsiTheme="minorHAnsi"/>
      <w:i/>
      <w:iCs/>
      <w:sz w:val="20"/>
    </w:rPr>
  </w:style>
  <w:style w:type="paragraph" w:styleId="TOC3">
    <w:name w:val="toc 3"/>
    <w:basedOn w:val="Normal"/>
    <w:next w:val="Normal"/>
    <w:semiHidden/>
    <w:pPr>
      <w:spacing w:before="0"/>
      <w:ind w:left="480"/>
      <w:jc w:val="left"/>
    </w:pPr>
    <w:rPr>
      <w:rFonts w:asciiTheme="minorHAnsi" w:hAnsiTheme="minorHAnsi"/>
      <w:sz w:val="20"/>
    </w:rPr>
  </w:style>
  <w:style w:type="paragraph" w:styleId="TOC4">
    <w:name w:val="toc 4"/>
    <w:basedOn w:val="Normal"/>
    <w:next w:val="Normal"/>
    <w:semiHidden/>
    <w:pPr>
      <w:spacing w:before="0"/>
      <w:ind w:left="720"/>
      <w:jc w:val="left"/>
    </w:pPr>
    <w:rPr>
      <w:rFonts w:asciiTheme="minorHAnsi" w:hAnsiTheme="minorHAnsi"/>
      <w:sz w:val="20"/>
    </w:rPr>
  </w:style>
  <w:style w:type="paragraph" w:styleId="TOC5">
    <w:name w:val="toc 5"/>
    <w:basedOn w:val="Normal"/>
    <w:next w:val="Normal"/>
    <w:semiHidden/>
    <w:pPr>
      <w:spacing w:before="0"/>
      <w:ind w:left="960"/>
      <w:jc w:val="left"/>
    </w:pPr>
    <w:rPr>
      <w:rFonts w:asciiTheme="minorHAnsi" w:hAnsiTheme="minorHAnsi"/>
      <w:sz w:val="20"/>
    </w:rPr>
  </w:style>
  <w:style w:type="paragraph" w:styleId="TOC6">
    <w:name w:val="toc 6"/>
    <w:basedOn w:val="Normal"/>
    <w:next w:val="Normal"/>
    <w:autoRedefine/>
    <w:semiHidden/>
    <w:pPr>
      <w:spacing w:before="0"/>
      <w:ind w:left="1200"/>
      <w:jc w:val="left"/>
    </w:pPr>
    <w:rPr>
      <w:rFonts w:asciiTheme="minorHAnsi" w:hAnsiTheme="minorHAnsi"/>
      <w:sz w:val="20"/>
    </w:rPr>
  </w:style>
  <w:style w:type="paragraph" w:styleId="TOC7">
    <w:name w:val="toc 7"/>
    <w:basedOn w:val="Normal"/>
    <w:next w:val="Normal"/>
    <w:autoRedefine/>
    <w:semiHidden/>
    <w:pPr>
      <w:spacing w:before="0"/>
      <w:ind w:left="1440"/>
      <w:jc w:val="left"/>
    </w:pPr>
    <w:rPr>
      <w:rFonts w:asciiTheme="minorHAnsi" w:hAnsiTheme="minorHAnsi"/>
      <w:sz w:val="20"/>
    </w:rPr>
  </w:style>
  <w:style w:type="paragraph" w:styleId="TOC8">
    <w:name w:val="toc 8"/>
    <w:basedOn w:val="Normal"/>
    <w:next w:val="Normal"/>
    <w:autoRedefine/>
    <w:semiHidden/>
    <w:pPr>
      <w:spacing w:before="0"/>
      <w:ind w:left="1680"/>
      <w:jc w:val="left"/>
    </w:pPr>
    <w:rPr>
      <w:rFonts w:asciiTheme="minorHAnsi" w:hAnsiTheme="minorHAnsi"/>
      <w:sz w:val="20"/>
    </w:rPr>
  </w:style>
  <w:style w:type="paragraph" w:styleId="TOC9">
    <w:name w:val="toc 9"/>
    <w:basedOn w:val="Normal"/>
    <w:next w:val="Normal"/>
    <w:autoRedefine/>
    <w:semiHidden/>
    <w:pPr>
      <w:spacing w:before="0"/>
      <w:ind w:left="1920"/>
      <w:jc w:val="left"/>
    </w:pPr>
    <w:rPr>
      <w:rFonts w:asciiTheme="minorHAnsi" w:hAnsiTheme="minorHAnsi"/>
      <w:sz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keepLines/>
      <w:numPr>
        <w:numId w:val="19"/>
      </w:numPr>
      <w:spacing w:before="40"/>
      <w:ind w:left="357" w:hanging="357"/>
      <w:jc w:val="left"/>
    </w:p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paragraph" w:styleId="NoSpacing">
    <w:name w:val="No Spacing"/>
    <w:uiPriority w:val="1"/>
    <w:qFormat/>
    <w:pPr>
      <w:jc w:val="both"/>
    </w:pPr>
    <w:rPr>
      <w:sz w:val="22"/>
      <w:lang w:eastAsia="en-US"/>
    </w:rPr>
  </w:style>
  <w:style w:type="character" w:styleId="FollowedHyperlink">
    <w:name w:val="FollowedHyperlink"/>
    <w:basedOn w:val="DefaultParagraphFont"/>
    <w:uiPriority w:val="99"/>
    <w:semiHidden/>
    <w:unhideWhenUsed/>
    <w:rPr>
      <w:color w:val="800080"/>
      <w:u w:val="single"/>
    </w:rPr>
  </w:style>
  <w:style w:type="paragraph" w:customStyle="1" w:styleId="xl65">
    <w:name w:val="xl65"/>
    <w:basedOn w:val="Normal"/>
    <w:pPr>
      <w:shd w:val="clear" w:color="DCE6F1" w:fill="DCE6F1"/>
      <w:spacing w:before="100" w:beforeAutospacing="1" w:after="100" w:afterAutospacing="1" w:line="240" w:lineRule="auto"/>
      <w:jc w:val="left"/>
    </w:pPr>
    <w:rPr>
      <w:b/>
      <w:bCs/>
      <w:szCs w:val="24"/>
      <w:lang w:eastAsia="en-GB"/>
    </w:rPr>
  </w:style>
  <w:style w:type="paragraph" w:customStyle="1" w:styleId="xl66">
    <w:name w:val="xl66"/>
    <w:basedOn w:val="Normal"/>
    <w:pPr>
      <w:spacing w:before="100" w:beforeAutospacing="1" w:after="100" w:afterAutospacing="1" w:line="240" w:lineRule="auto"/>
      <w:jc w:val="center"/>
    </w:pPr>
    <w:rPr>
      <w:b/>
      <w:bCs/>
      <w:szCs w:val="24"/>
      <w:u w:val="single"/>
      <w:lang w:eastAsia="en-GB"/>
    </w:rPr>
  </w:style>
  <w:style w:type="paragraph" w:customStyle="1" w:styleId="xl67">
    <w:name w:val="xl67"/>
    <w:basedOn w:val="Normal"/>
    <w:pPr>
      <w:shd w:val="clear" w:color="4F81BD" w:fill="4F81BD"/>
      <w:spacing w:before="100" w:beforeAutospacing="1" w:after="100" w:afterAutospacing="1" w:line="240" w:lineRule="auto"/>
      <w:jc w:val="center"/>
    </w:pPr>
    <w:rPr>
      <w:b/>
      <w:bCs/>
      <w:color w:val="FFFFFF"/>
      <w:szCs w:val="24"/>
      <w:lang w:eastAsia="en-GB"/>
    </w:rPr>
  </w:style>
  <w:style w:type="paragraph" w:customStyle="1" w:styleId="xl68">
    <w:name w:val="xl68"/>
    <w:basedOn w:val="Normal"/>
    <w:pPr>
      <w:spacing w:before="100" w:beforeAutospacing="1" w:after="100" w:afterAutospacing="1" w:line="240" w:lineRule="auto"/>
      <w:jc w:val="center"/>
    </w:pPr>
    <w:rPr>
      <w:szCs w:val="24"/>
      <w:lang w:eastAsia="en-GB"/>
    </w:rPr>
  </w:style>
  <w:style w:type="paragraph" w:customStyle="1" w:styleId="xl69">
    <w:name w:val="xl69"/>
    <w:basedOn w:val="Normal"/>
    <w:pPr>
      <w:shd w:val="clear" w:color="DCE6F1" w:fill="DCE6F1"/>
      <w:spacing w:before="100" w:beforeAutospacing="1" w:after="100" w:afterAutospacing="1" w:line="240" w:lineRule="auto"/>
      <w:jc w:val="left"/>
    </w:pPr>
    <w:rPr>
      <w:b/>
      <w:bCs/>
      <w:szCs w:val="24"/>
      <w:lang w:eastAsia="en-GB"/>
    </w:rPr>
  </w:style>
  <w:style w:type="paragraph" w:customStyle="1" w:styleId="xl70">
    <w:name w:val="xl70"/>
    <w:basedOn w:val="Normal"/>
    <w:pPr>
      <w:spacing w:before="100" w:beforeAutospacing="1" w:after="100" w:afterAutospacing="1" w:line="240" w:lineRule="auto"/>
      <w:jc w:val="left"/>
    </w:pPr>
    <w:rPr>
      <w:b/>
      <w:bCs/>
      <w:szCs w:val="24"/>
      <w:lang w:eastAsia="en-GB"/>
    </w:rPr>
  </w:style>
  <w:style w:type="paragraph" w:customStyle="1" w:styleId="xl71">
    <w:name w:val="xl7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b/>
      <w:bCs/>
      <w:szCs w:val="24"/>
      <w:lang w:eastAsia="en-GB"/>
    </w:rPr>
  </w:style>
  <w:style w:type="paragraph" w:customStyle="1" w:styleId="xl72">
    <w:name w:val="xl72"/>
    <w:basedOn w:val="Normal"/>
    <w:pPr>
      <w:spacing w:before="100" w:beforeAutospacing="1" w:after="100" w:afterAutospacing="1" w:line="240" w:lineRule="auto"/>
      <w:jc w:val="left"/>
    </w:pPr>
    <w:rPr>
      <w:b/>
      <w:bCs/>
      <w:szCs w:val="24"/>
      <w:lang w:eastAsia="en-GB"/>
    </w:rPr>
  </w:style>
  <w:style w:type="paragraph" w:customStyle="1" w:styleId="xl63">
    <w:name w:val="xl63"/>
    <w:basedOn w:val="Normal"/>
    <w:pPr>
      <w:spacing w:before="100" w:beforeAutospacing="1" w:after="100" w:afterAutospacing="1" w:line="240" w:lineRule="auto"/>
      <w:jc w:val="left"/>
    </w:pPr>
    <w:rPr>
      <w:szCs w:val="24"/>
      <w:lang w:eastAsia="en-GB"/>
    </w:rPr>
  </w:style>
  <w:style w:type="paragraph" w:customStyle="1" w:styleId="xl64">
    <w:name w:val="xl64"/>
    <w:basedOn w:val="Normal"/>
    <w:pPr>
      <w:spacing w:before="100" w:beforeAutospacing="1" w:after="100" w:afterAutospacing="1" w:line="240" w:lineRule="auto"/>
      <w:jc w:val="left"/>
    </w:pPr>
    <w:rPr>
      <w:b/>
      <w:bCs/>
      <w:szCs w:val="24"/>
      <w:lang w:eastAsia="en-GB"/>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customStyle="1" w:styleId="Heading2Char">
    <w:name w:val="Heading 2 Char"/>
    <w:basedOn w:val="DefaultParagraphFont"/>
    <w:link w:val="Heading2"/>
    <w:rPr>
      <w:b/>
      <w:smallCaps/>
      <w:sz w:val="22"/>
      <w:lang w:eastAsia="en-US"/>
    </w:rPr>
  </w:style>
  <w:style w:type="paragraph" w:styleId="Revision">
    <w:name w:val="Revision"/>
    <w:hidden/>
    <w:uiPriority w:val="99"/>
    <w:semiHidden/>
    <w:rPr>
      <w:sz w:val="24"/>
      <w:lang w:eastAsia="en-US"/>
    </w:rPr>
  </w:style>
  <w:style w:type="paragraph" w:customStyle="1" w:styleId="SourceNotes">
    <w:name w:val="Source_Notes"/>
    <w:basedOn w:val="Normal"/>
    <w:qFormat/>
    <w:pPr>
      <w:spacing w:before="60" w:line="252" w:lineRule="auto"/>
      <w:jc w:val="left"/>
    </w:pPr>
    <w:rPr>
      <w:sz w:val="18"/>
      <w:szCs w:val="18"/>
    </w:rPr>
  </w:style>
  <w:style w:type="character" w:customStyle="1" w:styleId="FootnoteTextChar">
    <w:name w:val="Footnote Text Char"/>
    <w:basedOn w:val="DefaultParagraphFont"/>
    <w:link w:val="FootnoteText"/>
    <w:uiPriority w:val="99"/>
    <w:rPr>
      <w:sz w:val="18"/>
      <w:szCs w:val="18"/>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line="240" w:lineRule="auto"/>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before="0" w:after="120" w:line="240" w:lineRule="auto"/>
    </w:pPr>
  </w:style>
  <w:style w:type="character" w:customStyle="1" w:styleId="HeaderCoverPageChar">
    <w:name w:val="Header Cover Page Char"/>
    <w:basedOn w:val="DefaultParagraphFont"/>
    <w:link w:val="HeaderCoverPage"/>
    <w:rPr>
      <w:sz w:val="24"/>
      <w:lang w:eastAsia="en-US"/>
    </w:rPr>
  </w:style>
  <w:style w:type="paragraph" w:customStyle="1" w:styleId="Declassification">
    <w:name w:val="Declassification"/>
    <w:basedOn w:val="Normal"/>
    <w:next w:val="Normal"/>
    <w:pPr>
      <w:spacing w:before="0" w:line="240" w:lineRule="auto"/>
    </w:pPr>
    <w:rPr>
      <w:rFonts w:eastAsiaTheme="minorHAnsi"/>
      <w:szCs w:val="22"/>
    </w:rPr>
  </w:style>
  <w:style w:type="paragraph" w:customStyle="1" w:styleId="HeaderLandscape">
    <w:name w:val="HeaderLandscape"/>
    <w:basedOn w:val="Normal"/>
    <w:pPr>
      <w:tabs>
        <w:tab w:val="center" w:pos="7285"/>
        <w:tab w:val="right" w:pos="14003"/>
      </w:tabs>
      <w:spacing w:before="0" w:after="120" w:line="240" w:lineRule="auto"/>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line="240" w:lineRule="auto"/>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toc 1" w:uiPriority="39"/>
    <w:lsdException w:name="toc 2" w:uiPriority="39"/>
    <w:lsdException w:name="footnote text" w:uiPriority="99"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lsdException w:name="Emphasis" w:semiHidden="0" w:uiPriority="20" w:unhideWhenUsed="0"/>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nhideWhenUsed="0" w:qFormat="1"/>
  </w:latentStyles>
  <w:style w:type="paragraph" w:default="1" w:styleId="Normal">
    <w:name w:val="Normal"/>
    <w:qFormat/>
    <w:pPr>
      <w:spacing w:before="180" w:line="276" w:lineRule="auto"/>
      <w:jc w:val="both"/>
    </w:pPr>
    <w:rPr>
      <w:sz w:val="24"/>
      <w:lang w:eastAsia="en-US"/>
    </w:rPr>
  </w:style>
  <w:style w:type="paragraph" w:styleId="Heading1">
    <w:name w:val="heading 1"/>
    <w:basedOn w:val="Normal"/>
    <w:next w:val="Normal"/>
    <w:qFormat/>
    <w:pPr>
      <w:keepNext/>
      <w:numPr>
        <w:numId w:val="3"/>
      </w:numPr>
      <w:spacing w:before="360"/>
      <w:jc w:val="left"/>
      <w:outlineLvl w:val="0"/>
    </w:pPr>
    <w:rPr>
      <w:b/>
      <w:smallCaps/>
    </w:rPr>
  </w:style>
  <w:style w:type="paragraph" w:styleId="Heading2">
    <w:name w:val="heading 2"/>
    <w:basedOn w:val="Normal"/>
    <w:next w:val="Normal"/>
    <w:link w:val="Heading2Char"/>
    <w:qFormat/>
    <w:pPr>
      <w:keepNext/>
      <w:spacing w:before="240"/>
      <w:jc w:val="left"/>
      <w:outlineLvl w:val="1"/>
    </w:pPr>
    <w:rPr>
      <w:b/>
      <w:smallCaps/>
      <w:sz w:val="22"/>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keepNext/>
      <w:keepLines/>
      <w:spacing w:before="240" w:after="120"/>
      <w:jc w:val="left"/>
    </w:pPr>
    <w:rPr>
      <w:b/>
      <w:sz w:val="23"/>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unhideWhenUsed/>
    <w:pPr>
      <w:tabs>
        <w:tab w:val="center" w:pos="4535"/>
        <w:tab w:val="right" w:pos="9071"/>
        <w:tab w:val="right" w:pos="9921"/>
      </w:tabs>
      <w:spacing w:before="360" w:line="240" w:lineRule="auto"/>
      <w:ind w:left="-850" w:right="-850"/>
      <w:jc w:val="left"/>
    </w:pPr>
    <w:rPr>
      <w:rFonts w:eastAsiaTheme="minorHAnsi"/>
      <w:szCs w:val="22"/>
    </w:rPr>
  </w:style>
  <w:style w:type="paragraph" w:styleId="FootnoteText">
    <w:name w:val="footnote text"/>
    <w:basedOn w:val="Normal"/>
    <w:link w:val="FootnoteTextChar"/>
    <w:uiPriority w:val="99"/>
    <w:qFormat/>
    <w:pPr>
      <w:spacing w:before="20" w:line="240" w:lineRule="auto"/>
      <w:ind w:left="113" w:hanging="113"/>
      <w:jc w:val="left"/>
    </w:pPr>
    <w:rPr>
      <w:sz w:val="18"/>
      <w:szCs w:val="18"/>
    </w:rPr>
  </w:style>
  <w:style w:type="paragraph" w:styleId="Header">
    <w:name w:val="header"/>
    <w:basedOn w:val="Normal"/>
    <w:link w:val="HeaderChar"/>
    <w:uiPriority w:val="99"/>
    <w:unhideWhenUsed/>
    <w:pPr>
      <w:tabs>
        <w:tab w:val="center" w:pos="4535"/>
        <w:tab w:val="right" w:pos="9071"/>
      </w:tabs>
      <w:spacing w:before="0" w:after="120" w:line="240" w:lineRule="auto"/>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60" w:line="240" w:lineRule="auto"/>
      <w:jc w:val="left"/>
    </w:pPr>
    <w:rPr>
      <w:bCs/>
      <w:sz w:val="22"/>
    </w:rPr>
  </w:style>
  <w:style w:type="paragraph" w:styleId="TOC2">
    <w:name w:val="toc 2"/>
    <w:basedOn w:val="Normal"/>
    <w:next w:val="Normal"/>
    <w:uiPriority w:val="39"/>
    <w:pPr>
      <w:spacing w:before="120"/>
      <w:ind w:left="240"/>
      <w:jc w:val="left"/>
    </w:pPr>
    <w:rPr>
      <w:rFonts w:asciiTheme="minorHAnsi" w:hAnsiTheme="minorHAnsi"/>
      <w:i/>
      <w:iCs/>
      <w:sz w:val="20"/>
    </w:rPr>
  </w:style>
  <w:style w:type="paragraph" w:styleId="TOC3">
    <w:name w:val="toc 3"/>
    <w:basedOn w:val="Normal"/>
    <w:next w:val="Normal"/>
    <w:semiHidden/>
    <w:pPr>
      <w:spacing w:before="0"/>
      <w:ind w:left="480"/>
      <w:jc w:val="left"/>
    </w:pPr>
    <w:rPr>
      <w:rFonts w:asciiTheme="minorHAnsi" w:hAnsiTheme="minorHAnsi"/>
      <w:sz w:val="20"/>
    </w:rPr>
  </w:style>
  <w:style w:type="paragraph" w:styleId="TOC4">
    <w:name w:val="toc 4"/>
    <w:basedOn w:val="Normal"/>
    <w:next w:val="Normal"/>
    <w:semiHidden/>
    <w:pPr>
      <w:spacing w:before="0"/>
      <w:ind w:left="720"/>
      <w:jc w:val="left"/>
    </w:pPr>
    <w:rPr>
      <w:rFonts w:asciiTheme="minorHAnsi" w:hAnsiTheme="minorHAnsi"/>
      <w:sz w:val="20"/>
    </w:rPr>
  </w:style>
  <w:style w:type="paragraph" w:styleId="TOC5">
    <w:name w:val="toc 5"/>
    <w:basedOn w:val="Normal"/>
    <w:next w:val="Normal"/>
    <w:semiHidden/>
    <w:pPr>
      <w:spacing w:before="0"/>
      <w:ind w:left="960"/>
      <w:jc w:val="left"/>
    </w:pPr>
    <w:rPr>
      <w:rFonts w:asciiTheme="minorHAnsi" w:hAnsiTheme="minorHAnsi"/>
      <w:sz w:val="20"/>
    </w:rPr>
  </w:style>
  <w:style w:type="paragraph" w:styleId="TOC6">
    <w:name w:val="toc 6"/>
    <w:basedOn w:val="Normal"/>
    <w:next w:val="Normal"/>
    <w:autoRedefine/>
    <w:semiHidden/>
    <w:pPr>
      <w:spacing w:before="0"/>
      <w:ind w:left="1200"/>
      <w:jc w:val="left"/>
    </w:pPr>
    <w:rPr>
      <w:rFonts w:asciiTheme="minorHAnsi" w:hAnsiTheme="minorHAnsi"/>
      <w:sz w:val="20"/>
    </w:rPr>
  </w:style>
  <w:style w:type="paragraph" w:styleId="TOC7">
    <w:name w:val="toc 7"/>
    <w:basedOn w:val="Normal"/>
    <w:next w:val="Normal"/>
    <w:autoRedefine/>
    <w:semiHidden/>
    <w:pPr>
      <w:spacing w:before="0"/>
      <w:ind w:left="1440"/>
      <w:jc w:val="left"/>
    </w:pPr>
    <w:rPr>
      <w:rFonts w:asciiTheme="minorHAnsi" w:hAnsiTheme="minorHAnsi"/>
      <w:sz w:val="20"/>
    </w:rPr>
  </w:style>
  <w:style w:type="paragraph" w:styleId="TOC8">
    <w:name w:val="toc 8"/>
    <w:basedOn w:val="Normal"/>
    <w:next w:val="Normal"/>
    <w:autoRedefine/>
    <w:semiHidden/>
    <w:pPr>
      <w:spacing w:before="0"/>
      <w:ind w:left="1680"/>
      <w:jc w:val="left"/>
    </w:pPr>
    <w:rPr>
      <w:rFonts w:asciiTheme="minorHAnsi" w:hAnsiTheme="minorHAnsi"/>
      <w:sz w:val="20"/>
    </w:rPr>
  </w:style>
  <w:style w:type="paragraph" w:styleId="TOC9">
    <w:name w:val="toc 9"/>
    <w:basedOn w:val="Normal"/>
    <w:next w:val="Normal"/>
    <w:autoRedefine/>
    <w:semiHidden/>
    <w:pPr>
      <w:spacing w:before="0"/>
      <w:ind w:left="1920"/>
      <w:jc w:val="left"/>
    </w:pPr>
    <w:rPr>
      <w:rFonts w:asciiTheme="minorHAnsi" w:hAnsiTheme="minorHAnsi"/>
      <w:sz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keepLines/>
      <w:numPr>
        <w:numId w:val="19"/>
      </w:numPr>
      <w:spacing w:before="40"/>
      <w:ind w:left="357" w:hanging="357"/>
      <w:jc w:val="left"/>
    </w:p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paragraph" w:styleId="NoSpacing">
    <w:name w:val="No Spacing"/>
    <w:uiPriority w:val="1"/>
    <w:qFormat/>
    <w:pPr>
      <w:jc w:val="both"/>
    </w:pPr>
    <w:rPr>
      <w:sz w:val="22"/>
      <w:lang w:eastAsia="en-US"/>
    </w:rPr>
  </w:style>
  <w:style w:type="character" w:styleId="FollowedHyperlink">
    <w:name w:val="FollowedHyperlink"/>
    <w:basedOn w:val="DefaultParagraphFont"/>
    <w:uiPriority w:val="99"/>
    <w:semiHidden/>
    <w:unhideWhenUsed/>
    <w:rPr>
      <w:color w:val="800080"/>
      <w:u w:val="single"/>
    </w:rPr>
  </w:style>
  <w:style w:type="paragraph" w:customStyle="1" w:styleId="xl65">
    <w:name w:val="xl65"/>
    <w:basedOn w:val="Normal"/>
    <w:pPr>
      <w:shd w:val="clear" w:color="DCE6F1" w:fill="DCE6F1"/>
      <w:spacing w:before="100" w:beforeAutospacing="1" w:after="100" w:afterAutospacing="1" w:line="240" w:lineRule="auto"/>
      <w:jc w:val="left"/>
    </w:pPr>
    <w:rPr>
      <w:b/>
      <w:bCs/>
      <w:szCs w:val="24"/>
      <w:lang w:eastAsia="en-GB"/>
    </w:rPr>
  </w:style>
  <w:style w:type="paragraph" w:customStyle="1" w:styleId="xl66">
    <w:name w:val="xl66"/>
    <w:basedOn w:val="Normal"/>
    <w:pPr>
      <w:spacing w:before="100" w:beforeAutospacing="1" w:after="100" w:afterAutospacing="1" w:line="240" w:lineRule="auto"/>
      <w:jc w:val="center"/>
    </w:pPr>
    <w:rPr>
      <w:b/>
      <w:bCs/>
      <w:szCs w:val="24"/>
      <w:u w:val="single"/>
      <w:lang w:eastAsia="en-GB"/>
    </w:rPr>
  </w:style>
  <w:style w:type="paragraph" w:customStyle="1" w:styleId="xl67">
    <w:name w:val="xl67"/>
    <w:basedOn w:val="Normal"/>
    <w:pPr>
      <w:shd w:val="clear" w:color="4F81BD" w:fill="4F81BD"/>
      <w:spacing w:before="100" w:beforeAutospacing="1" w:after="100" w:afterAutospacing="1" w:line="240" w:lineRule="auto"/>
      <w:jc w:val="center"/>
    </w:pPr>
    <w:rPr>
      <w:b/>
      <w:bCs/>
      <w:color w:val="FFFFFF"/>
      <w:szCs w:val="24"/>
      <w:lang w:eastAsia="en-GB"/>
    </w:rPr>
  </w:style>
  <w:style w:type="paragraph" w:customStyle="1" w:styleId="xl68">
    <w:name w:val="xl68"/>
    <w:basedOn w:val="Normal"/>
    <w:pPr>
      <w:spacing w:before="100" w:beforeAutospacing="1" w:after="100" w:afterAutospacing="1" w:line="240" w:lineRule="auto"/>
      <w:jc w:val="center"/>
    </w:pPr>
    <w:rPr>
      <w:szCs w:val="24"/>
      <w:lang w:eastAsia="en-GB"/>
    </w:rPr>
  </w:style>
  <w:style w:type="paragraph" w:customStyle="1" w:styleId="xl69">
    <w:name w:val="xl69"/>
    <w:basedOn w:val="Normal"/>
    <w:pPr>
      <w:shd w:val="clear" w:color="DCE6F1" w:fill="DCE6F1"/>
      <w:spacing w:before="100" w:beforeAutospacing="1" w:after="100" w:afterAutospacing="1" w:line="240" w:lineRule="auto"/>
      <w:jc w:val="left"/>
    </w:pPr>
    <w:rPr>
      <w:b/>
      <w:bCs/>
      <w:szCs w:val="24"/>
      <w:lang w:eastAsia="en-GB"/>
    </w:rPr>
  </w:style>
  <w:style w:type="paragraph" w:customStyle="1" w:styleId="xl70">
    <w:name w:val="xl70"/>
    <w:basedOn w:val="Normal"/>
    <w:pPr>
      <w:spacing w:before="100" w:beforeAutospacing="1" w:after="100" w:afterAutospacing="1" w:line="240" w:lineRule="auto"/>
      <w:jc w:val="left"/>
    </w:pPr>
    <w:rPr>
      <w:b/>
      <w:bCs/>
      <w:szCs w:val="24"/>
      <w:lang w:eastAsia="en-GB"/>
    </w:rPr>
  </w:style>
  <w:style w:type="paragraph" w:customStyle="1" w:styleId="xl71">
    <w:name w:val="xl7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b/>
      <w:bCs/>
      <w:szCs w:val="24"/>
      <w:lang w:eastAsia="en-GB"/>
    </w:rPr>
  </w:style>
  <w:style w:type="paragraph" w:customStyle="1" w:styleId="xl72">
    <w:name w:val="xl72"/>
    <w:basedOn w:val="Normal"/>
    <w:pPr>
      <w:spacing w:before="100" w:beforeAutospacing="1" w:after="100" w:afterAutospacing="1" w:line="240" w:lineRule="auto"/>
      <w:jc w:val="left"/>
    </w:pPr>
    <w:rPr>
      <w:b/>
      <w:bCs/>
      <w:szCs w:val="24"/>
      <w:lang w:eastAsia="en-GB"/>
    </w:rPr>
  </w:style>
  <w:style w:type="paragraph" w:customStyle="1" w:styleId="xl63">
    <w:name w:val="xl63"/>
    <w:basedOn w:val="Normal"/>
    <w:pPr>
      <w:spacing w:before="100" w:beforeAutospacing="1" w:after="100" w:afterAutospacing="1" w:line="240" w:lineRule="auto"/>
      <w:jc w:val="left"/>
    </w:pPr>
    <w:rPr>
      <w:szCs w:val="24"/>
      <w:lang w:eastAsia="en-GB"/>
    </w:rPr>
  </w:style>
  <w:style w:type="paragraph" w:customStyle="1" w:styleId="xl64">
    <w:name w:val="xl64"/>
    <w:basedOn w:val="Normal"/>
    <w:pPr>
      <w:spacing w:before="100" w:beforeAutospacing="1" w:after="100" w:afterAutospacing="1" w:line="240" w:lineRule="auto"/>
      <w:jc w:val="left"/>
    </w:pPr>
    <w:rPr>
      <w:b/>
      <w:bCs/>
      <w:szCs w:val="24"/>
      <w:lang w:eastAsia="en-GB"/>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customStyle="1" w:styleId="Heading2Char">
    <w:name w:val="Heading 2 Char"/>
    <w:basedOn w:val="DefaultParagraphFont"/>
    <w:link w:val="Heading2"/>
    <w:rPr>
      <w:b/>
      <w:smallCaps/>
      <w:sz w:val="22"/>
      <w:lang w:eastAsia="en-US"/>
    </w:rPr>
  </w:style>
  <w:style w:type="paragraph" w:styleId="Revision">
    <w:name w:val="Revision"/>
    <w:hidden/>
    <w:uiPriority w:val="99"/>
    <w:semiHidden/>
    <w:rPr>
      <w:sz w:val="24"/>
      <w:lang w:eastAsia="en-US"/>
    </w:rPr>
  </w:style>
  <w:style w:type="paragraph" w:customStyle="1" w:styleId="SourceNotes">
    <w:name w:val="Source_Notes"/>
    <w:basedOn w:val="Normal"/>
    <w:qFormat/>
    <w:pPr>
      <w:spacing w:before="60" w:line="252" w:lineRule="auto"/>
      <w:jc w:val="left"/>
    </w:pPr>
    <w:rPr>
      <w:sz w:val="18"/>
      <w:szCs w:val="18"/>
    </w:rPr>
  </w:style>
  <w:style w:type="character" w:customStyle="1" w:styleId="FootnoteTextChar">
    <w:name w:val="Footnote Text Char"/>
    <w:basedOn w:val="DefaultParagraphFont"/>
    <w:link w:val="FootnoteText"/>
    <w:uiPriority w:val="99"/>
    <w:rPr>
      <w:sz w:val="18"/>
      <w:szCs w:val="18"/>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line="240" w:lineRule="auto"/>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before="0" w:after="120" w:line="240" w:lineRule="auto"/>
    </w:pPr>
  </w:style>
  <w:style w:type="character" w:customStyle="1" w:styleId="HeaderCoverPageChar">
    <w:name w:val="Header Cover Page Char"/>
    <w:basedOn w:val="DefaultParagraphFont"/>
    <w:link w:val="HeaderCoverPage"/>
    <w:rPr>
      <w:sz w:val="24"/>
      <w:lang w:eastAsia="en-US"/>
    </w:rPr>
  </w:style>
  <w:style w:type="paragraph" w:customStyle="1" w:styleId="Declassification">
    <w:name w:val="Declassification"/>
    <w:basedOn w:val="Normal"/>
    <w:next w:val="Normal"/>
    <w:pPr>
      <w:spacing w:before="0" w:line="240" w:lineRule="auto"/>
    </w:pPr>
    <w:rPr>
      <w:rFonts w:eastAsiaTheme="minorHAnsi"/>
      <w:szCs w:val="22"/>
    </w:rPr>
  </w:style>
  <w:style w:type="paragraph" w:customStyle="1" w:styleId="HeaderLandscape">
    <w:name w:val="HeaderLandscape"/>
    <w:basedOn w:val="Normal"/>
    <w:pPr>
      <w:tabs>
        <w:tab w:val="center" w:pos="7285"/>
        <w:tab w:val="right" w:pos="14003"/>
      </w:tabs>
      <w:spacing w:before="0" w:after="120" w:line="240" w:lineRule="auto"/>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line="240" w:lineRule="auto"/>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48134">
      <w:bodyDiv w:val="1"/>
      <w:marLeft w:val="0"/>
      <w:marRight w:val="0"/>
      <w:marTop w:val="0"/>
      <w:marBottom w:val="0"/>
      <w:divBdr>
        <w:top w:val="none" w:sz="0" w:space="0" w:color="auto"/>
        <w:left w:val="none" w:sz="0" w:space="0" w:color="auto"/>
        <w:bottom w:val="none" w:sz="0" w:space="0" w:color="auto"/>
        <w:right w:val="none" w:sz="0" w:space="0" w:color="auto"/>
      </w:divBdr>
    </w:div>
    <w:div w:id="197087799">
      <w:bodyDiv w:val="1"/>
      <w:marLeft w:val="0"/>
      <w:marRight w:val="0"/>
      <w:marTop w:val="0"/>
      <w:marBottom w:val="0"/>
      <w:divBdr>
        <w:top w:val="none" w:sz="0" w:space="0" w:color="auto"/>
        <w:left w:val="none" w:sz="0" w:space="0" w:color="auto"/>
        <w:bottom w:val="none" w:sz="0" w:space="0" w:color="auto"/>
        <w:right w:val="none" w:sz="0" w:space="0" w:color="auto"/>
      </w:divBdr>
    </w:div>
    <w:div w:id="260067490">
      <w:bodyDiv w:val="1"/>
      <w:marLeft w:val="0"/>
      <w:marRight w:val="0"/>
      <w:marTop w:val="0"/>
      <w:marBottom w:val="0"/>
      <w:divBdr>
        <w:top w:val="none" w:sz="0" w:space="0" w:color="auto"/>
        <w:left w:val="none" w:sz="0" w:space="0" w:color="auto"/>
        <w:bottom w:val="none" w:sz="0" w:space="0" w:color="auto"/>
        <w:right w:val="none" w:sz="0" w:space="0" w:color="auto"/>
      </w:divBdr>
    </w:div>
    <w:div w:id="288555824">
      <w:bodyDiv w:val="1"/>
      <w:marLeft w:val="0"/>
      <w:marRight w:val="0"/>
      <w:marTop w:val="0"/>
      <w:marBottom w:val="0"/>
      <w:divBdr>
        <w:top w:val="none" w:sz="0" w:space="0" w:color="auto"/>
        <w:left w:val="none" w:sz="0" w:space="0" w:color="auto"/>
        <w:bottom w:val="none" w:sz="0" w:space="0" w:color="auto"/>
        <w:right w:val="none" w:sz="0" w:space="0" w:color="auto"/>
      </w:divBdr>
    </w:div>
    <w:div w:id="429352564">
      <w:bodyDiv w:val="1"/>
      <w:marLeft w:val="0"/>
      <w:marRight w:val="0"/>
      <w:marTop w:val="0"/>
      <w:marBottom w:val="0"/>
      <w:divBdr>
        <w:top w:val="none" w:sz="0" w:space="0" w:color="auto"/>
        <w:left w:val="none" w:sz="0" w:space="0" w:color="auto"/>
        <w:bottom w:val="none" w:sz="0" w:space="0" w:color="auto"/>
        <w:right w:val="none" w:sz="0" w:space="0" w:color="auto"/>
      </w:divBdr>
    </w:div>
    <w:div w:id="455950007">
      <w:bodyDiv w:val="1"/>
      <w:marLeft w:val="0"/>
      <w:marRight w:val="0"/>
      <w:marTop w:val="0"/>
      <w:marBottom w:val="0"/>
      <w:divBdr>
        <w:top w:val="none" w:sz="0" w:space="0" w:color="auto"/>
        <w:left w:val="none" w:sz="0" w:space="0" w:color="auto"/>
        <w:bottom w:val="none" w:sz="0" w:space="0" w:color="auto"/>
        <w:right w:val="none" w:sz="0" w:space="0" w:color="auto"/>
      </w:divBdr>
    </w:div>
    <w:div w:id="589388044">
      <w:bodyDiv w:val="1"/>
      <w:marLeft w:val="0"/>
      <w:marRight w:val="0"/>
      <w:marTop w:val="0"/>
      <w:marBottom w:val="0"/>
      <w:divBdr>
        <w:top w:val="none" w:sz="0" w:space="0" w:color="auto"/>
        <w:left w:val="none" w:sz="0" w:space="0" w:color="auto"/>
        <w:bottom w:val="none" w:sz="0" w:space="0" w:color="auto"/>
        <w:right w:val="none" w:sz="0" w:space="0" w:color="auto"/>
      </w:divBdr>
    </w:div>
    <w:div w:id="753626741">
      <w:bodyDiv w:val="1"/>
      <w:marLeft w:val="0"/>
      <w:marRight w:val="0"/>
      <w:marTop w:val="0"/>
      <w:marBottom w:val="0"/>
      <w:divBdr>
        <w:top w:val="none" w:sz="0" w:space="0" w:color="auto"/>
        <w:left w:val="none" w:sz="0" w:space="0" w:color="auto"/>
        <w:bottom w:val="none" w:sz="0" w:space="0" w:color="auto"/>
        <w:right w:val="none" w:sz="0" w:space="0" w:color="auto"/>
      </w:divBdr>
    </w:div>
    <w:div w:id="857963725">
      <w:bodyDiv w:val="1"/>
      <w:marLeft w:val="0"/>
      <w:marRight w:val="0"/>
      <w:marTop w:val="0"/>
      <w:marBottom w:val="0"/>
      <w:divBdr>
        <w:top w:val="none" w:sz="0" w:space="0" w:color="auto"/>
        <w:left w:val="none" w:sz="0" w:space="0" w:color="auto"/>
        <w:bottom w:val="none" w:sz="0" w:space="0" w:color="auto"/>
        <w:right w:val="none" w:sz="0" w:space="0" w:color="auto"/>
      </w:divBdr>
    </w:div>
    <w:div w:id="1321812403">
      <w:bodyDiv w:val="1"/>
      <w:marLeft w:val="0"/>
      <w:marRight w:val="0"/>
      <w:marTop w:val="0"/>
      <w:marBottom w:val="0"/>
      <w:divBdr>
        <w:top w:val="none" w:sz="0" w:space="0" w:color="auto"/>
        <w:left w:val="none" w:sz="0" w:space="0" w:color="auto"/>
        <w:bottom w:val="none" w:sz="0" w:space="0" w:color="auto"/>
        <w:right w:val="none" w:sz="0" w:space="0" w:color="auto"/>
      </w:divBdr>
    </w:div>
    <w:div w:id="1419861083">
      <w:bodyDiv w:val="1"/>
      <w:marLeft w:val="0"/>
      <w:marRight w:val="0"/>
      <w:marTop w:val="0"/>
      <w:marBottom w:val="0"/>
      <w:divBdr>
        <w:top w:val="none" w:sz="0" w:space="0" w:color="auto"/>
        <w:left w:val="none" w:sz="0" w:space="0" w:color="auto"/>
        <w:bottom w:val="none" w:sz="0" w:space="0" w:color="auto"/>
        <w:right w:val="none" w:sz="0" w:space="0" w:color="auto"/>
      </w:divBdr>
      <w:divsChild>
        <w:div w:id="971249237">
          <w:marLeft w:val="0"/>
          <w:marRight w:val="0"/>
          <w:marTop w:val="0"/>
          <w:marBottom w:val="0"/>
          <w:divBdr>
            <w:top w:val="none" w:sz="0" w:space="0" w:color="auto"/>
            <w:left w:val="none" w:sz="0" w:space="0" w:color="auto"/>
            <w:bottom w:val="none" w:sz="0" w:space="0" w:color="auto"/>
            <w:right w:val="none" w:sz="0" w:space="0" w:color="auto"/>
          </w:divBdr>
          <w:divsChild>
            <w:div w:id="903611387">
              <w:marLeft w:val="0"/>
              <w:marRight w:val="0"/>
              <w:marTop w:val="150"/>
              <w:marBottom w:val="0"/>
              <w:divBdr>
                <w:top w:val="none" w:sz="0" w:space="0" w:color="auto"/>
                <w:left w:val="none" w:sz="0" w:space="0" w:color="auto"/>
                <w:bottom w:val="none" w:sz="0" w:space="0" w:color="auto"/>
                <w:right w:val="none" w:sz="0" w:space="0" w:color="auto"/>
              </w:divBdr>
              <w:divsChild>
                <w:div w:id="1183016235">
                  <w:marLeft w:val="0"/>
                  <w:marRight w:val="0"/>
                  <w:marTop w:val="0"/>
                  <w:marBottom w:val="0"/>
                  <w:divBdr>
                    <w:top w:val="none" w:sz="0" w:space="0" w:color="auto"/>
                    <w:left w:val="none" w:sz="0" w:space="0" w:color="auto"/>
                    <w:bottom w:val="single" w:sz="36" w:space="0" w:color="auto"/>
                    <w:right w:val="none" w:sz="0" w:space="0" w:color="auto"/>
                  </w:divBdr>
                  <w:divsChild>
                    <w:div w:id="16947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457256">
      <w:bodyDiv w:val="1"/>
      <w:marLeft w:val="0"/>
      <w:marRight w:val="0"/>
      <w:marTop w:val="0"/>
      <w:marBottom w:val="0"/>
      <w:divBdr>
        <w:top w:val="none" w:sz="0" w:space="0" w:color="auto"/>
        <w:left w:val="none" w:sz="0" w:space="0" w:color="auto"/>
        <w:bottom w:val="none" w:sz="0" w:space="0" w:color="auto"/>
        <w:right w:val="none" w:sz="0" w:space="0" w:color="auto"/>
      </w:divBdr>
    </w:div>
    <w:div w:id="1547331459">
      <w:bodyDiv w:val="1"/>
      <w:marLeft w:val="0"/>
      <w:marRight w:val="0"/>
      <w:marTop w:val="0"/>
      <w:marBottom w:val="0"/>
      <w:divBdr>
        <w:top w:val="none" w:sz="0" w:space="0" w:color="auto"/>
        <w:left w:val="none" w:sz="0" w:space="0" w:color="auto"/>
        <w:bottom w:val="none" w:sz="0" w:space="0" w:color="auto"/>
        <w:right w:val="none" w:sz="0" w:space="0" w:color="auto"/>
      </w:divBdr>
    </w:div>
    <w:div w:id="1604801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68"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cb.europa.eu/paym/retpaym/paymint/indicators/html/index.en.html" TargetMode="External"/><Relationship Id="rId1" Type="http://schemas.openxmlformats.org/officeDocument/2006/relationships/hyperlink" Target="http://eur-lex.europa.eu/legal-content/EN/ALL/?uri=celex%3A32012R0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E58C1-DD66-4C28-899F-A496F674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3596</Words>
  <Characters>19026</Characters>
  <Application>Microsoft Office Word</Application>
  <DocSecurity>0</DocSecurity>
  <PresentationFormat>Microsoft Word 14.0</PresentationFormat>
  <Lines>1001</Lines>
  <Paragraphs>706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20</cp:revision>
  <cp:lastPrinted>2017-09-21T07:07:00Z</cp:lastPrinted>
  <dcterms:created xsi:type="dcterms:W3CDTF">2017-09-21T07:06:00Z</dcterms:created>
  <dcterms:modified xsi:type="dcterms:W3CDTF">2017-11-23T09:17:00Z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Alexander J. STEIN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