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2E7798A0-0CE7-499E-B61B-5821D37AE853" style="width:451pt;height:39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Heading1"/>
        <w:numPr>
          <w:ilvl w:val="0"/>
          <w:numId w:val="0"/>
        </w:numPr>
        <w:rPr>
          <w:noProof/>
        </w:rPr>
      </w:pPr>
      <w:bookmarkStart w:id="1" w:name="_GoBack"/>
      <w:bookmarkEnd w:id="1"/>
      <w:r>
        <w:rPr>
          <w:noProof/>
        </w:rPr>
        <w:lastRenderedPageBreak/>
        <w:t>Annex I - Competent authorities for Payment Services Providers' (PSPs) compliance, Payment Services Users' (PSUs) compliance and contact points for complaints.</w:t>
      </w:r>
    </w:p>
    <w:p>
      <w:pPr>
        <w:rPr>
          <w:noProof/>
          <w:lang w:eastAsia="en-US"/>
        </w:rPr>
      </w:pPr>
    </w:p>
    <w:tbl>
      <w:tblPr>
        <w:tblStyle w:val="TableGrid"/>
        <w:tblW w:w="10141" w:type="dxa"/>
        <w:tblInd w:w="-176" w:type="dxa"/>
        <w:tblLayout w:type="fixed"/>
        <w:tblLook w:val="04A0" w:firstRow="1" w:lastRow="0" w:firstColumn="1" w:lastColumn="0" w:noHBand="0" w:noVBand="1"/>
      </w:tblPr>
      <w:tblGrid>
        <w:gridCol w:w="1456"/>
        <w:gridCol w:w="4215"/>
        <w:gridCol w:w="4470"/>
      </w:tblGrid>
      <w:tr>
        <w:tc>
          <w:tcPr>
            <w:tcW w:w="1456" w:type="dxa"/>
          </w:tcPr>
          <w:p>
            <w:pPr>
              <w:jc w:val="center"/>
              <w:rPr>
                <w:b/>
                <w:noProof/>
              </w:rPr>
            </w:pPr>
            <w:r>
              <w:rPr>
                <w:b/>
                <w:noProof/>
              </w:rPr>
              <w:t>Euro area</w:t>
            </w:r>
          </w:p>
        </w:tc>
        <w:tc>
          <w:tcPr>
            <w:tcW w:w="4215" w:type="dxa"/>
            <w:tcBorders>
              <w:top w:val="single" w:sz="4" w:space="0" w:color="auto"/>
              <w:bottom w:val="single" w:sz="4" w:space="0" w:color="auto"/>
            </w:tcBorders>
          </w:tcPr>
          <w:p>
            <w:pPr>
              <w:jc w:val="center"/>
              <w:rPr>
                <w:b/>
                <w:noProof/>
              </w:rPr>
            </w:pPr>
            <w:r>
              <w:rPr>
                <w:b/>
                <w:noProof/>
              </w:rPr>
              <w:t>Competent authority for PSPs' compliance</w:t>
            </w:r>
          </w:p>
        </w:tc>
        <w:tc>
          <w:tcPr>
            <w:tcW w:w="4470" w:type="dxa"/>
            <w:tcBorders>
              <w:top w:val="single" w:sz="4" w:space="0" w:color="auto"/>
              <w:bottom w:val="single" w:sz="4" w:space="0" w:color="auto"/>
            </w:tcBorders>
          </w:tcPr>
          <w:p>
            <w:pPr>
              <w:jc w:val="center"/>
              <w:rPr>
                <w:b/>
                <w:noProof/>
              </w:rPr>
            </w:pPr>
            <w:r>
              <w:rPr>
                <w:b/>
                <w:noProof/>
              </w:rPr>
              <w:t>Competent authority for PSUs' compliance</w:t>
            </w:r>
          </w:p>
        </w:tc>
      </w:tr>
      <w:tr>
        <w:tc>
          <w:tcPr>
            <w:tcW w:w="1456" w:type="dxa"/>
            <w:vAlign w:val="center"/>
          </w:tcPr>
          <w:p>
            <w:pPr>
              <w:jc w:val="center"/>
              <w:rPr>
                <w:noProof/>
              </w:rPr>
            </w:pPr>
            <w:r>
              <w:rPr>
                <w:noProof/>
              </w:rPr>
              <w:t>Austria</w:t>
            </w:r>
          </w:p>
        </w:tc>
        <w:tc>
          <w:tcPr>
            <w:tcW w:w="8685" w:type="dxa"/>
            <w:gridSpan w:val="2"/>
            <w:tcBorders>
              <w:top w:val="single" w:sz="4" w:space="0" w:color="auto"/>
              <w:bottom w:val="single" w:sz="4" w:space="0" w:color="auto"/>
            </w:tcBorders>
            <w:vAlign w:val="center"/>
          </w:tcPr>
          <w:p>
            <w:pPr>
              <w:jc w:val="center"/>
              <w:rPr>
                <w:noProof/>
              </w:rPr>
            </w:pPr>
            <w:r>
              <w:rPr>
                <w:noProof/>
              </w:rPr>
              <w:t>Financial Market Authority</w:t>
            </w:r>
          </w:p>
          <w:p>
            <w:pPr>
              <w:jc w:val="center"/>
              <w:rPr>
                <w:noProof/>
              </w:rPr>
            </w:pPr>
            <w:r>
              <w:rPr>
                <w:noProof/>
              </w:rPr>
              <w:t>Consumer Information &amp; Complaints</w:t>
            </w:r>
          </w:p>
          <w:p>
            <w:pPr>
              <w:jc w:val="center"/>
              <w:rPr>
                <w:noProof/>
              </w:rPr>
            </w:pPr>
            <w:r>
              <w:rPr>
                <w:noProof/>
              </w:rPr>
              <w:t>Otto-Wagner-Platz 5, 1090 Vienna, Austria</w:t>
            </w:r>
          </w:p>
          <w:p>
            <w:pPr>
              <w:jc w:val="center"/>
              <w:rPr>
                <w:noProof/>
              </w:rPr>
            </w:pPr>
            <w:hyperlink r:id="rId15" w:history="1">
              <w:r>
                <w:rPr>
                  <w:rStyle w:val="Hyperlink"/>
                  <w:noProof/>
                </w:rPr>
                <w:t>https://www.fma.gv.at/en/complaints-and-points-of-contact/</w:t>
              </w:r>
            </w:hyperlink>
          </w:p>
        </w:tc>
      </w:tr>
      <w:tr>
        <w:tc>
          <w:tcPr>
            <w:tcW w:w="1456" w:type="dxa"/>
            <w:vAlign w:val="center"/>
          </w:tcPr>
          <w:p>
            <w:pPr>
              <w:jc w:val="center"/>
              <w:rPr>
                <w:noProof/>
              </w:rPr>
            </w:pPr>
            <w:r>
              <w:rPr>
                <w:noProof/>
              </w:rPr>
              <w:t>Belgium</w:t>
            </w:r>
          </w:p>
        </w:tc>
        <w:tc>
          <w:tcPr>
            <w:tcW w:w="4215" w:type="dxa"/>
            <w:tcBorders>
              <w:top w:val="single" w:sz="4" w:space="0" w:color="auto"/>
              <w:bottom w:val="single" w:sz="4" w:space="0" w:color="auto"/>
            </w:tcBorders>
            <w:vAlign w:val="center"/>
          </w:tcPr>
          <w:p>
            <w:pPr>
              <w:jc w:val="center"/>
              <w:rPr>
                <w:noProof/>
                <w:lang w:val="nl-NL"/>
              </w:rPr>
            </w:pPr>
            <w:r>
              <w:rPr>
                <w:noProof/>
                <w:lang w:val="nl-NL"/>
              </w:rPr>
              <w:t>Nationale Bank van België</w:t>
            </w:r>
          </w:p>
          <w:p>
            <w:pPr>
              <w:jc w:val="center"/>
              <w:rPr>
                <w:noProof/>
                <w:lang w:val="nl-NL"/>
              </w:rPr>
            </w:pPr>
            <w:r>
              <w:rPr>
                <w:noProof/>
                <w:lang w:val="nl-NL"/>
              </w:rPr>
              <w:t>Departement Prudentieel Toezicht,</w:t>
            </w:r>
          </w:p>
          <w:p>
            <w:pPr>
              <w:jc w:val="center"/>
              <w:rPr>
                <w:noProof/>
                <w:lang w:val="fi-FI"/>
              </w:rPr>
            </w:pPr>
            <w:r>
              <w:rPr>
                <w:noProof/>
                <w:lang w:val="fi-FI"/>
              </w:rPr>
              <w:t>Berlaimontlaan 3, 1000 Brussel</w:t>
            </w:r>
          </w:p>
          <w:p>
            <w:pPr>
              <w:jc w:val="center"/>
              <w:rPr>
                <w:noProof/>
                <w:lang w:val="fi-FI"/>
              </w:rPr>
            </w:pPr>
            <w:hyperlink r:id="rId16" w:history="1">
              <w:r>
                <w:rPr>
                  <w:rStyle w:val="Hyperlink"/>
                  <w:noProof/>
                  <w:lang w:val="fi-FI"/>
                </w:rPr>
                <w:t>www.nbb.be</w:t>
              </w:r>
            </w:hyperlink>
          </w:p>
        </w:tc>
        <w:tc>
          <w:tcPr>
            <w:tcW w:w="4470" w:type="dxa"/>
            <w:tcBorders>
              <w:top w:val="single" w:sz="4" w:space="0" w:color="auto"/>
              <w:bottom w:val="single" w:sz="4" w:space="0" w:color="auto"/>
            </w:tcBorders>
            <w:vAlign w:val="center"/>
          </w:tcPr>
          <w:p>
            <w:pPr>
              <w:jc w:val="center"/>
              <w:rPr>
                <w:noProof/>
                <w:lang w:val="nl-NL"/>
              </w:rPr>
            </w:pPr>
            <w:r>
              <w:rPr>
                <w:noProof/>
                <w:lang w:val="nl-NL"/>
              </w:rPr>
              <w:t>Federale Overheidsdienst Economie Economische Inspectie,</w:t>
            </w:r>
          </w:p>
          <w:p>
            <w:pPr>
              <w:jc w:val="center"/>
              <w:rPr>
                <w:noProof/>
                <w:lang w:val="sv-SE"/>
              </w:rPr>
            </w:pPr>
            <w:r>
              <w:rPr>
                <w:noProof/>
                <w:lang w:val="sv-SE"/>
              </w:rPr>
              <w:t>Koning Albert ll-laan 16, 1000 Brussel.</w:t>
            </w:r>
          </w:p>
          <w:p>
            <w:pPr>
              <w:jc w:val="center"/>
              <w:rPr>
                <w:noProof/>
                <w:lang w:val="sv-SE"/>
              </w:rPr>
            </w:pPr>
            <w:hyperlink r:id="rId17" w:history="1">
              <w:r>
                <w:rPr>
                  <w:rStyle w:val="Hyperlink"/>
                  <w:noProof/>
                  <w:lang w:val="sv-SE"/>
                </w:rPr>
                <w:t>www.economie.fgov.be</w:t>
              </w:r>
            </w:hyperlink>
          </w:p>
        </w:tc>
      </w:tr>
      <w:tr>
        <w:tc>
          <w:tcPr>
            <w:tcW w:w="1456" w:type="dxa"/>
            <w:vAlign w:val="center"/>
          </w:tcPr>
          <w:p>
            <w:pPr>
              <w:jc w:val="center"/>
              <w:rPr>
                <w:noProof/>
              </w:rPr>
            </w:pPr>
            <w:r>
              <w:rPr>
                <w:noProof/>
              </w:rPr>
              <w:t>Cyprus</w:t>
            </w:r>
          </w:p>
        </w:tc>
        <w:tc>
          <w:tcPr>
            <w:tcW w:w="4215" w:type="dxa"/>
            <w:tcBorders>
              <w:top w:val="single" w:sz="4" w:space="0" w:color="auto"/>
              <w:bottom w:val="single" w:sz="4" w:space="0" w:color="auto"/>
            </w:tcBorders>
            <w:vAlign w:val="center"/>
          </w:tcPr>
          <w:p>
            <w:pPr>
              <w:jc w:val="center"/>
              <w:rPr>
                <w:noProof/>
              </w:rPr>
            </w:pPr>
            <w:r>
              <w:rPr>
                <w:noProof/>
              </w:rPr>
              <w:t>Central Bank of Cyprus</w:t>
            </w:r>
          </w:p>
          <w:p>
            <w:pPr>
              <w:jc w:val="center"/>
              <w:rPr>
                <w:noProof/>
              </w:rPr>
            </w:pPr>
            <w:r>
              <w:rPr>
                <w:noProof/>
              </w:rPr>
              <w:t>80 Kennedy Avenue, 1076, Nicosia, Cyprus.</w:t>
            </w:r>
          </w:p>
        </w:tc>
        <w:tc>
          <w:tcPr>
            <w:tcW w:w="4470" w:type="dxa"/>
            <w:tcBorders>
              <w:top w:val="single" w:sz="4" w:space="0" w:color="auto"/>
              <w:bottom w:val="single" w:sz="4" w:space="0" w:color="auto"/>
            </w:tcBorders>
            <w:vAlign w:val="center"/>
          </w:tcPr>
          <w:p>
            <w:pPr>
              <w:jc w:val="center"/>
              <w:rPr>
                <w:noProof/>
              </w:rPr>
            </w:pPr>
            <w:r>
              <w:rPr>
                <w:noProof/>
              </w:rPr>
              <w:t>Inter-Ministerial Committee</w:t>
            </w:r>
          </w:p>
          <w:p>
            <w:pPr>
              <w:jc w:val="center"/>
              <w:rPr>
                <w:noProof/>
              </w:rPr>
            </w:pPr>
            <w:r>
              <w:rPr>
                <w:noProof/>
              </w:rPr>
              <w:t>Ministry of Finance</w:t>
            </w:r>
          </w:p>
          <w:p>
            <w:pPr>
              <w:jc w:val="center"/>
              <w:rPr>
                <w:noProof/>
              </w:rPr>
            </w:pPr>
            <w:r>
              <w:rPr>
                <w:noProof/>
              </w:rPr>
              <w:t>Michael Karaoli &amp;</w:t>
            </w:r>
          </w:p>
          <w:p>
            <w:pPr>
              <w:jc w:val="center"/>
              <w:rPr>
                <w:noProof/>
              </w:rPr>
            </w:pPr>
            <w:r>
              <w:rPr>
                <w:noProof/>
              </w:rPr>
              <w:t>Gregori Afxentiou, 1439 Nicosia, Cyprus.</w:t>
            </w:r>
          </w:p>
        </w:tc>
      </w:tr>
      <w:tr>
        <w:tc>
          <w:tcPr>
            <w:tcW w:w="1456" w:type="dxa"/>
            <w:vAlign w:val="center"/>
          </w:tcPr>
          <w:p>
            <w:pPr>
              <w:jc w:val="center"/>
              <w:rPr>
                <w:noProof/>
              </w:rPr>
            </w:pPr>
            <w:r>
              <w:rPr>
                <w:noProof/>
              </w:rPr>
              <w:t>Estonia</w:t>
            </w:r>
          </w:p>
        </w:tc>
        <w:tc>
          <w:tcPr>
            <w:tcW w:w="4215" w:type="dxa"/>
            <w:tcBorders>
              <w:top w:val="single" w:sz="4" w:space="0" w:color="auto"/>
              <w:bottom w:val="single" w:sz="4" w:space="0" w:color="auto"/>
            </w:tcBorders>
            <w:vAlign w:val="center"/>
          </w:tcPr>
          <w:p>
            <w:pPr>
              <w:jc w:val="center"/>
              <w:rPr>
                <w:noProof/>
              </w:rPr>
            </w:pPr>
            <w:r>
              <w:rPr>
                <w:noProof/>
              </w:rPr>
              <w:t>Estonian Financial Supervision Authority (Finantsinspektioon)</w:t>
            </w:r>
          </w:p>
          <w:p>
            <w:pPr>
              <w:jc w:val="center"/>
              <w:rPr>
                <w:noProof/>
              </w:rPr>
            </w:pPr>
            <w:hyperlink r:id="rId18" w:history="1">
              <w:r>
                <w:rPr>
                  <w:rStyle w:val="Hyperlink"/>
                  <w:noProof/>
                </w:rPr>
                <w:t>https://www.fi.ee</w:t>
              </w:r>
            </w:hyperlink>
            <w:r>
              <w:rPr>
                <w:noProof/>
              </w:rPr>
              <w:t xml:space="preserve"> </w:t>
            </w:r>
          </w:p>
        </w:tc>
        <w:tc>
          <w:tcPr>
            <w:tcW w:w="4470" w:type="dxa"/>
            <w:tcBorders>
              <w:top w:val="single" w:sz="4" w:space="0" w:color="auto"/>
              <w:bottom w:val="single" w:sz="4" w:space="0" w:color="auto"/>
            </w:tcBorders>
            <w:vAlign w:val="center"/>
          </w:tcPr>
          <w:p>
            <w:pPr>
              <w:jc w:val="center"/>
              <w:rPr>
                <w:noProof/>
              </w:rPr>
            </w:pPr>
            <w:r>
              <w:rPr>
                <w:noProof/>
              </w:rPr>
              <w:t>Estonian Consumer Protection Board (Tarbijakaitseamet)</w:t>
            </w:r>
          </w:p>
          <w:p>
            <w:pPr>
              <w:jc w:val="center"/>
              <w:rPr>
                <w:noProof/>
              </w:rPr>
            </w:pPr>
            <w:hyperlink r:id="rId19" w:history="1">
              <w:r>
                <w:rPr>
                  <w:rStyle w:val="Hyperlink"/>
                  <w:noProof/>
                </w:rPr>
                <w:t>http://www.tarbijakaitseamet.ee</w:t>
              </w:r>
            </w:hyperlink>
            <w:r>
              <w:rPr>
                <w:noProof/>
              </w:rPr>
              <w:t xml:space="preserve"> </w:t>
            </w:r>
          </w:p>
        </w:tc>
      </w:tr>
      <w:tr>
        <w:tc>
          <w:tcPr>
            <w:tcW w:w="1456" w:type="dxa"/>
            <w:vAlign w:val="center"/>
          </w:tcPr>
          <w:p>
            <w:pPr>
              <w:jc w:val="center"/>
              <w:rPr>
                <w:noProof/>
              </w:rPr>
            </w:pPr>
            <w:r>
              <w:rPr>
                <w:noProof/>
              </w:rPr>
              <w:t>Finland</w:t>
            </w:r>
            <w:r>
              <w:rPr>
                <w:noProof/>
                <w:vertAlign w:val="superscript"/>
              </w:rPr>
              <w:footnoteReference w:id="1"/>
            </w:r>
          </w:p>
        </w:tc>
        <w:tc>
          <w:tcPr>
            <w:tcW w:w="4215" w:type="dxa"/>
            <w:tcBorders>
              <w:top w:val="single" w:sz="4" w:space="0" w:color="auto"/>
              <w:bottom w:val="single" w:sz="4" w:space="0" w:color="auto"/>
            </w:tcBorders>
            <w:vAlign w:val="center"/>
          </w:tcPr>
          <w:p>
            <w:pPr>
              <w:jc w:val="center"/>
              <w:rPr>
                <w:noProof/>
              </w:rPr>
            </w:pPr>
            <w:r>
              <w:rPr>
                <w:noProof/>
              </w:rPr>
              <w:t>Finnish Financial Supervisory Authority</w:t>
            </w:r>
          </w:p>
          <w:p>
            <w:pPr>
              <w:jc w:val="center"/>
              <w:rPr>
                <w:noProof/>
              </w:rPr>
            </w:pPr>
            <w:r>
              <w:rPr>
                <w:noProof/>
              </w:rPr>
              <w:t>Snellmaninkatu 6, Helsinki</w:t>
            </w:r>
          </w:p>
          <w:p>
            <w:pPr>
              <w:jc w:val="center"/>
              <w:rPr>
                <w:noProof/>
                <w:lang w:val="sv-SE"/>
              </w:rPr>
            </w:pPr>
            <w:r>
              <w:rPr>
                <w:noProof/>
                <w:lang w:val="sv-SE"/>
              </w:rPr>
              <w:t>P.O. Box 103, FI-00101</w:t>
            </w:r>
          </w:p>
          <w:p>
            <w:pPr>
              <w:jc w:val="center"/>
              <w:rPr>
                <w:noProof/>
                <w:lang w:val="sv-SE"/>
              </w:rPr>
            </w:pPr>
            <w:r>
              <w:rPr>
                <w:noProof/>
                <w:lang w:val="sv-SE"/>
              </w:rPr>
              <w:t>Helsinki, Finland.</w:t>
            </w:r>
          </w:p>
          <w:p>
            <w:pPr>
              <w:jc w:val="center"/>
              <w:rPr>
                <w:noProof/>
              </w:rPr>
            </w:pPr>
            <w:hyperlink r:id="rId20" w:history="1">
              <w:r>
                <w:rPr>
                  <w:rStyle w:val="Hyperlink"/>
                  <w:noProof/>
                </w:rPr>
                <w:t>kirjaamo@fiva.fi</w:t>
              </w:r>
            </w:hyperlink>
            <w:r>
              <w:rPr>
                <w:noProof/>
              </w:rPr>
              <w:t xml:space="preserve">  Tel: +358 10 831 51,</w:t>
            </w:r>
          </w:p>
          <w:p>
            <w:pPr>
              <w:jc w:val="center"/>
              <w:rPr>
                <w:noProof/>
              </w:rPr>
            </w:pPr>
            <w:r>
              <w:rPr>
                <w:noProof/>
              </w:rPr>
              <w:t>Consumer helpline for users of banking, investment and insurance services</w:t>
            </w:r>
          </w:p>
          <w:p>
            <w:pPr>
              <w:jc w:val="center"/>
              <w:rPr>
                <w:noProof/>
              </w:rPr>
            </w:pPr>
            <w:r>
              <w:rPr>
                <w:noProof/>
              </w:rPr>
              <w:t>Tel: 0800-0-5099</w:t>
            </w:r>
          </w:p>
        </w:tc>
        <w:tc>
          <w:tcPr>
            <w:tcW w:w="4470" w:type="dxa"/>
            <w:tcBorders>
              <w:top w:val="single" w:sz="4" w:space="0" w:color="auto"/>
              <w:bottom w:val="single" w:sz="4" w:space="0" w:color="auto"/>
            </w:tcBorders>
            <w:vAlign w:val="center"/>
          </w:tcPr>
          <w:p>
            <w:pPr>
              <w:jc w:val="center"/>
              <w:rPr>
                <w:noProof/>
              </w:rPr>
            </w:pPr>
            <w:r>
              <w:rPr>
                <w:noProof/>
              </w:rPr>
              <w:t>Consumer Ombudsman</w:t>
            </w:r>
          </w:p>
          <w:p>
            <w:pPr>
              <w:jc w:val="center"/>
              <w:rPr>
                <w:noProof/>
              </w:rPr>
            </w:pPr>
            <w:r>
              <w:rPr>
                <w:noProof/>
              </w:rPr>
              <w:t>Finnish Competition and Consumer Authority</w:t>
            </w:r>
          </w:p>
          <w:p>
            <w:pPr>
              <w:jc w:val="center"/>
              <w:rPr>
                <w:noProof/>
                <w:lang w:val="fi-FI"/>
              </w:rPr>
            </w:pPr>
            <w:r>
              <w:rPr>
                <w:noProof/>
                <w:lang w:val="fi-FI"/>
              </w:rPr>
              <w:t>Siltasaarenkatu 12 A, 00530 Helsinki</w:t>
            </w:r>
          </w:p>
          <w:p>
            <w:pPr>
              <w:jc w:val="center"/>
              <w:rPr>
                <w:noProof/>
                <w:lang w:val="fi-FI"/>
              </w:rPr>
            </w:pPr>
            <w:r>
              <w:rPr>
                <w:noProof/>
                <w:lang w:val="fi-FI"/>
              </w:rPr>
              <w:t>P. O. Box 5, FI-00531 Helsinki, Finland.</w:t>
            </w:r>
          </w:p>
          <w:p>
            <w:pPr>
              <w:jc w:val="center"/>
              <w:rPr>
                <w:noProof/>
              </w:rPr>
            </w:pPr>
            <w:r>
              <w:rPr>
                <w:noProof/>
              </w:rPr>
              <w:t>Tel: +358 (0)29 505 3000.</w:t>
            </w:r>
          </w:p>
        </w:tc>
      </w:tr>
      <w:tr>
        <w:tc>
          <w:tcPr>
            <w:tcW w:w="1456" w:type="dxa"/>
            <w:vAlign w:val="center"/>
          </w:tcPr>
          <w:p>
            <w:pPr>
              <w:jc w:val="center"/>
              <w:rPr>
                <w:noProof/>
              </w:rPr>
            </w:pPr>
            <w:r>
              <w:rPr>
                <w:noProof/>
              </w:rPr>
              <w:t>France</w:t>
            </w:r>
          </w:p>
        </w:tc>
        <w:tc>
          <w:tcPr>
            <w:tcW w:w="4215" w:type="dxa"/>
            <w:tcBorders>
              <w:top w:val="single" w:sz="4" w:space="0" w:color="auto"/>
              <w:bottom w:val="single" w:sz="4" w:space="0" w:color="auto"/>
            </w:tcBorders>
            <w:vAlign w:val="center"/>
          </w:tcPr>
          <w:p>
            <w:pPr>
              <w:jc w:val="center"/>
              <w:rPr>
                <w:noProof/>
                <w:lang w:val="fr-BE"/>
              </w:rPr>
            </w:pPr>
            <w:r>
              <w:rPr>
                <w:noProof/>
                <w:lang w:val="fr-BE"/>
              </w:rPr>
              <w:t>Autorité de contrôle prudentiel et de Résolution (ACPR)</w:t>
            </w:r>
          </w:p>
          <w:p>
            <w:pPr>
              <w:jc w:val="center"/>
              <w:rPr>
                <w:noProof/>
                <w:lang w:val="fr-BE"/>
              </w:rPr>
            </w:pPr>
            <w:r>
              <w:rPr>
                <w:noProof/>
                <w:lang w:val="fr-BE"/>
              </w:rPr>
              <w:t>Secrétariat général de l’ACPR</w:t>
            </w:r>
          </w:p>
          <w:p>
            <w:pPr>
              <w:jc w:val="center"/>
              <w:rPr>
                <w:noProof/>
                <w:lang w:val="fr-BE"/>
              </w:rPr>
            </w:pPr>
            <w:r>
              <w:rPr>
                <w:noProof/>
                <w:lang w:val="fr-BE"/>
              </w:rPr>
              <w:t>61 rue Taitbout</w:t>
            </w:r>
          </w:p>
          <w:p>
            <w:pPr>
              <w:jc w:val="center"/>
              <w:rPr>
                <w:noProof/>
                <w:lang w:val="fr-BE"/>
              </w:rPr>
            </w:pPr>
            <w:r>
              <w:rPr>
                <w:noProof/>
                <w:lang w:val="fr-BE"/>
              </w:rPr>
              <w:t>75426 PARIS CEDEX 09</w:t>
            </w:r>
          </w:p>
          <w:p>
            <w:pPr>
              <w:jc w:val="center"/>
              <w:rPr>
                <w:noProof/>
                <w:sz w:val="16"/>
                <w:szCs w:val="16"/>
                <w:lang w:val="fr-BE"/>
              </w:rPr>
            </w:pPr>
          </w:p>
          <w:p>
            <w:pPr>
              <w:jc w:val="center"/>
              <w:rPr>
                <w:noProof/>
                <w:lang w:val="fr-BE"/>
              </w:rPr>
            </w:pPr>
            <w:r>
              <w:rPr>
                <w:noProof/>
                <w:lang w:val="fr-BE"/>
              </w:rPr>
              <w:t>Banque de France</w:t>
            </w:r>
          </w:p>
          <w:p>
            <w:pPr>
              <w:jc w:val="center"/>
              <w:rPr>
                <w:noProof/>
                <w:lang w:val="fr-BE"/>
              </w:rPr>
            </w:pPr>
            <w:r>
              <w:rPr>
                <w:noProof/>
                <w:lang w:val="fr-BE"/>
              </w:rPr>
              <w:t>Direction des Systèmes de Paiement et des Infrastructures de Marché</w:t>
            </w:r>
          </w:p>
          <w:p>
            <w:pPr>
              <w:jc w:val="center"/>
              <w:rPr>
                <w:noProof/>
                <w:lang w:val="fr-BE"/>
              </w:rPr>
            </w:pPr>
            <w:r>
              <w:rPr>
                <w:noProof/>
                <w:lang w:val="fr-BE"/>
              </w:rPr>
              <w:t>31, rue Croix des Petits-Champs</w:t>
            </w:r>
          </w:p>
          <w:p>
            <w:pPr>
              <w:jc w:val="center"/>
              <w:rPr>
                <w:noProof/>
                <w:lang w:val="fr-BE"/>
              </w:rPr>
            </w:pPr>
            <w:r>
              <w:rPr>
                <w:noProof/>
                <w:lang w:val="fr-BE"/>
              </w:rPr>
              <w:t>75049 PARIS CEDEX 01</w:t>
            </w:r>
          </w:p>
          <w:p>
            <w:pPr>
              <w:jc w:val="center"/>
              <w:rPr>
                <w:noProof/>
                <w:sz w:val="16"/>
                <w:szCs w:val="16"/>
                <w:lang w:val="fr-BE"/>
              </w:rPr>
            </w:pPr>
          </w:p>
          <w:p>
            <w:pPr>
              <w:jc w:val="center"/>
              <w:rPr>
                <w:noProof/>
                <w:lang w:val="fr-BE"/>
              </w:rPr>
            </w:pPr>
            <w:r>
              <w:rPr>
                <w:noProof/>
                <w:lang w:val="fr-BE"/>
              </w:rPr>
              <w:t>Direction Générale de la concurrence, de la consommation et de la répression des fraudes (DGCCRF)</w:t>
            </w:r>
          </w:p>
          <w:p>
            <w:pPr>
              <w:jc w:val="center"/>
              <w:rPr>
                <w:noProof/>
                <w:lang w:val="fr-BE"/>
              </w:rPr>
            </w:pPr>
            <w:r>
              <w:rPr>
                <w:noProof/>
                <w:lang w:val="fr-BE"/>
              </w:rPr>
              <w:t>59, Boulevard Vincent Auriol</w:t>
            </w:r>
          </w:p>
          <w:p>
            <w:pPr>
              <w:jc w:val="center"/>
              <w:rPr>
                <w:noProof/>
                <w:lang w:val="fr-BE"/>
              </w:rPr>
            </w:pPr>
            <w:r>
              <w:rPr>
                <w:noProof/>
                <w:lang w:val="fr-BE"/>
              </w:rPr>
              <w:t>75703 PARIS CEDEX 13</w:t>
            </w:r>
          </w:p>
        </w:tc>
        <w:tc>
          <w:tcPr>
            <w:tcW w:w="4470" w:type="dxa"/>
            <w:tcBorders>
              <w:top w:val="single" w:sz="4" w:space="0" w:color="auto"/>
              <w:bottom w:val="single" w:sz="4" w:space="0" w:color="auto"/>
            </w:tcBorders>
            <w:vAlign w:val="center"/>
          </w:tcPr>
          <w:p>
            <w:pPr>
              <w:jc w:val="center"/>
              <w:rPr>
                <w:noProof/>
                <w:lang w:val="fr-BE"/>
              </w:rPr>
            </w:pPr>
            <w:r>
              <w:rPr>
                <w:noProof/>
                <w:lang w:val="fr-BE"/>
              </w:rPr>
              <w:t>Direction Générale de la concurrence, de la consommation et de la répression des fraudes (DGCCRF)</w:t>
            </w:r>
          </w:p>
          <w:p>
            <w:pPr>
              <w:jc w:val="center"/>
              <w:rPr>
                <w:noProof/>
                <w:lang w:val="fr-BE"/>
              </w:rPr>
            </w:pPr>
            <w:r>
              <w:rPr>
                <w:noProof/>
                <w:lang w:val="fr-BE"/>
              </w:rPr>
              <w:t>59, Boulevard Vincent Auriol</w:t>
            </w:r>
          </w:p>
          <w:p>
            <w:pPr>
              <w:jc w:val="center"/>
              <w:rPr>
                <w:noProof/>
                <w:lang w:val="fr-BE"/>
              </w:rPr>
            </w:pPr>
            <w:r>
              <w:rPr>
                <w:noProof/>
                <w:lang w:val="fr-BE"/>
              </w:rPr>
              <w:t>75703 PARIS CEDEX 13</w:t>
            </w:r>
          </w:p>
        </w:tc>
      </w:tr>
      <w:tr>
        <w:tc>
          <w:tcPr>
            <w:tcW w:w="1456" w:type="dxa"/>
            <w:vAlign w:val="center"/>
          </w:tcPr>
          <w:p>
            <w:pPr>
              <w:jc w:val="center"/>
              <w:rPr>
                <w:noProof/>
              </w:rPr>
            </w:pPr>
            <w:r>
              <w:rPr>
                <w:noProof/>
              </w:rPr>
              <w:t>Germany</w:t>
            </w:r>
          </w:p>
        </w:tc>
        <w:tc>
          <w:tcPr>
            <w:tcW w:w="4215" w:type="dxa"/>
            <w:tcBorders>
              <w:top w:val="single" w:sz="4" w:space="0" w:color="auto"/>
              <w:bottom w:val="single" w:sz="4" w:space="0" w:color="auto"/>
            </w:tcBorders>
            <w:vAlign w:val="center"/>
          </w:tcPr>
          <w:p>
            <w:pPr>
              <w:jc w:val="center"/>
              <w:rPr>
                <w:noProof/>
                <w:lang w:val="de-DE"/>
              </w:rPr>
            </w:pPr>
            <w:r>
              <w:rPr>
                <w:noProof/>
                <w:lang w:val="de-DE"/>
              </w:rPr>
              <w:t>Bundesanstalt für Finanzdienstleistungsaufsicht (BaFin)</w:t>
            </w:r>
          </w:p>
          <w:p>
            <w:pPr>
              <w:jc w:val="center"/>
              <w:rPr>
                <w:noProof/>
                <w:lang w:val="de-DE"/>
              </w:rPr>
            </w:pPr>
            <w:r>
              <w:rPr>
                <w:noProof/>
                <w:lang w:val="de-DE"/>
              </w:rPr>
              <w:t>Graurheindorfer Straße 108</w:t>
            </w:r>
          </w:p>
          <w:p>
            <w:pPr>
              <w:jc w:val="center"/>
              <w:rPr>
                <w:noProof/>
                <w:lang w:val="fr-BE"/>
              </w:rPr>
            </w:pPr>
            <w:r>
              <w:rPr>
                <w:noProof/>
                <w:lang w:val="fr-BE"/>
              </w:rPr>
              <w:t>53117 Bonn</w:t>
            </w:r>
          </w:p>
          <w:p>
            <w:pPr>
              <w:jc w:val="center"/>
              <w:rPr>
                <w:noProof/>
                <w:lang w:val="fr-BE"/>
              </w:rPr>
            </w:pPr>
            <w:r>
              <w:rPr>
                <w:noProof/>
                <w:lang w:val="fr-BE"/>
              </w:rPr>
              <w:t xml:space="preserve">E-Mail: </w:t>
            </w:r>
            <w:hyperlink r:id="rId21" w:history="1">
              <w:r>
                <w:rPr>
                  <w:rStyle w:val="Hyperlink"/>
                  <w:noProof/>
                  <w:lang w:val="fr-BE"/>
                </w:rPr>
                <w:t>poststelle@bafin.de</w:t>
              </w:r>
            </w:hyperlink>
            <w:r>
              <w:rPr>
                <w:noProof/>
                <w:lang w:val="fr-BE"/>
              </w:rPr>
              <w:t xml:space="preserve"> </w:t>
            </w:r>
          </w:p>
        </w:tc>
        <w:tc>
          <w:tcPr>
            <w:tcW w:w="4470" w:type="dxa"/>
            <w:tcBorders>
              <w:top w:val="single" w:sz="4" w:space="0" w:color="auto"/>
              <w:bottom w:val="single" w:sz="4" w:space="0" w:color="auto"/>
            </w:tcBorders>
            <w:vAlign w:val="center"/>
          </w:tcPr>
          <w:p>
            <w:pPr>
              <w:jc w:val="center"/>
              <w:rPr>
                <w:noProof/>
                <w:lang w:val="de-DE"/>
              </w:rPr>
            </w:pPr>
            <w:r>
              <w:rPr>
                <w:noProof/>
                <w:lang w:val="de-DE"/>
              </w:rPr>
              <w:t>Liste der Industrie- und Handelskammern sowie der Handwerkskammern nach § 8 UWG und § 3 UklaG</w:t>
            </w:r>
            <w:r>
              <w:rPr>
                <w:rStyle w:val="FootnoteReference"/>
                <w:noProof/>
                <w:lang w:val="de-DE"/>
              </w:rPr>
              <w:footnoteReference w:id="2"/>
            </w:r>
            <w:r>
              <w:rPr>
                <w:noProof/>
                <w:lang w:val="de-DE"/>
              </w:rPr>
              <w:t xml:space="preserve"> </w:t>
            </w:r>
          </w:p>
        </w:tc>
      </w:tr>
    </w:tbl>
    <w:p>
      <w:pPr>
        <w:rPr>
          <w:noProof/>
          <w:lang w:val="de-DE"/>
        </w:rPr>
      </w:pPr>
      <w:r>
        <w:rPr>
          <w:noProof/>
          <w:lang w:val="de-DE"/>
        </w:rPr>
        <w:br w:type="page"/>
      </w:r>
    </w:p>
    <w:tbl>
      <w:tblPr>
        <w:tblStyle w:val="TableGrid"/>
        <w:tblW w:w="10141" w:type="dxa"/>
        <w:tblInd w:w="-176" w:type="dxa"/>
        <w:tblLayout w:type="fixed"/>
        <w:tblLook w:val="04A0" w:firstRow="1" w:lastRow="0" w:firstColumn="1" w:lastColumn="0" w:noHBand="0" w:noVBand="1"/>
      </w:tblPr>
      <w:tblGrid>
        <w:gridCol w:w="1456"/>
        <w:gridCol w:w="4215"/>
        <w:gridCol w:w="4470"/>
      </w:tblGrid>
      <w:tr>
        <w:tc>
          <w:tcPr>
            <w:tcW w:w="1456" w:type="dxa"/>
            <w:vAlign w:val="center"/>
          </w:tcPr>
          <w:p>
            <w:pPr>
              <w:jc w:val="center"/>
              <w:rPr>
                <w:noProof/>
              </w:rPr>
            </w:pPr>
            <w:r>
              <w:rPr>
                <w:noProof/>
              </w:rPr>
              <w:lastRenderedPageBreak/>
              <w:t>Greece</w:t>
            </w:r>
            <w:r>
              <w:rPr>
                <w:rStyle w:val="FootnoteReference"/>
                <w:noProof/>
              </w:rPr>
              <w:footnoteReference w:id="3"/>
            </w:r>
          </w:p>
        </w:tc>
        <w:tc>
          <w:tcPr>
            <w:tcW w:w="4215" w:type="dxa"/>
            <w:tcBorders>
              <w:top w:val="single" w:sz="4" w:space="0" w:color="auto"/>
              <w:bottom w:val="single" w:sz="4" w:space="0" w:color="auto"/>
            </w:tcBorders>
            <w:vAlign w:val="center"/>
          </w:tcPr>
          <w:p>
            <w:pPr>
              <w:jc w:val="center"/>
              <w:rPr>
                <w:noProof/>
              </w:rPr>
            </w:pPr>
            <w:r>
              <w:rPr>
                <w:noProof/>
              </w:rPr>
              <w:t>Bank of Greece</w:t>
            </w:r>
          </w:p>
          <w:p>
            <w:pPr>
              <w:jc w:val="center"/>
              <w:rPr>
                <w:noProof/>
              </w:rPr>
            </w:pPr>
            <w:r>
              <w:rPr>
                <w:noProof/>
              </w:rPr>
              <w:t xml:space="preserve">21 E. Venizelos Avenue, GR 10250 Athens, Greece. </w:t>
            </w:r>
          </w:p>
          <w:p>
            <w:pPr>
              <w:jc w:val="center"/>
              <w:rPr>
                <w:rStyle w:val="Hyperlink"/>
                <w:noProof/>
                <w:sz w:val="22"/>
                <w:szCs w:val="22"/>
              </w:rPr>
            </w:pPr>
            <w:hyperlink r:id="rId22" w:history="1">
              <w:r>
                <w:rPr>
                  <w:rStyle w:val="Hyperlink"/>
                  <w:noProof/>
                  <w:sz w:val="22"/>
                  <w:szCs w:val="22"/>
                </w:rPr>
                <w:t>www.bankofgreece.gr/pages/en/other/communication.aspx</w:t>
              </w:r>
            </w:hyperlink>
          </w:p>
          <w:p>
            <w:pPr>
              <w:jc w:val="center"/>
              <w:rPr>
                <w:rStyle w:val="Hyperlink"/>
                <w:noProof/>
                <w:sz w:val="22"/>
                <w:szCs w:val="22"/>
              </w:rPr>
            </w:pPr>
          </w:p>
          <w:p>
            <w:pPr>
              <w:jc w:val="center"/>
              <w:rPr>
                <w:noProof/>
              </w:rPr>
            </w:pPr>
            <w:r>
              <w:rPr>
                <w:noProof/>
              </w:rPr>
              <w:t xml:space="preserve">Secretariat General Consumer Protection, 20 Kaniggos Square, GR 10181, Athens, Greece. </w:t>
            </w:r>
          </w:p>
          <w:p>
            <w:pPr>
              <w:jc w:val="center"/>
              <w:rPr>
                <w:noProof/>
              </w:rPr>
            </w:pPr>
            <w:hyperlink r:id="rId23" w:history="1">
              <w:r>
                <w:rPr>
                  <w:rStyle w:val="Hyperlink"/>
                  <w:noProof/>
                </w:rPr>
                <w:t>www.1520.gov.gr/epikoinia</w:t>
              </w:r>
            </w:hyperlink>
            <w:r>
              <w:rPr>
                <w:noProof/>
              </w:rPr>
              <w:t xml:space="preserve"> </w:t>
            </w:r>
            <w:hyperlink r:id="rId24" w:history="1">
              <w:r>
                <w:rPr>
                  <w:rStyle w:val="Hyperlink"/>
                  <w:noProof/>
                </w:rPr>
                <w:t>www.1520.gov.gr/ypovoli-kataggelias?id=253</w:t>
              </w:r>
            </w:hyperlink>
          </w:p>
        </w:tc>
        <w:tc>
          <w:tcPr>
            <w:tcW w:w="4470" w:type="dxa"/>
            <w:tcBorders>
              <w:top w:val="single" w:sz="4" w:space="0" w:color="auto"/>
              <w:bottom w:val="single" w:sz="4" w:space="0" w:color="auto"/>
            </w:tcBorders>
            <w:vAlign w:val="center"/>
          </w:tcPr>
          <w:p>
            <w:pPr>
              <w:jc w:val="center"/>
              <w:rPr>
                <w:noProof/>
              </w:rPr>
            </w:pPr>
            <w:r>
              <w:rPr>
                <w:noProof/>
              </w:rPr>
              <w:t xml:space="preserve"> </w:t>
            </w:r>
          </w:p>
        </w:tc>
      </w:tr>
      <w:tr>
        <w:tc>
          <w:tcPr>
            <w:tcW w:w="1456" w:type="dxa"/>
            <w:vAlign w:val="center"/>
          </w:tcPr>
          <w:p>
            <w:pPr>
              <w:jc w:val="center"/>
              <w:rPr>
                <w:noProof/>
              </w:rPr>
            </w:pPr>
            <w:r>
              <w:rPr>
                <w:noProof/>
              </w:rPr>
              <w:t>Ireland</w:t>
            </w:r>
          </w:p>
        </w:tc>
        <w:tc>
          <w:tcPr>
            <w:tcW w:w="4215" w:type="dxa"/>
            <w:tcBorders>
              <w:top w:val="single" w:sz="4" w:space="0" w:color="auto"/>
              <w:bottom w:val="single" w:sz="4" w:space="0" w:color="auto"/>
            </w:tcBorders>
            <w:vAlign w:val="center"/>
          </w:tcPr>
          <w:p>
            <w:pPr>
              <w:jc w:val="center"/>
              <w:rPr>
                <w:noProof/>
              </w:rPr>
            </w:pPr>
            <w:r>
              <w:rPr>
                <w:noProof/>
              </w:rPr>
              <w:t>Central Bank of Ireland</w:t>
            </w:r>
          </w:p>
          <w:p>
            <w:pPr>
              <w:jc w:val="center"/>
              <w:rPr>
                <w:noProof/>
              </w:rPr>
            </w:pPr>
            <w:r>
              <w:rPr>
                <w:noProof/>
              </w:rPr>
              <w:t>PO Box 559 Dame Street Dublin 2 D02 P656</w:t>
            </w:r>
          </w:p>
          <w:p>
            <w:pPr>
              <w:jc w:val="center"/>
              <w:rPr>
                <w:noProof/>
              </w:rPr>
            </w:pPr>
            <w:r>
              <w:rPr>
                <w:noProof/>
              </w:rPr>
              <w:t xml:space="preserve">Email: </w:t>
            </w:r>
            <w:hyperlink r:id="rId25" w:history="1">
              <w:r>
                <w:rPr>
                  <w:rStyle w:val="Hyperlink"/>
                  <w:noProof/>
                </w:rPr>
                <w:t>enquiries@centraibank.ie</w:t>
              </w:r>
            </w:hyperlink>
          </w:p>
        </w:tc>
        <w:tc>
          <w:tcPr>
            <w:tcW w:w="4470" w:type="dxa"/>
            <w:tcBorders>
              <w:top w:val="single" w:sz="4" w:space="0" w:color="auto"/>
              <w:bottom w:val="single" w:sz="4" w:space="0" w:color="auto"/>
            </w:tcBorders>
            <w:vAlign w:val="center"/>
          </w:tcPr>
          <w:p>
            <w:pPr>
              <w:jc w:val="center"/>
              <w:rPr>
                <w:noProof/>
              </w:rPr>
            </w:pPr>
            <w:r>
              <w:rPr>
                <w:noProof/>
              </w:rPr>
              <w:t>Competition and Consumer Protection Commission</w:t>
            </w:r>
          </w:p>
          <w:p>
            <w:pPr>
              <w:jc w:val="center"/>
              <w:rPr>
                <w:noProof/>
              </w:rPr>
            </w:pPr>
            <w:r>
              <w:rPr>
                <w:noProof/>
              </w:rPr>
              <w:t>PO Box 12585 Dublin 1</w:t>
            </w:r>
          </w:p>
          <w:p>
            <w:pPr>
              <w:jc w:val="center"/>
              <w:rPr>
                <w:noProof/>
              </w:rPr>
            </w:pPr>
            <w:r>
              <w:rPr>
                <w:noProof/>
              </w:rPr>
              <w:t xml:space="preserve">Email: </w:t>
            </w:r>
            <w:hyperlink r:id="rId26" w:history="1">
              <w:r>
                <w:rPr>
                  <w:rStyle w:val="Hyperlink"/>
                  <w:noProof/>
                </w:rPr>
                <w:t>consumerenforcement@ccpc.ie</w:t>
              </w:r>
            </w:hyperlink>
          </w:p>
        </w:tc>
      </w:tr>
      <w:tr>
        <w:tc>
          <w:tcPr>
            <w:tcW w:w="1456" w:type="dxa"/>
            <w:vAlign w:val="center"/>
          </w:tcPr>
          <w:p>
            <w:pPr>
              <w:jc w:val="center"/>
              <w:rPr>
                <w:noProof/>
              </w:rPr>
            </w:pPr>
            <w:r>
              <w:rPr>
                <w:noProof/>
              </w:rPr>
              <w:t>Italy</w:t>
            </w:r>
          </w:p>
        </w:tc>
        <w:tc>
          <w:tcPr>
            <w:tcW w:w="4215" w:type="dxa"/>
            <w:tcBorders>
              <w:top w:val="single" w:sz="4" w:space="0" w:color="auto"/>
              <w:bottom w:val="single" w:sz="4" w:space="0" w:color="auto"/>
              <w:right w:val="single" w:sz="4" w:space="0" w:color="auto"/>
            </w:tcBorders>
            <w:vAlign w:val="center"/>
          </w:tcPr>
          <w:p>
            <w:pPr>
              <w:jc w:val="center"/>
              <w:rPr>
                <w:noProof/>
                <w:lang w:val="it-IT"/>
              </w:rPr>
            </w:pPr>
            <w:r>
              <w:rPr>
                <w:noProof/>
                <w:lang w:val="it-IT"/>
              </w:rPr>
              <w:t xml:space="preserve">Banca d'Italia </w:t>
            </w:r>
          </w:p>
          <w:p>
            <w:pPr>
              <w:jc w:val="center"/>
              <w:rPr>
                <w:noProof/>
                <w:lang w:val="it-IT"/>
              </w:rPr>
            </w:pPr>
            <w:r>
              <w:rPr>
                <w:noProof/>
                <w:lang w:val="it-IT"/>
              </w:rPr>
              <w:t xml:space="preserve">Via Nazionale 91 00184 Roma – Italia </w:t>
            </w:r>
            <w:hyperlink r:id="rId27" w:history="1">
              <w:r>
                <w:rPr>
                  <w:rStyle w:val="Hyperlink"/>
                  <w:noProof/>
                  <w:lang w:val="it-IT"/>
                </w:rPr>
                <w:t>email@bancaditalia.it</w:t>
              </w:r>
            </w:hyperlink>
            <w:r>
              <w:rPr>
                <w:noProof/>
                <w:lang w:val="it-IT"/>
              </w:rPr>
              <w:t xml:space="preserve"> </w:t>
            </w:r>
          </w:p>
        </w:tc>
        <w:tc>
          <w:tcPr>
            <w:tcW w:w="447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Italian Competition Authority</w:t>
            </w:r>
          </w:p>
          <w:p>
            <w:pPr>
              <w:jc w:val="center"/>
              <w:rPr>
                <w:noProof/>
                <w:lang w:val="it-IT"/>
              </w:rPr>
            </w:pPr>
            <w:r>
              <w:rPr>
                <w:noProof/>
                <w:lang w:val="it-IT"/>
              </w:rPr>
              <w:t xml:space="preserve">Piazza Verdi 6/A 00198 Roma – Italia </w:t>
            </w:r>
            <w:hyperlink r:id="rId28" w:history="1">
              <w:r>
                <w:rPr>
                  <w:rStyle w:val="Hyperlink"/>
                  <w:noProof/>
                  <w:lang w:val="it-IT"/>
                </w:rPr>
                <w:t>www.agcm.it</w:t>
              </w:r>
            </w:hyperlink>
            <w:r>
              <w:rPr>
                <w:noProof/>
                <w:lang w:val="it-IT"/>
              </w:rPr>
              <w:t xml:space="preserve"> (available also in English)</w:t>
            </w:r>
          </w:p>
        </w:tc>
      </w:tr>
      <w:tr>
        <w:tc>
          <w:tcPr>
            <w:tcW w:w="1456" w:type="dxa"/>
            <w:vAlign w:val="center"/>
          </w:tcPr>
          <w:p>
            <w:pPr>
              <w:jc w:val="center"/>
              <w:rPr>
                <w:noProof/>
              </w:rPr>
            </w:pPr>
            <w:r>
              <w:rPr>
                <w:noProof/>
              </w:rPr>
              <w:t>Latvia</w:t>
            </w:r>
          </w:p>
        </w:tc>
        <w:tc>
          <w:tcPr>
            <w:tcW w:w="4215" w:type="dxa"/>
            <w:tcBorders>
              <w:top w:val="single" w:sz="4" w:space="0" w:color="auto"/>
              <w:bottom w:val="single" w:sz="4" w:space="0" w:color="auto"/>
              <w:right w:val="single" w:sz="4" w:space="0" w:color="auto"/>
            </w:tcBorders>
            <w:vAlign w:val="center"/>
          </w:tcPr>
          <w:p>
            <w:pPr>
              <w:jc w:val="center"/>
              <w:rPr>
                <w:noProof/>
              </w:rPr>
            </w:pPr>
            <w:r>
              <w:rPr>
                <w:noProof/>
              </w:rPr>
              <w:t>Financial and Capital Market Commission</w:t>
            </w:r>
          </w:p>
          <w:p>
            <w:pPr>
              <w:jc w:val="center"/>
              <w:rPr>
                <w:noProof/>
              </w:rPr>
            </w:pPr>
            <w:r>
              <w:rPr>
                <w:noProof/>
              </w:rPr>
              <w:t xml:space="preserve">Kungu Street 1, Riga, Latvia, </w:t>
            </w:r>
          </w:p>
          <w:p>
            <w:pPr>
              <w:jc w:val="center"/>
              <w:rPr>
                <w:noProof/>
                <w:lang w:val="pt-PT"/>
              </w:rPr>
            </w:pPr>
            <w:r>
              <w:rPr>
                <w:noProof/>
                <w:lang w:val="pt-PT"/>
              </w:rPr>
              <w:t xml:space="preserve">e-mail: </w:t>
            </w:r>
            <w:hyperlink r:id="rId29" w:history="1">
              <w:r>
                <w:rPr>
                  <w:rStyle w:val="Hyperlink"/>
                  <w:noProof/>
                  <w:lang w:val="pt-PT"/>
                </w:rPr>
                <w:t>fktk@fktk.lv</w:t>
              </w:r>
            </w:hyperlink>
            <w:r>
              <w:rPr>
                <w:noProof/>
                <w:lang w:val="pt-PT"/>
              </w:rPr>
              <w:t xml:space="preserve"> Tel:+371 67774800</w:t>
            </w:r>
          </w:p>
        </w:tc>
        <w:tc>
          <w:tcPr>
            <w:tcW w:w="4470" w:type="dxa"/>
            <w:tcBorders>
              <w:top w:val="single" w:sz="4" w:space="0" w:color="auto"/>
              <w:left w:val="single" w:sz="4" w:space="0" w:color="auto"/>
              <w:bottom w:val="single" w:sz="4" w:space="0" w:color="auto"/>
              <w:right w:val="single" w:sz="4" w:space="0" w:color="auto"/>
            </w:tcBorders>
            <w:vAlign w:val="center"/>
          </w:tcPr>
          <w:p>
            <w:pPr>
              <w:jc w:val="center"/>
              <w:rPr>
                <w:noProof/>
                <w:lang w:val="pt-PT"/>
              </w:rPr>
            </w:pPr>
          </w:p>
        </w:tc>
      </w:tr>
      <w:tr>
        <w:tc>
          <w:tcPr>
            <w:tcW w:w="1456" w:type="dxa"/>
            <w:vAlign w:val="center"/>
          </w:tcPr>
          <w:p>
            <w:pPr>
              <w:jc w:val="center"/>
              <w:rPr>
                <w:noProof/>
              </w:rPr>
            </w:pPr>
            <w:r>
              <w:rPr>
                <w:noProof/>
              </w:rPr>
              <w:t>Lithuania</w:t>
            </w:r>
          </w:p>
        </w:tc>
        <w:tc>
          <w:tcPr>
            <w:tcW w:w="8685" w:type="dxa"/>
            <w:gridSpan w:val="2"/>
            <w:tcBorders>
              <w:top w:val="single" w:sz="4" w:space="0" w:color="auto"/>
              <w:bottom w:val="single" w:sz="4" w:space="0" w:color="auto"/>
              <w:right w:val="single" w:sz="4" w:space="0" w:color="auto"/>
            </w:tcBorders>
            <w:vAlign w:val="center"/>
          </w:tcPr>
          <w:p>
            <w:pPr>
              <w:jc w:val="center"/>
              <w:rPr>
                <w:noProof/>
              </w:rPr>
            </w:pPr>
            <w:r>
              <w:rPr>
                <w:noProof/>
              </w:rPr>
              <w:t>The Bank of Lithuania</w:t>
            </w:r>
          </w:p>
          <w:p>
            <w:pPr>
              <w:jc w:val="center"/>
              <w:rPr>
                <w:noProof/>
              </w:rPr>
            </w:pPr>
            <w:r>
              <w:rPr>
                <w:noProof/>
              </w:rPr>
              <w:t>Totorių g. 4, 01121 Vilnius</w:t>
            </w:r>
          </w:p>
          <w:p>
            <w:pPr>
              <w:jc w:val="center"/>
              <w:rPr>
                <w:noProof/>
              </w:rPr>
            </w:pPr>
            <w:r>
              <w:rPr>
                <w:noProof/>
              </w:rPr>
              <w:t>Tel: +370 5 268 0029</w:t>
            </w:r>
          </w:p>
          <w:p>
            <w:pPr>
              <w:jc w:val="center"/>
              <w:rPr>
                <w:noProof/>
              </w:rPr>
            </w:pPr>
            <w:r>
              <w:rPr>
                <w:noProof/>
              </w:rPr>
              <w:t>Fax: +370 5 268 0038</w:t>
            </w:r>
          </w:p>
        </w:tc>
      </w:tr>
      <w:tr>
        <w:tc>
          <w:tcPr>
            <w:tcW w:w="1456" w:type="dxa"/>
            <w:vAlign w:val="center"/>
          </w:tcPr>
          <w:p>
            <w:pPr>
              <w:jc w:val="center"/>
              <w:rPr>
                <w:noProof/>
              </w:rPr>
            </w:pPr>
            <w:r>
              <w:rPr>
                <w:noProof/>
              </w:rPr>
              <w:t>Luxembourg</w:t>
            </w:r>
          </w:p>
        </w:tc>
        <w:tc>
          <w:tcPr>
            <w:tcW w:w="8685" w:type="dxa"/>
            <w:gridSpan w:val="2"/>
            <w:tcBorders>
              <w:top w:val="single" w:sz="4" w:space="0" w:color="auto"/>
              <w:bottom w:val="single" w:sz="4" w:space="0" w:color="auto"/>
              <w:right w:val="single" w:sz="4" w:space="0" w:color="auto"/>
            </w:tcBorders>
            <w:vAlign w:val="center"/>
          </w:tcPr>
          <w:p>
            <w:pPr>
              <w:jc w:val="center"/>
              <w:rPr>
                <w:noProof/>
                <w:lang w:val="fr-BE"/>
              </w:rPr>
            </w:pPr>
            <w:r>
              <w:rPr>
                <w:noProof/>
                <w:lang w:val="fr-BE"/>
              </w:rPr>
              <w:t xml:space="preserve">Commission de surveillance du secteur financier </w:t>
            </w:r>
          </w:p>
          <w:p>
            <w:pPr>
              <w:jc w:val="center"/>
              <w:rPr>
                <w:noProof/>
                <w:lang w:val="fr-BE"/>
              </w:rPr>
            </w:pPr>
            <w:r>
              <w:rPr>
                <w:noProof/>
                <w:lang w:val="fr-BE"/>
              </w:rPr>
              <w:t xml:space="preserve">Tel. : (+352) 26 25 1 - 1 (central) - </w:t>
            </w:r>
            <w:hyperlink r:id="rId30" w:history="1">
              <w:r>
                <w:rPr>
                  <w:rStyle w:val="Hyperlink"/>
                  <w:noProof/>
                  <w:lang w:val="fr-BE"/>
                </w:rPr>
                <w:t>www.cssf.lu</w:t>
              </w:r>
            </w:hyperlink>
            <w:r>
              <w:rPr>
                <w:noProof/>
                <w:lang w:val="fr-BE"/>
              </w:rPr>
              <w:t xml:space="preserve">  - </w:t>
            </w:r>
            <w:hyperlink r:id="rId31" w:history="1">
              <w:r>
                <w:rPr>
                  <w:rStyle w:val="Hyperlink"/>
                  <w:noProof/>
                  <w:lang w:val="fr-BE"/>
                </w:rPr>
                <w:t>direction@cssf.lu</w:t>
              </w:r>
            </w:hyperlink>
            <w:r>
              <w:rPr>
                <w:noProof/>
                <w:lang w:val="fr-BE"/>
              </w:rPr>
              <w:t xml:space="preserve"> </w:t>
            </w:r>
          </w:p>
          <w:p>
            <w:pPr>
              <w:jc w:val="center"/>
              <w:rPr>
                <w:noProof/>
                <w:lang w:val="fr-BE"/>
              </w:rPr>
            </w:pPr>
            <w:r>
              <w:rPr>
                <w:noProof/>
                <w:lang w:val="fr-BE"/>
              </w:rPr>
              <w:t>283, route d’Arlon - L-1150 Luxembourg</w:t>
            </w:r>
          </w:p>
          <w:p>
            <w:pPr>
              <w:jc w:val="center"/>
              <w:rPr>
                <w:noProof/>
                <w:lang w:val="fr-BE"/>
              </w:rPr>
            </w:pPr>
            <w:r>
              <w:rPr>
                <w:noProof/>
                <w:lang w:val="fr-BE"/>
              </w:rPr>
              <w:t>Postal address: L-2991 Luxembourg</w:t>
            </w:r>
          </w:p>
        </w:tc>
      </w:tr>
      <w:tr>
        <w:tc>
          <w:tcPr>
            <w:tcW w:w="1456" w:type="dxa"/>
            <w:vAlign w:val="center"/>
          </w:tcPr>
          <w:p>
            <w:pPr>
              <w:jc w:val="center"/>
              <w:rPr>
                <w:noProof/>
              </w:rPr>
            </w:pPr>
            <w:r>
              <w:rPr>
                <w:noProof/>
              </w:rPr>
              <w:t>Malta</w:t>
            </w:r>
          </w:p>
        </w:tc>
        <w:tc>
          <w:tcPr>
            <w:tcW w:w="8685" w:type="dxa"/>
            <w:gridSpan w:val="2"/>
            <w:tcBorders>
              <w:top w:val="single" w:sz="4" w:space="0" w:color="auto"/>
              <w:bottom w:val="single" w:sz="4" w:space="0" w:color="auto"/>
              <w:right w:val="single" w:sz="4" w:space="0" w:color="auto"/>
            </w:tcBorders>
            <w:vAlign w:val="center"/>
          </w:tcPr>
          <w:p>
            <w:pPr>
              <w:jc w:val="center"/>
              <w:rPr>
                <w:noProof/>
                <w:lang w:val="sv-SE"/>
              </w:rPr>
            </w:pPr>
            <w:r>
              <w:rPr>
                <w:noProof/>
                <w:lang w:val="sv-SE"/>
              </w:rPr>
              <w:t>Central Bank of Malta</w:t>
            </w:r>
          </w:p>
          <w:p>
            <w:pPr>
              <w:jc w:val="center"/>
              <w:rPr>
                <w:noProof/>
                <w:lang w:val="sv-SE"/>
              </w:rPr>
            </w:pPr>
            <w:r>
              <w:rPr>
                <w:noProof/>
                <w:lang w:val="sv-SE"/>
              </w:rPr>
              <w:t>Pjazza Kastilja</w:t>
            </w:r>
          </w:p>
          <w:p>
            <w:pPr>
              <w:jc w:val="center"/>
              <w:rPr>
                <w:noProof/>
                <w:lang w:val="sv-SE"/>
              </w:rPr>
            </w:pPr>
            <w:r>
              <w:rPr>
                <w:noProof/>
                <w:lang w:val="sv-SE"/>
              </w:rPr>
              <w:t>Valletta VLT 1060  - Malta</w:t>
            </w:r>
          </w:p>
          <w:p>
            <w:pPr>
              <w:jc w:val="center"/>
              <w:rPr>
                <w:noProof/>
              </w:rPr>
            </w:pPr>
            <w:hyperlink r:id="rId32" w:history="1">
              <w:r>
                <w:rPr>
                  <w:rStyle w:val="Hyperlink"/>
                  <w:noProof/>
                </w:rPr>
                <w:t>oversight@centralbankmalta.org</w:t>
              </w:r>
            </w:hyperlink>
          </w:p>
        </w:tc>
      </w:tr>
      <w:tr>
        <w:tc>
          <w:tcPr>
            <w:tcW w:w="1456" w:type="dxa"/>
            <w:vAlign w:val="center"/>
          </w:tcPr>
          <w:p>
            <w:pPr>
              <w:jc w:val="center"/>
              <w:rPr>
                <w:noProof/>
              </w:rPr>
            </w:pPr>
            <w:r>
              <w:rPr>
                <w:noProof/>
              </w:rPr>
              <w:t>The Netherlands</w:t>
            </w:r>
          </w:p>
        </w:tc>
        <w:tc>
          <w:tcPr>
            <w:tcW w:w="4215" w:type="dxa"/>
            <w:tcBorders>
              <w:top w:val="single" w:sz="4" w:space="0" w:color="auto"/>
              <w:bottom w:val="single" w:sz="4" w:space="0" w:color="auto"/>
              <w:right w:val="single" w:sz="4" w:space="0" w:color="auto"/>
            </w:tcBorders>
            <w:vAlign w:val="center"/>
          </w:tcPr>
          <w:p>
            <w:pPr>
              <w:jc w:val="center"/>
              <w:rPr>
                <w:noProof/>
                <w:lang w:val="nl-NL"/>
              </w:rPr>
            </w:pPr>
            <w:r>
              <w:rPr>
                <w:noProof/>
                <w:lang w:val="nl-NL"/>
              </w:rPr>
              <w:t xml:space="preserve">De Nederlandsche Bank - </w:t>
            </w:r>
            <w:hyperlink r:id="rId33" w:history="1">
              <w:r>
                <w:rPr>
                  <w:rStyle w:val="Hyperlink"/>
                  <w:noProof/>
                  <w:lang w:val="nl-NL"/>
                </w:rPr>
                <w:t>www.dnb.nl</w:t>
              </w:r>
            </w:hyperlink>
          </w:p>
        </w:tc>
        <w:tc>
          <w:tcPr>
            <w:tcW w:w="447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 xml:space="preserve">The Netherlands Authority for Consumers and Markets - </w:t>
            </w:r>
            <w:hyperlink r:id="rId34" w:history="1">
              <w:r>
                <w:rPr>
                  <w:rStyle w:val="Hyperlink"/>
                  <w:noProof/>
                </w:rPr>
                <w:t>www.acm.nl</w:t>
              </w:r>
            </w:hyperlink>
          </w:p>
        </w:tc>
      </w:tr>
      <w:tr>
        <w:tc>
          <w:tcPr>
            <w:tcW w:w="1456" w:type="dxa"/>
            <w:vAlign w:val="center"/>
          </w:tcPr>
          <w:p>
            <w:pPr>
              <w:jc w:val="center"/>
              <w:rPr>
                <w:noProof/>
              </w:rPr>
            </w:pPr>
            <w:r>
              <w:rPr>
                <w:noProof/>
              </w:rPr>
              <w:t>Portugal</w:t>
            </w:r>
          </w:p>
        </w:tc>
        <w:tc>
          <w:tcPr>
            <w:tcW w:w="8685" w:type="dxa"/>
            <w:gridSpan w:val="2"/>
            <w:tcBorders>
              <w:top w:val="single" w:sz="4" w:space="0" w:color="auto"/>
              <w:bottom w:val="single" w:sz="4" w:space="0" w:color="auto"/>
              <w:right w:val="single" w:sz="4" w:space="0" w:color="auto"/>
            </w:tcBorders>
            <w:vAlign w:val="center"/>
          </w:tcPr>
          <w:p>
            <w:pPr>
              <w:jc w:val="center"/>
              <w:rPr>
                <w:noProof/>
                <w:lang w:val="pt-PT"/>
              </w:rPr>
            </w:pPr>
            <w:r>
              <w:rPr>
                <w:noProof/>
                <w:lang w:val="pt-PT"/>
              </w:rPr>
              <w:t>Banco de Portugal</w:t>
            </w:r>
          </w:p>
          <w:p>
            <w:pPr>
              <w:jc w:val="center"/>
              <w:rPr>
                <w:noProof/>
                <w:lang w:val="pt-PT"/>
              </w:rPr>
            </w:pPr>
            <w:r>
              <w:rPr>
                <w:noProof/>
                <w:lang w:val="pt-PT"/>
              </w:rPr>
              <w:t>Apartado 2240, 1106-001 Lisboa</w:t>
            </w:r>
          </w:p>
          <w:p>
            <w:pPr>
              <w:jc w:val="center"/>
              <w:rPr>
                <w:noProof/>
                <w:lang w:val="pt-PT"/>
              </w:rPr>
            </w:pPr>
            <w:hyperlink r:id="rId35" w:history="1">
              <w:r>
                <w:rPr>
                  <w:rStyle w:val="Hyperlink"/>
                  <w:noProof/>
                  <w:lang w:val="pt-PT"/>
                </w:rPr>
                <w:t>info@bportugal.pt</w:t>
              </w:r>
            </w:hyperlink>
            <w:r>
              <w:rPr>
                <w:noProof/>
                <w:lang w:val="pt-PT"/>
              </w:rPr>
              <w:t xml:space="preserve"> or website  </w:t>
            </w:r>
            <w:hyperlink r:id="rId36" w:history="1">
              <w:r>
                <w:rPr>
                  <w:rStyle w:val="Hyperlink"/>
                  <w:noProof/>
                  <w:lang w:val="pt-PT"/>
                </w:rPr>
                <w:t>http://clientebancario.bportugal.pt/pt-PT/Reclamacoes/Paginas/Formulariodenovareclamacao.aspx</w:t>
              </w:r>
            </w:hyperlink>
          </w:p>
        </w:tc>
      </w:tr>
      <w:tr>
        <w:tc>
          <w:tcPr>
            <w:tcW w:w="1456" w:type="dxa"/>
            <w:vAlign w:val="center"/>
          </w:tcPr>
          <w:p>
            <w:pPr>
              <w:jc w:val="center"/>
              <w:rPr>
                <w:noProof/>
              </w:rPr>
            </w:pPr>
            <w:r>
              <w:rPr>
                <w:noProof/>
              </w:rPr>
              <w:t>Slovakia</w:t>
            </w:r>
          </w:p>
        </w:tc>
        <w:tc>
          <w:tcPr>
            <w:tcW w:w="4215" w:type="dxa"/>
            <w:tcBorders>
              <w:top w:val="single" w:sz="4" w:space="0" w:color="auto"/>
              <w:bottom w:val="single" w:sz="4" w:space="0" w:color="auto"/>
              <w:right w:val="single" w:sz="4" w:space="0" w:color="auto"/>
            </w:tcBorders>
            <w:vAlign w:val="center"/>
          </w:tcPr>
          <w:p>
            <w:pPr>
              <w:jc w:val="center"/>
              <w:rPr>
                <w:noProof/>
              </w:rPr>
            </w:pPr>
            <w:r>
              <w:rPr>
                <w:noProof/>
              </w:rPr>
              <w:t>National Bank of Slovakia</w:t>
            </w:r>
          </w:p>
          <w:p>
            <w:pPr>
              <w:jc w:val="center"/>
              <w:rPr>
                <w:noProof/>
              </w:rPr>
            </w:pPr>
            <w:hyperlink r:id="rId37" w:history="1">
              <w:r>
                <w:rPr>
                  <w:rStyle w:val="Hyperlink"/>
                  <w:noProof/>
                </w:rPr>
                <w:t>http://www.nbs.sk</w:t>
              </w:r>
            </w:hyperlink>
            <w:r>
              <w:rPr>
                <w:noProof/>
              </w:rPr>
              <w:t xml:space="preserve"> </w:t>
            </w:r>
          </w:p>
          <w:p>
            <w:pPr>
              <w:jc w:val="center"/>
              <w:rPr>
                <w:noProof/>
              </w:rPr>
            </w:pPr>
            <w:hyperlink r:id="rId38" w:history="1">
              <w:r>
                <w:rPr>
                  <w:rStyle w:val="Hyperlink"/>
                  <w:noProof/>
                </w:rPr>
                <w:t>info@nbs.sk</w:t>
              </w:r>
            </w:hyperlink>
            <w:r>
              <w:rPr>
                <w:noProof/>
              </w:rPr>
              <w:t xml:space="preserve"> </w:t>
            </w:r>
          </w:p>
          <w:p>
            <w:pPr>
              <w:jc w:val="center"/>
              <w:rPr>
                <w:noProof/>
              </w:rPr>
            </w:pPr>
          </w:p>
          <w:p>
            <w:pPr>
              <w:jc w:val="center"/>
              <w:rPr>
                <w:noProof/>
              </w:rPr>
            </w:pPr>
            <w:r>
              <w:rPr>
                <w:noProof/>
              </w:rPr>
              <w:t>Regulatory Authority for Electronic Communication and Postal services</w:t>
            </w:r>
          </w:p>
          <w:p>
            <w:pPr>
              <w:jc w:val="center"/>
              <w:rPr>
                <w:noProof/>
              </w:rPr>
            </w:pPr>
            <w:hyperlink r:id="rId39" w:history="1">
              <w:r>
                <w:rPr>
                  <w:rStyle w:val="Hyperlink"/>
                  <w:noProof/>
                </w:rPr>
                <w:t>inspection@teleoff.gov.sk</w:t>
              </w:r>
            </w:hyperlink>
            <w:r>
              <w:rPr>
                <w:noProof/>
              </w:rPr>
              <w:t xml:space="preserve"> </w:t>
            </w:r>
          </w:p>
          <w:p>
            <w:pPr>
              <w:jc w:val="center"/>
              <w:rPr>
                <w:noProof/>
              </w:rPr>
            </w:pPr>
          </w:p>
          <w:p>
            <w:pPr>
              <w:jc w:val="center"/>
              <w:rPr>
                <w:noProof/>
              </w:rPr>
            </w:pPr>
            <w:r>
              <w:rPr>
                <w:noProof/>
              </w:rPr>
              <w:t xml:space="preserve">Ministry of Justice </w:t>
            </w:r>
            <w:hyperlink r:id="rId40" w:history="1">
              <w:r>
                <w:rPr>
                  <w:rStyle w:val="Hyperlink"/>
                  <w:noProof/>
                </w:rPr>
                <w:t>http://www.justice.gov.sk</w:t>
              </w:r>
            </w:hyperlink>
          </w:p>
          <w:p>
            <w:pPr>
              <w:jc w:val="center"/>
              <w:rPr>
                <w:noProof/>
              </w:rPr>
            </w:pPr>
          </w:p>
          <w:p>
            <w:pPr>
              <w:jc w:val="center"/>
              <w:rPr>
                <w:noProof/>
              </w:rPr>
            </w:pPr>
            <w:r>
              <w:rPr>
                <w:noProof/>
              </w:rPr>
              <w:t>Ministry of Finance</w:t>
            </w:r>
          </w:p>
          <w:p>
            <w:pPr>
              <w:jc w:val="center"/>
              <w:rPr>
                <w:noProof/>
              </w:rPr>
            </w:pPr>
            <w:hyperlink r:id="rId41" w:history="1">
              <w:r>
                <w:rPr>
                  <w:rStyle w:val="Hyperlink"/>
                  <w:noProof/>
                </w:rPr>
                <w:t>http://www.finance.gov.sk</w:t>
              </w:r>
            </w:hyperlink>
          </w:p>
        </w:tc>
        <w:tc>
          <w:tcPr>
            <w:tcW w:w="447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 xml:space="preserve"> </w:t>
            </w:r>
          </w:p>
          <w:p>
            <w:pPr>
              <w:jc w:val="center"/>
              <w:rPr>
                <w:noProof/>
              </w:rPr>
            </w:pPr>
            <w:r>
              <w:rPr>
                <w:noProof/>
              </w:rPr>
              <w:t>Slovak Commercial Inspection</w:t>
            </w:r>
          </w:p>
          <w:p>
            <w:pPr>
              <w:jc w:val="center"/>
              <w:rPr>
                <w:noProof/>
              </w:rPr>
            </w:pPr>
            <w:hyperlink r:id="rId42" w:history="1">
              <w:r>
                <w:rPr>
                  <w:rStyle w:val="Hyperlink"/>
                  <w:noProof/>
                </w:rPr>
                <w:t>http://www.soi.sk</w:t>
              </w:r>
            </w:hyperlink>
            <w:r>
              <w:rPr>
                <w:noProof/>
              </w:rPr>
              <w:t xml:space="preserve"> </w:t>
            </w:r>
            <w:hyperlink r:id="rId43" w:history="1">
              <w:r>
                <w:rPr>
                  <w:rStyle w:val="Hyperlink"/>
                  <w:noProof/>
                </w:rPr>
                <w:t>info@soi.sk</w:t>
              </w:r>
            </w:hyperlink>
            <w:r>
              <w:rPr>
                <w:noProof/>
              </w:rPr>
              <w:t xml:space="preserve"> </w:t>
            </w:r>
          </w:p>
        </w:tc>
      </w:tr>
      <w:tr>
        <w:tc>
          <w:tcPr>
            <w:tcW w:w="1456" w:type="dxa"/>
            <w:vAlign w:val="center"/>
          </w:tcPr>
          <w:p>
            <w:pPr>
              <w:jc w:val="center"/>
              <w:rPr>
                <w:noProof/>
              </w:rPr>
            </w:pPr>
            <w:r>
              <w:rPr>
                <w:noProof/>
              </w:rPr>
              <w:t>Slovenia</w:t>
            </w:r>
          </w:p>
        </w:tc>
        <w:tc>
          <w:tcPr>
            <w:tcW w:w="8685" w:type="dxa"/>
            <w:gridSpan w:val="2"/>
            <w:tcBorders>
              <w:top w:val="single" w:sz="4" w:space="0" w:color="auto"/>
              <w:bottom w:val="single" w:sz="4" w:space="0" w:color="auto"/>
              <w:right w:val="single" w:sz="4" w:space="0" w:color="auto"/>
            </w:tcBorders>
            <w:vAlign w:val="center"/>
          </w:tcPr>
          <w:p>
            <w:pPr>
              <w:jc w:val="center"/>
              <w:rPr>
                <w:noProof/>
                <w:lang w:val="nn-NO"/>
              </w:rPr>
            </w:pPr>
            <w:r>
              <w:rPr>
                <w:noProof/>
                <w:lang w:val="nn-NO"/>
              </w:rPr>
              <w:t>Banka Slovenija</w:t>
            </w:r>
          </w:p>
          <w:p>
            <w:pPr>
              <w:jc w:val="center"/>
              <w:rPr>
                <w:noProof/>
                <w:lang w:val="nn-NO"/>
              </w:rPr>
            </w:pPr>
            <w:r>
              <w:rPr>
                <w:noProof/>
                <w:lang w:val="nn-NO"/>
              </w:rPr>
              <w:t>Slovenska 35</w:t>
            </w:r>
          </w:p>
          <w:p>
            <w:pPr>
              <w:jc w:val="center"/>
              <w:rPr>
                <w:noProof/>
                <w:lang w:val="nn-NO"/>
              </w:rPr>
            </w:pPr>
            <w:r>
              <w:rPr>
                <w:noProof/>
                <w:lang w:val="nn-NO"/>
              </w:rPr>
              <w:t>1505 Ljubljana</w:t>
            </w:r>
          </w:p>
          <w:p>
            <w:pPr>
              <w:jc w:val="center"/>
              <w:rPr>
                <w:noProof/>
                <w:lang w:val="nn-NO"/>
              </w:rPr>
            </w:pPr>
            <w:r>
              <w:rPr>
                <w:noProof/>
                <w:lang w:val="nn-NO"/>
              </w:rPr>
              <w:t>Slovenija</w:t>
            </w:r>
          </w:p>
          <w:p>
            <w:pPr>
              <w:jc w:val="center"/>
              <w:rPr>
                <w:noProof/>
                <w:lang w:val="nn-NO"/>
              </w:rPr>
            </w:pPr>
            <w:hyperlink r:id="rId44" w:history="1">
              <w:r>
                <w:rPr>
                  <w:rStyle w:val="Hyperlink"/>
                  <w:noProof/>
                  <w:lang w:val="nn-NO"/>
                </w:rPr>
                <w:t>pr@bsi.si</w:t>
              </w:r>
            </w:hyperlink>
          </w:p>
        </w:tc>
      </w:tr>
    </w:tbl>
    <w:p>
      <w:pPr>
        <w:rPr>
          <w:noProof/>
          <w:lang w:val="nn-NO"/>
        </w:rPr>
      </w:pPr>
      <w:r>
        <w:rPr>
          <w:noProof/>
          <w:lang w:val="nn-NO"/>
        </w:rPr>
        <w:br w:type="page"/>
      </w:r>
    </w:p>
    <w:tbl>
      <w:tblPr>
        <w:tblStyle w:val="TableGrid"/>
        <w:tblW w:w="10141" w:type="dxa"/>
        <w:tblInd w:w="-176" w:type="dxa"/>
        <w:tblLayout w:type="fixed"/>
        <w:tblLook w:val="04A0" w:firstRow="1" w:lastRow="0" w:firstColumn="1" w:lastColumn="0" w:noHBand="0" w:noVBand="1"/>
      </w:tblPr>
      <w:tblGrid>
        <w:gridCol w:w="1456"/>
        <w:gridCol w:w="4215"/>
        <w:gridCol w:w="4470"/>
      </w:tblGrid>
      <w:tr>
        <w:tc>
          <w:tcPr>
            <w:tcW w:w="1456" w:type="dxa"/>
            <w:vAlign w:val="center"/>
          </w:tcPr>
          <w:p>
            <w:pPr>
              <w:jc w:val="center"/>
              <w:rPr>
                <w:noProof/>
              </w:rPr>
            </w:pPr>
            <w:r>
              <w:rPr>
                <w:noProof/>
              </w:rPr>
              <w:t>Spain</w:t>
            </w:r>
          </w:p>
        </w:tc>
        <w:tc>
          <w:tcPr>
            <w:tcW w:w="4215" w:type="dxa"/>
            <w:tcBorders>
              <w:top w:val="single" w:sz="4" w:space="0" w:color="auto"/>
              <w:bottom w:val="single" w:sz="4" w:space="0" w:color="auto"/>
              <w:right w:val="single" w:sz="4" w:space="0" w:color="auto"/>
            </w:tcBorders>
            <w:vAlign w:val="center"/>
          </w:tcPr>
          <w:p>
            <w:pPr>
              <w:jc w:val="center"/>
              <w:rPr>
                <w:noProof/>
              </w:rPr>
            </w:pPr>
            <w:r>
              <w:rPr>
                <w:noProof/>
              </w:rPr>
              <w:t>Banco de España</w:t>
            </w:r>
          </w:p>
          <w:p>
            <w:pPr>
              <w:jc w:val="center"/>
              <w:rPr>
                <w:noProof/>
                <w:lang w:val="en-US"/>
              </w:rPr>
            </w:pPr>
            <w:hyperlink r:id="rId45" w:history="1">
              <w:r>
                <w:rPr>
                  <w:rStyle w:val="Hyperlink"/>
                  <w:noProof/>
                  <w:lang w:val="en-US"/>
                </w:rPr>
                <w:t>http://www.bde.es</w:t>
              </w:r>
            </w:hyperlink>
            <w:r>
              <w:rPr>
                <w:noProof/>
                <w:lang w:val="en-US"/>
              </w:rPr>
              <w:t xml:space="preserve">   </w:t>
            </w:r>
            <w:hyperlink r:id="rId46" w:history="1">
              <w:r>
                <w:rPr>
                  <w:rStyle w:val="Hyperlink"/>
                  <w:noProof/>
                  <w:lang w:val="en-US"/>
                </w:rPr>
                <w:t>paymentsystems@bde.es</w:t>
              </w:r>
            </w:hyperlink>
            <w:r>
              <w:rPr>
                <w:noProof/>
                <w:lang w:val="en-US"/>
              </w:rPr>
              <w:t xml:space="preserve"> </w:t>
            </w:r>
          </w:p>
        </w:tc>
        <w:tc>
          <w:tcPr>
            <w:tcW w:w="447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Consumer Authorities of Comunidades Autónomas</w:t>
            </w:r>
            <w:r>
              <w:rPr>
                <w:rStyle w:val="FootnoteReference"/>
                <w:noProof/>
                <w:lang w:val="es-ES"/>
              </w:rPr>
              <w:footnoteReference w:id="4"/>
            </w:r>
          </w:p>
          <w:p>
            <w:pPr>
              <w:rPr>
                <w:noProof/>
              </w:rPr>
            </w:pPr>
          </w:p>
          <w:p>
            <w:pPr>
              <w:jc w:val="center"/>
              <w:rPr>
                <w:noProof/>
              </w:rPr>
            </w:pPr>
            <w:r>
              <w:rPr>
                <w:noProof/>
              </w:rPr>
              <w:t>Coordinated by AECOSAN</w:t>
            </w:r>
          </w:p>
          <w:p>
            <w:pPr>
              <w:jc w:val="center"/>
              <w:rPr>
                <w:noProof/>
                <w:lang w:val="pt-PT"/>
              </w:rPr>
            </w:pPr>
            <w:r>
              <w:rPr>
                <w:noProof/>
                <w:lang w:val="pt-PT"/>
              </w:rPr>
              <w:t>C/Príncipe de Vergara, 54. 28006. Madrid. Spain</w:t>
            </w:r>
          </w:p>
        </w:tc>
      </w:tr>
    </w:tbl>
    <w:p>
      <w:pPr>
        <w:jc w:val="center"/>
        <w:rPr>
          <w:noProof/>
          <w:lang w:val="pt-PT"/>
        </w:rPr>
      </w:pPr>
    </w:p>
    <w:tbl>
      <w:tblPr>
        <w:tblStyle w:val="TableGrid"/>
        <w:tblW w:w="9782" w:type="dxa"/>
        <w:tblInd w:w="-176" w:type="dxa"/>
        <w:tblLook w:val="04A0" w:firstRow="1" w:lastRow="0" w:firstColumn="1" w:lastColumn="0" w:noHBand="0" w:noVBand="1"/>
      </w:tblPr>
      <w:tblGrid>
        <w:gridCol w:w="1448"/>
        <w:gridCol w:w="4167"/>
        <w:gridCol w:w="4167"/>
      </w:tblGrid>
      <w:tr>
        <w:tc>
          <w:tcPr>
            <w:tcW w:w="1448" w:type="dxa"/>
          </w:tcPr>
          <w:p>
            <w:pPr>
              <w:jc w:val="center"/>
              <w:rPr>
                <w:b/>
                <w:noProof/>
              </w:rPr>
            </w:pPr>
            <w:r>
              <w:rPr>
                <w:b/>
                <w:noProof/>
              </w:rPr>
              <w:t>Non Euro area</w:t>
            </w:r>
          </w:p>
        </w:tc>
        <w:tc>
          <w:tcPr>
            <w:tcW w:w="4167" w:type="dxa"/>
            <w:tcBorders>
              <w:top w:val="single" w:sz="4" w:space="0" w:color="auto"/>
              <w:bottom w:val="single" w:sz="4" w:space="0" w:color="auto"/>
            </w:tcBorders>
          </w:tcPr>
          <w:p>
            <w:pPr>
              <w:jc w:val="center"/>
              <w:rPr>
                <w:b/>
                <w:noProof/>
              </w:rPr>
            </w:pPr>
            <w:r>
              <w:rPr>
                <w:b/>
                <w:noProof/>
              </w:rPr>
              <w:t>Competent authority for PSPs' compliance</w:t>
            </w:r>
          </w:p>
        </w:tc>
        <w:tc>
          <w:tcPr>
            <w:tcW w:w="4167" w:type="dxa"/>
            <w:tcBorders>
              <w:top w:val="single" w:sz="4" w:space="0" w:color="auto"/>
              <w:bottom w:val="single" w:sz="4" w:space="0" w:color="auto"/>
            </w:tcBorders>
          </w:tcPr>
          <w:p>
            <w:pPr>
              <w:jc w:val="center"/>
              <w:rPr>
                <w:b/>
                <w:noProof/>
              </w:rPr>
            </w:pPr>
            <w:r>
              <w:rPr>
                <w:b/>
                <w:noProof/>
              </w:rPr>
              <w:t>Competent authority for PSUs' compliance</w:t>
            </w:r>
          </w:p>
        </w:tc>
      </w:tr>
      <w:tr>
        <w:tc>
          <w:tcPr>
            <w:tcW w:w="1448" w:type="dxa"/>
            <w:vAlign w:val="center"/>
          </w:tcPr>
          <w:p>
            <w:pPr>
              <w:jc w:val="center"/>
              <w:rPr>
                <w:noProof/>
              </w:rPr>
            </w:pPr>
            <w:r>
              <w:rPr>
                <w:noProof/>
              </w:rPr>
              <w:t>Bulgaria</w:t>
            </w:r>
          </w:p>
        </w:tc>
        <w:tc>
          <w:tcPr>
            <w:tcW w:w="8334" w:type="dxa"/>
            <w:gridSpan w:val="2"/>
            <w:tcBorders>
              <w:top w:val="single" w:sz="4" w:space="0" w:color="auto"/>
              <w:bottom w:val="single" w:sz="4" w:space="0" w:color="auto"/>
            </w:tcBorders>
            <w:vAlign w:val="center"/>
          </w:tcPr>
          <w:p>
            <w:pPr>
              <w:jc w:val="center"/>
              <w:rPr>
                <w:noProof/>
              </w:rPr>
            </w:pPr>
            <w:r>
              <w:rPr>
                <w:noProof/>
              </w:rPr>
              <w:t>Bulgarian National Bank</w:t>
            </w:r>
          </w:p>
          <w:p>
            <w:pPr>
              <w:jc w:val="center"/>
              <w:rPr>
                <w:noProof/>
              </w:rPr>
            </w:pPr>
            <w:r>
              <w:rPr>
                <w:noProof/>
              </w:rPr>
              <w:t>1, Knyaz Alexander І Sq., 1000 Sofia, Bulgaria</w:t>
            </w:r>
          </w:p>
          <w:p>
            <w:pPr>
              <w:jc w:val="center"/>
              <w:rPr>
                <w:noProof/>
              </w:rPr>
            </w:pPr>
            <w:r>
              <w:rPr>
                <w:noProof/>
              </w:rPr>
              <w:t xml:space="preserve">Contact point for complaints </w:t>
            </w:r>
            <w:hyperlink r:id="rId47" w:history="1">
              <w:r>
                <w:rPr>
                  <w:rStyle w:val="Hyperlink"/>
                  <w:noProof/>
                </w:rPr>
                <w:t>krastev.k@bnbank.org</w:t>
              </w:r>
            </w:hyperlink>
          </w:p>
        </w:tc>
      </w:tr>
      <w:tr>
        <w:tc>
          <w:tcPr>
            <w:tcW w:w="1448" w:type="dxa"/>
            <w:vAlign w:val="center"/>
          </w:tcPr>
          <w:p>
            <w:pPr>
              <w:jc w:val="center"/>
              <w:rPr>
                <w:noProof/>
              </w:rPr>
            </w:pPr>
            <w:r>
              <w:rPr>
                <w:noProof/>
              </w:rPr>
              <w:t>Croatia</w:t>
            </w:r>
            <w:r>
              <w:rPr>
                <w:rStyle w:val="FootnoteReference"/>
                <w:noProof/>
              </w:rPr>
              <w:footnoteReference w:id="5"/>
            </w:r>
          </w:p>
        </w:tc>
        <w:tc>
          <w:tcPr>
            <w:tcW w:w="4167" w:type="dxa"/>
            <w:tcBorders>
              <w:top w:val="single" w:sz="4" w:space="0" w:color="auto"/>
              <w:bottom w:val="single" w:sz="4" w:space="0" w:color="auto"/>
            </w:tcBorders>
            <w:vAlign w:val="center"/>
          </w:tcPr>
          <w:p>
            <w:pPr>
              <w:jc w:val="center"/>
              <w:rPr>
                <w:noProof/>
              </w:rPr>
            </w:pPr>
            <w:r>
              <w:rPr>
                <w:noProof/>
              </w:rPr>
              <w:t>Ministry of Finance, Financial Inspectorate</w:t>
            </w:r>
          </w:p>
          <w:p>
            <w:pPr>
              <w:jc w:val="center"/>
              <w:rPr>
                <w:noProof/>
              </w:rPr>
            </w:pPr>
            <w:r>
              <w:rPr>
                <w:noProof/>
              </w:rPr>
              <w:t>Ulica grada Vukovara 72</w:t>
            </w:r>
          </w:p>
          <w:p>
            <w:pPr>
              <w:jc w:val="center"/>
              <w:rPr>
                <w:noProof/>
              </w:rPr>
            </w:pPr>
            <w:r>
              <w:rPr>
                <w:noProof/>
              </w:rPr>
              <w:t>10002 Zagreb</w:t>
            </w:r>
          </w:p>
          <w:p>
            <w:pPr>
              <w:jc w:val="center"/>
              <w:rPr>
                <w:noProof/>
              </w:rPr>
            </w:pPr>
            <w:r>
              <w:rPr>
                <w:noProof/>
              </w:rPr>
              <w:t>Republic of Croatia</w:t>
            </w:r>
          </w:p>
          <w:p>
            <w:pPr>
              <w:jc w:val="center"/>
              <w:rPr>
                <w:noProof/>
                <w:lang w:val="pt-PT"/>
              </w:rPr>
            </w:pPr>
            <w:r>
              <w:rPr>
                <w:noProof/>
                <w:lang w:val="pt-PT"/>
              </w:rPr>
              <w:t>P.O. BOX 274</w:t>
            </w:r>
          </w:p>
          <w:p>
            <w:pPr>
              <w:jc w:val="center"/>
              <w:rPr>
                <w:noProof/>
                <w:lang w:val="pt-PT"/>
              </w:rPr>
            </w:pPr>
            <w:r>
              <w:rPr>
                <w:noProof/>
                <w:lang w:val="pt-PT"/>
              </w:rPr>
              <w:t xml:space="preserve">e-mail: </w:t>
            </w:r>
            <w:hyperlink r:id="rId48" w:history="1">
              <w:r>
                <w:rPr>
                  <w:rStyle w:val="Hyperlink"/>
                  <w:noProof/>
                  <w:lang w:val="pt-PT"/>
                </w:rPr>
                <w:t>info.fi@mfin.hr</w:t>
              </w:r>
            </w:hyperlink>
          </w:p>
        </w:tc>
        <w:tc>
          <w:tcPr>
            <w:tcW w:w="4167" w:type="dxa"/>
            <w:tcBorders>
              <w:top w:val="single" w:sz="4" w:space="0" w:color="auto"/>
              <w:bottom w:val="single" w:sz="4" w:space="0" w:color="auto"/>
            </w:tcBorders>
            <w:vAlign w:val="center"/>
          </w:tcPr>
          <w:p>
            <w:pPr>
              <w:jc w:val="center"/>
              <w:rPr>
                <w:noProof/>
                <w:lang w:val="pt-PT"/>
              </w:rPr>
            </w:pPr>
            <w:r>
              <w:rPr>
                <w:noProof/>
                <w:lang w:val="pt-PT"/>
              </w:rPr>
              <w:t>Croatian National Bank</w:t>
            </w:r>
          </w:p>
          <w:p>
            <w:pPr>
              <w:jc w:val="center"/>
              <w:rPr>
                <w:noProof/>
                <w:lang w:val="pt-PT"/>
              </w:rPr>
            </w:pPr>
            <w:r>
              <w:rPr>
                <w:noProof/>
                <w:lang w:val="pt-PT"/>
              </w:rPr>
              <w:t>Trg hrvatskih velikana 3</w:t>
            </w:r>
          </w:p>
          <w:p>
            <w:pPr>
              <w:jc w:val="center"/>
              <w:rPr>
                <w:noProof/>
              </w:rPr>
            </w:pPr>
            <w:r>
              <w:rPr>
                <w:noProof/>
              </w:rPr>
              <w:t>10002 Zagreb</w:t>
            </w:r>
          </w:p>
          <w:p>
            <w:pPr>
              <w:jc w:val="center"/>
              <w:rPr>
                <w:noProof/>
              </w:rPr>
            </w:pPr>
            <w:r>
              <w:rPr>
                <w:noProof/>
              </w:rPr>
              <w:t>Republic of Croatia</w:t>
            </w:r>
          </w:p>
          <w:p>
            <w:pPr>
              <w:jc w:val="center"/>
              <w:rPr>
                <w:noProof/>
              </w:rPr>
            </w:pPr>
            <w:r>
              <w:rPr>
                <w:noProof/>
              </w:rPr>
              <w:t>P.O. BOX 603</w:t>
            </w:r>
          </w:p>
          <w:p>
            <w:pPr>
              <w:jc w:val="center"/>
              <w:rPr>
                <w:noProof/>
              </w:rPr>
            </w:pPr>
            <w:r>
              <w:rPr>
                <w:noProof/>
              </w:rPr>
              <w:t xml:space="preserve">e-mail: </w:t>
            </w:r>
            <w:hyperlink r:id="rId49" w:history="1">
              <w:r>
                <w:rPr>
                  <w:rStyle w:val="Hyperlink"/>
                  <w:noProof/>
                </w:rPr>
                <w:t>prituzbe-zpp@hnb.hr</w:t>
              </w:r>
            </w:hyperlink>
          </w:p>
        </w:tc>
      </w:tr>
      <w:tr>
        <w:tc>
          <w:tcPr>
            <w:tcW w:w="1448" w:type="dxa"/>
            <w:vAlign w:val="center"/>
          </w:tcPr>
          <w:p>
            <w:pPr>
              <w:jc w:val="center"/>
              <w:rPr>
                <w:noProof/>
              </w:rPr>
            </w:pPr>
            <w:r>
              <w:rPr>
                <w:noProof/>
              </w:rPr>
              <w:t>Czech Republic</w:t>
            </w:r>
          </w:p>
        </w:tc>
        <w:tc>
          <w:tcPr>
            <w:tcW w:w="8334" w:type="dxa"/>
            <w:gridSpan w:val="2"/>
            <w:tcBorders>
              <w:top w:val="single" w:sz="4" w:space="0" w:color="auto"/>
              <w:bottom w:val="single" w:sz="4" w:space="0" w:color="auto"/>
            </w:tcBorders>
            <w:vAlign w:val="center"/>
          </w:tcPr>
          <w:p>
            <w:pPr>
              <w:jc w:val="center"/>
              <w:rPr>
                <w:noProof/>
              </w:rPr>
            </w:pPr>
            <w:r>
              <w:rPr>
                <w:noProof/>
              </w:rPr>
              <w:t>The Czech National Bank,</w:t>
            </w:r>
          </w:p>
          <w:p>
            <w:pPr>
              <w:jc w:val="center"/>
              <w:rPr>
                <w:noProof/>
              </w:rPr>
            </w:pPr>
            <w:r>
              <w:rPr>
                <w:noProof/>
              </w:rPr>
              <w:t>Address: Na Příkopě 28, 115 03 Praha 1</w:t>
            </w:r>
          </w:p>
          <w:p>
            <w:pPr>
              <w:jc w:val="center"/>
              <w:rPr>
                <w:noProof/>
              </w:rPr>
            </w:pPr>
            <w:r>
              <w:rPr>
                <w:noProof/>
              </w:rPr>
              <w:t xml:space="preserve">Phone: +420 224 411 111, fax: +420 224 412 404, e-mail: </w:t>
            </w:r>
            <w:hyperlink r:id="rId50" w:history="1">
              <w:r>
                <w:rPr>
                  <w:rStyle w:val="Hyperlink"/>
                  <w:noProof/>
                </w:rPr>
                <w:t>podatelna@cnb.cz</w:t>
              </w:r>
            </w:hyperlink>
          </w:p>
          <w:p>
            <w:pPr>
              <w:jc w:val="center"/>
              <w:rPr>
                <w:noProof/>
              </w:rPr>
            </w:pPr>
            <w:hyperlink r:id="rId51" w:history="1">
              <w:r>
                <w:rPr>
                  <w:rStyle w:val="Hyperlink"/>
                  <w:noProof/>
                  <w:sz w:val="22"/>
                  <w:szCs w:val="22"/>
                </w:rPr>
                <w:t>http://www.cnb.cz/en/about_cnb/form_general_enquiry/general_enquiry.html</w:t>
              </w:r>
            </w:hyperlink>
          </w:p>
        </w:tc>
      </w:tr>
      <w:tr>
        <w:tc>
          <w:tcPr>
            <w:tcW w:w="1448" w:type="dxa"/>
            <w:vAlign w:val="center"/>
          </w:tcPr>
          <w:p>
            <w:pPr>
              <w:jc w:val="center"/>
              <w:rPr>
                <w:noProof/>
              </w:rPr>
            </w:pPr>
            <w:r>
              <w:rPr>
                <w:noProof/>
              </w:rPr>
              <w:t>Denmark</w:t>
            </w:r>
          </w:p>
        </w:tc>
        <w:tc>
          <w:tcPr>
            <w:tcW w:w="8334" w:type="dxa"/>
            <w:gridSpan w:val="2"/>
            <w:tcBorders>
              <w:top w:val="single" w:sz="4" w:space="0" w:color="auto"/>
              <w:bottom w:val="single" w:sz="4" w:space="0" w:color="auto"/>
            </w:tcBorders>
            <w:vAlign w:val="center"/>
          </w:tcPr>
          <w:p>
            <w:pPr>
              <w:jc w:val="center"/>
              <w:rPr>
                <w:noProof/>
              </w:rPr>
            </w:pPr>
            <w:r>
              <w:rPr>
                <w:noProof/>
              </w:rPr>
              <w:t>Danish Financial Supervisory Authority</w:t>
            </w:r>
          </w:p>
          <w:p>
            <w:pPr>
              <w:jc w:val="center"/>
              <w:rPr>
                <w:noProof/>
              </w:rPr>
            </w:pPr>
            <w:r>
              <w:rPr>
                <w:noProof/>
              </w:rPr>
              <w:t>Århusgade 110, 2100 København Ø</w:t>
            </w:r>
          </w:p>
          <w:p>
            <w:pPr>
              <w:jc w:val="center"/>
              <w:rPr>
                <w:noProof/>
              </w:rPr>
            </w:pPr>
            <w:r>
              <w:rPr>
                <w:noProof/>
              </w:rPr>
              <w:t>Tel.: +45 33 55 82 82</w:t>
            </w:r>
          </w:p>
          <w:p>
            <w:pPr>
              <w:jc w:val="center"/>
              <w:rPr>
                <w:noProof/>
                <w:sz w:val="16"/>
                <w:szCs w:val="16"/>
              </w:rPr>
            </w:pPr>
          </w:p>
          <w:p>
            <w:pPr>
              <w:jc w:val="center"/>
              <w:rPr>
                <w:noProof/>
              </w:rPr>
            </w:pPr>
            <w:r>
              <w:rPr>
                <w:noProof/>
              </w:rPr>
              <w:t>The Danish Competition and Consumer Authority</w:t>
            </w:r>
          </w:p>
          <w:p>
            <w:pPr>
              <w:jc w:val="center"/>
              <w:rPr>
                <w:noProof/>
              </w:rPr>
            </w:pPr>
            <w:r>
              <w:rPr>
                <w:noProof/>
              </w:rPr>
              <w:t>Carl Jacobsens Vej 35, 2500 Valby</w:t>
            </w:r>
          </w:p>
          <w:p>
            <w:pPr>
              <w:jc w:val="center"/>
              <w:rPr>
                <w:noProof/>
              </w:rPr>
            </w:pPr>
            <w:r>
              <w:rPr>
                <w:noProof/>
              </w:rPr>
              <w:t>Tel.: +45 41 71 50 00</w:t>
            </w:r>
          </w:p>
        </w:tc>
      </w:tr>
      <w:tr>
        <w:tc>
          <w:tcPr>
            <w:tcW w:w="1448" w:type="dxa"/>
            <w:vAlign w:val="center"/>
          </w:tcPr>
          <w:p>
            <w:pPr>
              <w:jc w:val="center"/>
              <w:rPr>
                <w:noProof/>
              </w:rPr>
            </w:pPr>
            <w:r>
              <w:rPr>
                <w:noProof/>
              </w:rPr>
              <w:t>Hungary</w:t>
            </w:r>
          </w:p>
        </w:tc>
        <w:tc>
          <w:tcPr>
            <w:tcW w:w="8334" w:type="dxa"/>
            <w:gridSpan w:val="2"/>
            <w:tcBorders>
              <w:top w:val="single" w:sz="4" w:space="0" w:color="auto"/>
              <w:bottom w:val="single" w:sz="4" w:space="0" w:color="auto"/>
            </w:tcBorders>
            <w:vAlign w:val="center"/>
          </w:tcPr>
          <w:p>
            <w:pPr>
              <w:jc w:val="center"/>
              <w:rPr>
                <w:noProof/>
              </w:rPr>
            </w:pPr>
            <w:r>
              <w:rPr>
                <w:noProof/>
              </w:rPr>
              <w:t>Magyar Nemzeti Bank (MNB)</w:t>
            </w:r>
          </w:p>
          <w:p>
            <w:pPr>
              <w:jc w:val="center"/>
              <w:rPr>
                <w:noProof/>
              </w:rPr>
            </w:pPr>
            <w:r>
              <w:rPr>
                <w:noProof/>
              </w:rPr>
              <w:t>1054 Budapest</w:t>
            </w:r>
          </w:p>
          <w:p>
            <w:pPr>
              <w:jc w:val="center"/>
              <w:rPr>
                <w:noProof/>
              </w:rPr>
            </w:pPr>
            <w:r>
              <w:rPr>
                <w:noProof/>
              </w:rPr>
              <w:t xml:space="preserve">Szabadság tér 9 </w:t>
            </w:r>
            <w:hyperlink r:id="rId52" w:history="1">
              <w:r>
                <w:rPr>
                  <w:rStyle w:val="Hyperlink"/>
                  <w:noProof/>
                </w:rPr>
                <w:t>ugyfelszolgalat@mnb.hu</w:t>
              </w:r>
            </w:hyperlink>
            <w:r>
              <w:rPr>
                <w:noProof/>
              </w:rPr>
              <w:t xml:space="preserve"> or </w:t>
            </w:r>
            <w:hyperlink r:id="rId53" w:history="1">
              <w:r>
                <w:rPr>
                  <w:rStyle w:val="Hyperlink"/>
                  <w:noProof/>
                </w:rPr>
                <w:t>info@.mnb.hu</w:t>
              </w:r>
            </w:hyperlink>
          </w:p>
        </w:tc>
      </w:tr>
      <w:tr>
        <w:tc>
          <w:tcPr>
            <w:tcW w:w="1448" w:type="dxa"/>
            <w:vAlign w:val="center"/>
          </w:tcPr>
          <w:p>
            <w:pPr>
              <w:jc w:val="center"/>
              <w:rPr>
                <w:noProof/>
              </w:rPr>
            </w:pPr>
            <w:r>
              <w:rPr>
                <w:noProof/>
              </w:rPr>
              <w:t>Poland</w:t>
            </w:r>
            <w:r>
              <w:rPr>
                <w:rStyle w:val="FootnoteReference"/>
                <w:noProof/>
              </w:rPr>
              <w:footnoteReference w:id="6"/>
            </w:r>
          </w:p>
        </w:tc>
        <w:tc>
          <w:tcPr>
            <w:tcW w:w="4167" w:type="dxa"/>
            <w:tcBorders>
              <w:top w:val="single" w:sz="4" w:space="0" w:color="auto"/>
              <w:bottom w:val="single" w:sz="4" w:space="0" w:color="auto"/>
            </w:tcBorders>
            <w:vAlign w:val="center"/>
          </w:tcPr>
          <w:p>
            <w:pPr>
              <w:jc w:val="center"/>
              <w:rPr>
                <w:noProof/>
                <w:lang w:val="pl-PL"/>
              </w:rPr>
            </w:pPr>
            <w:r>
              <w:rPr>
                <w:noProof/>
                <w:lang w:val="pl-PL"/>
              </w:rPr>
              <w:t>Polish Financial Supervision Authority</w:t>
            </w:r>
          </w:p>
          <w:p>
            <w:pPr>
              <w:jc w:val="center"/>
              <w:rPr>
                <w:noProof/>
                <w:lang w:val="pl-PL"/>
              </w:rPr>
            </w:pPr>
            <w:r>
              <w:rPr>
                <w:noProof/>
                <w:lang w:val="pl-PL"/>
              </w:rPr>
              <w:t>Komisja Nadzoru Finansowego Plac Powstańców Warszawy 1 skr. poczt. 419 00-950 Warszawa</w:t>
            </w:r>
          </w:p>
          <w:p>
            <w:pPr>
              <w:jc w:val="center"/>
              <w:rPr>
                <w:noProof/>
                <w:lang w:val="pt-PT"/>
              </w:rPr>
            </w:pPr>
            <w:r>
              <w:rPr>
                <w:noProof/>
                <w:lang w:val="pt-PT"/>
              </w:rPr>
              <w:t>tel: (+48 22) 262 5000</w:t>
            </w:r>
          </w:p>
          <w:p>
            <w:pPr>
              <w:jc w:val="center"/>
              <w:rPr>
                <w:noProof/>
                <w:lang w:val="pt-PT"/>
              </w:rPr>
            </w:pPr>
            <w:r>
              <w:rPr>
                <w:noProof/>
                <w:lang w:val="pt-PT"/>
              </w:rPr>
              <w:t xml:space="preserve">e-mail: </w:t>
            </w:r>
            <w:hyperlink r:id="rId54" w:history="1">
              <w:r>
                <w:rPr>
                  <w:rStyle w:val="Hyperlink"/>
                  <w:noProof/>
                  <w:lang w:val="pt-PT"/>
                </w:rPr>
                <w:t>knf@knf.gov.pl</w:t>
              </w:r>
            </w:hyperlink>
          </w:p>
        </w:tc>
        <w:tc>
          <w:tcPr>
            <w:tcW w:w="4167" w:type="dxa"/>
            <w:tcBorders>
              <w:top w:val="single" w:sz="4" w:space="0" w:color="auto"/>
              <w:bottom w:val="single" w:sz="4" w:space="0" w:color="auto"/>
            </w:tcBorders>
            <w:vAlign w:val="center"/>
          </w:tcPr>
          <w:p>
            <w:pPr>
              <w:jc w:val="center"/>
              <w:rPr>
                <w:noProof/>
                <w:lang w:val="pl-PL"/>
              </w:rPr>
            </w:pPr>
            <w:r>
              <w:rPr>
                <w:noProof/>
                <w:lang w:val="pl-PL"/>
              </w:rPr>
              <w:t>Arbitration court  - PL Powstańców Warszawy 1 00 – 030 Warszawa</w:t>
            </w:r>
          </w:p>
          <w:p>
            <w:pPr>
              <w:jc w:val="center"/>
              <w:rPr>
                <w:noProof/>
                <w:lang w:val="pt-PT"/>
              </w:rPr>
            </w:pPr>
            <w:r>
              <w:rPr>
                <w:noProof/>
                <w:lang w:val="pt-PT"/>
              </w:rPr>
              <w:t>tel: + 48 22 26 24 054</w:t>
            </w:r>
          </w:p>
          <w:p>
            <w:pPr>
              <w:jc w:val="center"/>
              <w:rPr>
                <w:noProof/>
                <w:lang w:val="pt-PT"/>
              </w:rPr>
            </w:pPr>
            <w:r>
              <w:rPr>
                <w:noProof/>
                <w:lang w:val="pt-PT"/>
              </w:rPr>
              <w:t xml:space="preserve">e-mail: sad.pohłbo </w:t>
            </w:r>
            <w:hyperlink r:id="rId55" w:history="1">
              <w:r>
                <w:rPr>
                  <w:rStyle w:val="Hyperlink"/>
                  <w:noProof/>
                  <w:lang w:val="pt-PT"/>
                </w:rPr>
                <w:t>wnv@knf.gov.pl</w:t>
              </w:r>
            </w:hyperlink>
          </w:p>
          <w:p>
            <w:pPr>
              <w:jc w:val="center"/>
              <w:rPr>
                <w:noProof/>
                <w:sz w:val="16"/>
                <w:szCs w:val="16"/>
                <w:lang w:val="pt-PT"/>
              </w:rPr>
            </w:pPr>
          </w:p>
          <w:p>
            <w:pPr>
              <w:jc w:val="center"/>
              <w:rPr>
                <w:noProof/>
                <w:lang w:val="nl-NL"/>
              </w:rPr>
            </w:pPr>
            <w:r>
              <w:rPr>
                <w:noProof/>
                <w:lang w:val="nl-NL"/>
              </w:rPr>
              <w:t>or</w:t>
            </w:r>
          </w:p>
          <w:p>
            <w:pPr>
              <w:jc w:val="center"/>
              <w:rPr>
                <w:noProof/>
                <w:sz w:val="16"/>
                <w:szCs w:val="16"/>
                <w:lang w:val="nl-NL"/>
              </w:rPr>
            </w:pPr>
          </w:p>
          <w:p>
            <w:pPr>
              <w:jc w:val="center"/>
              <w:rPr>
                <w:noProof/>
                <w:lang w:val="nl-NL"/>
              </w:rPr>
            </w:pPr>
            <w:r>
              <w:rPr>
                <w:noProof/>
                <w:lang w:val="nl-NL"/>
              </w:rPr>
              <w:t>Financial Ombudsman - Al. Jerozolimskie 87 02-001 Warszawa</w:t>
            </w:r>
          </w:p>
          <w:p>
            <w:pPr>
              <w:jc w:val="center"/>
              <w:rPr>
                <w:noProof/>
                <w:lang w:val="pt-PT"/>
              </w:rPr>
            </w:pPr>
            <w:r>
              <w:rPr>
                <w:noProof/>
                <w:lang w:val="pl-PL"/>
              </w:rPr>
              <w:t>tel: +48 22 333-73-26 tel: +48 22 333-73-27</w:t>
            </w:r>
          </w:p>
        </w:tc>
      </w:tr>
      <w:tr>
        <w:tc>
          <w:tcPr>
            <w:tcW w:w="1448" w:type="dxa"/>
            <w:vAlign w:val="center"/>
          </w:tcPr>
          <w:p>
            <w:pPr>
              <w:jc w:val="center"/>
              <w:rPr>
                <w:noProof/>
              </w:rPr>
            </w:pPr>
            <w:r>
              <w:rPr>
                <w:noProof/>
              </w:rPr>
              <w:t>Romania</w:t>
            </w:r>
          </w:p>
        </w:tc>
        <w:tc>
          <w:tcPr>
            <w:tcW w:w="8334" w:type="dxa"/>
            <w:gridSpan w:val="2"/>
            <w:tcBorders>
              <w:top w:val="single" w:sz="4" w:space="0" w:color="auto"/>
              <w:bottom w:val="single" w:sz="4" w:space="0" w:color="auto"/>
            </w:tcBorders>
            <w:vAlign w:val="center"/>
          </w:tcPr>
          <w:p>
            <w:pPr>
              <w:jc w:val="center"/>
              <w:rPr>
                <w:noProof/>
              </w:rPr>
            </w:pPr>
            <w:r>
              <w:rPr>
                <w:noProof/>
              </w:rPr>
              <w:t>National Bank of Romania</w:t>
            </w:r>
          </w:p>
          <w:p>
            <w:pPr>
              <w:jc w:val="center"/>
              <w:rPr>
                <w:noProof/>
              </w:rPr>
            </w:pPr>
            <w:r>
              <w:rPr>
                <w:noProof/>
              </w:rPr>
              <w:t>25 Lipscani Street 3, 030031 Bucharest, Romania</w:t>
            </w:r>
          </w:p>
          <w:p>
            <w:pPr>
              <w:jc w:val="center"/>
              <w:rPr>
                <w:noProof/>
              </w:rPr>
            </w:pPr>
            <w:hyperlink r:id="rId56" w:history="1">
              <w:r>
                <w:rPr>
                  <w:rStyle w:val="Hyperlink"/>
                  <w:noProof/>
                </w:rPr>
                <w:t>info@bnro.ro</w:t>
              </w:r>
            </w:hyperlink>
            <w:r>
              <w:rPr>
                <w:noProof/>
              </w:rPr>
              <w:br/>
              <w:t>Tel: +4021 313 04 10 or +4021 315 27 50</w:t>
            </w:r>
          </w:p>
        </w:tc>
      </w:tr>
      <w:tr>
        <w:tc>
          <w:tcPr>
            <w:tcW w:w="1448" w:type="dxa"/>
            <w:vAlign w:val="center"/>
          </w:tcPr>
          <w:p>
            <w:pPr>
              <w:jc w:val="center"/>
              <w:rPr>
                <w:noProof/>
              </w:rPr>
            </w:pPr>
            <w:r>
              <w:rPr>
                <w:noProof/>
              </w:rPr>
              <w:t>Sweden</w:t>
            </w:r>
          </w:p>
        </w:tc>
        <w:tc>
          <w:tcPr>
            <w:tcW w:w="8334" w:type="dxa"/>
            <w:gridSpan w:val="2"/>
            <w:tcBorders>
              <w:top w:val="single" w:sz="4" w:space="0" w:color="auto"/>
              <w:bottom w:val="single" w:sz="4" w:space="0" w:color="auto"/>
            </w:tcBorders>
            <w:vAlign w:val="center"/>
          </w:tcPr>
          <w:p>
            <w:pPr>
              <w:jc w:val="center"/>
              <w:rPr>
                <w:noProof/>
              </w:rPr>
            </w:pPr>
            <w:r>
              <w:rPr>
                <w:noProof/>
              </w:rPr>
              <w:t>Finansinspektionen</w:t>
            </w:r>
          </w:p>
          <w:p>
            <w:pPr>
              <w:jc w:val="center"/>
              <w:rPr>
                <w:noProof/>
              </w:rPr>
            </w:pPr>
            <w:r>
              <w:rPr>
                <w:noProof/>
              </w:rPr>
              <w:t>Box 7821</w:t>
            </w:r>
          </w:p>
          <w:p>
            <w:pPr>
              <w:jc w:val="center"/>
              <w:rPr>
                <w:noProof/>
              </w:rPr>
            </w:pPr>
            <w:r>
              <w:rPr>
                <w:noProof/>
              </w:rPr>
              <w:t>103 97 Stockholm</w:t>
            </w:r>
          </w:p>
          <w:p>
            <w:pPr>
              <w:jc w:val="center"/>
              <w:rPr>
                <w:noProof/>
              </w:rPr>
            </w:pPr>
            <w:r>
              <w:rPr>
                <w:noProof/>
              </w:rPr>
              <w:t xml:space="preserve">Email: </w:t>
            </w:r>
            <w:hyperlink r:id="rId57" w:history="1">
              <w:r>
                <w:rPr>
                  <w:rStyle w:val="Hyperlink"/>
                  <w:noProof/>
                </w:rPr>
                <w:t>finansinspektionen@fi.se</w:t>
              </w:r>
            </w:hyperlink>
            <w:r>
              <w:rPr>
                <w:noProof/>
              </w:rPr>
              <w:t xml:space="preserve"> </w:t>
            </w:r>
          </w:p>
        </w:tc>
      </w:tr>
      <w:tr>
        <w:trPr>
          <w:trHeight w:val="240"/>
        </w:trPr>
        <w:tc>
          <w:tcPr>
            <w:tcW w:w="1448" w:type="dxa"/>
            <w:vAlign w:val="center"/>
          </w:tcPr>
          <w:p>
            <w:pPr>
              <w:jc w:val="center"/>
              <w:rPr>
                <w:noProof/>
              </w:rPr>
            </w:pPr>
            <w:r>
              <w:rPr>
                <w:noProof/>
              </w:rPr>
              <w:t>United Kingdom</w:t>
            </w:r>
          </w:p>
        </w:tc>
        <w:tc>
          <w:tcPr>
            <w:tcW w:w="4167" w:type="dxa"/>
            <w:tcBorders>
              <w:top w:val="single" w:sz="4" w:space="0" w:color="auto"/>
              <w:bottom w:val="single" w:sz="4" w:space="0" w:color="auto"/>
            </w:tcBorders>
            <w:vAlign w:val="center"/>
          </w:tcPr>
          <w:p>
            <w:pPr>
              <w:jc w:val="center"/>
              <w:rPr>
                <w:noProof/>
              </w:rPr>
            </w:pPr>
            <w:r>
              <w:rPr>
                <w:noProof/>
              </w:rPr>
              <w:t>Financial Conduct Authority</w:t>
            </w:r>
          </w:p>
          <w:p>
            <w:pPr>
              <w:jc w:val="center"/>
              <w:rPr>
                <w:noProof/>
              </w:rPr>
            </w:pPr>
            <w:r>
              <w:rPr>
                <w:noProof/>
              </w:rPr>
              <w:t>25 The North Colonnade - London</w:t>
            </w:r>
          </w:p>
          <w:p>
            <w:pPr>
              <w:jc w:val="center"/>
              <w:rPr>
                <w:noProof/>
              </w:rPr>
            </w:pPr>
            <w:r>
              <w:rPr>
                <w:noProof/>
              </w:rPr>
              <w:t>E14 5HS - United Kingdom</w:t>
            </w:r>
          </w:p>
        </w:tc>
        <w:tc>
          <w:tcPr>
            <w:tcW w:w="4167" w:type="dxa"/>
            <w:tcBorders>
              <w:top w:val="single" w:sz="4" w:space="0" w:color="auto"/>
              <w:bottom w:val="single" w:sz="4" w:space="0" w:color="auto"/>
            </w:tcBorders>
            <w:vAlign w:val="center"/>
          </w:tcPr>
          <w:p>
            <w:pPr>
              <w:jc w:val="center"/>
              <w:rPr>
                <w:noProof/>
              </w:rPr>
            </w:pPr>
            <w:r>
              <w:rPr>
                <w:noProof/>
              </w:rPr>
              <w:t>Financial Ombudsman Service</w:t>
            </w:r>
          </w:p>
        </w:tc>
      </w:tr>
    </w:tbl>
    <w:p>
      <w:pPr>
        <w:rPr>
          <w:noProof/>
        </w:rPr>
      </w:pPr>
    </w:p>
    <w:sectPr>
      <w:headerReference w:type="even" r:id="rId58"/>
      <w:headerReference w:type="default" r:id="rId59"/>
      <w:footerReference w:type="even" r:id="rId60"/>
      <w:footerReference w:type="default" r:id="rId61"/>
      <w:headerReference w:type="first" r:id="rId62"/>
      <w:footerReference w:type="first" r:id="rId63"/>
      <w:pgSz w:w="11906" w:h="16838" w:code="9"/>
      <w:pgMar w:top="1021" w:right="1588" w:bottom="1021" w:left="1588" w:header="567" w:footer="454"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p>
  <w:p>
    <w:pPr>
      <w:pStyle w:val="Footer"/>
    </w:pPr>
    <w:r>
      <w:rPr>
        <w:lang w:val="fr-FR"/>
      </w:rPr>
      <w:t xml:space="preserve">Commission européenne/Europese Commissie, 1049 Bruxelles/Brussel, BELGIQUE/BELGIË - Tel. </w:t>
    </w:r>
    <w:r>
      <w:t>+32 22991111</w:t>
    </w:r>
    <w:r>
      <w:rPr>
        <w:noProof/>
      </w:rPr>
      <w:br/>
      <w:t>Office: J-99 01/032 - Tel. direct line +32 229-69839</w:t>
    </w:r>
  </w:p>
  <w:p>
    <w:pPr>
      <w:pStyle w:val="Footer"/>
    </w:pPr>
  </w:p>
  <w:p>
    <w:pPr>
      <w:pStyle w:val="Footer"/>
      <w:rPr>
        <w:sz w:val="12"/>
        <w:szCs w:val="12"/>
      </w:rPr>
    </w:pPr>
    <w:r>
      <w:t>Alexander.STEIN@ec.europa.eu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FIN FSA is competent for both PSPs and PSUs</w:t>
      </w:r>
    </w:p>
  </w:footnote>
  <w:footnote w:id="2">
    <w:p>
      <w:pPr>
        <w:pStyle w:val="FootnoteText"/>
      </w:pPr>
      <w:r>
        <w:rPr>
          <w:rStyle w:val="FootnoteReference"/>
        </w:rPr>
        <w:footnoteRef/>
      </w:r>
      <w:r>
        <w:t xml:space="preserve"> </w:t>
      </w:r>
      <w:hyperlink r:id="rId1" w:history="1">
        <w:r>
          <w:rPr>
            <w:rStyle w:val="Hyperlink"/>
          </w:rPr>
          <w:t>http://www.bmwi.de/Redaktion/DE/Downloads/I/industrie-und-handelskammern-handwerkskammern-uwg-uklag-liste.pdf;jsessionid=3E4C6ED1BD48A17A825D906F2AF3A35E?__blob=publicationFile&amp;v=2</w:t>
        </w:r>
      </w:hyperlink>
      <w:r>
        <w:t xml:space="preserve"> </w:t>
      </w:r>
    </w:p>
  </w:footnote>
  <w:footnote w:id="3">
    <w:p>
      <w:pPr>
        <w:pStyle w:val="FootnoteText"/>
        <w:ind w:left="0" w:firstLine="0"/>
      </w:pPr>
      <w:r>
        <w:rPr>
          <w:rStyle w:val="FootnoteReference"/>
        </w:rPr>
        <w:footnoteRef/>
      </w:r>
      <w:r>
        <w:t xml:space="preserve"> The provisions of Law 4141/2013, Article 30, do not explicitly designate authority(ies) with respect to PSUs, being them consumers or not</w:t>
      </w:r>
    </w:p>
  </w:footnote>
  <w:footnote w:id="4">
    <w:p>
      <w:pPr>
        <w:pStyle w:val="FootnoteText"/>
        <w:ind w:left="0" w:firstLine="0"/>
        <w:rPr>
          <w:lang w:val="es-ES"/>
        </w:rPr>
      </w:pPr>
      <w:r>
        <w:rPr>
          <w:rStyle w:val="FootnoteReference"/>
        </w:rPr>
        <w:footnoteRef/>
      </w:r>
      <w:r>
        <w:rPr>
          <w:lang w:val="es-ES"/>
        </w:rPr>
        <w:t xml:space="preserve"> Coordinated by Agencia Española de Consumo, Seguridad Alimentaria y Nutrición (AECOSAN), Subdirección General de Coordinación, Calidad y Cooperación en Consumo </w:t>
      </w:r>
      <w:hyperlink r:id="rId2" w:history="1">
        <w:r>
          <w:rPr>
            <w:rStyle w:val="Hyperlink"/>
            <w:lang w:val="es-ES"/>
          </w:rPr>
          <w:t>http://www.aecosan.msssi.gob.es/AECOSAN/web/home/aecosan_inicio.htm</w:t>
        </w:r>
      </w:hyperlink>
      <w:r>
        <w:rPr>
          <w:lang w:val="es-ES"/>
        </w:rPr>
        <w:t xml:space="preserve"> </w:t>
      </w:r>
    </w:p>
    <w:p>
      <w:pPr>
        <w:pStyle w:val="FootnoteText"/>
        <w:ind w:left="0" w:firstLine="0"/>
        <w:rPr>
          <w:lang w:val="es-ES"/>
        </w:rPr>
      </w:pPr>
      <w:hyperlink r:id="rId3" w:history="1">
        <w:r>
          <w:rPr>
            <w:rStyle w:val="Hyperlink"/>
            <w:lang w:val="es-ES"/>
          </w:rPr>
          <w:t>http://aesan.msssi.gob.es/SIAC-WEB/contacto.do?reqCode=newSearch</w:t>
        </w:r>
      </w:hyperlink>
      <w:r>
        <w:rPr>
          <w:lang w:val="es-ES"/>
        </w:rPr>
        <w:t xml:space="preserve"> </w:t>
      </w:r>
    </w:p>
  </w:footnote>
  <w:footnote w:id="5">
    <w:p>
      <w:pPr>
        <w:pStyle w:val="FootnoteText"/>
        <w:ind w:left="0" w:firstLine="0"/>
      </w:pPr>
      <w:r>
        <w:rPr>
          <w:rStyle w:val="FootnoteReference"/>
        </w:rPr>
        <w:footnoteRef/>
      </w:r>
      <w:r>
        <w:t xml:space="preserve"> Croatian National Bank is competent for both PSPs and PSUs</w:t>
      </w:r>
    </w:p>
  </w:footnote>
  <w:footnote w:id="6">
    <w:p>
      <w:pPr>
        <w:pStyle w:val="FootnoteText"/>
        <w:ind w:left="0" w:firstLine="0"/>
      </w:pPr>
      <w:r>
        <w:rPr>
          <w:rStyle w:val="FootnoteReference"/>
        </w:rPr>
        <w:footnoteRef/>
      </w:r>
      <w:r>
        <w:t xml:space="preserve"> Though two contact points are indicated for PSUs, these authorities are not compliant in cases against other PSUs that would not comply with the Regulation (see chapter 2.3 on IBAN discrimination)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70A4C45C"/>
    <w:lvl w:ilvl="0">
      <w:start w:val="1"/>
      <w:numFmt w:val="decimal"/>
      <w:pStyle w:val="Heading1"/>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CORRIGENDUM" w:val="&lt;UNUSED&gt;"/>
    <w:docVar w:name="LW_COVERPAGE_EXISTS" w:val="True"/>
    <w:docVar w:name="LW_COVERPAGE_GUID" w:val="2E7798A0-0CE7-499E-B61B-5821D37AE853"/>
    <w:docVar w:name="LW_COVERPAGE_TYPE" w:val="1"/>
    <w:docVar w:name="LW_CROSSREFERENCE" w:val="&lt;UNUSED&gt;"/>
    <w:docVar w:name="LW_DocType" w:val="NORMAL"/>
    <w:docVar w:name="LW_EMISSION" w:val="23.11.2017"/>
    <w:docVar w:name="LW_EMISSION_ISODATE" w:val="2017-11-23"/>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on the application of Regulation EU n°260/2012 establishing technical and business requirements for credit transfers and direct debits in euro and amending Regulation (EC) No 924/2009"/>
    <w:docVar w:name="LW_PART_NBR" w:val="1"/>
    <w:docVar w:name="LW_PART_NBR_TOTAL" w:val="1"/>
    <w:docVar w:name="LW_REF.INST.NEW" w:val="COM"/>
    <w:docVar w:name="LW_REF.INST.NEW_ADOPTED" w:val="final"/>
    <w:docVar w:name="LW_REF.INST.NEW_TEXT" w:val="(2017) 6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Report to the European Parliament and to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360" w:after="0"/>
      <w:outlineLvl w:val="0"/>
    </w:pPr>
    <w:rPr>
      <w:rFonts w:ascii="Times New Roman" w:eastAsia="Times New Roman" w:hAnsi="Times New Roman" w:cs="Times New Roman"/>
      <w:b/>
      <w:smallCaps/>
      <w:sz w:val="24"/>
      <w:szCs w:val="20"/>
      <w:lang w:eastAsia="en-US"/>
    </w:rPr>
  </w:style>
  <w:style w:type="paragraph" w:styleId="Heading3">
    <w:name w:val="heading 3"/>
    <w:basedOn w:val="Normal"/>
    <w:next w:val="Normal"/>
    <w:link w:val="Heading3Char"/>
    <w:qFormat/>
    <w:pPr>
      <w:keepNext/>
      <w:numPr>
        <w:ilvl w:val="2"/>
        <w:numId w:val="1"/>
      </w:numPr>
      <w:spacing w:before="180" w:after="0"/>
      <w:jc w:val="both"/>
      <w:outlineLvl w:val="2"/>
    </w:pPr>
    <w:rPr>
      <w:rFonts w:ascii="Times New Roman" w:eastAsia="Times New Roman" w:hAnsi="Times New Roman" w:cs="Times New Roman"/>
      <w:i/>
      <w:sz w:val="24"/>
      <w:szCs w:val="20"/>
      <w:lang w:eastAsia="en-US"/>
    </w:rPr>
  </w:style>
  <w:style w:type="paragraph" w:styleId="Heading4">
    <w:name w:val="heading 4"/>
    <w:basedOn w:val="Normal"/>
    <w:next w:val="Normal"/>
    <w:link w:val="Heading4Char"/>
    <w:qFormat/>
    <w:pPr>
      <w:keepNext/>
      <w:numPr>
        <w:ilvl w:val="3"/>
        <w:numId w:val="1"/>
      </w:numPr>
      <w:spacing w:before="180" w:after="0"/>
      <w:jc w:val="both"/>
      <w:outlineLvl w:val="3"/>
    </w:pPr>
    <w:rPr>
      <w:rFonts w:ascii="Times New Roman" w:eastAsia="Times New Roman" w:hAnsi="Times New Roman" w:cs="Times New Roman"/>
      <w:sz w:val="24"/>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lang w:eastAsia="en-US"/>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lang w:eastAsia="en-US"/>
    </w:rPr>
  </w:style>
  <w:style w:type="character" w:customStyle="1" w:styleId="FooterChar">
    <w:name w:val="Footer Char"/>
    <w:basedOn w:val="DefaultParagraphFont"/>
    <w:link w:val="Footer"/>
    <w:uiPriority w:val="99"/>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US"/>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en-US"/>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en-US"/>
    </w:rPr>
  </w:style>
  <w:style w:type="paragraph" w:styleId="FootnoteText">
    <w:name w:val="footnote text"/>
    <w:basedOn w:val="Normal"/>
    <w:link w:val="FootnoteTextChar"/>
    <w:uiPriority w:val="99"/>
    <w:qFormat/>
    <w:pPr>
      <w:spacing w:before="20" w:after="0" w:line="240" w:lineRule="auto"/>
      <w:ind w:left="113" w:hanging="113"/>
    </w:pPr>
    <w:rPr>
      <w:rFonts w:ascii="Times New Roman" w:eastAsia="Times New Roman" w:hAnsi="Times New Roman" w:cs="Times New Roman"/>
      <w:sz w:val="18"/>
      <w:szCs w:val="18"/>
      <w:lang w:eastAsia="en-US"/>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18"/>
      <w:szCs w:val="18"/>
      <w:lang w:eastAsia="en-US"/>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lang w:eastAsia="en-US"/>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360" w:after="0"/>
      <w:outlineLvl w:val="0"/>
    </w:pPr>
    <w:rPr>
      <w:rFonts w:ascii="Times New Roman" w:eastAsia="Times New Roman" w:hAnsi="Times New Roman" w:cs="Times New Roman"/>
      <w:b/>
      <w:smallCaps/>
      <w:sz w:val="24"/>
      <w:szCs w:val="20"/>
      <w:lang w:eastAsia="en-US"/>
    </w:rPr>
  </w:style>
  <w:style w:type="paragraph" w:styleId="Heading3">
    <w:name w:val="heading 3"/>
    <w:basedOn w:val="Normal"/>
    <w:next w:val="Normal"/>
    <w:link w:val="Heading3Char"/>
    <w:qFormat/>
    <w:pPr>
      <w:keepNext/>
      <w:numPr>
        <w:ilvl w:val="2"/>
        <w:numId w:val="1"/>
      </w:numPr>
      <w:spacing w:before="180" w:after="0"/>
      <w:jc w:val="both"/>
      <w:outlineLvl w:val="2"/>
    </w:pPr>
    <w:rPr>
      <w:rFonts w:ascii="Times New Roman" w:eastAsia="Times New Roman" w:hAnsi="Times New Roman" w:cs="Times New Roman"/>
      <w:i/>
      <w:sz w:val="24"/>
      <w:szCs w:val="20"/>
      <w:lang w:eastAsia="en-US"/>
    </w:rPr>
  </w:style>
  <w:style w:type="paragraph" w:styleId="Heading4">
    <w:name w:val="heading 4"/>
    <w:basedOn w:val="Normal"/>
    <w:next w:val="Normal"/>
    <w:link w:val="Heading4Char"/>
    <w:qFormat/>
    <w:pPr>
      <w:keepNext/>
      <w:numPr>
        <w:ilvl w:val="3"/>
        <w:numId w:val="1"/>
      </w:numPr>
      <w:spacing w:before="180" w:after="0"/>
      <w:jc w:val="both"/>
      <w:outlineLvl w:val="3"/>
    </w:pPr>
    <w:rPr>
      <w:rFonts w:ascii="Times New Roman" w:eastAsia="Times New Roman" w:hAnsi="Times New Roman" w:cs="Times New Roman"/>
      <w:sz w:val="24"/>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lang w:eastAsia="en-US"/>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lang w:eastAsia="en-US"/>
    </w:rPr>
  </w:style>
  <w:style w:type="character" w:customStyle="1" w:styleId="FooterChar">
    <w:name w:val="Footer Char"/>
    <w:basedOn w:val="DefaultParagraphFont"/>
    <w:link w:val="Footer"/>
    <w:uiPriority w:val="99"/>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US"/>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en-US"/>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en-US"/>
    </w:rPr>
  </w:style>
  <w:style w:type="paragraph" w:styleId="FootnoteText">
    <w:name w:val="footnote text"/>
    <w:basedOn w:val="Normal"/>
    <w:link w:val="FootnoteTextChar"/>
    <w:uiPriority w:val="99"/>
    <w:qFormat/>
    <w:pPr>
      <w:spacing w:before="20" w:after="0" w:line="240" w:lineRule="auto"/>
      <w:ind w:left="113" w:hanging="113"/>
    </w:pPr>
    <w:rPr>
      <w:rFonts w:ascii="Times New Roman" w:eastAsia="Times New Roman" w:hAnsi="Times New Roman" w:cs="Times New Roman"/>
      <w:sz w:val="18"/>
      <w:szCs w:val="18"/>
      <w:lang w:eastAsia="en-US"/>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18"/>
      <w:szCs w:val="18"/>
      <w:lang w:eastAsia="en-US"/>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lang w:eastAsia="en-US"/>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fi.ee" TargetMode="External"/><Relationship Id="rId26" Type="http://schemas.openxmlformats.org/officeDocument/2006/relationships/hyperlink" Target="mailto:consumerenforcement@ccpc.ie" TargetMode="External"/><Relationship Id="rId39" Type="http://schemas.openxmlformats.org/officeDocument/2006/relationships/hyperlink" Target="mailto:inspection@teleoff.gov.sk" TargetMode="External"/><Relationship Id="rId21" Type="http://schemas.openxmlformats.org/officeDocument/2006/relationships/hyperlink" Target="mailto:poststelle@bafin.de" TargetMode="External"/><Relationship Id="rId34" Type="http://schemas.openxmlformats.org/officeDocument/2006/relationships/hyperlink" Target="http://www.acm.nl" TargetMode="External"/><Relationship Id="rId42" Type="http://schemas.openxmlformats.org/officeDocument/2006/relationships/hyperlink" Target="http://www.soi.sk" TargetMode="External"/><Relationship Id="rId47" Type="http://schemas.openxmlformats.org/officeDocument/2006/relationships/hyperlink" Target="mailto:krastev.k@bnbank.org" TargetMode="External"/><Relationship Id="rId50" Type="http://schemas.openxmlformats.org/officeDocument/2006/relationships/hyperlink" Target="mailto:podatelna@cnb.cz" TargetMode="External"/><Relationship Id="rId55" Type="http://schemas.openxmlformats.org/officeDocument/2006/relationships/hyperlink" Target="mailto:wnv@knf.gov.pl" TargetMode="External"/><Relationship Id="rId63" Type="http://schemas.openxmlformats.org/officeDocument/2006/relationships/footer" Target="footer6.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nbb.be" TargetMode="External"/><Relationship Id="rId20" Type="http://schemas.openxmlformats.org/officeDocument/2006/relationships/hyperlink" Target="mailto:kirjaamo@fiva.fi" TargetMode="External"/><Relationship Id="rId29" Type="http://schemas.openxmlformats.org/officeDocument/2006/relationships/hyperlink" Target="mailto:fktk@fktk.lv" TargetMode="External"/><Relationship Id="rId41" Type="http://schemas.openxmlformats.org/officeDocument/2006/relationships/hyperlink" Target="http://www.finance.gov.sk" TargetMode="External"/><Relationship Id="rId54" Type="http://schemas.openxmlformats.org/officeDocument/2006/relationships/hyperlink" Target="mailto:knf@knf.gov.pl" TargetMode="External"/><Relationship Id="rId62"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1520.gov.gr/ypovoli-kataggelias?id=253" TargetMode="External"/><Relationship Id="rId32" Type="http://schemas.openxmlformats.org/officeDocument/2006/relationships/hyperlink" Target="mailto:oversight@centralbankmalta.org" TargetMode="External"/><Relationship Id="rId37" Type="http://schemas.openxmlformats.org/officeDocument/2006/relationships/hyperlink" Target="http://www.nbs.sk" TargetMode="External"/><Relationship Id="rId40" Type="http://schemas.openxmlformats.org/officeDocument/2006/relationships/hyperlink" Target="http://www.justice.gov.sk" TargetMode="External"/><Relationship Id="rId45" Type="http://schemas.openxmlformats.org/officeDocument/2006/relationships/hyperlink" Target="http://www.bde.es" TargetMode="External"/><Relationship Id="rId53" Type="http://schemas.openxmlformats.org/officeDocument/2006/relationships/hyperlink" Target="mailto:info@.mnb.hu" TargetMode="External"/><Relationship Id="rId58"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fma.gv.at/en/complaints-and-points-of-contact/" TargetMode="External"/><Relationship Id="rId23" Type="http://schemas.openxmlformats.org/officeDocument/2006/relationships/hyperlink" Target="http://www.1520.gov.gr/epikoinia" TargetMode="External"/><Relationship Id="rId28" Type="http://schemas.openxmlformats.org/officeDocument/2006/relationships/hyperlink" Target="http://www.agcm.it" TargetMode="External"/><Relationship Id="rId36" Type="http://schemas.openxmlformats.org/officeDocument/2006/relationships/hyperlink" Target="http://clientebancario.bportugal.pt/pt-PT/Reclamacoes/Paginas/Formulariodenovareclamacao.aspx" TargetMode="External"/><Relationship Id="rId49" Type="http://schemas.openxmlformats.org/officeDocument/2006/relationships/hyperlink" Target="mailto:prituzbe-zpp@hnb.hr" TargetMode="External"/><Relationship Id="rId57" Type="http://schemas.openxmlformats.org/officeDocument/2006/relationships/hyperlink" Target="mailto:finansinspektionen@fi.se" TargetMode="External"/><Relationship Id="rId61"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www.tarbijakaitseamet.ee" TargetMode="External"/><Relationship Id="rId31" Type="http://schemas.openxmlformats.org/officeDocument/2006/relationships/hyperlink" Target="mailto:direction@cssf.lu" TargetMode="External"/><Relationship Id="rId44" Type="http://schemas.openxmlformats.org/officeDocument/2006/relationships/hyperlink" Target="mailto:pr@bsi.si" TargetMode="External"/><Relationship Id="rId52" Type="http://schemas.openxmlformats.org/officeDocument/2006/relationships/hyperlink" Target="mailto:ugyfelszolgalat@mnb.hu" TargetMode="External"/><Relationship Id="rId60" Type="http://schemas.openxmlformats.org/officeDocument/2006/relationships/footer" Target="footer4.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bankofgreece.gr/pages/en/other/communication.aspx" TargetMode="External"/><Relationship Id="rId27" Type="http://schemas.openxmlformats.org/officeDocument/2006/relationships/hyperlink" Target="mailto:email@bancaditalia.it" TargetMode="External"/><Relationship Id="rId30" Type="http://schemas.openxmlformats.org/officeDocument/2006/relationships/hyperlink" Target="http://www.cssf.lu" TargetMode="External"/><Relationship Id="rId35" Type="http://schemas.openxmlformats.org/officeDocument/2006/relationships/hyperlink" Target="mailto:info@bportugal.pt" TargetMode="External"/><Relationship Id="rId43" Type="http://schemas.openxmlformats.org/officeDocument/2006/relationships/hyperlink" Target="mailto:info@soi.sk" TargetMode="External"/><Relationship Id="rId48" Type="http://schemas.openxmlformats.org/officeDocument/2006/relationships/hyperlink" Target="mailto:info.fi@mfin.hr" TargetMode="External"/><Relationship Id="rId56" Type="http://schemas.openxmlformats.org/officeDocument/2006/relationships/hyperlink" Target="mailto:info@bnro.ro" TargetMode="External"/><Relationship Id="rId64"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yperlink" Target="http://www.cnb.cz/en/about_cnb/form_general_enquiry/general_enquiry.html" TargetMode="Externa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yperlink" Target="http://www.economie.fgov.be" TargetMode="External"/><Relationship Id="rId25" Type="http://schemas.openxmlformats.org/officeDocument/2006/relationships/hyperlink" Target="mailto:enquiries@centraibank.ie" TargetMode="External"/><Relationship Id="rId33" Type="http://schemas.openxmlformats.org/officeDocument/2006/relationships/hyperlink" Target="http://www.dnb.nl" TargetMode="External"/><Relationship Id="rId38" Type="http://schemas.openxmlformats.org/officeDocument/2006/relationships/hyperlink" Target="mailto:info@nbs.sk" TargetMode="External"/><Relationship Id="rId46" Type="http://schemas.openxmlformats.org/officeDocument/2006/relationships/hyperlink" Target="mailto:paymentsystems@bde.es" TargetMode="External"/><Relationship Id="rId59"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aesan.msssi.gob.es/SIAC-WEB/contacto.do?reqCode=newSearch" TargetMode="External"/><Relationship Id="rId2" Type="http://schemas.openxmlformats.org/officeDocument/2006/relationships/hyperlink" Target="http://www.aecosan.msssi.gob.es/AECOSAN/web/home/aecosan_inicio.htm" TargetMode="External"/><Relationship Id="rId1" Type="http://schemas.openxmlformats.org/officeDocument/2006/relationships/hyperlink" Target="http://www.bmwi.de/Redaktion/DE/Downloads/I/industrie-und-handelskammern-handwerkskammern-uwg-uklag-liste.pdf;jsessionid=3E4C6ED1BD48A17A825D906F2AF3A35E?__blob=publicationFile&amp;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1039</Words>
  <Characters>7039</Characters>
  <Application>Microsoft Office Word</Application>
  <DocSecurity>0</DocSecurity>
  <Lines>335</Lines>
  <Paragraphs>288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ROOCK-DIERICKX Tessa (MARKT)</dc:creator>
  <cp:lastModifiedBy>DIGIT/A3</cp:lastModifiedBy>
  <cp:revision>8</cp:revision>
  <dcterms:created xsi:type="dcterms:W3CDTF">2017-10-10T07:22:00Z</dcterms:created>
  <dcterms:modified xsi:type="dcterms:W3CDTF">2017-11-23T09:19:00Z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Level of sensitivity">
    <vt:lpwstr>Standard treatment</vt:lpwstr>
  </property>
</Properties>
</file>