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AD" w:rsidRDefault="000D66EB">
      <w:pPr>
        <w:pStyle w:val="Pagedecouverture"/>
        <w:rPr>
          <w:noProof/>
        </w:rPr>
      </w:pPr>
      <w:bookmarkStart w:id="0" w:name="LW_BM_COVERPAGE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418F484-AA93-4256-A518-42DFE1E3D82D" style="width:450.25pt;height:408.35pt">
            <v:imagedata r:id="rId12" o:title=""/>
          </v:shape>
        </w:pict>
      </w:r>
      <w:bookmarkEnd w:id="1"/>
    </w:p>
    <w:bookmarkEnd w:id="0"/>
    <w:p w:rsidR="006F44AD" w:rsidRDefault="006F44AD">
      <w:pPr>
        <w:pStyle w:val="Pagedecouverture"/>
        <w:rPr>
          <w:noProof/>
        </w:rPr>
        <w:sectPr w:rsidR="006F44A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6F44AD" w:rsidRDefault="000D66EB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lastRenderedPageBreak/>
              <w:t>Обобщение</w:t>
            </w:r>
          </w:p>
        </w:tc>
      </w:tr>
      <w:tr w:rsidR="006F44AD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F44AD" w:rsidRDefault="000D66E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color w:val="FFFFFF" w:themeColor="background1"/>
              </w:rPr>
              <w:t xml:space="preserve">Оценка на въздействието от изменението на Директива 92/106/ЕИО относно създаването на общи правила за някои видове комбиниран транспорт на </w:t>
            </w:r>
            <w:r>
              <w:rPr>
                <w:b/>
                <w:noProof/>
                <w:color w:val="FFFFFF" w:themeColor="background1"/>
              </w:rPr>
              <w:t>товари между държавите членки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6F44AD" w:rsidRDefault="000D66EB">
            <w:pPr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A. Необходимост от действия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E0E0E0"/>
          </w:tcPr>
          <w:p w:rsidR="006F44AD" w:rsidRDefault="000D66EB"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В какво се изразява проблемът и защо той е проблем на равнището на ЕС? </w:t>
            </w:r>
          </w:p>
        </w:tc>
      </w:tr>
      <w:tr w:rsidR="006F44AD">
        <w:trPr>
          <w:trHeight w:val="1765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6F44AD" w:rsidRDefault="000D66E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Интермодалният транспорт не навлезе в достатъчна степен в Европа, за да се изпълни целта за преминаването към други видове транспорт, определена в Бялата книга от 2011 г., въпреки приноса в това отношение на Директивата за комбинирания транспорт. Това се д</w:t>
            </w:r>
            <w:r>
              <w:rPr>
                <w:rFonts w:ascii="Tahoma" w:hAnsi="Tahoma"/>
                <w:noProof/>
                <w:sz w:val="20"/>
              </w:rPr>
              <w:t xml:space="preserve">ължи на: </w:t>
            </w:r>
          </w:p>
          <w:p w:rsidR="006F44AD" w:rsidRDefault="000D66E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А) липса на инвестиции в интермодална инфраструктура и най-вече в терминали за претоварване и </w:t>
            </w:r>
          </w:p>
          <w:p w:rsidR="006F44AD" w:rsidRDefault="000D66E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Б) недостатъци в Директивата за комбинирания транспорт, установени в оценката по REFIT:</w:t>
            </w:r>
          </w:p>
          <w:p w:rsidR="006F44AD" w:rsidRDefault="000D66E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неефективно изпълнение на Директивата поради сложни и ограничени критерии за допустимост и липса на условия за ефективно правоприлагане; </w:t>
            </w:r>
          </w:p>
          <w:p w:rsidR="006F44AD" w:rsidRDefault="000D66E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неефективна и недостатъчна икономическа подкрепа: ограничен обхват на мерките за подкрепа, недостатъчна икономическа п</w:t>
            </w:r>
            <w:r>
              <w:rPr>
                <w:rFonts w:ascii="Tahoma" w:hAnsi="Tahoma"/>
                <w:noProof/>
                <w:sz w:val="20"/>
              </w:rPr>
              <w:t>одкрепа, ограничен мониторинг и липса на механизъм за преглед.</w:t>
            </w:r>
          </w:p>
          <w:p w:rsidR="006F44AD" w:rsidRDefault="000D66E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Тези проблеми засягат всички субекти във веригата на международния товарен превоз, като изпращачи, спедитори, национални органи, участващи в прилагането на условията за комбинирания транспорт и</w:t>
            </w:r>
            <w:r>
              <w:rPr>
                <w:rFonts w:ascii="Tahoma" w:hAnsi="Tahoma"/>
                <w:noProof/>
                <w:sz w:val="20"/>
              </w:rPr>
              <w:t xml:space="preserve"> др. Също така тези проблеми подкопават ефективното изпълнение на мерките за подкрепа.</w:t>
            </w:r>
          </w:p>
          <w:p w:rsidR="006F44AD" w:rsidRDefault="006F44AD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6F44AD" w:rsidRDefault="000D66E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Ако не се предприемат мерки, интермодалният транспорт ще остане по-слабо конкурентоспособен в сравнение с автомобилния превоз и целта за преминаването към други видове </w:t>
            </w:r>
            <w:r>
              <w:rPr>
                <w:rFonts w:ascii="Tahoma" w:hAnsi="Tahoma"/>
                <w:noProof/>
                <w:sz w:val="20"/>
              </w:rPr>
              <w:t>транспорт за 2030 г., определена в Бялата книга от 2011 г., няма да се изпълни, което ще доведе до постоянни вторични ефекти .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6F44AD" w:rsidRDefault="000D66EB"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цели се преследват? 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6F44AD" w:rsidRDefault="000D66E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С инициативата се цели да се увеличи ефективността на Директивата за комбинирания транспорт (сложно </w:t>
            </w:r>
            <w:r>
              <w:rPr>
                <w:rFonts w:ascii="Tahoma" w:hAnsi="Tahoma"/>
                <w:noProof/>
                <w:sz w:val="20"/>
              </w:rPr>
              <w:t>определение, ограничени стимули и неактуални разпоредби) и да се подобрят съществуващите отчасти неефективни мерки за подкрепа, които трябва да решат регулаторните недостатъци и неефективността на пазара с оглед на по-широкото навлизане на интермодалния тр</w:t>
            </w:r>
            <w:r>
              <w:rPr>
                <w:rFonts w:ascii="Tahoma" w:hAnsi="Tahoma"/>
                <w:noProof/>
                <w:sz w:val="20"/>
              </w:rPr>
              <w:t>анспорт (преминаване към други видове транспорт).</w:t>
            </w:r>
            <w:r>
              <w:rPr>
                <w:noProof/>
              </w:rPr>
              <w:t xml:space="preserve"> </w:t>
            </w:r>
            <w:r>
              <w:rPr>
                <w:rFonts w:ascii="Tahoma" w:hAnsi="Tahoma"/>
                <w:noProof/>
                <w:sz w:val="20"/>
              </w:rPr>
              <w:t>По-конкретно, недостатъците на Директивата са свързани с определението на комбинирания транспорт, ограниченията на данъчните стимули и неактуалните разпоредби във връзка с транспортните документи. Трите осн</w:t>
            </w:r>
            <w:r>
              <w:rPr>
                <w:rFonts w:ascii="Tahoma" w:hAnsi="Tahoma"/>
                <w:noProof/>
                <w:sz w:val="20"/>
              </w:rPr>
              <w:t xml:space="preserve">овни специфични цели са: 1) </w:t>
            </w:r>
            <w:r>
              <w:rPr>
                <w:noProof/>
              </w:rPr>
              <w:tab/>
            </w:r>
            <w:r>
              <w:rPr>
                <w:rFonts w:ascii="Tahoma" w:hAnsi="Tahoma"/>
                <w:noProof/>
                <w:sz w:val="20"/>
              </w:rPr>
              <w:t xml:space="preserve">внасяне на яснота в определението на условията за допустимост на комбинирания транспорт; 2) увеличение на конкурентоспособността на комбинирания транспорт; 3) увеличение на инвестициите в интермодалните терминали и капацитета им. 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6F44AD" w:rsidRDefault="000D66EB"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Каква е добавената стойност от действия на равнището на ЕС (субсидиарност)? 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6F44AD" w:rsidRDefault="000D66E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Необходимо е координирано действие на ЕС в обхвата на Директивата за комбинирания транспорт, за да се решат отрицателните вторични ефекти, свързани с транспорта (особено автомоби</w:t>
            </w:r>
            <w:r>
              <w:rPr>
                <w:rFonts w:ascii="Tahoma" w:hAnsi="Tahoma"/>
                <w:noProof/>
                <w:sz w:val="20"/>
              </w:rPr>
              <w:t>лния) и за да се насърчи преминаването към други видове транспорт, за да се реализират целите по Бялата книга за транспорта от 2011 г., Стратегията за мобилност с ниски емисии и другите политики на ЕС в тази сфера. За целта са необходими актуално общо опре</w:t>
            </w:r>
            <w:r>
              <w:rPr>
                <w:rFonts w:ascii="Tahoma" w:hAnsi="Tahoma"/>
                <w:noProof/>
                <w:sz w:val="20"/>
              </w:rPr>
              <w:t>деление и общи критерии, за да се гарантира, че предвижданите положителни последици от Директивата се наблюдават навсякъде в ЕС, особено като се има предвид, че от всички интермодални операции в ЕС 81 % са презгранични. Ако държавите членки използват разли</w:t>
            </w:r>
            <w:r>
              <w:rPr>
                <w:rFonts w:ascii="Tahoma" w:hAnsi="Tahoma"/>
                <w:noProof/>
                <w:sz w:val="20"/>
              </w:rPr>
              <w:t>чни определения, не прилагат Директивата по еднакъв начин и използват разнородни схеми за подкрепа, е възможно операторите да не могат да се възползват от предвидените стимули по транспортната верига.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6F44AD" w:rsidRDefault="000D66EB">
            <w:pPr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Б. Решения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6F44AD" w:rsidRDefault="000D66EB"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са различните варианти за постигане </w:t>
            </w:r>
            <w:r>
              <w:rPr>
                <w:rFonts w:ascii="Tahoma" w:hAnsi="Tahoma"/>
                <w:b/>
                <w:noProof/>
                <w:sz w:val="20"/>
              </w:rPr>
              <w:t xml:space="preserve">на целите? Има ли предпочитан вариант сред тях? Ако няма такъв, каква е причината за това? </w:t>
            </w:r>
          </w:p>
        </w:tc>
      </w:tr>
      <w:tr w:rsidR="006F44AD">
        <w:trPr>
          <w:trHeight w:val="699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6F44AD" w:rsidRDefault="000D66EB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Вариантите на политиката се състоят от пакети от мерки на политиката, които са насочени към конкретни цели, и по-специално — към набелязаните основни проблеми:</w:t>
            </w:r>
          </w:p>
          <w:p w:rsidR="006F44AD" w:rsidRDefault="006F44AD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</w:p>
          <w:p w:rsidR="006F44AD" w:rsidRDefault="000D66EB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вариант на политиката 1 (ВП1): </w:t>
            </w:r>
            <w:r>
              <w:rPr>
                <w:noProof/>
                <w:u w:val="single"/>
              </w:rPr>
              <w:t>минимално изменение с акцент върху опростяването</w:t>
            </w:r>
            <w:r>
              <w:rPr>
                <w:noProof/>
              </w:rPr>
              <w:t>:</w:t>
            </w:r>
            <w:r>
              <w:rPr>
                <w:rFonts w:ascii="Tahoma" w:hAnsi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</w:rPr>
              <w:t>при сравнение с изходното положение този вариант води до опростяване на определението (т.е. дължината на отсечката с автомобилен превоз се фиксира на 150 km); приемане на обик</w:t>
            </w:r>
            <w:r>
              <w:rPr>
                <w:rFonts w:ascii="Tahoma" w:hAnsi="Tahoma"/>
                <w:noProof/>
                <w:sz w:val="20"/>
              </w:rPr>
              <w:t xml:space="preserve">новени електронни документи като доказателства за допустимостта и разширение на данъчните стимули към автомобилните превозвачи, когато не само железопътен превоз се използва за отсечката с различен от автомобилния превоз (например превоз по вътрешни водни </w:t>
            </w:r>
            <w:r>
              <w:rPr>
                <w:rFonts w:ascii="Tahoma" w:hAnsi="Tahoma"/>
                <w:noProof/>
                <w:sz w:val="20"/>
              </w:rPr>
              <w:t>пътища или морски превоз);</w:t>
            </w:r>
            <w:r>
              <w:rPr>
                <w:rFonts w:ascii="Tahoma" w:hAnsi="Tahoma"/>
                <w:b/>
                <w:noProof/>
                <w:sz w:val="20"/>
              </w:rPr>
              <w:t xml:space="preserve">  </w:t>
            </w:r>
          </w:p>
          <w:p w:rsidR="006F44AD" w:rsidRDefault="000D66EB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вариант на политиката 2: </w:t>
            </w:r>
            <w:r>
              <w:rPr>
                <w:rFonts w:ascii="Tahoma" w:hAnsi="Tahoma"/>
                <w:noProof/>
                <w:sz w:val="20"/>
                <w:u w:val="single"/>
              </w:rPr>
              <w:t xml:space="preserve">опростяване на критериите за допустимост (определение) и контрола им и </w:t>
            </w:r>
            <w:r>
              <w:rPr>
                <w:rFonts w:ascii="Tahoma" w:hAnsi="Tahoma"/>
                <w:noProof/>
                <w:sz w:val="20"/>
                <w:u w:val="single"/>
              </w:rPr>
              <w:lastRenderedPageBreak/>
              <w:t xml:space="preserve">осигуряване на по-ефективна икономическа подкрепа. </w:t>
            </w:r>
            <w:r>
              <w:rPr>
                <w:rFonts w:ascii="Tahoma" w:hAnsi="Tahoma"/>
                <w:noProof/>
                <w:sz w:val="20"/>
              </w:rPr>
              <w:t>Има два подварианта:</w:t>
            </w:r>
          </w:p>
          <w:p w:rsidR="006F44AD" w:rsidRDefault="000D66EB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t xml:space="preserve">- </w:t>
            </w:r>
            <w:r>
              <w:rPr>
                <w:noProof/>
                <w:u w:val="single"/>
              </w:rPr>
              <w:t>с ограничен обхват (ВП2А):</w:t>
            </w:r>
            <w:r>
              <w:rPr>
                <w:noProof/>
              </w:rPr>
              <w:t xml:space="preserve"> </w:t>
            </w:r>
            <w:r>
              <w:rPr>
                <w:rFonts w:ascii="Tahoma" w:hAnsi="Tahoma"/>
                <w:noProof/>
                <w:sz w:val="20"/>
              </w:rPr>
              <w:t>разширяване на географския обх</w:t>
            </w:r>
            <w:r>
              <w:rPr>
                <w:rFonts w:ascii="Tahoma" w:hAnsi="Tahoma"/>
                <w:noProof/>
                <w:sz w:val="20"/>
              </w:rPr>
              <w:t>ват, за да се включи националният комбиниран транспорт; общо определение на отсечката с автомобилен превоз (150 km или 20 % в зависимост от това кое е по-дълго); приемането само на товарни единици с ISO/ILU идентификация; ясно определение на изискванията з</w:t>
            </w:r>
            <w:r>
              <w:rPr>
                <w:rFonts w:ascii="Tahoma" w:hAnsi="Tahoma"/>
                <w:noProof/>
                <w:sz w:val="20"/>
              </w:rPr>
              <w:t>а доказателствата за допустимост  и повече варианти за икономическа подкрепа;</w:t>
            </w:r>
          </w:p>
          <w:p w:rsidR="006F44AD" w:rsidRDefault="000D66E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- </w:t>
            </w:r>
            <w:r>
              <w:rPr>
                <w:rFonts w:ascii="Tahoma" w:hAnsi="Tahoma"/>
                <w:noProof/>
                <w:sz w:val="20"/>
                <w:u w:val="single"/>
              </w:rPr>
              <w:t>с разширен обхват (ВП2Б):</w:t>
            </w:r>
            <w:r>
              <w:rPr>
                <w:rFonts w:ascii="Tahoma" w:hAnsi="Tahoma"/>
                <w:noProof/>
                <w:sz w:val="20"/>
              </w:rPr>
              <w:t xml:space="preserve"> в допълнение към предвиденото по ВП2А — възможност за държавите членки да разполагат с известна гъвкавост по отношение на дължината на отсечката с авт</w:t>
            </w:r>
            <w:r>
              <w:rPr>
                <w:rFonts w:ascii="Tahoma" w:hAnsi="Tahoma"/>
                <w:noProof/>
                <w:sz w:val="20"/>
              </w:rPr>
              <w:t>омобилен превоз; включването на товарните единици с всякакви размери и задължителна мярка за подкрепа за строеж на терминали;</w:t>
            </w:r>
          </w:p>
          <w:p w:rsidR="006F44AD" w:rsidRDefault="000D66EB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вариант на политиката 3 (ВП3): </w:t>
            </w:r>
            <w:r>
              <w:rPr>
                <w:rFonts w:ascii="Tahoma" w:hAnsi="Tahoma"/>
                <w:noProof/>
                <w:sz w:val="20"/>
                <w:u w:val="single"/>
              </w:rPr>
              <w:t xml:space="preserve">промяна на критериите за допустимост (определение), за да се обхваща целият интермодален транспорт </w:t>
            </w:r>
            <w:r>
              <w:rPr>
                <w:rFonts w:ascii="Tahoma" w:hAnsi="Tahoma"/>
                <w:noProof/>
                <w:sz w:val="20"/>
                <w:u w:val="single"/>
              </w:rPr>
              <w:t>със задължителни мерки за подкрепа:</w:t>
            </w:r>
            <w:r>
              <w:rPr>
                <w:rFonts w:ascii="Tahoma" w:hAnsi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</w:rPr>
              <w:t>разширен географски обхват, както се предвижда за ВП2; без ограничения за отсечките с автомобилен превоз и отсечките с различен от автомобилния превоз, нито за товарните единици; без изисквания към данните за доказателст</w:t>
            </w:r>
            <w:r>
              <w:rPr>
                <w:rFonts w:ascii="Tahoma" w:hAnsi="Tahoma"/>
                <w:noProof/>
                <w:sz w:val="20"/>
              </w:rPr>
              <w:t>вата за допустимост; задължителни мерки за подкрепа (преференциален режим) за целия интермодален транспорт.</w:t>
            </w:r>
          </w:p>
          <w:p w:rsidR="006F44AD" w:rsidRDefault="000D66E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Предпочита се ВП2Б, който гарантира постигането на целта за преминаването към други видове транспорт за 2030 г. и по-висока възвръщаемост на инвести</w:t>
            </w:r>
            <w:r>
              <w:rPr>
                <w:rFonts w:ascii="Tahoma" w:hAnsi="Tahoma"/>
                <w:noProof/>
                <w:sz w:val="20"/>
              </w:rPr>
              <w:t>циите и екологична ефикасност, отколкото ВП3.</w:t>
            </w:r>
          </w:p>
        </w:tc>
      </w:tr>
      <w:tr w:rsidR="006F44AD">
        <w:tc>
          <w:tcPr>
            <w:tcW w:w="10188" w:type="dxa"/>
            <w:shd w:val="clear" w:color="auto" w:fill="E6E6E6"/>
          </w:tcPr>
          <w:p w:rsidR="006F44AD" w:rsidRDefault="000D66EB">
            <w:pPr>
              <w:pStyle w:val="Default"/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lastRenderedPageBreak/>
              <w:t xml:space="preserve">Каква позиция застъпват различните заинтересовани страни? Кой подкрепя отделните варианти? </w:t>
            </w:r>
          </w:p>
        </w:tc>
      </w:tr>
      <w:tr w:rsidR="006F44AD">
        <w:tc>
          <w:tcPr>
            <w:tcW w:w="10188" w:type="dxa"/>
            <w:shd w:val="clear" w:color="auto" w:fill="auto"/>
          </w:tcPr>
          <w:p w:rsidR="006F44AD" w:rsidRDefault="000D66E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Налице е широко съгласие между всички заинтересовани страни, че настоящото положение (изходното положение) не може д</w:t>
            </w:r>
            <w:r>
              <w:rPr>
                <w:rFonts w:ascii="Tahoma" w:hAnsi="Tahoma"/>
                <w:noProof/>
                <w:sz w:val="20"/>
              </w:rPr>
              <w:t>а се остави без промяна и че се подкрепят мерките за внасяне на яснота в определението на комбинирания транспорт, улесняване на прилагането му и осигуряване на мерки с разширена подкрепа. Мненията са разделени по отношение на естеството на мерките за подкр</w:t>
            </w:r>
            <w:r>
              <w:rPr>
                <w:rFonts w:ascii="Tahoma" w:hAnsi="Tahoma"/>
                <w:noProof/>
                <w:sz w:val="20"/>
              </w:rPr>
              <w:t>епа: докато операторите поддържат разширението и придаването на задължителен характер на мерките за подкрепа на всички видове интермодален транспорт (ВП3), държавите членки предпочитат по-скоро известна гъвкавост в мерките за подкрепа, които трябва да прил</w:t>
            </w:r>
            <w:r>
              <w:rPr>
                <w:rFonts w:ascii="Tahoma" w:hAnsi="Tahoma"/>
                <w:noProof/>
                <w:sz w:val="20"/>
              </w:rPr>
              <w:t xml:space="preserve">агат или ще прилагат (ВП2А и ВП2Б). Също така държавите членки са положително настроени към гъвкаво определение на комбинирания транспорт, стига отсечката с автомобилен превоз да остане „възможно най-кратка“ (ВП2Б). Мнозинството от заинтересованите страни </w:t>
            </w:r>
            <w:r>
              <w:rPr>
                <w:rFonts w:ascii="Tahoma" w:hAnsi="Tahoma"/>
                <w:noProof/>
                <w:sz w:val="20"/>
              </w:rPr>
              <w:t>(2/3 от тях, най-вече оператори) подкрепят географското разширение към националния комбиниран транспорт (ВП2А, ВП2Б, ВП3). Забележка: що се отнася до т.нар. „освобождавания на каботажа“, по-голямата част от заинтересованите страни (оператори и държави член</w:t>
            </w:r>
            <w:r>
              <w:rPr>
                <w:rFonts w:ascii="Tahoma" w:hAnsi="Tahoma"/>
                <w:noProof/>
                <w:sz w:val="20"/>
              </w:rPr>
              <w:t>ки) подкрепят запазването на сегашните разпоредби, въпреки че държавите членки изтъкват, че е необходимо да се осигурят условия за по-добро правоприлагане и по този начин да се избегне евентуално заобикаляне на правилата за каботажа чрез Директивата за ком</w:t>
            </w:r>
            <w:r>
              <w:rPr>
                <w:rFonts w:ascii="Tahoma" w:hAnsi="Tahoma"/>
                <w:noProof/>
                <w:sz w:val="20"/>
              </w:rPr>
              <w:t xml:space="preserve">бинирания транспорт.  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6F44AD" w:rsidRDefault="000D66EB">
            <w:pPr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В. Въздействие на предпочитания вариант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6F44AD" w:rsidRDefault="000D66EB"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са предимствата на предпочитания вариант (ако има такъв, в противен случай — на основните варианти)? </w:t>
            </w:r>
          </w:p>
        </w:tc>
      </w:tr>
      <w:tr w:rsidR="006F44AD">
        <w:trPr>
          <w:trHeight w:val="2124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6F44AD" w:rsidRDefault="000D66E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- голям потенциал за постигане на целта за преминаването към други видове </w:t>
            </w:r>
            <w:r>
              <w:rPr>
                <w:rFonts w:ascii="Tahoma" w:hAnsi="Tahoma"/>
                <w:noProof/>
                <w:sz w:val="20"/>
              </w:rPr>
              <w:t>транспорт на 30 % от товарния превоз (&gt;300 km) до 2030 г.;</w:t>
            </w:r>
          </w:p>
          <w:p w:rsidR="006F44AD" w:rsidRDefault="000D66E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- положително въздействие по отношение на спестените средства (намалени разходи) за сектора (оператори) от по-ясните условия при прилагане на Директивата, използване на електронни транспортни докум</w:t>
            </w:r>
            <w:r>
              <w:rPr>
                <w:rFonts w:ascii="Tahoma" w:hAnsi="Tahoma"/>
                <w:noProof/>
                <w:sz w:val="20"/>
              </w:rPr>
              <w:t xml:space="preserve">енти и средства, разширена икономическа подкрепа и др. Тези средства се изчисляват на около 64,6 млрд. евро за периода между 2022 г. и 2030 г.; </w:t>
            </w:r>
          </w:p>
          <w:p w:rsidR="006F44AD" w:rsidRDefault="000D66E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- положителни последици от гледна точка на спестените външни разходи (поради преминаването към други видове </w:t>
            </w:r>
            <w:r>
              <w:rPr>
                <w:rFonts w:ascii="Tahoma" w:hAnsi="Tahoma"/>
                <w:noProof/>
                <w:sz w:val="20"/>
              </w:rPr>
              <w:t>транспорт) от около 1,62 млрд. евро за периода между 2022 г. 2030 г.;</w:t>
            </w:r>
          </w:p>
          <w:p w:rsidR="006F44AD" w:rsidRDefault="000D66EB">
            <w:pPr>
              <w:jc w:val="both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- положително отражение по отношение на работните места, които се очаква да се открият поради повечето инвестиции в терминали, което може да се изчисли на икономическа полза от 361,41 мл</w:t>
            </w:r>
            <w:r>
              <w:rPr>
                <w:rFonts w:ascii="Tahoma" w:hAnsi="Tahoma"/>
                <w:noProof/>
                <w:sz w:val="20"/>
              </w:rPr>
              <w:t xml:space="preserve">н. евро за периода 2020 г. — 2030 г. 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6F44AD" w:rsidRDefault="000D66EB"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са разходите за предпочитания вариант (ако има такъв, в противен случай — за основните варианти)? 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6F44AD" w:rsidRDefault="000D66EB">
            <w:pPr>
              <w:jc w:val="both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- общите допълнителни разходи за органите поради допълнителните мерки за подкрепа (оперативна и инвестиции) за </w:t>
            </w:r>
            <w:r>
              <w:rPr>
                <w:rFonts w:ascii="Tahoma" w:hAnsi="Tahoma"/>
                <w:noProof/>
                <w:sz w:val="20"/>
              </w:rPr>
              <w:t>периода 2022 г. — 2030 г. възлизат на 2,9 млрд. евро.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6F44AD" w:rsidRDefault="000D66EB"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Какво е въздействието върху МСП и конкурентоспособността? 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6F44AD" w:rsidRDefault="000D66EB">
            <w:pPr>
              <w:jc w:val="both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Макар че съществува тенденция интермодалните оператори в сферата на железопътния и морския транспорт да са средноголеми или големи дружества,</w:t>
            </w:r>
            <w:r>
              <w:rPr>
                <w:rFonts w:ascii="Tahoma" w:hAnsi="Tahoma"/>
                <w:noProof/>
                <w:sz w:val="20"/>
              </w:rPr>
              <w:t xml:space="preserve"> операторите в областта на автомобилния превоз и тези по вътрешни водни пътища често са МСП. За тях се очаква въздействието от ВП2Б да доведе до по-голямо преминаване към интермодален транспорт поради по-широкото определение на критериите за допустимост. В</w:t>
            </w:r>
            <w:r>
              <w:rPr>
                <w:rFonts w:ascii="Tahoma" w:hAnsi="Tahoma"/>
                <w:noProof/>
                <w:sz w:val="20"/>
              </w:rPr>
              <w:t>ъвеждането на електронните структурирани данни с оглед на контрола може обаче да доведе до относително по-високи инвестиционни разходи за МСП, участващи в организирането на транспортни операции и подготовката на данните (напр. 137 250 евро на дружество), в</w:t>
            </w:r>
            <w:r>
              <w:rPr>
                <w:rFonts w:ascii="Tahoma" w:hAnsi="Tahoma"/>
                <w:noProof/>
                <w:sz w:val="20"/>
              </w:rPr>
              <w:t>ъпреки че се прогнозира на годишна база спестените средства да са 145 000 евро на дружество. Поради това въздействието върху автомобилните превозвачи, които са МСП и използват новите системи, следва да е малко и положително.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6F44AD" w:rsidRDefault="000D66EB"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значително въздейств</w:t>
            </w:r>
            <w:r>
              <w:rPr>
                <w:rFonts w:ascii="Tahoma" w:hAnsi="Tahoma"/>
                <w:b/>
                <w:noProof/>
                <w:sz w:val="20"/>
              </w:rPr>
              <w:t xml:space="preserve">ие върху националните бюджети и администрации? </w:t>
            </w:r>
          </w:p>
        </w:tc>
      </w:tr>
      <w:tr w:rsidR="006F44AD">
        <w:tc>
          <w:tcPr>
            <w:tcW w:w="10188" w:type="dxa"/>
            <w:shd w:val="clear" w:color="auto" w:fill="auto"/>
          </w:tcPr>
          <w:p w:rsidR="006F44AD" w:rsidRDefault="000D66E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Както е посочено по-горе, предпочитаният вариант ще доведе до допълнителни разходи за националните органи с оглед на прилагането на правилата (но далеч по-малки, отколкото спестените средства за сектора). 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6F44AD" w:rsidRDefault="000D66EB"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Ще има ли друго значително въздействие? 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6F44AD" w:rsidRDefault="000D66E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Както е посочено по-горе, се очаква инициативата да има значително положително въздействие върху околната среда (1,62 млрд. евро външни спестени средства за периода 2022 г. — 2030 г.) и отражение върху общото равни</w:t>
            </w:r>
            <w:r>
              <w:rPr>
                <w:rFonts w:ascii="Tahoma" w:hAnsi="Tahoma"/>
                <w:noProof/>
                <w:sz w:val="20"/>
              </w:rPr>
              <w:t>ще на заетост на нивото на ЕС (между 1428 и 4759 между 2022 г. — 2030 г.).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6F44AD" w:rsidRDefault="000D66EB"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Пропорционалност </w:t>
            </w:r>
          </w:p>
        </w:tc>
      </w:tr>
      <w:tr w:rsidR="006F44AD">
        <w:tc>
          <w:tcPr>
            <w:tcW w:w="10188" w:type="dxa"/>
            <w:shd w:val="clear" w:color="auto" w:fill="auto"/>
          </w:tcPr>
          <w:p w:rsidR="006F44AD" w:rsidRDefault="000D66EB">
            <w:pPr>
              <w:jc w:val="both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Предпочитаният вариант не надхвърля необходимото за решаване на първоначалния проблем и отговаря на целите на инициативата. Държавите членки ще имат известна гъв</w:t>
            </w:r>
            <w:r>
              <w:rPr>
                <w:rFonts w:ascii="Tahoma" w:hAnsi="Tahoma"/>
                <w:noProof/>
                <w:sz w:val="20"/>
              </w:rPr>
              <w:t>кавост по отношение на прилагането на някои от разпоредбите (определението на отсечката с автомобилен превоз) и мерките за подкрепа, които трябва да се предприемат, като ще се осигури общо разбиране на основните правила.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C0C0C0"/>
          </w:tcPr>
          <w:p w:rsidR="006F44AD" w:rsidRDefault="000D66EB">
            <w:pPr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Г. Последващи действия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6F44AD" w:rsidRDefault="000D66EB"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Кога ще се извърши преглед на политиката? </w:t>
            </w:r>
          </w:p>
        </w:tc>
      </w:tr>
      <w:tr w:rsidR="006F44AD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6F44AD" w:rsidRDefault="000D66EB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Предвиждат се актуализирани условия за мониторинг и механизъм за преглед, като първият доклад ще бъде пет години след влизането в сила на Директивата. </w:t>
            </w:r>
          </w:p>
        </w:tc>
      </w:tr>
    </w:tbl>
    <w:p w:rsidR="006F44AD" w:rsidRDefault="006F44AD">
      <w:pPr>
        <w:rPr>
          <w:rFonts w:ascii="Tahoma" w:hAnsi="Tahoma" w:cs="Tahoma"/>
          <w:noProof/>
          <w:sz w:val="20"/>
          <w:szCs w:val="20"/>
        </w:rPr>
      </w:pPr>
    </w:p>
    <w:sectPr w:rsidR="006F44A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276" w:right="567" w:bottom="624" w:left="1134" w:header="284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AD" w:rsidRDefault="000D66EB">
      <w:r>
        <w:separator/>
      </w:r>
    </w:p>
  </w:endnote>
  <w:endnote w:type="continuationSeparator" w:id="0">
    <w:p w:rsidR="006F44AD" w:rsidRDefault="000D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4AD" w:rsidRDefault="006F44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4AD" w:rsidRDefault="000D66EB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proofErr w:type="spellStart"/>
    <w:r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4AD" w:rsidRDefault="006F44AD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4AD" w:rsidRDefault="006F44A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4AD" w:rsidRPr="000D66EB" w:rsidRDefault="000D66EB" w:rsidP="000D66EB">
    <w:pPr>
      <w:pStyle w:val="Footer"/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proofErr w:type="spellStart"/>
    <w:r>
      <w:rPr>
        <w:rFonts w:ascii="Arial" w:hAnsi="Arial" w:cs="Arial"/>
        <w:b/>
        <w:sz w:val="48"/>
      </w:rPr>
      <w:t>BG</w:t>
    </w:r>
    <w:proofErr w:type="spellEnd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4AD" w:rsidRDefault="000D66EB">
    <w:pPr>
      <w:pStyle w:val="Footer"/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proofErr w:type="spellStart"/>
    <w:r>
      <w:rPr>
        <w:rFonts w:ascii="Arial" w:hAnsi="Arial" w:cs="Arial"/>
        <w:b/>
        <w:sz w:val="48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AD" w:rsidRDefault="000D66EB">
      <w:r>
        <w:separator/>
      </w:r>
    </w:p>
  </w:footnote>
  <w:footnote w:type="continuationSeparator" w:id="0">
    <w:p w:rsidR="006F44AD" w:rsidRDefault="000D6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4AD" w:rsidRDefault="006F44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4AD" w:rsidRDefault="006F44AD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4AD" w:rsidRDefault="006F44AD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4AD" w:rsidRDefault="006F44A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4AD" w:rsidRDefault="006F44A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4AD" w:rsidRDefault="000D66EB">
    <w:pPr>
      <w:pStyle w:val="Header"/>
      <w:jc w:val="center"/>
    </w:pPr>
    <w:r>
      <w:rPr>
        <w:rFonts w:ascii="Arial" w:hAnsi="Arial" w:cs="Arial"/>
        <w:noProof/>
        <w:lang w:val="en-GB" w:eastAsia="en-GB"/>
      </w:rPr>
      <w:drawing>
        <wp:inline distT="0" distB="0" distL="0" distR="0">
          <wp:extent cx="1713501" cy="457200"/>
          <wp:effectExtent l="0" t="0" r="1270" b="0"/>
          <wp:docPr id="8" name="Picture 8" descr="logo-ce-horizontal-en-quadri-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e-horizontal-en-quadri-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433" cy="460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159F"/>
    <w:multiLevelType w:val="hybridMultilevel"/>
    <w:tmpl w:val="43A8E84A"/>
    <w:lvl w:ilvl="0" w:tplc="FE468D86">
      <w:start w:val="1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8" w:hanging="360"/>
      </w:pPr>
    </w:lvl>
    <w:lvl w:ilvl="2" w:tplc="0809001B" w:tentative="1">
      <w:start w:val="1"/>
      <w:numFmt w:val="lowerRoman"/>
      <w:lvlText w:val="%3."/>
      <w:lvlJc w:val="right"/>
      <w:pPr>
        <w:ind w:left="2528" w:hanging="180"/>
      </w:pPr>
    </w:lvl>
    <w:lvl w:ilvl="3" w:tplc="0809000F" w:tentative="1">
      <w:start w:val="1"/>
      <w:numFmt w:val="decimal"/>
      <w:lvlText w:val="%4."/>
      <w:lvlJc w:val="left"/>
      <w:pPr>
        <w:ind w:left="3248" w:hanging="360"/>
      </w:pPr>
    </w:lvl>
    <w:lvl w:ilvl="4" w:tplc="08090019" w:tentative="1">
      <w:start w:val="1"/>
      <w:numFmt w:val="lowerLetter"/>
      <w:lvlText w:val="%5."/>
      <w:lvlJc w:val="left"/>
      <w:pPr>
        <w:ind w:left="3968" w:hanging="360"/>
      </w:pPr>
    </w:lvl>
    <w:lvl w:ilvl="5" w:tplc="0809001B" w:tentative="1">
      <w:start w:val="1"/>
      <w:numFmt w:val="lowerRoman"/>
      <w:lvlText w:val="%6."/>
      <w:lvlJc w:val="right"/>
      <w:pPr>
        <w:ind w:left="4688" w:hanging="180"/>
      </w:pPr>
    </w:lvl>
    <w:lvl w:ilvl="6" w:tplc="0809000F" w:tentative="1">
      <w:start w:val="1"/>
      <w:numFmt w:val="decimal"/>
      <w:lvlText w:val="%7."/>
      <w:lvlJc w:val="left"/>
      <w:pPr>
        <w:ind w:left="5408" w:hanging="360"/>
      </w:pPr>
    </w:lvl>
    <w:lvl w:ilvl="7" w:tplc="08090019" w:tentative="1">
      <w:start w:val="1"/>
      <w:numFmt w:val="lowerLetter"/>
      <w:lvlText w:val="%8."/>
      <w:lvlJc w:val="left"/>
      <w:pPr>
        <w:ind w:left="6128" w:hanging="360"/>
      </w:pPr>
    </w:lvl>
    <w:lvl w:ilvl="8" w:tplc="08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>
    <w:nsid w:val="2C53387C"/>
    <w:multiLevelType w:val="hybridMultilevel"/>
    <w:tmpl w:val="7006399E"/>
    <w:lvl w:ilvl="0" w:tplc="23DE7F7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300C6FEB"/>
    <w:multiLevelType w:val="hybridMultilevel"/>
    <w:tmpl w:val="C95A05F4"/>
    <w:lvl w:ilvl="0" w:tplc="FE468D8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9885615"/>
    <w:multiLevelType w:val="hybridMultilevel"/>
    <w:tmpl w:val="62ACEEEE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4C4E1654"/>
    <w:multiLevelType w:val="multilevel"/>
    <w:tmpl w:val="7006399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55FD19AF"/>
    <w:multiLevelType w:val="hybridMultilevel"/>
    <w:tmpl w:val="0E623F1A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671B39AB"/>
    <w:multiLevelType w:val="multilevel"/>
    <w:tmpl w:val="0E623F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77775577"/>
    <w:multiLevelType w:val="hybridMultilevel"/>
    <w:tmpl w:val="FC98EE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7?\u1088?\u1080?\u1076?\u1088?\u1091?\u1078?\u1072?\u1074?\u1072?\u1097?"/>
    <w:docVar w:name="LW_CORRIGENDUM" w:val="&lt;UNUSED&gt;"/>
    <w:docVar w:name="LW_COVERPAGE_EXISTS" w:val="True"/>
    <w:docVar w:name="LW_COVERPAGE_GUID" w:val="6418F484-AA93-4256-A518-42DFE1E3D82D"/>
    <w:docVar w:name="LW_COVERPAGE_TYPE" w:val="1"/>
    <w:docVar w:name="LW_CROSSREFERENCE" w:val="{COM(2017) 648 final}_x000b_{SWD(2017) 362 final}"/>
    <w:docVar w:name="LW_DocType" w:val="NORMAL"/>
    <w:docVar w:name="LW_EMISSION" w:val="8.11.2017"/>
    <w:docVar w:name="LW_EMISSION_ISODATE" w:val="2017-11-08"/>
    <w:docVar w:name="LW_EMISSION_LOCATION" w:val="BRX"/>
    <w:docVar w:name="LW_EMISSION_PREFIX" w:val="Брюксел, "/>
    <w:docVar w:name="LW_EMISSION_SUFFIX" w:val="\u1075?."/>
    <w:docVar w:name="LW_ID_DOCTYPE_NONLW" w:val="CP-02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44?\u1080?\u1088?\u1077?\u1082?\u1090?\u1080?\u1074?\u1072? 92/106/\u1045?\u1048?\u1054? \u1086?\u1090?\u1085?\u1086?\u1089?\u1085?\u1086? \u1089?\u1098?\u1079?\u1076?\u1072?\u1074?\u1072?\u1085?\u1077?\u1090?\u1086? \u1085?\u1072? \u1086?\u1073?\u1097?\u1080? \u1087?\u1088?\u1072?\u1074?\u1080?\u1083?\u1072? \u1079?\u1072? \u1085?\u1103?\u1082?\u1086?\u1080? \u1074?\u1080?\u1076?\u1086?\u1074?\u1077? \u1082?\u1086?\u1084?\u1073?\u1080?\u1085?\u1080?\u1088?\u1072?\u1085? \u1090?\u1088?\u1072?\u1085?\u1089?\u1087?\u1086?\u1088?\u1090? \u1085?\u1072? \u1090?\u1086?\u1074?\u1072?\u1088?\u1080? \u1084?\u1077?\u1078?\u1076?\u1091? \u1076?\u1098?\u1088?\u1078?\u1072?\u1074?\u1080?\u1090?\u1077? \u1095?\u1083?\u1077?\u1085?\u1082?\u1080?"/>
    <w:docVar w:name="LW_PART_NBR" w:val="1"/>
    <w:docVar w:name="LW_PART_NBR_TOTAL" w:val="1"/>
    <w:docVar w:name="LW_REF.INST.NEW" w:val="SWD"/>
    <w:docVar w:name="LW_REF.INST.NEW_ADOPTED" w:val="final"/>
    <w:docVar w:name="LW_REF.INST.NEW_TEXT" w:val="(2017) 36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76?\u1083?\u1086?\u1078?\u1077?\u1085?\u1080?\u1077? \u1079?\u1072? \u1044?\u1080?\u1088?\u1077?\u1082?\u1090?\u1080?\u1074?\u1072? \u1085?\u1072? \u1045?\u1074?\u1088?\u1086?\u1087?\u1077?\u1081?\u1089?\u1082?\u1080?\u1103? \u1087?\u1072?\u1088?\u1083?\u1072?\u1084?\u1077?\u1085?\u1090? \u1080? \u1085?\u1072? \u1057?\u1098?\u1074?\u1077?\u1090?\u1072?_x000b_"/>
  </w:docVars>
  <w:rsids>
    <w:rsidRoot w:val="006F44AD"/>
    <w:rsid w:val="000D66EB"/>
    <w:rsid w:val="006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  <w:lang w:eastAsia="en-US" w:bidi="ar-SA"/>
    </w:rPr>
  </w:style>
  <w:style w:type="paragraph" w:styleId="FootnoteText">
    <w:name w:val="footnote text"/>
    <w:basedOn w:val="Normal"/>
    <w:semiHidden/>
    <w:pPr>
      <w:ind w:left="720" w:hanging="720"/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szCs w:val="22"/>
      <w:lang w:eastAsia="en-US" w:bidi="ar-SA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ind w:right="85"/>
      <w:jc w:val="both"/>
    </w:pPr>
    <w:rPr>
      <w:rFonts w:ascii="Arial" w:eastAsiaTheme="minorEastAsia" w:hAnsi="Arial" w:cs="Arial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ind w:right="85"/>
    </w:pPr>
    <w:rPr>
      <w:rFonts w:ascii="Arial" w:eastAsiaTheme="minorEastAsia" w:hAnsi="Arial" w:cs="Arial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  <w:lang w:eastAsia="en-US" w:bidi="ar-SA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sz w:val="24"/>
      <w:szCs w:val="22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  <w:lang w:eastAsia="en-US" w:bidi="ar-SA"/>
    </w:rPr>
  </w:style>
  <w:style w:type="paragraph" w:styleId="FootnoteText">
    <w:name w:val="footnote text"/>
    <w:basedOn w:val="Normal"/>
    <w:semiHidden/>
    <w:pPr>
      <w:ind w:left="720" w:hanging="720"/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szCs w:val="22"/>
      <w:lang w:eastAsia="en-US" w:bidi="ar-SA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ind w:right="85"/>
      <w:jc w:val="both"/>
    </w:pPr>
    <w:rPr>
      <w:rFonts w:ascii="Arial" w:eastAsiaTheme="minorEastAsia" w:hAnsi="Arial" w:cs="Arial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ind w:right="85"/>
    </w:pPr>
    <w:rPr>
      <w:rFonts w:ascii="Arial" w:eastAsiaTheme="minorEastAsia" w:hAnsi="Arial" w:cs="Arial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  <w:lang w:eastAsia="en-US" w:bidi="ar-SA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sz w:val="24"/>
      <w:szCs w:val="22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FF24BEE692C4CA94781A66E31F216" ma:contentTypeVersion="1" ma:contentTypeDescription="Create a new document." ma:contentTypeScope="" ma:versionID="7d6ee1b4a7e3a71187b7d9d3fe1f64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C5FE9-6CE3-4E9C-B9CD-1391676A2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7B3CE-EE00-43FE-BE10-7423387A8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24173-A8CF-4AAB-BE0C-126D8400FDC0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071D9CC-F286-4E7D-ADF7-DC28B486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ROADMAP (Template)</vt:lpstr>
    </vt:vector>
  </TitlesOfParts>
  <Manager/>
  <Company/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ROADMAP (Template)</dc:title>
  <dc:creator/>
  <cp:lastModifiedBy>Stefanie Heilemann</cp:lastModifiedBy>
  <cp:revision>19</cp:revision>
  <cp:lastPrinted>2017-02-23T16:54:00Z</cp:lastPrinted>
  <dcterms:created xsi:type="dcterms:W3CDTF">2017-09-21T13:07:00Z</dcterms:created>
  <dcterms:modified xsi:type="dcterms:W3CDTF">2017-11-23T10:08:00Z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0x010100622FF24BEE692C4CA94781A66E31F216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Order">
    <vt:r8>400</vt:r8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DocStatus">
    <vt:lpwstr>Green</vt:lpwstr>
  </property>
  <property fmtid="{D5CDD505-2E9C-101B-9397-08002B2CF9AE}" pid="11" name="Level of sensitivity">
    <vt:lpwstr>Standard treatment</vt:lpwstr>
  </property>
</Properties>
</file>