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1E" w:rsidRDefault="00A22664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7F7C697-4172-4AE1-A90B-030AC87A3775" style="width:450.8pt;height:397.55pt">
            <v:imagedata r:id="rId8" o:title=""/>
          </v:shape>
        </w:pict>
      </w:r>
    </w:p>
    <w:p w:rsidR="00276C1E" w:rsidRDefault="00276C1E">
      <w:pPr>
        <w:rPr>
          <w:noProof/>
        </w:rPr>
        <w:sectPr w:rsidR="00276C1E"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76C1E" w:rsidRDefault="00A22664">
      <w:pPr>
        <w:pStyle w:val="Annexetitre"/>
        <w:rPr>
          <w:noProof/>
        </w:rPr>
      </w:pPr>
      <w:r>
        <w:rPr>
          <w:noProof/>
        </w:rPr>
        <w:lastRenderedPageBreak/>
        <w:t>ANNEXE</w:t>
      </w:r>
    </w:p>
    <w:p w:rsidR="00276C1E" w:rsidRDefault="00A22664">
      <w:pPr>
        <w:pStyle w:val="NormalCentered"/>
        <w:rPr>
          <w:noProof/>
        </w:rPr>
      </w:pPr>
      <w:r>
        <w:rPr>
          <w:noProof/>
        </w:rPr>
        <w:t xml:space="preserve">Informations pour la mise en œuvre des objectifs minimaux en matière de marchés publics pour les véhicules de transport routier propres à </w:t>
      </w:r>
      <w:r>
        <w:rPr>
          <w:noProof/>
        </w:rPr>
        <w:t>l'appui d'une mobilité à faible taux d'émissions dans les États membres</w:t>
      </w:r>
    </w:p>
    <w:p w:rsidR="00276C1E" w:rsidRDefault="00276C1E">
      <w:pPr>
        <w:spacing w:before="0" w:after="0"/>
        <w:rPr>
          <w:b/>
          <w:noProof/>
          <w:szCs w:val="24"/>
        </w:rPr>
      </w:pPr>
    </w:p>
    <w:p w:rsidR="00276C1E" w:rsidRPr="00A22664" w:rsidRDefault="00A22664">
      <w:pPr>
        <w:spacing w:before="0" w:after="0"/>
        <w:rPr>
          <w:i/>
          <w:noProof/>
          <w:szCs w:val="24"/>
        </w:rPr>
      </w:pPr>
      <w:r w:rsidRPr="00A22664">
        <w:rPr>
          <w:i/>
          <w:noProof/>
        </w:rPr>
        <w:t>Tableau </w:t>
      </w:r>
      <w:r w:rsidRPr="00A22664">
        <w:rPr>
          <w:i/>
          <w:noProof/>
        </w:rPr>
        <w:t>1</w:t>
      </w:r>
      <w:r w:rsidRPr="00A22664">
        <w:rPr>
          <w:i/>
          <w:noProof/>
        </w:rPr>
        <w:t>: Codes du vocabulaire commun pour les marchés publics visés à l’article </w:t>
      </w:r>
      <w:r w:rsidRPr="00A22664">
        <w:rPr>
          <w:i/>
          <w:noProof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9"/>
      </w:tblGrid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Code CPV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Description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60112000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6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Services de transport routier public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60130000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8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 xml:space="preserve">Services </w:t>
            </w:r>
            <w:r w:rsidRPr="00A22664">
              <w:rPr>
                <w:noProof/>
                <w:sz w:val="20"/>
              </w:rPr>
              <w:t>spécialisés de transport routier de passagers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60140000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1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i/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Transport non régulier de passagers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60172000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3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Location d'autobus et d'autocars avec chauffeur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90511000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2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Services de collecte des ordures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60160000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7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Transport routier postal</w:t>
            </w:r>
          </w:p>
        </w:tc>
      </w:tr>
      <w:tr w:rsidR="00276C1E" w:rsidRPr="00A22664">
        <w:tc>
          <w:tcPr>
            <w:tcW w:w="2660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60161000</w:t>
            </w:r>
            <w:r w:rsidRPr="00A22664">
              <w:rPr>
                <w:noProof/>
                <w:sz w:val="20"/>
              </w:rPr>
              <w:t>-</w:t>
            </w:r>
            <w:r w:rsidRPr="00A22664">
              <w:rPr>
                <w:noProof/>
                <w:sz w:val="20"/>
              </w:rPr>
              <w:t>4</w:t>
            </w:r>
          </w:p>
        </w:tc>
        <w:tc>
          <w:tcPr>
            <w:tcW w:w="6629" w:type="dxa"/>
          </w:tcPr>
          <w:p w:rsidR="00276C1E" w:rsidRPr="00A22664" w:rsidRDefault="00A22664">
            <w:pPr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Services</w:t>
            </w:r>
            <w:r w:rsidRPr="00A22664">
              <w:rPr>
                <w:noProof/>
                <w:sz w:val="20"/>
              </w:rPr>
              <w:t xml:space="preserve"> de transport de colis</w:t>
            </w:r>
          </w:p>
        </w:tc>
      </w:tr>
    </w:tbl>
    <w:p w:rsidR="00276C1E" w:rsidRPr="00A22664" w:rsidRDefault="00A22664">
      <w:pPr>
        <w:spacing w:before="0" w:after="0"/>
        <w:rPr>
          <w:i/>
          <w:noProof/>
          <w:szCs w:val="24"/>
        </w:rPr>
      </w:pPr>
      <w:r w:rsidRPr="00A22664">
        <w:rPr>
          <w:i/>
          <w:noProof/>
          <w:szCs w:val="24"/>
        </w:rPr>
        <w:br/>
      </w:r>
      <w:r w:rsidRPr="00A22664">
        <w:rPr>
          <w:i/>
          <w:noProof/>
        </w:rPr>
        <w:t>Tableau </w:t>
      </w:r>
      <w:r w:rsidRPr="00A22664">
        <w:rPr>
          <w:i/>
          <w:noProof/>
        </w:rPr>
        <w:t>2</w:t>
      </w:r>
      <w:r w:rsidRPr="00A22664">
        <w:rPr>
          <w:i/>
          <w:noProof/>
        </w:rPr>
        <w:t xml:space="preserve">: Seuils d’émissions pour les véhicules utilitaires légers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417"/>
        <w:gridCol w:w="2376"/>
      </w:tblGrid>
      <w:tr w:rsidR="00276C1E" w:rsidRPr="00A226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 xml:space="preserve">Catégories de véhicules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2025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2030</w:t>
            </w:r>
          </w:p>
        </w:tc>
      </w:tr>
      <w:tr w:rsidR="00276C1E" w:rsidRPr="00A226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1E" w:rsidRPr="00A22664" w:rsidRDefault="00276C1E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CO</w:t>
            </w:r>
            <w:r w:rsidRPr="00A22664">
              <w:rPr>
                <w:i/>
                <w:noProof/>
                <w:sz w:val="20"/>
                <w:vertAlign w:val="subscript"/>
              </w:rPr>
              <w:t>2</w:t>
            </w:r>
            <w:r w:rsidRPr="00A22664">
              <w:rPr>
                <w:i/>
                <w:noProof/>
                <w:sz w:val="20"/>
              </w:rPr>
              <w:t xml:space="preserve"> (g/km)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Émissions de polluants atmosphériques en conditions de conduite réelles* en pourcentage des limites d'émission**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CO</w:t>
            </w:r>
            <w:r w:rsidRPr="00A22664">
              <w:rPr>
                <w:i/>
                <w:noProof/>
                <w:sz w:val="20"/>
                <w:vertAlign w:val="subscript"/>
              </w:rPr>
              <w:t>2</w:t>
            </w:r>
            <w:r w:rsidRPr="00A22664">
              <w:rPr>
                <w:i/>
                <w:noProof/>
                <w:sz w:val="20"/>
              </w:rPr>
              <w:t xml:space="preserve"> (g/km)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i/>
                <w:noProof/>
                <w:sz w:val="20"/>
                <w:szCs w:val="20"/>
              </w:rPr>
            </w:pPr>
            <w:r w:rsidRPr="00A22664">
              <w:rPr>
                <w:i/>
                <w:noProof/>
                <w:sz w:val="20"/>
              </w:rPr>
              <w:t>Émissions de polluants atmosphériques en conditions de conduite réelles* en pourcentage des limites d'émission</w:t>
            </w:r>
          </w:p>
        </w:tc>
      </w:tr>
      <w:tr w:rsidR="00276C1E" w:rsidRPr="00A226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Véhicules de catégorie M</w:t>
            </w:r>
            <w:r w:rsidRPr="00A22664">
              <w:rPr>
                <w:noProof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n.d.</w:t>
            </w:r>
          </w:p>
        </w:tc>
      </w:tr>
      <w:tr w:rsidR="00276C1E" w:rsidRPr="00A226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Véhicules de catégorie M</w:t>
            </w:r>
            <w:r w:rsidRPr="00A22664">
              <w:rPr>
                <w:noProof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n.d.</w:t>
            </w:r>
          </w:p>
        </w:tc>
      </w:tr>
      <w:tr w:rsidR="00276C1E" w:rsidRPr="00A2266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Véhicules de catégorie N</w:t>
            </w:r>
            <w:r w:rsidRPr="00A22664">
              <w:rPr>
                <w:noProof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n.d.</w:t>
            </w:r>
          </w:p>
        </w:tc>
      </w:tr>
    </w:tbl>
    <w:p w:rsidR="00276C1E" w:rsidRPr="00A22664" w:rsidRDefault="00A22664">
      <w:pPr>
        <w:rPr>
          <w:noProof/>
          <w:sz w:val="18"/>
          <w:szCs w:val="18"/>
        </w:rPr>
      </w:pPr>
      <w:r w:rsidRPr="00A22664">
        <w:rPr>
          <w:i/>
          <w:noProof/>
          <w:sz w:val="20"/>
        </w:rPr>
        <w:t xml:space="preserve">* </w:t>
      </w:r>
      <w:r w:rsidRPr="00A22664">
        <w:rPr>
          <w:noProof/>
        </w:rPr>
        <w:t xml:space="preserve"> </w:t>
      </w:r>
      <w:r w:rsidRPr="00A22664">
        <w:rPr>
          <w:noProof/>
          <w:sz w:val="18"/>
        </w:rPr>
        <w:t xml:space="preserve">Émissions de particules ultrafines en conditions de conduite réelles en #/km (nombre de particules) d'oxydes d'azote en mg/km (NOx), mesurées conformément à la version applicable de l’annexe IIIA du règlement (UE) </w:t>
      </w:r>
      <w:r w:rsidRPr="00A22664">
        <w:rPr>
          <w:noProof/>
          <w:sz w:val="18"/>
        </w:rPr>
        <w:t>2017</w:t>
      </w:r>
      <w:r w:rsidRPr="00A22664">
        <w:rPr>
          <w:noProof/>
          <w:sz w:val="18"/>
        </w:rPr>
        <w:t>/</w:t>
      </w:r>
      <w:r w:rsidRPr="00A22664">
        <w:rPr>
          <w:noProof/>
          <w:sz w:val="18"/>
        </w:rPr>
        <w:t>1151</w:t>
      </w:r>
      <w:r w:rsidRPr="00A22664">
        <w:rPr>
          <w:noProof/>
        </w:rPr>
        <w:t>.</w:t>
      </w:r>
    </w:p>
    <w:p w:rsidR="00276C1E" w:rsidRPr="00A22664" w:rsidRDefault="00A22664">
      <w:pPr>
        <w:rPr>
          <w:i/>
          <w:noProof/>
          <w:szCs w:val="24"/>
        </w:rPr>
      </w:pPr>
      <w:r w:rsidRPr="00A22664">
        <w:rPr>
          <w:noProof/>
          <w:sz w:val="18"/>
        </w:rPr>
        <w:t>** Limite d’émission applicable</w:t>
      </w:r>
      <w:r w:rsidRPr="00A22664">
        <w:rPr>
          <w:noProof/>
          <w:sz w:val="18"/>
        </w:rPr>
        <w:t xml:space="preserve"> figurant à l’annexe I du règlement (CE) n</w:t>
      </w:r>
      <w:r w:rsidRPr="00A22664">
        <w:rPr>
          <w:noProof/>
          <w:sz w:val="18"/>
          <w:vertAlign w:val="superscript"/>
        </w:rPr>
        <w:t>o</w:t>
      </w:r>
      <w:r w:rsidRPr="00A22664">
        <w:rPr>
          <w:noProof/>
          <w:sz w:val="18"/>
        </w:rPr>
        <w:t> </w:t>
      </w:r>
      <w:r w:rsidRPr="00A22664">
        <w:rPr>
          <w:noProof/>
          <w:sz w:val="18"/>
        </w:rPr>
        <w:t>715</w:t>
      </w:r>
      <w:r w:rsidRPr="00A22664">
        <w:rPr>
          <w:noProof/>
          <w:sz w:val="18"/>
        </w:rPr>
        <w:t>/</w:t>
      </w:r>
      <w:r w:rsidRPr="00A22664">
        <w:rPr>
          <w:noProof/>
          <w:sz w:val="18"/>
        </w:rPr>
        <w:t>2007</w:t>
      </w:r>
      <w:r w:rsidRPr="00A22664">
        <w:rPr>
          <w:noProof/>
          <w:sz w:val="18"/>
        </w:rPr>
        <w:t xml:space="preserve"> ou dans ses versions ultérieures.</w:t>
      </w:r>
    </w:p>
    <w:p w:rsidR="00276C1E" w:rsidRPr="00A22664" w:rsidRDefault="00A22664">
      <w:pPr>
        <w:spacing w:before="0" w:after="0"/>
        <w:rPr>
          <w:i/>
          <w:noProof/>
          <w:szCs w:val="24"/>
        </w:rPr>
      </w:pPr>
      <w:r w:rsidRPr="00A22664">
        <w:rPr>
          <w:i/>
          <w:noProof/>
          <w:szCs w:val="24"/>
        </w:rPr>
        <w:br/>
      </w:r>
      <w:r w:rsidRPr="00A22664">
        <w:rPr>
          <w:i/>
          <w:noProof/>
        </w:rPr>
        <w:t>Tableau </w:t>
      </w:r>
      <w:r w:rsidRPr="00A22664">
        <w:rPr>
          <w:i/>
          <w:noProof/>
        </w:rPr>
        <w:t>3</w:t>
      </w:r>
      <w:r w:rsidRPr="00A22664">
        <w:rPr>
          <w:i/>
          <w:noProof/>
        </w:rPr>
        <w:t>: Exigences en matière de carburants de substitution pour les véhicules utilitaires lourds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1E" w:rsidRPr="00A226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 xml:space="preserve">Catégories de véhicules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Carburants de substitution</w:t>
            </w:r>
          </w:p>
        </w:tc>
      </w:tr>
      <w:tr w:rsidR="00276C1E" w:rsidRPr="00A226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 xml:space="preserve">Véhicules de </w:t>
            </w:r>
            <w:r w:rsidRPr="00A22664">
              <w:rPr>
                <w:noProof/>
                <w:sz w:val="20"/>
              </w:rPr>
              <w:t>catégories M</w:t>
            </w:r>
            <w:r w:rsidRPr="00A22664">
              <w:rPr>
                <w:noProof/>
                <w:sz w:val="20"/>
              </w:rPr>
              <w:t>3</w:t>
            </w:r>
            <w:r w:rsidRPr="00A22664">
              <w:rPr>
                <w:noProof/>
                <w:sz w:val="20"/>
              </w:rPr>
              <w:t>, N</w:t>
            </w:r>
            <w:r w:rsidRPr="00A22664">
              <w:rPr>
                <w:noProof/>
                <w:sz w:val="20"/>
              </w:rPr>
              <w:t>2</w:t>
            </w:r>
            <w:r w:rsidRPr="00A22664">
              <w:rPr>
                <w:noProof/>
                <w:sz w:val="20"/>
              </w:rPr>
              <w:t>, N</w:t>
            </w:r>
            <w:r w:rsidRPr="00A22664">
              <w:rPr>
                <w:noProof/>
                <w:sz w:val="20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L’électricité*, l’hydrogène, le gaz naturel,</w:t>
            </w:r>
            <w:r w:rsidRPr="00A22664">
              <w:rPr>
                <w:noProof/>
                <w:sz w:val="19"/>
              </w:rPr>
              <w:t xml:space="preserve"> y compris le biométhane, sous forme gazeuse [gaz naturel comprimé (GNC)] et sous forme liquéfiée [gaz naturel liquéfié (GNL)]</w:t>
            </w:r>
          </w:p>
        </w:tc>
      </w:tr>
    </w:tbl>
    <w:p w:rsidR="00276C1E" w:rsidRPr="00A22664" w:rsidRDefault="00A22664">
      <w:pPr>
        <w:spacing w:after="240"/>
        <w:rPr>
          <w:noProof/>
          <w:sz w:val="18"/>
          <w:szCs w:val="18"/>
        </w:rPr>
      </w:pPr>
      <w:r w:rsidRPr="00A22664">
        <w:rPr>
          <w:noProof/>
          <w:sz w:val="18"/>
        </w:rPr>
        <w:t xml:space="preserve"> * Pour approvisionner un véhicule tel que défini à l’article </w:t>
      </w:r>
      <w:r w:rsidRPr="00A22664">
        <w:rPr>
          <w:noProof/>
          <w:sz w:val="18"/>
        </w:rPr>
        <w:t>2</w:t>
      </w:r>
      <w:r w:rsidRPr="00A22664">
        <w:rPr>
          <w:noProof/>
          <w:sz w:val="18"/>
        </w:rPr>
        <w:t>, paragraphe </w:t>
      </w:r>
      <w:r w:rsidRPr="00A22664">
        <w:rPr>
          <w:noProof/>
          <w:sz w:val="18"/>
        </w:rPr>
        <w:t>2</w:t>
      </w:r>
      <w:r w:rsidRPr="00A22664">
        <w:rPr>
          <w:noProof/>
          <w:sz w:val="18"/>
        </w:rPr>
        <w:t>, de la directive </w:t>
      </w:r>
      <w:r w:rsidRPr="00A22664">
        <w:rPr>
          <w:noProof/>
          <w:sz w:val="18"/>
        </w:rPr>
        <w:t>2014</w:t>
      </w:r>
      <w:r w:rsidRPr="00A22664">
        <w:rPr>
          <w:noProof/>
          <w:sz w:val="18"/>
        </w:rPr>
        <w:t>/</w:t>
      </w:r>
      <w:r w:rsidRPr="00A22664">
        <w:rPr>
          <w:noProof/>
          <w:sz w:val="18"/>
        </w:rPr>
        <w:t>94</w:t>
      </w:r>
      <w:r w:rsidRPr="00A22664">
        <w:rPr>
          <w:noProof/>
          <w:sz w:val="18"/>
        </w:rPr>
        <w:t xml:space="preserve">/UE, à condition que l’électricité soit utilisée pour une part importante de l’utilisation du véhicule. </w:t>
      </w:r>
    </w:p>
    <w:p w:rsidR="00276C1E" w:rsidRPr="00A22664" w:rsidRDefault="00A22664">
      <w:pPr>
        <w:rPr>
          <w:i/>
          <w:noProof/>
          <w:szCs w:val="24"/>
        </w:rPr>
      </w:pPr>
      <w:r w:rsidRPr="00A22664">
        <w:rPr>
          <w:i/>
          <w:noProof/>
        </w:rPr>
        <w:lastRenderedPageBreak/>
        <w:t>Tableau </w:t>
      </w:r>
      <w:r w:rsidRPr="00A22664">
        <w:rPr>
          <w:i/>
          <w:noProof/>
        </w:rPr>
        <w:t>4</w:t>
      </w:r>
      <w:r w:rsidRPr="00A22664">
        <w:rPr>
          <w:i/>
          <w:noProof/>
        </w:rPr>
        <w:t>: Objectif minimal concernant la part de véhicules utilitaires légers conformément au tableau </w:t>
      </w:r>
      <w:r w:rsidRPr="00A22664">
        <w:rPr>
          <w:i/>
          <w:noProof/>
        </w:rPr>
        <w:t>2</w:t>
      </w:r>
      <w:r w:rsidRPr="00A22664">
        <w:rPr>
          <w:i/>
          <w:noProof/>
        </w:rPr>
        <w:t xml:space="preserve"> dans l</w:t>
      </w:r>
      <w:r w:rsidRPr="00A22664">
        <w:rPr>
          <w:i/>
          <w:noProof/>
        </w:rPr>
        <w:t>e total des marchés publics relatifs aux véhicules utilitaires légers au niveau des États membres*</w:t>
      </w:r>
    </w:p>
    <w:tbl>
      <w:tblPr>
        <w:tblW w:w="592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843"/>
        <w:gridCol w:w="2126"/>
      </w:tblGrid>
      <w:tr w:rsidR="00276C1E" w:rsidRPr="00A22664">
        <w:trPr>
          <w:trHeight w:val="300"/>
        </w:trPr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État membre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2030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Luxembourg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Suède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Danemark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34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34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Finlande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Allemagne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France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34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34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Royaume-Uni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Pays-Bas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Autriche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Belgique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Italie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Irlande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Espagne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33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33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Chypre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29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Malte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Portugal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27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Grèce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23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23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Slovénie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République tchèque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27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Estonie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21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21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Slovaquie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Lituanie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19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Pologne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Croatie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17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Hongrie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21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21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Lettonie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Roumanie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17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Bulgarie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76C1E" w:rsidRPr="00A22664" w:rsidRDefault="00A22664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16</w:t>
            </w:r>
            <w:r w:rsidRPr="00A22664">
              <w:rPr>
                <w:noProof/>
                <w:sz w:val="20"/>
              </w:rPr>
              <w:t> %</w:t>
            </w:r>
          </w:p>
        </w:tc>
      </w:tr>
    </w:tbl>
    <w:p w:rsidR="00276C1E" w:rsidRPr="00A22664" w:rsidRDefault="00A22664">
      <w:pPr>
        <w:rPr>
          <w:i/>
          <w:noProof/>
          <w:sz w:val="20"/>
          <w:szCs w:val="20"/>
        </w:rPr>
      </w:pPr>
      <w:r w:rsidRPr="00A22664">
        <w:rPr>
          <w:noProof/>
          <w:sz w:val="20"/>
        </w:rPr>
        <w:t xml:space="preserve">* Les véhicules à émissions nulles à l'échappement sont comptés comme </w:t>
      </w:r>
      <w:r w:rsidRPr="00A22664">
        <w:rPr>
          <w:noProof/>
          <w:sz w:val="20"/>
        </w:rPr>
        <w:t>1</w:t>
      </w:r>
      <w:r w:rsidRPr="00A22664">
        <w:rPr>
          <w:noProof/>
          <w:sz w:val="20"/>
        </w:rPr>
        <w:t xml:space="preserve"> véhicule </w:t>
      </w:r>
      <w:r w:rsidRPr="00A22664">
        <w:rPr>
          <w:noProof/>
          <w:sz w:val="20"/>
        </w:rPr>
        <w:t>contribuant au respect de l'obligation. Tous les autres véhicules qui répondent aux exigences du tableau </w:t>
      </w:r>
      <w:r w:rsidRPr="00A22664">
        <w:rPr>
          <w:noProof/>
          <w:sz w:val="20"/>
        </w:rPr>
        <w:t>2</w:t>
      </w:r>
      <w:r w:rsidRPr="00A22664">
        <w:rPr>
          <w:noProof/>
          <w:sz w:val="20"/>
        </w:rPr>
        <w:t xml:space="preserve"> de la présente annexe sont comptés comme </w:t>
      </w:r>
      <w:r w:rsidRPr="00A22664">
        <w:rPr>
          <w:noProof/>
          <w:sz w:val="20"/>
        </w:rPr>
        <w:t>0</w:t>
      </w:r>
      <w:r w:rsidRPr="00A22664">
        <w:rPr>
          <w:noProof/>
          <w:sz w:val="20"/>
        </w:rPr>
        <w:t>,</w:t>
      </w:r>
      <w:r w:rsidRPr="00A22664">
        <w:rPr>
          <w:noProof/>
          <w:sz w:val="20"/>
        </w:rPr>
        <w:t>5</w:t>
      </w:r>
      <w:r w:rsidRPr="00A22664">
        <w:rPr>
          <w:noProof/>
          <w:sz w:val="20"/>
        </w:rPr>
        <w:t> véhicule contribuant au respect de l'obligation.</w:t>
      </w:r>
    </w:p>
    <w:p w:rsidR="00276C1E" w:rsidRPr="00A22664" w:rsidRDefault="00A22664">
      <w:pPr>
        <w:spacing w:before="240"/>
        <w:rPr>
          <w:i/>
          <w:noProof/>
          <w:szCs w:val="24"/>
        </w:rPr>
      </w:pPr>
      <w:r w:rsidRPr="00A22664">
        <w:rPr>
          <w:i/>
          <w:noProof/>
        </w:rPr>
        <w:t>Tableau </w:t>
      </w:r>
      <w:r w:rsidRPr="00A22664">
        <w:rPr>
          <w:i/>
          <w:noProof/>
        </w:rPr>
        <w:t>5</w:t>
      </w:r>
      <w:r w:rsidRPr="00A22664">
        <w:rPr>
          <w:i/>
          <w:noProof/>
        </w:rPr>
        <w:t>: Objectif minimal concernant la part de véhic</w:t>
      </w:r>
      <w:r w:rsidRPr="00A22664">
        <w:rPr>
          <w:i/>
          <w:noProof/>
        </w:rPr>
        <w:t>ules utilitaires lourds conformément au tableau </w:t>
      </w:r>
      <w:r w:rsidRPr="00A22664">
        <w:rPr>
          <w:i/>
          <w:noProof/>
        </w:rPr>
        <w:t>3</w:t>
      </w:r>
      <w:r w:rsidRPr="00A22664">
        <w:rPr>
          <w:i/>
          <w:noProof/>
        </w:rPr>
        <w:t xml:space="preserve"> dans le total des marchés publics relatifs aux véhicules utilitaires lourds au niveau des États membres*</w:t>
      </w:r>
    </w:p>
    <w:tbl>
      <w:tblPr>
        <w:tblW w:w="38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275"/>
        <w:gridCol w:w="1278"/>
        <w:gridCol w:w="1148"/>
        <w:gridCol w:w="1463"/>
      </w:tblGrid>
      <w:tr w:rsidR="00276C1E" w:rsidRPr="00A22664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État membre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Camions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Bus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6C1E" w:rsidRPr="00A22664" w:rsidRDefault="00276C1E">
            <w:pPr>
              <w:spacing w:after="0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2025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b/>
                <w:noProof/>
                <w:sz w:val="20"/>
                <w:szCs w:val="20"/>
              </w:rPr>
            </w:pPr>
            <w:r w:rsidRPr="00A22664">
              <w:rPr>
                <w:b/>
                <w:noProof/>
                <w:sz w:val="20"/>
              </w:rPr>
              <w:t>2030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Luxembourg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Suède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Danemark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Finlande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69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Allemagne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France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71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Royaume-Uni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Pays-Bas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Autriche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Belgique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Italie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Irlande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Espagne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14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Chypre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13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Malte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15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75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Portugal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12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61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Grèce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57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Slovénie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33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République tchèque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11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Estonie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53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Slovaquie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58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Lituanie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Pologne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56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Croatie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32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48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Hongrie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42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63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Lettonie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40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60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Roumanie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6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29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43</w:t>
            </w:r>
            <w:r w:rsidRPr="00A22664">
              <w:rPr>
                <w:noProof/>
                <w:sz w:val="20"/>
              </w:rPr>
              <w:t> %</w:t>
            </w:r>
          </w:p>
        </w:tc>
      </w:tr>
      <w:tr w:rsidR="00276C1E" w:rsidRPr="00A22664">
        <w:trPr>
          <w:trHeight w:val="300"/>
        </w:trPr>
        <w:tc>
          <w:tcPr>
            <w:tcW w:w="1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Bulgarie</w:t>
            </w:r>
          </w:p>
        </w:tc>
        <w:tc>
          <w:tcPr>
            <w:tcW w:w="8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8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7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39</w:t>
            </w:r>
            <w:r w:rsidRPr="00A22664">
              <w:rPr>
                <w:noProof/>
                <w:sz w:val="20"/>
              </w:rP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6C1E" w:rsidRPr="00A22664" w:rsidRDefault="00A22664">
            <w:pPr>
              <w:spacing w:after="0"/>
              <w:rPr>
                <w:noProof/>
                <w:sz w:val="20"/>
                <w:szCs w:val="20"/>
              </w:rPr>
            </w:pPr>
            <w:r w:rsidRPr="00A22664">
              <w:rPr>
                <w:noProof/>
                <w:sz w:val="20"/>
              </w:rPr>
              <w:t>58</w:t>
            </w:r>
            <w:r w:rsidRPr="00A22664">
              <w:rPr>
                <w:noProof/>
                <w:sz w:val="20"/>
              </w:rPr>
              <w:t> %</w:t>
            </w:r>
          </w:p>
        </w:tc>
      </w:tr>
    </w:tbl>
    <w:p w:rsidR="00276C1E" w:rsidRDefault="00A22664">
      <w:pPr>
        <w:rPr>
          <w:noProof/>
        </w:rPr>
      </w:pPr>
      <w:r w:rsidRPr="00A22664">
        <w:rPr>
          <w:noProof/>
          <w:sz w:val="20"/>
        </w:rPr>
        <w:t xml:space="preserve">* Les véhicules à émissions nulles à l’échappement ou les véhicules utilisant du gaz naturel, à condition qu’ils fonctionnent entièrement au biométhane, ce qui devrait être démontré par un contrat de fourniture de biométhane ou d’autres moyens d’accéder à </w:t>
      </w:r>
      <w:r w:rsidRPr="00A22664">
        <w:rPr>
          <w:noProof/>
          <w:sz w:val="20"/>
        </w:rPr>
        <w:t xml:space="preserve">du biométhane, sont comptés comme </w:t>
      </w:r>
      <w:r w:rsidRPr="00A22664">
        <w:rPr>
          <w:noProof/>
          <w:sz w:val="20"/>
        </w:rPr>
        <w:t>1</w:t>
      </w:r>
      <w:r w:rsidRPr="00A22664">
        <w:rPr>
          <w:noProof/>
          <w:sz w:val="20"/>
        </w:rPr>
        <w:t xml:space="preserve"> véhicule contribuant au respect de l'obligation. Ce comptage n’est pas appliqué dans le cas des États membres où l'obligation minimale d’achats dépasse </w:t>
      </w:r>
      <w:r w:rsidRPr="00A22664">
        <w:rPr>
          <w:noProof/>
          <w:sz w:val="20"/>
        </w:rPr>
        <w:t>50</w:t>
      </w:r>
      <w:r w:rsidRPr="00A22664">
        <w:rPr>
          <w:noProof/>
          <w:sz w:val="20"/>
        </w:rPr>
        <w:t xml:space="preserve"> % du volume global des marchés publics, le seuil étant fixé à </w:t>
      </w:r>
      <w:r w:rsidRPr="00A22664">
        <w:rPr>
          <w:noProof/>
          <w:sz w:val="20"/>
        </w:rPr>
        <w:t>50</w:t>
      </w:r>
      <w:r w:rsidRPr="00A22664">
        <w:rPr>
          <w:noProof/>
          <w:sz w:val="20"/>
        </w:rPr>
        <w:t> </w:t>
      </w:r>
      <w:r w:rsidRPr="00A22664">
        <w:rPr>
          <w:noProof/>
          <w:sz w:val="20"/>
        </w:rPr>
        <w:t>%. Tous les autres véhicules qui répondent aux exigences du tableau </w:t>
      </w:r>
      <w:r w:rsidRPr="00A22664">
        <w:rPr>
          <w:noProof/>
          <w:sz w:val="20"/>
        </w:rPr>
        <w:t>2</w:t>
      </w:r>
      <w:r w:rsidRPr="00A22664">
        <w:rPr>
          <w:noProof/>
          <w:sz w:val="20"/>
        </w:rPr>
        <w:t xml:space="preserve"> de la présente annexe sont comptés comme </w:t>
      </w:r>
      <w:r w:rsidRPr="00A22664">
        <w:rPr>
          <w:noProof/>
          <w:sz w:val="20"/>
        </w:rPr>
        <w:t>0</w:t>
      </w:r>
      <w:r w:rsidRPr="00A22664">
        <w:rPr>
          <w:noProof/>
          <w:sz w:val="20"/>
        </w:rPr>
        <w:t>,</w:t>
      </w:r>
      <w:r w:rsidRPr="00A22664">
        <w:rPr>
          <w:noProof/>
          <w:sz w:val="20"/>
        </w:rPr>
        <w:t>5</w:t>
      </w:r>
      <w:r w:rsidRPr="00A22664">
        <w:rPr>
          <w:noProof/>
          <w:sz w:val="20"/>
        </w:rPr>
        <w:t> véhicule contribuant au respect de l'obligation.</w:t>
      </w:r>
      <w:bookmarkStart w:id="0" w:name="_GoBack"/>
      <w:bookmarkEnd w:id="0"/>
    </w:p>
    <w:sectPr w:rsidR="00276C1E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1E" w:rsidRDefault="00A22664">
      <w:pPr>
        <w:spacing w:before="0" w:after="0"/>
      </w:pPr>
      <w:r>
        <w:separator/>
      </w:r>
    </w:p>
  </w:endnote>
  <w:endnote w:type="continuationSeparator" w:id="0">
    <w:p w:rsidR="00276C1E" w:rsidRDefault="00A226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1E" w:rsidRDefault="00A22664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proofErr w:type="spellStart"/>
    <w:r>
      <w:rPr>
        <w:rFonts w:ascii="Arial" w:hAnsi="Arial" w:cs="Arial"/>
        <w:b/>
        <w:sz w:val="48"/>
      </w:rPr>
      <w:t>FR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1E" w:rsidRDefault="00A22664"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1E" w:rsidRDefault="00276C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1E" w:rsidRDefault="00A22664">
      <w:pPr>
        <w:spacing w:before="0" w:after="0"/>
      </w:pPr>
      <w:r>
        <w:separator/>
      </w:r>
    </w:p>
  </w:footnote>
  <w:footnote w:type="continuationSeparator" w:id="0">
    <w:p w:rsidR="00276C1E" w:rsidRDefault="00A226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34497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9CD5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25A3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0789D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DE224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3A084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6540E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E927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0 17:15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B7F7C697-4172-4AE1-A90B-030AC87A3775"/>
    <w:docVar w:name="LW_COVERPAGE_TYPE" w:val="1"/>
    <w:docVar w:name="LW_CROSSREFERENCE" w:val="{SWD(2017) 366 final}_x000b_{SWD(2017) 367 final}"/>
    <w:docVar w:name="LW_DocType" w:val="ANNEX"/>
    <w:docVar w:name="LW_EMISSION" w:val="8.11.2017"/>
    <w:docVar w:name="LW_EMISSION_ISODATE" w:val="2017-11-08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modifiant la directive 2009/33/CE relative à la promotion de véhicules de transport routier propres et économes en énergie"/>
    <w:docVar w:name="LW_OBJETACTEPRINCIPAL.CP" w:val="modifiant la directive 2009/33/CE relative à la promotion de véhicules de transport routier propres et économes en énergie"/>
    <w:docVar w:name="LW_PART_NBR" w:val="1"/>
    <w:docVar w:name="LW_PART_NBR_TOTAL" w:val="1"/>
    <w:docVar w:name="LW_REF.INST.NEW" w:val="COM"/>
    <w:docVar w:name="LW_REF.INST.NEW_ADOPTED" w:val="final"/>
    <w:docVar w:name="LW_REF.INST.NEW_TEXT" w:val="(2017) 6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irective du Parlement européen et du Conseil"/>
    <w:docVar w:name="LW_TYPEACTEPRINCIPAL.CP" w:val="proposition de directive du Parlement européen et du Conseil"/>
  </w:docVars>
  <w:rsids>
    <w:rsidRoot w:val="00276C1E"/>
    <w:rsid w:val="00276C1E"/>
    <w:rsid w:val="00A2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10</TotalTime>
  <Pages>4</Pages>
  <Words>934</Words>
  <Characters>3952</Characters>
  <Application>Microsoft Office Word</Application>
  <DocSecurity>0</DocSecurity>
  <Lines>359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PAREDES ECHAURI Cristina (CAB-ALMUNIA)</cp:lastModifiedBy>
  <cp:revision>10</cp:revision>
  <dcterms:created xsi:type="dcterms:W3CDTF">2017-11-20T16:14:00Z</dcterms:created>
  <dcterms:modified xsi:type="dcterms:W3CDTF">2017-11-23T10:58:00Z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Yellow (DQC version 03)</vt:lpwstr>
  </property>
</Properties>
</file>