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1F8E0C1-25EA-4BB7-85CB-804D08AF220C"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Default"/>
        <w:pageBreakBefore/>
        <w:jc w:val="center"/>
        <w:rPr>
          <w:rFonts w:ascii="Times New Roman" w:hAnsi="Times New Roman" w:cs="Times New Roman"/>
          <w:noProof/>
          <w:color w:val="auto"/>
          <w:sz w:val="23"/>
          <w:szCs w:val="23"/>
        </w:rPr>
      </w:pPr>
      <w:bookmarkStart w:id="1" w:name="_GoBack"/>
      <w:bookmarkEnd w:id="1"/>
      <w:r>
        <w:rPr>
          <w:rFonts w:ascii="Times New Roman" w:hAnsi="Times New Roman" w:cs="Times New Roman"/>
          <w:b/>
          <w:bCs/>
          <w:noProof/>
          <w:color w:val="auto"/>
          <w:sz w:val="23"/>
          <w:szCs w:val="23"/>
        </w:rPr>
        <w:lastRenderedPageBreak/>
        <w:t xml:space="preserve">REPORT FROM THE COMMISSION TO THE EUROPEAN PARLIAMENT AND </w:t>
      </w:r>
      <w:r>
        <w:rPr>
          <w:rFonts w:ascii="Times New Roman" w:hAnsi="Times New Roman" w:cs="Times New Roman"/>
          <w:b/>
          <w:bCs/>
          <w:noProof/>
          <w:color w:val="auto"/>
          <w:sz w:val="23"/>
          <w:szCs w:val="23"/>
        </w:rPr>
        <w:br/>
        <w:t>THE COUNCIL</w:t>
      </w:r>
      <w:r>
        <w:rPr>
          <w:rFonts w:ascii="Times New Roman" w:hAnsi="Times New Roman" w:cs="Times New Roman"/>
          <w:b/>
          <w:bCs/>
          <w:noProof/>
          <w:color w:val="auto"/>
          <w:sz w:val="23"/>
          <w:szCs w:val="23"/>
        </w:rPr>
        <w:br/>
      </w:r>
      <w:r>
        <w:rPr>
          <w:rFonts w:ascii="Times New Roman" w:hAnsi="Times New Roman" w:cs="Times New Roman"/>
          <w:b/>
          <w:bCs/>
          <w:noProof/>
          <w:color w:val="auto"/>
          <w:sz w:val="23"/>
          <w:szCs w:val="23"/>
        </w:rPr>
        <w:br/>
        <w:t xml:space="preserve"> on the exercise of the power to adopt delegated acts conferred on the Commission pursuant to Directive 2010/63/EU of the European Parliament and of the Council of 22 September 2010 on the protection of animals used for scientific purposes</w:t>
      </w:r>
      <w:r>
        <w:rPr>
          <w:rFonts w:ascii="Times New Roman" w:hAnsi="Times New Roman" w:cs="Times New Roman"/>
          <w:b/>
          <w:bCs/>
          <w:noProof/>
          <w:color w:val="auto"/>
          <w:sz w:val="23"/>
          <w:szCs w:val="23"/>
        </w:rPr>
        <w:br/>
      </w:r>
    </w:p>
    <w:p>
      <w:pPr>
        <w:pStyle w:val="Default"/>
        <w:rPr>
          <w:rFonts w:ascii="Times New Roman" w:hAnsi="Times New Roman" w:cs="Times New Roman"/>
          <w:noProof/>
          <w:color w:val="auto"/>
          <w:sz w:val="23"/>
          <w:szCs w:val="23"/>
        </w:rPr>
      </w:pPr>
      <w:r>
        <w:rPr>
          <w:rFonts w:ascii="Times New Roman" w:hAnsi="Times New Roman" w:cs="Times New Roman"/>
          <w:noProof/>
          <w:color w:val="auto"/>
          <w:sz w:val="23"/>
          <w:szCs w:val="23"/>
        </w:rPr>
        <w:t xml:space="preserve">1. INTRODUCTION </w:t>
      </w:r>
    </w:p>
    <w:p>
      <w:pPr>
        <w:pStyle w:val="CM4"/>
        <w:spacing w:before="60" w:after="60"/>
        <w:jc w:val="both"/>
        <w:rPr>
          <w:rFonts w:ascii="Times New Roman" w:hAnsi="Times New Roman" w:cs="Times New Roman"/>
          <w:noProof/>
          <w:sz w:val="23"/>
          <w:szCs w:val="23"/>
        </w:rPr>
      </w:pPr>
      <w:r>
        <w:rPr>
          <w:rFonts w:ascii="Times New Roman" w:hAnsi="Times New Roman" w:cs="Times New Roman"/>
          <w:noProof/>
          <w:sz w:val="23"/>
          <w:szCs w:val="23"/>
        </w:rPr>
        <w:t>Directive 2010/63/EU of the European Parliament and of the Council of 22 September 2010 on the protection of animals used for scientific purposes</w:t>
      </w:r>
      <w:r>
        <w:rPr>
          <w:rStyle w:val="FootnoteReference"/>
          <w:rFonts w:ascii="Times New Roman" w:hAnsi="Times New Roman" w:cs="Times New Roman"/>
          <w:noProof/>
          <w:sz w:val="23"/>
          <w:szCs w:val="23"/>
        </w:rPr>
        <w:footnoteReference w:id="1"/>
      </w:r>
      <w:r>
        <w:rPr>
          <w:rFonts w:ascii="Times New Roman" w:hAnsi="Times New Roman" w:cs="Times New Roman"/>
          <w:noProof/>
          <w:sz w:val="23"/>
          <w:szCs w:val="23"/>
        </w:rPr>
        <w:t xml:space="preserve"> regulates the care and use of animals for scientific purposes. It lays down rules on the replacement and reduction of the use of animals in procedures and the refinement of the breeding, accommodation,</w:t>
      </w:r>
      <w:r>
        <w:rPr>
          <w:rFonts w:cs="EUAlbertina"/>
          <w:noProof/>
          <w:color w:val="000000"/>
          <w:sz w:val="19"/>
          <w:szCs w:val="19"/>
        </w:rPr>
        <w:t xml:space="preserve"> </w:t>
      </w:r>
      <w:r>
        <w:rPr>
          <w:rFonts w:ascii="Times New Roman" w:hAnsi="Times New Roman" w:cs="Times New Roman"/>
          <w:noProof/>
          <w:sz w:val="23"/>
          <w:szCs w:val="23"/>
        </w:rPr>
        <w:t>care and use of animals in procedures; the origin, breeding, marking, care and accommodation, and killing of animals; the operations and authorisation of breeders, suppliers and users; and the evaluation and authorisation of projects involving the use of live animals in procedures.</w:t>
      </w:r>
    </w:p>
    <w:p>
      <w:pPr>
        <w:pStyle w:val="CM4"/>
        <w:spacing w:before="60" w:after="60"/>
        <w:rPr>
          <w:rFonts w:ascii="Times New Roman" w:hAnsi="Times New Roman" w:cs="Times New Roman"/>
          <w:noProof/>
          <w:sz w:val="23"/>
          <w:szCs w:val="23"/>
        </w:rPr>
      </w:pPr>
    </w:p>
    <w:p>
      <w:pPr>
        <w:pStyle w:val="CM4"/>
        <w:spacing w:before="60" w:after="60"/>
        <w:rPr>
          <w:rFonts w:ascii="Times New Roman" w:hAnsi="Times New Roman" w:cs="Times New Roman"/>
          <w:noProof/>
          <w:sz w:val="23"/>
          <w:szCs w:val="23"/>
        </w:rPr>
      </w:pPr>
      <w:r>
        <w:rPr>
          <w:rFonts w:ascii="Times New Roman" w:hAnsi="Times New Roman" w:cs="Times New Roman"/>
          <w:noProof/>
          <w:sz w:val="23"/>
          <w:szCs w:val="23"/>
        </w:rPr>
        <w:t>This Directive empowers the Commission to adopt delegated acts to adapt the Annexes I and III to VIII (with the exception of provisions of Sections I and II of Annex VIII) to scientific and technical progress:</w:t>
      </w:r>
    </w:p>
    <w:p>
      <w:pPr>
        <w:pStyle w:val="Default"/>
        <w:rPr>
          <w:rFonts w:ascii="Times New Roman" w:hAnsi="Times New Roman" w:cs="Times New Roman"/>
          <w:noProof/>
          <w:color w:val="auto"/>
          <w:sz w:val="23"/>
          <w:szCs w:val="23"/>
        </w:rPr>
      </w:pPr>
    </w:p>
    <w:p>
      <w:pPr>
        <w:pStyle w:val="ListParagraph"/>
        <w:numPr>
          <w:ilvl w:val="0"/>
          <w:numId w:val="1"/>
        </w:numPr>
        <w:autoSpaceDE w:val="0"/>
        <w:autoSpaceDN w:val="0"/>
        <w:adjustRightInd w:val="0"/>
        <w:spacing w:before="60" w:after="60" w:line="240" w:lineRule="auto"/>
        <w:rPr>
          <w:rFonts w:ascii="Times New Roman" w:hAnsi="Times New Roman" w:cs="Times New Roman"/>
          <w:noProof/>
          <w:sz w:val="23"/>
          <w:szCs w:val="23"/>
        </w:rPr>
      </w:pPr>
      <w:r>
        <w:rPr>
          <w:rFonts w:ascii="Times New Roman" w:hAnsi="Times New Roman" w:cs="Times New Roman"/>
          <w:noProof/>
          <w:sz w:val="23"/>
          <w:szCs w:val="23"/>
        </w:rPr>
        <w:t>ANNEX I: List of animals referred to in Article 10 [requiring these specifically bred for use in procedures]</w:t>
      </w:r>
    </w:p>
    <w:p>
      <w:pPr>
        <w:pStyle w:val="ListParagraph"/>
        <w:numPr>
          <w:ilvl w:val="0"/>
          <w:numId w:val="1"/>
        </w:numPr>
        <w:autoSpaceDE w:val="0"/>
        <w:autoSpaceDN w:val="0"/>
        <w:adjustRightInd w:val="0"/>
        <w:spacing w:before="60" w:after="60" w:line="240" w:lineRule="auto"/>
        <w:rPr>
          <w:rFonts w:ascii="Times New Roman" w:hAnsi="Times New Roman" w:cs="Times New Roman"/>
          <w:noProof/>
          <w:sz w:val="23"/>
          <w:szCs w:val="23"/>
        </w:rPr>
      </w:pPr>
      <w:r>
        <w:rPr>
          <w:rFonts w:ascii="Times New Roman" w:hAnsi="Times New Roman" w:cs="Times New Roman"/>
          <w:noProof/>
          <w:sz w:val="23"/>
          <w:szCs w:val="23"/>
        </w:rPr>
        <w:t>ANNEX III: Requirements for establishments and for the care and accommodation of animals</w:t>
      </w:r>
    </w:p>
    <w:p>
      <w:pPr>
        <w:pStyle w:val="ListParagraph"/>
        <w:numPr>
          <w:ilvl w:val="0"/>
          <w:numId w:val="1"/>
        </w:numPr>
        <w:autoSpaceDE w:val="0"/>
        <w:autoSpaceDN w:val="0"/>
        <w:adjustRightInd w:val="0"/>
        <w:spacing w:before="60" w:after="60" w:line="240" w:lineRule="auto"/>
        <w:rPr>
          <w:rFonts w:ascii="Times New Roman" w:hAnsi="Times New Roman" w:cs="Times New Roman"/>
          <w:noProof/>
          <w:sz w:val="23"/>
          <w:szCs w:val="23"/>
        </w:rPr>
      </w:pPr>
      <w:r>
        <w:rPr>
          <w:rFonts w:ascii="Times New Roman" w:hAnsi="Times New Roman" w:cs="Times New Roman"/>
          <w:noProof/>
          <w:sz w:val="23"/>
          <w:szCs w:val="23"/>
        </w:rPr>
        <w:t>ANNEX IV: Methods of killing animals</w:t>
      </w:r>
    </w:p>
    <w:p>
      <w:pPr>
        <w:pStyle w:val="ListParagraph"/>
        <w:numPr>
          <w:ilvl w:val="0"/>
          <w:numId w:val="1"/>
        </w:numPr>
        <w:autoSpaceDE w:val="0"/>
        <w:autoSpaceDN w:val="0"/>
        <w:adjustRightInd w:val="0"/>
        <w:spacing w:before="60" w:after="60" w:line="240" w:lineRule="auto"/>
        <w:rPr>
          <w:rFonts w:ascii="Times New Roman" w:hAnsi="Times New Roman" w:cs="Times New Roman"/>
          <w:noProof/>
          <w:sz w:val="23"/>
          <w:szCs w:val="23"/>
        </w:rPr>
      </w:pPr>
      <w:r>
        <w:rPr>
          <w:rFonts w:ascii="Times New Roman" w:hAnsi="Times New Roman" w:cs="Times New Roman"/>
          <w:noProof/>
          <w:sz w:val="23"/>
          <w:szCs w:val="23"/>
        </w:rPr>
        <w:t>ANNEX V: List of elements referred to in Article 23(3) [as the basis for Member States to establish minimum requirements for education and training of staff ]</w:t>
      </w:r>
    </w:p>
    <w:p>
      <w:pPr>
        <w:pStyle w:val="ListParagraph"/>
        <w:numPr>
          <w:ilvl w:val="0"/>
          <w:numId w:val="1"/>
        </w:numPr>
        <w:autoSpaceDE w:val="0"/>
        <w:autoSpaceDN w:val="0"/>
        <w:adjustRightInd w:val="0"/>
        <w:spacing w:before="60" w:after="60" w:line="240" w:lineRule="auto"/>
        <w:rPr>
          <w:rFonts w:ascii="Times New Roman" w:hAnsi="Times New Roman" w:cs="Times New Roman"/>
          <w:noProof/>
          <w:sz w:val="23"/>
          <w:szCs w:val="23"/>
        </w:rPr>
      </w:pPr>
      <w:r>
        <w:rPr>
          <w:rFonts w:ascii="Times New Roman" w:hAnsi="Times New Roman" w:cs="Times New Roman"/>
          <w:noProof/>
          <w:sz w:val="23"/>
          <w:szCs w:val="23"/>
        </w:rPr>
        <w:t>ANNEX VI: List of elements referred to in Article 37(1)(c) [on obligatory information to be included in a project application]</w:t>
      </w:r>
    </w:p>
    <w:p>
      <w:pPr>
        <w:pStyle w:val="ListParagraph"/>
        <w:numPr>
          <w:ilvl w:val="0"/>
          <w:numId w:val="1"/>
        </w:numPr>
        <w:autoSpaceDE w:val="0"/>
        <w:autoSpaceDN w:val="0"/>
        <w:adjustRightInd w:val="0"/>
        <w:spacing w:before="60" w:after="60" w:line="240" w:lineRule="auto"/>
        <w:rPr>
          <w:rFonts w:ascii="Times New Roman" w:hAnsi="Times New Roman" w:cs="Times New Roman"/>
          <w:noProof/>
          <w:sz w:val="23"/>
          <w:szCs w:val="23"/>
        </w:rPr>
      </w:pPr>
      <w:r>
        <w:rPr>
          <w:rFonts w:ascii="Times New Roman" w:hAnsi="Times New Roman" w:cs="Times New Roman"/>
          <w:noProof/>
          <w:sz w:val="23"/>
          <w:szCs w:val="23"/>
        </w:rPr>
        <w:t>ANNEX VII: Duties and tasks of the Union Reference Laboratory [established for the co-ordination of validation of alternative methods at Union level]</w:t>
      </w:r>
    </w:p>
    <w:p>
      <w:pPr>
        <w:pStyle w:val="ListParagraph"/>
        <w:numPr>
          <w:ilvl w:val="0"/>
          <w:numId w:val="1"/>
        </w:numPr>
        <w:autoSpaceDE w:val="0"/>
        <w:autoSpaceDN w:val="0"/>
        <w:adjustRightInd w:val="0"/>
        <w:spacing w:before="60" w:after="60" w:line="240" w:lineRule="auto"/>
        <w:rPr>
          <w:rFonts w:ascii="Times New Roman" w:hAnsi="Times New Roman" w:cs="Times New Roman"/>
          <w:noProof/>
          <w:sz w:val="23"/>
          <w:szCs w:val="23"/>
        </w:rPr>
      </w:pPr>
      <w:r>
        <w:rPr>
          <w:rFonts w:ascii="Times New Roman" w:hAnsi="Times New Roman" w:cs="Times New Roman"/>
          <w:noProof/>
          <w:sz w:val="23"/>
          <w:szCs w:val="23"/>
        </w:rPr>
        <w:t xml:space="preserve">ANNEX VIII: Severity classification of procedures [examples of different types of procedures assigned to each of the severity categories ] </w:t>
      </w:r>
    </w:p>
    <w:p>
      <w:pPr>
        <w:pStyle w:val="Default"/>
        <w:rPr>
          <w:rFonts w:ascii="Times New Roman" w:hAnsi="Times New Roman" w:cs="Times New Roman"/>
          <w:noProof/>
          <w:color w:val="auto"/>
          <w:sz w:val="23"/>
          <w:szCs w:val="23"/>
        </w:rPr>
      </w:pPr>
    </w:p>
    <w:p>
      <w:pPr>
        <w:pStyle w:val="Default"/>
        <w:rPr>
          <w:rFonts w:ascii="Times New Roman" w:hAnsi="Times New Roman" w:cs="Times New Roman"/>
          <w:noProof/>
          <w:color w:val="auto"/>
          <w:sz w:val="23"/>
          <w:szCs w:val="23"/>
        </w:rPr>
      </w:pPr>
      <w:r>
        <w:rPr>
          <w:rFonts w:ascii="Times New Roman" w:hAnsi="Times New Roman" w:cs="Times New Roman"/>
          <w:noProof/>
          <w:color w:val="auto"/>
          <w:sz w:val="23"/>
          <w:szCs w:val="23"/>
        </w:rPr>
        <w:t xml:space="preserve">2. LEGAL BASIS </w:t>
      </w:r>
    </w:p>
    <w:p>
      <w:pPr>
        <w:pStyle w:val="Default"/>
        <w:jc w:val="both"/>
        <w:rPr>
          <w:rFonts w:ascii="Times New Roman" w:hAnsi="Times New Roman" w:cs="Times New Roman"/>
          <w:noProof/>
          <w:color w:val="auto"/>
          <w:sz w:val="23"/>
          <w:szCs w:val="23"/>
        </w:rPr>
      </w:pPr>
      <w:r>
        <w:rPr>
          <w:rFonts w:ascii="Times New Roman" w:hAnsi="Times New Roman" w:cs="Times New Roman"/>
          <w:noProof/>
          <w:color w:val="auto"/>
          <w:sz w:val="23"/>
          <w:szCs w:val="23"/>
        </w:rPr>
        <w:t xml:space="preserve">This report is required under Article 51(1) of Directive 2010/63/EU. Pursuant to this provision, the power to adopt delegated acts was conferred on the Commission for a period of 8 years beginning on 9 November 2010 and the Commission is required to prepare a report in respect of the delegation of power, at the latest 12 months before the end of the eight-year period. The delegation of power shall be automatically extended for periods of an identical duration, unless the European Parliament or the Council revokes it in accordance with Article 52. </w:t>
      </w:r>
    </w:p>
    <w:p>
      <w:pPr>
        <w:pStyle w:val="Default"/>
        <w:jc w:val="both"/>
        <w:rPr>
          <w:rFonts w:ascii="Times New Roman" w:hAnsi="Times New Roman" w:cs="Times New Roman"/>
          <w:noProof/>
          <w:color w:val="auto"/>
          <w:sz w:val="23"/>
          <w:szCs w:val="23"/>
        </w:rPr>
      </w:pPr>
    </w:p>
    <w:p>
      <w:pPr>
        <w:pStyle w:val="Default"/>
        <w:jc w:val="both"/>
        <w:rPr>
          <w:rFonts w:ascii="Times New Roman" w:hAnsi="Times New Roman" w:cs="Times New Roman"/>
          <w:noProof/>
          <w:color w:val="auto"/>
          <w:sz w:val="23"/>
          <w:szCs w:val="23"/>
        </w:rPr>
      </w:pPr>
    </w:p>
    <w:p>
      <w:pPr>
        <w:pStyle w:val="Default"/>
        <w:jc w:val="both"/>
        <w:rPr>
          <w:rFonts w:ascii="Times New Roman" w:hAnsi="Times New Roman" w:cs="Times New Roman"/>
          <w:noProof/>
          <w:color w:val="auto"/>
          <w:sz w:val="23"/>
          <w:szCs w:val="23"/>
        </w:rPr>
      </w:pPr>
      <w:r>
        <w:rPr>
          <w:rFonts w:ascii="Times New Roman" w:hAnsi="Times New Roman" w:cs="Times New Roman"/>
          <w:noProof/>
          <w:color w:val="auto"/>
          <w:sz w:val="23"/>
          <w:szCs w:val="23"/>
        </w:rPr>
        <w:t xml:space="preserve">3. EXERCISE OF THE DELEGATION </w:t>
      </w:r>
    </w:p>
    <w:p>
      <w:pPr>
        <w:pStyle w:val="Default"/>
        <w:jc w:val="both"/>
        <w:rPr>
          <w:rFonts w:ascii="Times New Roman" w:hAnsi="Times New Roman" w:cs="Times New Roman"/>
          <w:noProof/>
          <w:color w:val="auto"/>
          <w:sz w:val="23"/>
          <w:szCs w:val="23"/>
        </w:rPr>
      </w:pPr>
      <w:r>
        <w:rPr>
          <w:rFonts w:ascii="Times New Roman" w:hAnsi="Times New Roman" w:cs="Times New Roman"/>
          <w:noProof/>
          <w:color w:val="auto"/>
          <w:sz w:val="23"/>
          <w:szCs w:val="23"/>
        </w:rPr>
        <w:t xml:space="preserve">The exercise of the empowerment was deemed necessary for adapting several provisions foreseen by the Directive to scientific and technical progress. Until today, however, no sufficient scientific information has become available to warrant such an update of the relevant Annexes. </w:t>
      </w:r>
      <w:r>
        <w:rPr>
          <w:rFonts w:ascii="Times New Roman" w:hAnsi="Times New Roman" w:cs="Times New Roman"/>
          <w:noProof/>
          <w:color w:val="auto"/>
          <w:sz w:val="23"/>
          <w:szCs w:val="23"/>
        </w:rPr>
        <w:br/>
        <w:t xml:space="preserve">In addition, the Directive took longer than was foreseen until its transposition in all Member State legislation was completed (the last of which was completed only in 2015) Therefore, there is at present only limited experience on the provisions contained in the Annexes of the Directive. </w:t>
      </w:r>
    </w:p>
    <w:p>
      <w:pPr>
        <w:pStyle w:val="Default"/>
        <w:jc w:val="both"/>
        <w:rPr>
          <w:rFonts w:ascii="Times New Roman" w:hAnsi="Times New Roman" w:cs="Times New Roman"/>
          <w:noProof/>
          <w:color w:val="auto"/>
          <w:sz w:val="23"/>
          <w:szCs w:val="23"/>
        </w:rPr>
      </w:pPr>
    </w:p>
    <w:p>
      <w:pPr>
        <w:pStyle w:val="Default"/>
        <w:jc w:val="both"/>
        <w:rPr>
          <w:rFonts w:ascii="Times New Roman" w:hAnsi="Times New Roman" w:cs="Times New Roman"/>
          <w:noProof/>
          <w:color w:val="auto"/>
          <w:sz w:val="23"/>
          <w:szCs w:val="23"/>
        </w:rPr>
      </w:pPr>
      <w:r>
        <w:rPr>
          <w:rFonts w:ascii="Times New Roman" w:hAnsi="Times New Roman" w:cs="Times New Roman"/>
          <w:noProof/>
          <w:color w:val="auto"/>
          <w:sz w:val="23"/>
          <w:szCs w:val="23"/>
        </w:rPr>
        <w:t>However, as more experience is gained with the application of the Directive in practice, including Member State reports on exemptions granted to elements in some of the Annexes on the basis of new scientific evidence, as research continues to deliver new knowledge on the welfare needs of the species used, and as new investigation techniques and tools become available, the Commission will be required to use its delegated powers to ensure the Directive is adapted to scientific and technical progress.</w:t>
      </w:r>
    </w:p>
    <w:p>
      <w:pPr>
        <w:pStyle w:val="Default"/>
        <w:jc w:val="both"/>
        <w:rPr>
          <w:rFonts w:ascii="Times New Roman" w:hAnsi="Times New Roman" w:cs="Times New Roman"/>
          <w:noProof/>
          <w:color w:val="auto"/>
          <w:sz w:val="23"/>
          <w:szCs w:val="23"/>
        </w:rPr>
      </w:pPr>
    </w:p>
    <w:p>
      <w:pPr>
        <w:pStyle w:val="Default"/>
        <w:jc w:val="both"/>
        <w:rPr>
          <w:rFonts w:ascii="Times New Roman" w:hAnsi="Times New Roman" w:cs="Times New Roman"/>
          <w:noProof/>
          <w:color w:val="auto"/>
          <w:sz w:val="23"/>
          <w:szCs w:val="23"/>
        </w:rPr>
      </w:pPr>
    </w:p>
    <w:p>
      <w:pPr>
        <w:pStyle w:val="Default"/>
        <w:jc w:val="both"/>
        <w:rPr>
          <w:rFonts w:ascii="Times New Roman" w:hAnsi="Times New Roman" w:cs="Times New Roman"/>
          <w:noProof/>
          <w:color w:val="auto"/>
          <w:sz w:val="23"/>
          <w:szCs w:val="23"/>
        </w:rPr>
      </w:pPr>
      <w:r>
        <w:rPr>
          <w:rFonts w:ascii="Times New Roman" w:hAnsi="Times New Roman" w:cs="Times New Roman"/>
          <w:noProof/>
          <w:color w:val="auto"/>
          <w:sz w:val="23"/>
          <w:szCs w:val="23"/>
        </w:rPr>
        <w:t xml:space="preserve">4. CONCLUSION </w:t>
      </w:r>
    </w:p>
    <w:p>
      <w:pPr>
        <w:spacing w:line="240" w:lineRule="auto"/>
        <w:jc w:val="both"/>
        <w:rPr>
          <w:noProof/>
        </w:rPr>
      </w:pPr>
      <w:r>
        <w:rPr>
          <w:rFonts w:ascii="Times New Roman" w:hAnsi="Times New Roman" w:cs="Times New Roman"/>
          <w:noProof/>
          <w:sz w:val="23"/>
          <w:szCs w:val="23"/>
        </w:rPr>
        <w:t>The Commission has, over the past seven years, not exercised the delegated powers conferred to it under Directive 2010/63/EU. It invites the European Parliament and the Council to take note of this report.</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269126" w15:done="0"/>
  <w15:commentEx w15:paraId="369B5D5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269126" w16cid:durableId="1D6D05A6"/>
  <w16cid:commentId w16cid:paraId="369B5D5C" w16cid:durableId="1D6D07E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16649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rPr>
          <w:sz w:val="16"/>
          <w:szCs w:val="16"/>
        </w:rPr>
        <w:t>OJ L276, 20.10.2010, p.33-79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8C3959"/>
    <w:multiLevelType w:val="hybridMultilevel"/>
    <w:tmpl w:val="75CEF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Anderson">
    <w15:presenceInfo w15:providerId="Windows Live" w15:userId="9826e08ff5acd0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1F8E0C1-25EA-4BB7-85CB-804D08AF220C"/>
    <w:docVar w:name="LW_COVERPAGE_TYPE" w:val="1"/>
    <w:docVar w:name="LW_CROSSREFERENCE" w:val="&lt;UNUSED&gt;"/>
    <w:docVar w:name="LW_DocType" w:val="NORMAL"/>
    <w:docVar w:name="LW_EMISSION" w:val="23.11.2017"/>
    <w:docVar w:name="LW_EMISSION_ISODATE" w:val="2017-11-23"/>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6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the exercise of the power to adopt delegated acts conferred on the Commission pursuant to Directive 2010/63/EU of the European Parliament and of the Council of 22 September 2010 on the protection of animals used for scientific purposes"/>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pPr>
      <w:autoSpaceDE w:val="0"/>
      <w:autoSpaceDN w:val="0"/>
      <w:adjustRightInd w:val="0"/>
      <w:spacing w:after="0" w:line="240" w:lineRule="auto"/>
    </w:pPr>
    <w:rPr>
      <w:rFonts w:ascii="Arial" w:hAnsi="Arial" w:cs="Arial"/>
      <w:color w:val="000000"/>
      <w:sz w:val="24"/>
      <w:szCs w:val="24"/>
    </w:rPr>
  </w:style>
  <w:style w:type="paragraph" w:customStyle="1" w:styleId="CM4">
    <w:name w:val="CM4"/>
    <w:basedOn w:val="Default"/>
    <w:next w:val="Default"/>
    <w:uiPriority w:val="99"/>
    <w:rPr>
      <w:rFonts w:ascii="EUAlbertina" w:hAnsi="EUAlbertina" w:cstheme="minorBidi"/>
      <w:color w:val="auto"/>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pageBreakBefore/>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DefaultChar">
    <w:name w:val="Default Char"/>
    <w:basedOn w:val="DefaultParagraphFont"/>
    <w:link w:val="Default"/>
    <w:rPr>
      <w:rFonts w:ascii="Arial" w:hAnsi="Arial" w:cs="Arial"/>
      <w:color w:val="000000"/>
      <w:sz w:val="24"/>
      <w:szCs w:val="24"/>
    </w:rPr>
  </w:style>
  <w:style w:type="character" w:customStyle="1" w:styleId="FooterCoverPageChar">
    <w:name w:val="Footer Cover Page Char"/>
    <w:basedOn w:val="DefaultChar"/>
    <w:link w:val="FooterCoverPage"/>
    <w:rPr>
      <w:rFonts w:ascii="Times New Roman" w:hAnsi="Times New Roman" w:cs="Times New Roman"/>
      <w:color w:val="000000"/>
      <w:sz w:val="24"/>
      <w:szCs w:val="24"/>
    </w:rPr>
  </w:style>
  <w:style w:type="paragraph" w:customStyle="1" w:styleId="HeaderCoverPage">
    <w:name w:val="Header Cover Page"/>
    <w:basedOn w:val="Normal"/>
    <w:link w:val="HeaderCoverPageChar"/>
    <w:pPr>
      <w:pageBreakBefore/>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Char"/>
    <w:link w:val="HeaderCoverPage"/>
    <w:rPr>
      <w:rFonts w:ascii="Times New Roman" w:hAnsi="Times New Roman" w:cs="Times New Roman"/>
      <w:color w:val="000000"/>
      <w:sz w:val="24"/>
      <w:szCs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pPr>
      <w:autoSpaceDE w:val="0"/>
      <w:autoSpaceDN w:val="0"/>
      <w:adjustRightInd w:val="0"/>
      <w:spacing w:after="0" w:line="240" w:lineRule="auto"/>
    </w:pPr>
    <w:rPr>
      <w:rFonts w:ascii="Arial" w:hAnsi="Arial" w:cs="Arial"/>
      <w:color w:val="000000"/>
      <w:sz w:val="24"/>
      <w:szCs w:val="24"/>
    </w:rPr>
  </w:style>
  <w:style w:type="paragraph" w:customStyle="1" w:styleId="CM4">
    <w:name w:val="CM4"/>
    <w:basedOn w:val="Default"/>
    <w:next w:val="Default"/>
    <w:uiPriority w:val="99"/>
    <w:rPr>
      <w:rFonts w:ascii="EUAlbertina" w:hAnsi="EUAlbertina" w:cstheme="minorBidi"/>
      <w:color w:val="auto"/>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pageBreakBefore/>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DefaultChar">
    <w:name w:val="Default Char"/>
    <w:basedOn w:val="DefaultParagraphFont"/>
    <w:link w:val="Default"/>
    <w:rPr>
      <w:rFonts w:ascii="Arial" w:hAnsi="Arial" w:cs="Arial"/>
      <w:color w:val="000000"/>
      <w:sz w:val="24"/>
      <w:szCs w:val="24"/>
    </w:rPr>
  </w:style>
  <w:style w:type="character" w:customStyle="1" w:styleId="FooterCoverPageChar">
    <w:name w:val="Footer Cover Page Char"/>
    <w:basedOn w:val="DefaultChar"/>
    <w:link w:val="FooterCoverPage"/>
    <w:rPr>
      <w:rFonts w:ascii="Times New Roman" w:hAnsi="Times New Roman" w:cs="Times New Roman"/>
      <w:color w:val="000000"/>
      <w:sz w:val="24"/>
      <w:szCs w:val="24"/>
    </w:rPr>
  </w:style>
  <w:style w:type="paragraph" w:customStyle="1" w:styleId="HeaderCoverPage">
    <w:name w:val="Header Cover Page"/>
    <w:basedOn w:val="Normal"/>
    <w:link w:val="HeaderCoverPageChar"/>
    <w:pPr>
      <w:pageBreakBefore/>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Char"/>
    <w:link w:val="HeaderCoverPage"/>
    <w:rPr>
      <w:rFonts w:ascii="Times New Roman" w:hAnsi="Times New Roman" w:cs="Times New Roman"/>
      <w:color w:val="000000"/>
      <w:sz w:val="24"/>
      <w:szCs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8ABA9-31FA-43B0-A669-A5F4D46A4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615</Words>
  <Characters>3277</Characters>
  <Application>Microsoft Office Word</Application>
  <DocSecurity>0</DocSecurity>
  <Lines>65</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2017-10-16T08:08:00Z</dcterms:created>
  <dcterms:modified xsi:type="dcterms:W3CDTF">2017-11-16T12:24:00Z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