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F1D87176-EEFF-4A0C-BA1E-E9A7C1374AB0" style="width:450.75pt;height:333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Default"/>
        <w:pageBreakBefore/>
        <w:jc w:val="center"/>
        <w:rPr>
          <w:rFonts w:ascii="Times New Roman" w:hAnsi="Times New Roman" w:cs="Times New Roman"/>
          <w:noProof/>
          <w:color w:val="auto"/>
          <w:sz w:val="23"/>
          <w:szCs w:val="23"/>
        </w:rPr>
      </w:pPr>
      <w:bookmarkStart w:id="1" w:name="_GoBack"/>
      <w:bookmarkEnd w:id="1"/>
      <w:r>
        <w:rPr>
          <w:rFonts w:ascii="Times New Roman" w:hAnsi="Times New Roman"/>
          <w:b/>
          <w:noProof/>
          <w:color w:val="auto"/>
          <w:sz w:val="23"/>
        </w:rPr>
        <w:lastRenderedPageBreak/>
        <w:t xml:space="preserve">ДОКЛАД НА КОМИСИЯТА ДО ЕВРОПЕЙСКИЯ ПАРЛАМЕНТ И </w:t>
      </w: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w:br/>
      </w:r>
      <w:r>
        <w:rPr>
          <w:rFonts w:ascii="Times New Roman" w:hAnsi="Times New Roman"/>
          <w:b/>
          <w:noProof/>
          <w:color w:val="auto"/>
          <w:sz w:val="23"/>
        </w:rPr>
        <w:t>ДО СЪВЕТА</w:t>
      </w: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w:br/>
      </w:r>
      <w:r>
        <w:rPr>
          <w:rFonts w:ascii="Times New Roman" w:hAnsi="Times New Roman"/>
          <w:b/>
          <w:noProof/>
          <w:color w:val="auto"/>
          <w:sz w:val="23"/>
        </w:rPr>
        <w:t xml:space="preserve"> относно упражняването на правомощието за приемане на делегирани актове, предоставено на Комисията по силата на Директива 2010/63/ЕС на Европейския парламент и на Съвета от 22 септември 2010 г. относно защитата на животните, използвани за научни цели</w:t>
      </w: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w:br/>
      </w:r>
    </w:p>
    <w:p>
      <w:pPr>
        <w:pStyle w:val="Default"/>
        <w:rPr>
          <w:rFonts w:ascii="Times New Roman" w:hAnsi="Times New Roman" w:cs="Times New Roman"/>
          <w:noProof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</w:rPr>
        <w:t xml:space="preserve">1. ВЪВЕДЕНИЕ </w:t>
      </w:r>
    </w:p>
    <w:p>
      <w:pPr>
        <w:pStyle w:val="CM4"/>
        <w:spacing w:before="60" w:after="60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С Директива 2010/63/ЕС на Европейския парламент и на Съвета от 22 септември 2010 г. относно защитата на животните, използвани за научни цели</w:t>
      </w:r>
      <w:r>
        <w:rPr>
          <w:rStyle w:val="FootnoteReference"/>
          <w:rFonts w:ascii="Times New Roman" w:hAnsi="Times New Roman"/>
          <w:noProof/>
          <w:sz w:val="23"/>
        </w:rPr>
        <w:footnoteReference w:id="1"/>
      </w:r>
      <w:r>
        <w:rPr>
          <w:rFonts w:ascii="Times New Roman" w:hAnsi="Times New Roman"/>
          <w:noProof/>
          <w:sz w:val="23"/>
        </w:rPr>
        <w:t xml:space="preserve">, се регламентира грижата и използването на животните за научни цели. </w:t>
      </w:r>
      <w:r>
        <w:rPr>
          <w:noProof/>
        </w:rPr>
        <w:t>С нея се определят правила за заместването и намаляването на използването на животни при процедури и облекчаването на развъждането, настаняването, грижите за животните и тяхното използване при процедури;</w:t>
      </w:r>
      <w:r>
        <w:rPr>
          <w:rFonts w:ascii="Times New Roman" w:hAnsi="Times New Roman"/>
          <w:noProof/>
          <w:sz w:val="23"/>
        </w:rPr>
        <w:t xml:space="preserve"> за произхода, развъждането, маркирането, настаняването, грижите за животните и умъртвяването им; за дейностите и предоставянето на разрешение на развъдчиците, доставчиците и ползвателите; както и за оценката и разрешаването на проекти, свързани с използването на живи животни при процедури.</w:t>
      </w:r>
    </w:p>
    <w:p>
      <w:pPr>
        <w:pStyle w:val="CM4"/>
        <w:spacing w:before="60" w:after="60"/>
        <w:rPr>
          <w:rFonts w:ascii="Times New Roman" w:hAnsi="Times New Roman" w:cs="Times New Roman"/>
          <w:noProof/>
          <w:sz w:val="23"/>
          <w:szCs w:val="23"/>
        </w:rPr>
      </w:pPr>
    </w:p>
    <w:p>
      <w:pPr>
        <w:pStyle w:val="CM4"/>
        <w:spacing w:before="60" w:after="60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С посочената директива се оправомощава Комисията да приема делегирани актове с цел адаптиране на приложение I и приложения III—VIII (с изключение на разпоредбите на раздели I и II от приложение VIII) към научно-техническия напредък:</w:t>
      </w:r>
    </w:p>
    <w:p>
      <w:pPr>
        <w:pStyle w:val="Default"/>
        <w:rPr>
          <w:rFonts w:ascii="Times New Roman" w:hAnsi="Times New Roman" w:cs="Times New Roman"/>
          <w:noProof/>
          <w:color w:val="auto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ПРИЛОЖЕНИЕ I: Списък на животните, посочени в член 10 [съгласно който се изисква те да са специално развъждани за използване при процедури]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ПРИЛОЖЕНИЕ III: Изисквания за обектите и за грижата и настаняването на животните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ПРИЛОЖЕНИЕ IV: Методи на умъртвяване на животните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ПРИЛОЖЕНИЕ V: Списък на елементите, посочени в член 23, параграф 3 [като основа за държавите членки да определят минимални изисквания за образованието и обучението на персонала]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ПРИЛОЖЕНИЕ VI: Списък на елементите, посочени в член 37, параграф 1, буква в) [относно задължителната информация, която да бъде включена в заявлението за проект]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>ПРИЛОЖЕНИЕ VII: Задължения и задачи на референтната лаборатория на Съюза [създадена за координиране на валидирането на алтернативни методи на равнището на Съюза]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</w:rPr>
        <w:t xml:space="preserve">ПРИЛОЖЕНИЕ VIII: Класификация за тежест на процедурите [примери за различни видове процедури, отнесени към всяка от категориите тежест] </w:t>
      </w:r>
    </w:p>
    <w:p>
      <w:pPr>
        <w:pStyle w:val="Default"/>
        <w:rPr>
          <w:rFonts w:ascii="Times New Roman" w:hAnsi="Times New Roman" w:cs="Times New Roman"/>
          <w:noProof/>
          <w:color w:val="auto"/>
          <w:sz w:val="23"/>
          <w:szCs w:val="23"/>
        </w:rPr>
      </w:pPr>
    </w:p>
    <w:p>
      <w:pPr>
        <w:pStyle w:val="Default"/>
        <w:rPr>
          <w:rFonts w:ascii="Times New Roman" w:hAnsi="Times New Roman" w:cs="Times New Roman"/>
          <w:noProof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</w:rPr>
        <w:t xml:space="preserve">2. ПРАВНО ОСНОВАНИЕ </w:t>
      </w: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</w:rPr>
        <w:t xml:space="preserve">Настоящият доклад се изисква съгласно член 51, параграф 1 от Директива 2010/63/ЕС. В съответствие с посочената разпоредба правомощията да приема делегирани актове бяха предоставени на Комисията за срок от 8 години, считано от 9 ноември 2010 г., като Комисията се задължава да изготви доклад относно делегирането на правомощията най-късно 12 месеца преди изтичането на осемгодишния период. Делегирането на правомощията се подновява автоматично за срокове с еднаква продължителност, освен ако Европейският парламент или Съветът не го оттеглят в съответствие с член 52. </w:t>
      </w: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</w:rPr>
        <w:t xml:space="preserve">3. УПРАЖНЯВАНЕ НА ДЕЛЕГИРАНЕТО </w:t>
      </w: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</w:rPr>
        <w:t xml:space="preserve">Упражняването на делегираното правомощие беше счетено за необходимо за адаптирането на редица предвидени в директивата разпоредби към научно-техническия напредък. Към днешна дата обаче не е налице достатъчно научна информация, за да бъде обосновано такова актуализиране на съответните приложения. </w:t>
      </w:r>
      <w:r>
        <w:rPr>
          <w:rFonts w:ascii="Times New Roman" w:hAnsi="Times New Roman" w:cs="Times New Roman"/>
          <w:noProof/>
          <w:color w:val="auto"/>
          <w:sz w:val="23"/>
          <w:szCs w:val="23"/>
        </w:rPr>
        <w:br/>
      </w:r>
      <w:r>
        <w:rPr>
          <w:rFonts w:ascii="Times New Roman" w:hAnsi="Times New Roman"/>
          <w:noProof/>
          <w:color w:val="auto"/>
          <w:sz w:val="23"/>
        </w:rPr>
        <w:t xml:space="preserve">Освен това транспонирането на директивата в законодателството на всички държави членки отне повече от предвиденото за това време (последното транспониране приключи едва през 2015 г.). Поради това в момента е налице само ограничен опит по отношение на разпоредбите, съдържащи се в приложенията към директивата. </w:t>
      </w: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</w:rPr>
        <w:t>С натрупването обаче на повече опит в прилагането на директивата на практика, в т. ч. с докладите на държавите членки относно освобождаването, предоставено по отношение на елементи от някои от приложенията въз основа на нови научни доказателства, с постоянно осигуряваните от научните изследвания нови познания относно нуждата от хуманно отношение към използваните видове, както и с появата на нови техники и инструменти за изследване, Комисията ще трябва да използва делегираните ѝ правомощия, за да се гарантира, че директивата е адаптирана към научно-техническия напредък.</w:t>
      </w: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</w:rPr>
        <w:t xml:space="preserve">4. ЗАКЛЮЧЕНИЕ </w:t>
      </w:r>
    </w:p>
    <w:p>
      <w:pPr>
        <w:spacing w:line="240" w:lineRule="auto"/>
        <w:jc w:val="both"/>
        <w:rPr>
          <w:noProof/>
        </w:rPr>
      </w:pPr>
      <w:r>
        <w:rPr>
          <w:rFonts w:ascii="Times New Roman" w:hAnsi="Times New Roman"/>
          <w:noProof/>
          <w:sz w:val="23"/>
        </w:rPr>
        <w:t>През последните седем години Комисията не е упражнила делегираните правомощия, предоставени ѝ по силата на Директива 2010/63/ЕС. Комисията приканва Европейския парламент и Съвета да вземат под внимание настоящия доклад.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269126" w15:done="0"/>
  <w15:commentEx w15:paraId="369B5D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69126" w16cid:durableId="1D6D05A6"/>
  <w16cid:commentId w16cid:paraId="369B5D5C" w16cid:durableId="1D6D07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16649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ОВ L 276, 20.10.2010 г., стр. 33—79.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3959"/>
    <w:multiLevelType w:val="hybridMultilevel"/>
    <w:tmpl w:val="75C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Anderson">
    <w15:presenceInfo w15:providerId="Windows Live" w15:userId="9826e08ff5acd0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F1D87176-EEFF-4A0C-BA1E-E9A7C1374AB0"/>
    <w:docVar w:name="LW_COVERPAGE_TYPE" w:val="1"/>
    <w:docVar w:name="LW_CROSSREFERENCE" w:val="&lt;UNUSED&gt;"/>
    <w:docVar w:name="LW_DocType" w:val="NORMAL"/>
    <w:docVar w:name="LW_EMISSION" w:val="23.11.2017"/>
    <w:docVar w:name="LW_EMISSION_ISODATE" w:val="2017-11-23"/>
    <w:docVar w:name="LW_EMISSION_LOCATION" w:val="BRX"/>
    <w:docVar w:name="LW_EMISSION_PREFIX" w:val="Брюксел, "/>
    <w:docVar w:name="LW_EMISSION_SUFFIX" w:val="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FMT:Bold&gt;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44?\u1080?\u1088?\u1077?\u1082?\u1090?\u1080?\u1074?\u1072? 2010/63/\u1045?\u1057? \u1085?\u1072? \u1045?\u1074?\u1088?\u1086?\u1087?\u1077?\u1081?\u1089?\u1082?\u1080?\u1103? \u1087?\u1072?\u1088?\u1083?\u1072?\u1084?\u1077?\u1085?\u1090? \u1080? \u1085?\u1072? \u1057?\u1098?\u1074?\u1077?\u1090?\u1072? \u1086?\u1090? 22 \u1089?\u1077?\u1087?\u1090?\u1077?\u1084?\u1074?\u1088?\u1080? 2010 \u1075?. \u1086?\u1090?\u1085?\u1086?\u1089?\u1085?\u1086? \u1079?\u1072?\u1097?\u1080?\u1090?\u1072?\u1090?\u1072? \u1085?\u1072? \u1078?\u1080?\u1074?\u1086?\u1090?\u1085?\u1080?\u1090?\u1077?, \u1080?\u1079?\u1087?\u1086?\u1083?\u1079?\u1074?\u1072?\u1085?\u1080? \u1079?\u1072? \u1085?\u1072?\u1091?\u1095?\u1085?\u1080? \u1094?\u1077?\u1083?\u1080?&lt;/FMT&gt;  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ascii="EUAlbertina" w:hAnsi="EUAlbertina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pageBreakBefore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DefaultChar">
    <w:name w:val="Default Char"/>
    <w:basedOn w:val="DefaultParagraphFont"/>
    <w:link w:val="Default"/>
    <w:rPr>
      <w:rFonts w:ascii="Arial" w:hAnsi="Arial" w:cs="Arial"/>
      <w:color w:val="000000"/>
      <w:sz w:val="24"/>
      <w:szCs w:val="24"/>
    </w:rPr>
  </w:style>
  <w:style w:type="character" w:customStyle="1" w:styleId="FooterCoverPageChar">
    <w:name w:val="Footer Cover Page Char"/>
    <w:basedOn w:val="DefaultChar"/>
    <w:link w:val="FooterCoverPage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pageBreakBefore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Char"/>
    <w:link w:val="HeaderCoverPag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ascii="EUAlbertina" w:hAnsi="EUAlbertina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pageBreakBefore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DefaultChar">
    <w:name w:val="Default Char"/>
    <w:basedOn w:val="DefaultParagraphFont"/>
    <w:link w:val="Default"/>
    <w:rPr>
      <w:rFonts w:ascii="Arial" w:hAnsi="Arial" w:cs="Arial"/>
      <w:color w:val="000000"/>
      <w:sz w:val="24"/>
      <w:szCs w:val="24"/>
    </w:rPr>
  </w:style>
  <w:style w:type="character" w:customStyle="1" w:styleId="FooterCoverPageChar">
    <w:name w:val="Footer Cover Page Char"/>
    <w:basedOn w:val="DefaultChar"/>
    <w:link w:val="FooterCoverPage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pageBreakBefore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Char"/>
    <w:link w:val="HeaderCoverPag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70BD-A1D7-429F-BB5B-E4532FBF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598</Words>
  <Characters>3628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22</cp:revision>
  <dcterms:created xsi:type="dcterms:W3CDTF">2017-10-16T08:08:00Z</dcterms:created>
  <dcterms:modified xsi:type="dcterms:W3CDTF">2017-11-16T12:25:00Z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