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18353626-0A36-4303-8D95-3D11FAED8E07" style="width:450.75pt;height:307.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OCHeading"/>
        <w:rPr>
          <w:noProof/>
        </w:rPr>
      </w:pPr>
      <w:bookmarkStart w:id="1" w:name="_GoBack"/>
      <w:bookmarkEnd w:id="1"/>
      <w:r>
        <w:rPr>
          <w:noProof/>
        </w:rPr>
        <w:lastRenderedPageBreak/>
        <w:t>Съдържание</w:t>
      </w:r>
    </w:p>
    <w:p>
      <w:pPr>
        <w:pStyle w:val="TOC1"/>
        <w:rPr>
          <w:rFonts w:asciiTheme="minorHAnsi" w:eastAsiaTheme="minorEastAsia" w:hAnsiTheme="minorHAnsi" w:cstheme="minorBidi"/>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495679894" w:history="1">
        <w:r>
          <w:rPr>
            <w:rStyle w:val="Hyperlink"/>
            <w:noProof/>
          </w:rPr>
          <w:t>1.</w:t>
        </w:r>
        <w:r>
          <w:rPr>
            <w:rFonts w:asciiTheme="minorHAnsi" w:eastAsiaTheme="minorEastAsia" w:hAnsiTheme="minorHAnsi" w:cstheme="minorBidi"/>
            <w:noProof/>
            <w:sz w:val="22"/>
            <w:szCs w:val="22"/>
            <w:lang w:val="en-GB" w:eastAsia="en-GB" w:bidi="ar-SA"/>
          </w:rPr>
          <w:tab/>
        </w:r>
        <w:r>
          <w:rPr>
            <w:rStyle w:val="Hyperlink"/>
            <w:noProof/>
          </w:rPr>
          <w:t>Въведение</w:t>
        </w:r>
        <w:r>
          <w:rPr>
            <w:noProof/>
            <w:webHidden/>
          </w:rPr>
          <w:tab/>
        </w:r>
        <w:r>
          <w:rPr>
            <w:noProof/>
            <w:webHidden/>
          </w:rPr>
          <w:fldChar w:fldCharType="begin"/>
        </w:r>
        <w:r>
          <w:rPr>
            <w:noProof/>
            <w:webHidden/>
          </w:rPr>
          <w:instrText xml:space="preserve"> PAGEREF _Toc495679894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95679895" w:history="1">
        <w:r>
          <w:rPr>
            <w:rStyle w:val="Hyperlink"/>
            <w:noProof/>
          </w:rPr>
          <w:t>2.</w:t>
        </w:r>
        <w:r>
          <w:rPr>
            <w:rFonts w:asciiTheme="minorHAnsi" w:eastAsiaTheme="minorEastAsia" w:hAnsiTheme="minorHAnsi" w:cstheme="minorBidi"/>
            <w:noProof/>
            <w:sz w:val="22"/>
            <w:szCs w:val="22"/>
            <w:lang w:val="en-GB" w:eastAsia="en-GB" w:bidi="ar-SA"/>
          </w:rPr>
          <w:tab/>
        </w:r>
        <w:r>
          <w:rPr>
            <w:rStyle w:val="Hyperlink"/>
            <w:noProof/>
          </w:rPr>
          <w:t>Дейности на Европейския съюз по отпускане на заеми</w:t>
        </w:r>
        <w:r>
          <w:rPr>
            <w:noProof/>
            <w:webHidden/>
          </w:rPr>
          <w:tab/>
        </w:r>
        <w:r>
          <w:rPr>
            <w:noProof/>
            <w:webHidden/>
          </w:rPr>
          <w:fldChar w:fldCharType="begin"/>
        </w:r>
        <w:r>
          <w:rPr>
            <w:noProof/>
            <w:webHidden/>
          </w:rPr>
          <w:instrText xml:space="preserve"> PAGEREF _Toc495679895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95679896" w:history="1">
        <w:r>
          <w:rPr>
            <w:rStyle w:val="Hyperlink"/>
            <w:noProof/>
          </w:rPr>
          <w:t>2.1.</w:t>
        </w:r>
        <w:r>
          <w:rPr>
            <w:rFonts w:asciiTheme="minorHAnsi" w:eastAsiaTheme="minorEastAsia" w:hAnsiTheme="minorHAnsi" w:cstheme="minorBidi"/>
            <w:noProof/>
            <w:sz w:val="22"/>
            <w:szCs w:val="22"/>
            <w:lang w:val="en-GB" w:eastAsia="en-GB" w:bidi="ar-SA"/>
          </w:rPr>
          <w:tab/>
        </w:r>
        <w:r>
          <w:rPr>
            <w:rStyle w:val="Hyperlink"/>
            <w:noProof/>
          </w:rPr>
          <w:t>Механизъм за подкрепа на платежния баланс</w:t>
        </w:r>
        <w:r>
          <w:rPr>
            <w:noProof/>
            <w:webHidden/>
          </w:rPr>
          <w:tab/>
        </w:r>
        <w:r>
          <w:rPr>
            <w:noProof/>
            <w:webHidden/>
          </w:rPr>
          <w:fldChar w:fldCharType="begin"/>
        </w:r>
        <w:r>
          <w:rPr>
            <w:noProof/>
            <w:webHidden/>
          </w:rPr>
          <w:instrText xml:space="preserve"> PAGEREF _Toc495679896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95679897" w:history="1">
        <w:r>
          <w:rPr>
            <w:rStyle w:val="Hyperlink"/>
            <w:noProof/>
          </w:rPr>
          <w:t>2.2.</w:t>
        </w:r>
        <w:r>
          <w:rPr>
            <w:rFonts w:asciiTheme="minorHAnsi" w:eastAsiaTheme="minorEastAsia" w:hAnsiTheme="minorHAnsi" w:cstheme="minorBidi"/>
            <w:noProof/>
            <w:sz w:val="22"/>
            <w:szCs w:val="22"/>
            <w:lang w:val="en-GB" w:eastAsia="en-GB" w:bidi="ar-SA"/>
          </w:rPr>
          <w:tab/>
        </w:r>
        <w:r>
          <w:rPr>
            <w:rStyle w:val="Hyperlink"/>
            <w:noProof/>
          </w:rPr>
          <w:t>Европейски механизъм за финансово стабилизиране</w:t>
        </w:r>
        <w:r>
          <w:rPr>
            <w:noProof/>
            <w:webHidden/>
          </w:rPr>
          <w:tab/>
        </w:r>
        <w:r>
          <w:rPr>
            <w:noProof/>
            <w:webHidden/>
          </w:rPr>
          <w:fldChar w:fldCharType="begin"/>
        </w:r>
        <w:r>
          <w:rPr>
            <w:noProof/>
            <w:webHidden/>
          </w:rPr>
          <w:instrText xml:space="preserve"> PAGEREF _Toc495679897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95679898" w:history="1">
        <w:r>
          <w:rPr>
            <w:rStyle w:val="Hyperlink"/>
            <w:noProof/>
          </w:rPr>
          <w:t>2.3.</w:t>
        </w:r>
        <w:r>
          <w:rPr>
            <w:rFonts w:asciiTheme="minorHAnsi" w:eastAsiaTheme="minorEastAsia" w:hAnsiTheme="minorHAnsi" w:cstheme="minorBidi"/>
            <w:noProof/>
            <w:sz w:val="22"/>
            <w:szCs w:val="22"/>
            <w:lang w:val="en-GB" w:eastAsia="en-GB" w:bidi="ar-SA"/>
          </w:rPr>
          <w:tab/>
        </w:r>
        <w:r>
          <w:rPr>
            <w:rStyle w:val="Hyperlink"/>
            <w:noProof/>
          </w:rPr>
          <w:t>Макрофинансова помощ</w:t>
        </w:r>
        <w:r>
          <w:rPr>
            <w:noProof/>
            <w:webHidden/>
          </w:rPr>
          <w:tab/>
        </w:r>
        <w:r>
          <w:rPr>
            <w:noProof/>
            <w:webHidden/>
          </w:rPr>
          <w:fldChar w:fldCharType="begin"/>
        </w:r>
        <w:r>
          <w:rPr>
            <w:noProof/>
            <w:webHidden/>
          </w:rPr>
          <w:instrText xml:space="preserve"> PAGEREF _Toc495679898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95679899" w:history="1">
        <w:r>
          <w:rPr>
            <w:rStyle w:val="Hyperlink"/>
            <w:noProof/>
          </w:rPr>
          <w:t>2.4.</w:t>
        </w:r>
        <w:r>
          <w:rPr>
            <w:rFonts w:asciiTheme="minorHAnsi" w:eastAsiaTheme="minorEastAsia" w:hAnsiTheme="minorHAnsi" w:cstheme="minorBidi"/>
            <w:noProof/>
            <w:sz w:val="22"/>
            <w:szCs w:val="22"/>
            <w:lang w:val="en-GB" w:eastAsia="en-GB" w:bidi="ar-SA"/>
          </w:rPr>
          <w:tab/>
        </w:r>
        <w:r>
          <w:rPr>
            <w:rStyle w:val="Hyperlink"/>
            <w:noProof/>
          </w:rPr>
          <w:t>Механизъм за отпускане на заеми от Евратом</w:t>
        </w:r>
        <w:r>
          <w:rPr>
            <w:noProof/>
            <w:webHidden/>
          </w:rPr>
          <w:tab/>
        </w:r>
        <w:r>
          <w:rPr>
            <w:noProof/>
            <w:webHidden/>
          </w:rPr>
          <w:fldChar w:fldCharType="begin"/>
        </w:r>
        <w:r>
          <w:rPr>
            <w:noProof/>
            <w:webHidden/>
          </w:rPr>
          <w:instrText xml:space="preserve"> PAGEREF _Toc495679899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95679900" w:history="1">
        <w:r>
          <w:rPr>
            <w:rStyle w:val="Hyperlink"/>
            <w:noProof/>
          </w:rPr>
          <w:t>3.</w:t>
        </w:r>
        <w:r>
          <w:rPr>
            <w:rFonts w:asciiTheme="minorHAnsi" w:eastAsiaTheme="minorEastAsia" w:hAnsiTheme="minorHAnsi" w:cstheme="minorBidi"/>
            <w:noProof/>
            <w:sz w:val="22"/>
            <w:szCs w:val="22"/>
            <w:lang w:val="en-GB" w:eastAsia="en-GB" w:bidi="ar-SA"/>
          </w:rPr>
          <w:tab/>
        </w:r>
        <w:r>
          <w:rPr>
            <w:rStyle w:val="Hyperlink"/>
            <w:noProof/>
          </w:rPr>
          <w:t>Операции на Европейския съюз по получаване на заеми</w:t>
        </w:r>
        <w:r>
          <w:rPr>
            <w:noProof/>
            <w:webHidden/>
          </w:rPr>
          <w:tab/>
        </w:r>
        <w:r>
          <w:rPr>
            <w:noProof/>
            <w:webHidden/>
          </w:rPr>
          <w:fldChar w:fldCharType="begin"/>
        </w:r>
        <w:r>
          <w:rPr>
            <w:noProof/>
            <w:webHidden/>
          </w:rPr>
          <w:instrText xml:space="preserve"> PAGEREF _Toc495679900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95679901" w:history="1">
        <w:r>
          <w:rPr>
            <w:rStyle w:val="Hyperlink"/>
            <w:noProof/>
          </w:rPr>
          <w:t>3.1.</w:t>
        </w:r>
        <w:r>
          <w:rPr>
            <w:rFonts w:asciiTheme="minorHAnsi" w:eastAsiaTheme="minorEastAsia" w:hAnsiTheme="minorHAnsi" w:cstheme="minorBidi"/>
            <w:noProof/>
            <w:sz w:val="22"/>
            <w:szCs w:val="22"/>
            <w:lang w:val="en-GB" w:eastAsia="en-GB" w:bidi="ar-SA"/>
          </w:rPr>
          <w:tab/>
        </w:r>
        <w:r>
          <w:rPr>
            <w:rStyle w:val="Hyperlink"/>
            <w:noProof/>
          </w:rPr>
          <w:t>Механизъм за подкрепа на платежния баланс</w:t>
        </w:r>
        <w:r>
          <w:rPr>
            <w:noProof/>
            <w:webHidden/>
          </w:rPr>
          <w:tab/>
        </w:r>
        <w:r>
          <w:rPr>
            <w:noProof/>
            <w:webHidden/>
          </w:rPr>
          <w:fldChar w:fldCharType="begin"/>
        </w:r>
        <w:r>
          <w:rPr>
            <w:noProof/>
            <w:webHidden/>
          </w:rPr>
          <w:instrText xml:space="preserve"> PAGEREF _Toc495679901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95679902" w:history="1">
        <w:r>
          <w:rPr>
            <w:rStyle w:val="Hyperlink"/>
            <w:noProof/>
          </w:rPr>
          <w:t>3.2.</w:t>
        </w:r>
        <w:r>
          <w:rPr>
            <w:rFonts w:asciiTheme="minorHAnsi" w:eastAsiaTheme="minorEastAsia" w:hAnsiTheme="minorHAnsi" w:cstheme="minorBidi"/>
            <w:noProof/>
            <w:sz w:val="22"/>
            <w:szCs w:val="22"/>
            <w:lang w:val="en-GB" w:eastAsia="en-GB" w:bidi="ar-SA"/>
          </w:rPr>
          <w:tab/>
        </w:r>
        <w:r>
          <w:rPr>
            <w:rStyle w:val="Hyperlink"/>
            <w:noProof/>
          </w:rPr>
          <w:t>Европейски механизъм за финансово стабилизиране</w:t>
        </w:r>
        <w:r>
          <w:rPr>
            <w:noProof/>
            <w:webHidden/>
          </w:rPr>
          <w:tab/>
        </w:r>
        <w:r>
          <w:rPr>
            <w:noProof/>
            <w:webHidden/>
          </w:rPr>
          <w:fldChar w:fldCharType="begin"/>
        </w:r>
        <w:r>
          <w:rPr>
            <w:noProof/>
            <w:webHidden/>
          </w:rPr>
          <w:instrText xml:space="preserve"> PAGEREF _Toc495679902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95679903" w:history="1">
        <w:r>
          <w:rPr>
            <w:rStyle w:val="Hyperlink"/>
            <w:noProof/>
          </w:rPr>
          <w:t>3.3.</w:t>
        </w:r>
        <w:r>
          <w:rPr>
            <w:rFonts w:asciiTheme="minorHAnsi" w:eastAsiaTheme="minorEastAsia" w:hAnsiTheme="minorHAnsi" w:cstheme="minorBidi"/>
            <w:noProof/>
            <w:sz w:val="22"/>
            <w:szCs w:val="22"/>
            <w:lang w:val="en-GB" w:eastAsia="en-GB" w:bidi="ar-SA"/>
          </w:rPr>
          <w:tab/>
        </w:r>
        <w:r>
          <w:rPr>
            <w:rStyle w:val="Hyperlink"/>
            <w:noProof/>
          </w:rPr>
          <w:t>Макрофинансова помощ</w:t>
        </w:r>
        <w:r>
          <w:rPr>
            <w:noProof/>
            <w:webHidden/>
          </w:rPr>
          <w:tab/>
        </w:r>
        <w:r>
          <w:rPr>
            <w:noProof/>
            <w:webHidden/>
          </w:rPr>
          <w:fldChar w:fldCharType="begin"/>
        </w:r>
        <w:r>
          <w:rPr>
            <w:noProof/>
            <w:webHidden/>
          </w:rPr>
          <w:instrText xml:space="preserve"> PAGEREF _Toc495679903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95679904" w:history="1">
        <w:r>
          <w:rPr>
            <w:rStyle w:val="Hyperlink"/>
            <w:noProof/>
          </w:rPr>
          <w:t>3.4.</w:t>
        </w:r>
        <w:r>
          <w:rPr>
            <w:rFonts w:asciiTheme="minorHAnsi" w:eastAsiaTheme="minorEastAsia" w:hAnsiTheme="minorHAnsi" w:cstheme="minorBidi"/>
            <w:noProof/>
            <w:sz w:val="22"/>
            <w:szCs w:val="22"/>
            <w:lang w:val="en-GB" w:eastAsia="en-GB" w:bidi="ar-SA"/>
          </w:rPr>
          <w:tab/>
        </w:r>
        <w:r>
          <w:rPr>
            <w:rStyle w:val="Hyperlink"/>
            <w:noProof/>
          </w:rPr>
          <w:t>Механизъм за отпускане на заеми от Евратом</w:t>
        </w:r>
        <w:r>
          <w:rPr>
            <w:noProof/>
            <w:webHidden/>
          </w:rPr>
          <w:tab/>
        </w:r>
        <w:r>
          <w:rPr>
            <w:noProof/>
            <w:webHidden/>
          </w:rPr>
          <w:fldChar w:fldCharType="begin"/>
        </w:r>
        <w:r>
          <w:rPr>
            <w:noProof/>
            <w:webHidden/>
          </w:rPr>
          <w:instrText xml:space="preserve"> PAGEREF _Toc495679904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95679905" w:history="1">
        <w:r>
          <w:rPr>
            <w:rStyle w:val="Hyperlink"/>
            <w:noProof/>
          </w:rPr>
          <w:t>4.</w:t>
        </w:r>
        <w:r>
          <w:rPr>
            <w:rFonts w:asciiTheme="minorHAnsi" w:eastAsiaTheme="minorEastAsia" w:hAnsiTheme="minorHAnsi" w:cstheme="minorBidi"/>
            <w:noProof/>
            <w:sz w:val="22"/>
            <w:szCs w:val="22"/>
            <w:lang w:val="en-GB" w:eastAsia="en-GB" w:bidi="ar-SA"/>
          </w:rPr>
          <w:tab/>
        </w:r>
        <w:r>
          <w:rPr>
            <w:rStyle w:val="Hyperlink"/>
            <w:noProof/>
          </w:rPr>
          <w:t>Европейска инвестиционна банка</w:t>
        </w:r>
        <w:r>
          <w:rPr>
            <w:noProof/>
            <w:webHidden/>
          </w:rPr>
          <w:tab/>
        </w:r>
        <w:r>
          <w:rPr>
            <w:noProof/>
            <w:webHidden/>
          </w:rPr>
          <w:fldChar w:fldCharType="begin"/>
        </w:r>
        <w:r>
          <w:rPr>
            <w:noProof/>
            <w:webHidden/>
          </w:rPr>
          <w:instrText xml:space="preserve"> PAGEREF _Toc495679905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95679906" w:history="1">
        <w:r>
          <w:rPr>
            <w:rStyle w:val="Hyperlink"/>
            <w:noProof/>
          </w:rPr>
          <w:t>4.1.</w:t>
        </w:r>
        <w:r>
          <w:rPr>
            <w:rFonts w:asciiTheme="minorHAnsi" w:eastAsiaTheme="minorEastAsia" w:hAnsiTheme="minorHAnsi" w:cstheme="minorBidi"/>
            <w:noProof/>
            <w:sz w:val="22"/>
            <w:szCs w:val="22"/>
            <w:lang w:val="en-GB" w:eastAsia="en-GB" w:bidi="ar-SA"/>
          </w:rPr>
          <w:tab/>
        </w:r>
        <w:r>
          <w:rPr>
            <w:rStyle w:val="Hyperlink"/>
            <w:noProof/>
          </w:rPr>
          <w:t>Дейности на ЕИБ по отпускане на заеми</w:t>
        </w:r>
        <w:r>
          <w:rPr>
            <w:noProof/>
            <w:webHidden/>
          </w:rPr>
          <w:tab/>
        </w:r>
        <w:r>
          <w:rPr>
            <w:noProof/>
            <w:webHidden/>
          </w:rPr>
          <w:fldChar w:fldCharType="begin"/>
        </w:r>
        <w:r>
          <w:rPr>
            <w:noProof/>
            <w:webHidden/>
          </w:rPr>
          <w:instrText xml:space="preserve"> PAGEREF _Toc495679906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95679907" w:history="1">
        <w:r>
          <w:rPr>
            <w:rStyle w:val="Hyperlink"/>
            <w:noProof/>
          </w:rPr>
          <w:t>4.2.</w:t>
        </w:r>
        <w:r>
          <w:rPr>
            <w:rFonts w:asciiTheme="minorHAnsi" w:eastAsiaTheme="minorEastAsia" w:hAnsiTheme="minorHAnsi" w:cstheme="minorBidi"/>
            <w:noProof/>
            <w:sz w:val="22"/>
            <w:szCs w:val="22"/>
            <w:lang w:val="en-GB" w:eastAsia="en-GB" w:bidi="ar-SA"/>
          </w:rPr>
          <w:tab/>
        </w:r>
        <w:r>
          <w:rPr>
            <w:rStyle w:val="Hyperlink"/>
            <w:noProof/>
          </w:rPr>
          <w:t>Дейности на ЕИБ по получаване на заеми</w:t>
        </w:r>
        <w:r>
          <w:rPr>
            <w:noProof/>
            <w:webHidden/>
          </w:rPr>
          <w:tab/>
        </w:r>
        <w:r>
          <w:rPr>
            <w:noProof/>
            <w:webHidden/>
          </w:rPr>
          <w:fldChar w:fldCharType="begin"/>
        </w:r>
        <w:r>
          <w:rPr>
            <w:noProof/>
            <w:webHidden/>
          </w:rPr>
          <w:instrText xml:space="preserve"> PAGEREF _Toc495679907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95679908" w:history="1">
        <w:r>
          <w:rPr>
            <w:rStyle w:val="Hyperlink"/>
            <w:noProof/>
          </w:rPr>
          <w:t>5.</w:t>
        </w:r>
        <w:r>
          <w:rPr>
            <w:rFonts w:asciiTheme="minorHAnsi" w:eastAsiaTheme="minorEastAsia" w:hAnsiTheme="minorHAnsi" w:cstheme="minorBidi"/>
            <w:noProof/>
            <w:sz w:val="22"/>
            <w:szCs w:val="22"/>
            <w:lang w:val="en-GB" w:eastAsia="en-GB" w:bidi="ar-SA"/>
          </w:rPr>
          <w:tab/>
        </w:r>
        <w:r>
          <w:rPr>
            <w:rStyle w:val="Hyperlink"/>
            <w:noProof/>
          </w:rPr>
          <w:t>Осигуряване на финансова стабилност в еврозоната</w:t>
        </w:r>
        <w:r>
          <w:rPr>
            <w:noProof/>
            <w:webHidden/>
          </w:rPr>
          <w:tab/>
        </w:r>
        <w:r>
          <w:rPr>
            <w:noProof/>
            <w:webHidden/>
          </w:rPr>
          <w:fldChar w:fldCharType="begin"/>
        </w:r>
        <w:r>
          <w:rPr>
            <w:noProof/>
            <w:webHidden/>
          </w:rPr>
          <w:instrText xml:space="preserve"> PAGEREF _Toc495679908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95679909" w:history="1">
        <w:r>
          <w:rPr>
            <w:rStyle w:val="Hyperlink"/>
            <w:noProof/>
          </w:rPr>
          <w:t>5.1.</w:t>
        </w:r>
        <w:r>
          <w:rPr>
            <w:rFonts w:asciiTheme="minorHAnsi" w:eastAsiaTheme="minorEastAsia" w:hAnsiTheme="minorHAnsi" w:cstheme="minorBidi"/>
            <w:noProof/>
            <w:sz w:val="22"/>
            <w:szCs w:val="22"/>
            <w:lang w:val="en-GB" w:eastAsia="en-GB" w:bidi="ar-SA"/>
          </w:rPr>
          <w:tab/>
        </w:r>
        <w:r>
          <w:rPr>
            <w:rStyle w:val="Hyperlink"/>
            <w:noProof/>
          </w:rPr>
          <w:t>Механизъм за отпускане на заеми за Гърция</w:t>
        </w:r>
        <w:r>
          <w:rPr>
            <w:noProof/>
            <w:webHidden/>
          </w:rPr>
          <w:tab/>
        </w:r>
        <w:r>
          <w:rPr>
            <w:noProof/>
            <w:webHidden/>
          </w:rPr>
          <w:fldChar w:fldCharType="begin"/>
        </w:r>
        <w:r>
          <w:rPr>
            <w:noProof/>
            <w:webHidden/>
          </w:rPr>
          <w:instrText xml:space="preserve"> PAGEREF _Toc495679909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95679910" w:history="1">
        <w:r>
          <w:rPr>
            <w:rStyle w:val="Hyperlink"/>
            <w:noProof/>
          </w:rPr>
          <w:t>5.2.</w:t>
        </w:r>
        <w:r>
          <w:rPr>
            <w:rFonts w:asciiTheme="minorHAnsi" w:eastAsiaTheme="minorEastAsia" w:hAnsiTheme="minorHAnsi" w:cstheme="minorBidi"/>
            <w:noProof/>
            <w:sz w:val="22"/>
            <w:szCs w:val="22"/>
            <w:lang w:val="en-GB" w:eastAsia="en-GB" w:bidi="ar-SA"/>
          </w:rPr>
          <w:tab/>
        </w:r>
        <w:r>
          <w:rPr>
            <w:rStyle w:val="Hyperlink"/>
            <w:noProof/>
          </w:rPr>
          <w:t>Европейски инструмент за финансова стабилност</w:t>
        </w:r>
        <w:r>
          <w:rPr>
            <w:noProof/>
            <w:webHidden/>
          </w:rPr>
          <w:tab/>
        </w:r>
        <w:r>
          <w:rPr>
            <w:noProof/>
            <w:webHidden/>
          </w:rPr>
          <w:fldChar w:fldCharType="begin"/>
        </w:r>
        <w:r>
          <w:rPr>
            <w:noProof/>
            <w:webHidden/>
          </w:rPr>
          <w:instrText xml:space="preserve"> PAGEREF _Toc495679910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95679911" w:history="1">
        <w:r>
          <w:rPr>
            <w:rStyle w:val="Hyperlink"/>
            <w:noProof/>
          </w:rPr>
          <w:t>5.3.</w:t>
        </w:r>
        <w:r>
          <w:rPr>
            <w:rFonts w:asciiTheme="minorHAnsi" w:eastAsiaTheme="minorEastAsia" w:hAnsiTheme="minorHAnsi" w:cstheme="minorBidi"/>
            <w:noProof/>
            <w:sz w:val="22"/>
            <w:szCs w:val="22"/>
            <w:lang w:val="en-GB" w:eastAsia="en-GB" w:bidi="ar-SA"/>
          </w:rPr>
          <w:tab/>
        </w:r>
        <w:r>
          <w:rPr>
            <w:rStyle w:val="Hyperlink"/>
            <w:noProof/>
          </w:rPr>
          <w:t>Европейски механизъм за стабилност</w:t>
        </w:r>
        <w:r>
          <w:rPr>
            <w:noProof/>
            <w:webHidden/>
          </w:rPr>
          <w:tab/>
        </w:r>
        <w:r>
          <w:rPr>
            <w:noProof/>
            <w:webHidden/>
          </w:rPr>
          <w:fldChar w:fldCharType="begin"/>
        </w:r>
        <w:r>
          <w:rPr>
            <w:noProof/>
            <w:webHidden/>
          </w:rPr>
          <w:instrText xml:space="preserve"> PAGEREF _Toc495679911 \h </w:instrText>
        </w:r>
        <w:r>
          <w:rPr>
            <w:noProof/>
            <w:webHidden/>
          </w:rPr>
        </w:r>
        <w:r>
          <w:rPr>
            <w:noProof/>
            <w:webHidden/>
          </w:rPr>
          <w:fldChar w:fldCharType="separate"/>
        </w:r>
        <w:r>
          <w:rPr>
            <w:noProof/>
            <w:webHidden/>
          </w:rPr>
          <w:t>10</w:t>
        </w:r>
        <w:r>
          <w:rPr>
            <w:noProof/>
            <w:webHidden/>
          </w:rPr>
          <w:fldChar w:fldCharType="end"/>
        </w:r>
      </w:hyperlink>
    </w:p>
    <w:p>
      <w:pPr>
        <w:pStyle w:val="TOC1"/>
        <w:rPr>
          <w:noProof/>
        </w:rPr>
      </w:pPr>
      <w:r>
        <w:rPr>
          <w:b/>
          <w:bCs/>
          <w:noProof/>
        </w:rPr>
        <w:fldChar w:fldCharType="end"/>
      </w: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08"/>
          <w:docGrid w:linePitch="360"/>
        </w:sectPr>
      </w:pPr>
    </w:p>
    <w:p>
      <w:pPr>
        <w:pStyle w:val="ManualHeading1"/>
        <w:spacing w:before="240" w:after="240"/>
        <w:ind w:left="851" w:hanging="851"/>
        <w:rPr>
          <w:noProof/>
        </w:rPr>
      </w:pPr>
      <w:bookmarkStart w:id="2" w:name="_Toc328407832"/>
      <w:bookmarkStart w:id="3" w:name="_Toc328407833"/>
      <w:bookmarkStart w:id="4" w:name="_Toc328407834"/>
      <w:bookmarkStart w:id="5" w:name="_Toc328407835"/>
      <w:bookmarkStart w:id="6" w:name="_Toc328407836"/>
      <w:bookmarkStart w:id="7" w:name="_Toc328407837"/>
      <w:bookmarkStart w:id="8" w:name="_Toc328407838"/>
      <w:bookmarkStart w:id="9" w:name="_Toc328407839"/>
      <w:bookmarkStart w:id="10" w:name="_Toc328407840"/>
      <w:bookmarkStart w:id="11" w:name="_Toc328407841"/>
      <w:bookmarkStart w:id="12" w:name="_Toc328407842"/>
      <w:bookmarkStart w:id="13" w:name="_Toc328407843"/>
      <w:bookmarkStart w:id="14" w:name="_Toc328407844"/>
      <w:bookmarkStart w:id="15" w:name="_Toc328407845"/>
      <w:bookmarkStart w:id="16" w:name="_Toc328407846"/>
      <w:bookmarkStart w:id="17" w:name="_Toc328407847"/>
      <w:bookmarkStart w:id="18" w:name="_Toc328407848"/>
      <w:bookmarkStart w:id="19" w:name="_Toc328407849"/>
      <w:bookmarkStart w:id="20" w:name="_Toc328407850"/>
      <w:bookmarkStart w:id="21" w:name="_Toc328407851"/>
      <w:bookmarkStart w:id="22" w:name="_Toc328407852"/>
      <w:bookmarkStart w:id="23" w:name="_Toc328407853"/>
      <w:bookmarkStart w:id="24" w:name="_Toc328407854"/>
      <w:bookmarkStart w:id="25" w:name="_Toc325641135"/>
      <w:bookmarkStart w:id="26" w:name="_Toc330157537"/>
      <w:bookmarkStart w:id="27" w:name="_Toc361393251"/>
      <w:bookmarkStart w:id="28" w:name="_Toc388883939"/>
      <w:bookmarkStart w:id="29" w:name="_Toc393808491"/>
      <w:bookmarkStart w:id="30" w:name="_Toc448397052"/>
      <w:bookmarkStart w:id="31" w:name="_Toc49567989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noProof/>
        </w:rPr>
        <w:lastRenderedPageBreak/>
        <w:t>1.</w:t>
      </w:r>
      <w:r>
        <w:rPr>
          <w:noProof/>
        </w:rPr>
        <w:tab/>
        <w:t>Въведение</w:t>
      </w:r>
      <w:bookmarkEnd w:id="25"/>
      <w:bookmarkEnd w:id="26"/>
      <w:bookmarkEnd w:id="27"/>
      <w:bookmarkEnd w:id="28"/>
      <w:bookmarkEnd w:id="29"/>
      <w:bookmarkEnd w:id="30"/>
      <w:bookmarkEnd w:id="31"/>
    </w:p>
    <w:p>
      <w:pPr>
        <w:spacing w:after="120" w:line="240" w:lineRule="auto"/>
        <w:jc w:val="both"/>
        <w:rPr>
          <w:rFonts w:ascii="Times New Roman" w:hAnsi="Times New Roman"/>
          <w:noProof/>
          <w:sz w:val="24"/>
          <w:szCs w:val="24"/>
        </w:rPr>
      </w:pPr>
      <w:r>
        <w:rPr>
          <w:rFonts w:ascii="Times New Roman" w:hAnsi="Times New Roman"/>
          <w:noProof/>
          <w:sz w:val="24"/>
        </w:rPr>
        <w:t>Настоящият доклад е изготвен в съответствие с член 149 от Финансовия регламент</w:t>
      </w:r>
      <w:r>
        <w:rPr>
          <w:rStyle w:val="FootnoteReference"/>
          <w:noProof/>
        </w:rPr>
        <w:footnoteReference w:id="1"/>
      </w:r>
      <w:r>
        <w:rPr>
          <w:rFonts w:ascii="Times New Roman" w:hAnsi="Times New Roman"/>
          <w:noProof/>
          <w:sz w:val="24"/>
        </w:rPr>
        <w:t>, съгласно който Комисията се отчита пред Европейския парламент и пред Съвета веднъж годишно за бюджетните гаранции и съответните рискове.</w:t>
      </w:r>
    </w:p>
    <w:p>
      <w:pPr>
        <w:spacing w:after="120" w:line="240" w:lineRule="auto"/>
        <w:jc w:val="both"/>
        <w:rPr>
          <w:rFonts w:ascii="Times New Roman" w:hAnsi="Times New Roman"/>
          <w:noProof/>
          <w:sz w:val="24"/>
          <w:szCs w:val="24"/>
        </w:rPr>
      </w:pPr>
      <w:r>
        <w:rPr>
          <w:rFonts w:ascii="Times New Roman" w:hAnsi="Times New Roman"/>
          <w:noProof/>
          <w:sz w:val="24"/>
        </w:rPr>
        <w:t>Поради това всяка година Комисията предоставя информация на Европейския парламент и на Съвета относно използването на различните кредитни инструменти на Европейския съюз (ЕС).</w:t>
      </w:r>
    </w:p>
    <w:p>
      <w:pPr>
        <w:spacing w:after="120" w:line="240" w:lineRule="auto"/>
        <w:jc w:val="both"/>
        <w:rPr>
          <w:rFonts w:ascii="Times New Roman" w:hAnsi="Times New Roman"/>
          <w:noProof/>
          <w:sz w:val="24"/>
          <w:szCs w:val="24"/>
        </w:rPr>
      </w:pPr>
      <w:r>
        <w:rPr>
          <w:rFonts w:ascii="Times New Roman" w:hAnsi="Times New Roman"/>
          <w:noProof/>
          <w:sz w:val="24"/>
        </w:rPr>
        <w:t xml:space="preserve">В настоящия доклад се описват операциите по отпускане на заеми за всеки отделен инструмент, както и съответните дейности по получаване на заеми. </w:t>
      </w:r>
    </w:p>
    <w:p>
      <w:pPr>
        <w:spacing w:after="120" w:line="240" w:lineRule="auto"/>
        <w:jc w:val="both"/>
        <w:rPr>
          <w:rFonts w:ascii="Times New Roman" w:hAnsi="Times New Roman"/>
          <w:noProof/>
          <w:sz w:val="24"/>
          <w:szCs w:val="24"/>
        </w:rPr>
      </w:pPr>
      <w:r>
        <w:rPr>
          <w:rFonts w:ascii="Times New Roman" w:hAnsi="Times New Roman"/>
          <w:noProof/>
          <w:sz w:val="24"/>
        </w:rPr>
        <w:t>С оглед на предвидените промени във Финансовия регламент, информацията относно дейностите по получаване и отпускане на заеми в бъдеще ще бъде включена в пакета за финансово отчитане, предвиден в преразгледания Финансов регламент. За да се избегне дублиране, този отделен доклад за получаването и отпускането на заеми ще бъде преустановен.</w:t>
      </w:r>
    </w:p>
    <w:p>
      <w:pPr>
        <w:pStyle w:val="ManualHeading1"/>
        <w:spacing w:after="240"/>
        <w:ind w:left="851" w:hanging="851"/>
        <w:rPr>
          <w:noProof/>
        </w:rPr>
      </w:pPr>
      <w:bookmarkStart w:id="32" w:name="_Toc325641136"/>
      <w:bookmarkStart w:id="33" w:name="_Toc330157538"/>
      <w:bookmarkStart w:id="34" w:name="_Toc361393252"/>
      <w:bookmarkStart w:id="35" w:name="_Toc388883940"/>
      <w:bookmarkStart w:id="36" w:name="_Toc393808492"/>
      <w:bookmarkStart w:id="37" w:name="_Toc448397053"/>
      <w:bookmarkStart w:id="38" w:name="_Toc495679895"/>
      <w:r>
        <w:rPr>
          <w:noProof/>
        </w:rPr>
        <w:t>2.</w:t>
      </w:r>
      <w:r>
        <w:rPr>
          <w:noProof/>
        </w:rPr>
        <w:tab/>
        <w:t>Дейности на Европейския съюз по отпускане на заеми</w:t>
      </w:r>
      <w:bookmarkEnd w:id="32"/>
      <w:bookmarkEnd w:id="33"/>
      <w:bookmarkEnd w:id="34"/>
      <w:bookmarkEnd w:id="35"/>
      <w:bookmarkEnd w:id="36"/>
      <w:bookmarkEnd w:id="37"/>
      <w:bookmarkEnd w:id="38"/>
    </w:p>
    <w:p>
      <w:pPr>
        <w:spacing w:line="240" w:lineRule="auto"/>
        <w:jc w:val="both"/>
        <w:rPr>
          <w:rFonts w:ascii="Times New Roman" w:hAnsi="Times New Roman"/>
          <w:noProof/>
          <w:sz w:val="24"/>
          <w:szCs w:val="24"/>
        </w:rPr>
      </w:pPr>
      <w:r>
        <w:rPr>
          <w:rFonts w:ascii="Times New Roman" w:hAnsi="Times New Roman"/>
          <w:noProof/>
          <w:sz w:val="24"/>
        </w:rPr>
        <w:t>Комисията предоставя финансова подкрепа на трети държави и на държавите членки под формата на двустранни заеми, финансирани от капиталовите пазари с обезпечение от бюджета на ЕС, по силата на различни правни актове на Съвета или на Съвета и на Европейския парламент, в зависимост от преследваните цели</w:t>
      </w:r>
      <w:r>
        <w:rPr>
          <w:rStyle w:val="FootnoteReference"/>
          <w:rFonts w:ascii="Times New Roman" w:hAnsi="Times New Roman"/>
          <w:noProof/>
          <w:sz w:val="24"/>
        </w:rPr>
        <w:footnoteReference w:id="2"/>
      </w:r>
      <w:r>
        <w:rPr>
          <w:rFonts w:ascii="Times New Roman" w:hAnsi="Times New Roman"/>
          <w:noProof/>
          <w:sz w:val="24"/>
        </w:rPr>
        <w:t>. Съответствието на финансовата подкрепа за трети държави с общите цели на външната дейност на ЕС се гарантира от Комисията и върховния представител на Съюза по въпросите на външните работи и политиката на сигурност, подпомаган от Европейската служба за външна дейност (ЕСВД).</w:t>
      </w:r>
    </w:p>
    <w:p>
      <w:pPr>
        <w:rPr>
          <w:rFonts w:ascii="Times New Roman" w:hAnsi="Times New Roman"/>
          <w:noProof/>
          <w:sz w:val="24"/>
          <w:szCs w:val="24"/>
        </w:rPr>
      </w:pPr>
      <w:r>
        <w:rPr>
          <w:rFonts w:ascii="Times New Roman" w:hAnsi="Times New Roman"/>
          <w:noProof/>
          <w:sz w:val="24"/>
          <w:u w:val="single"/>
        </w:rPr>
        <w:t>Таблица 1: Развитие на операциите на ЕС (непогасени суми по главницата в млн. евро)</w:t>
      </w:r>
      <w:r>
        <w:rPr>
          <w:rFonts w:ascii="Times New Roman" w:hAnsi="Times New Roman"/>
          <w:noProof/>
          <w:sz w:val="24"/>
        </w:rPr>
        <w:t xml:space="preserve"> </w:t>
      </w:r>
    </w:p>
    <w:p>
      <w:pPr>
        <w:jc w:val="center"/>
        <w:rPr>
          <w:rFonts w:ascii="Times New Roman" w:hAnsi="Times New Roman"/>
          <w:noProof/>
          <w:sz w:val="24"/>
          <w:szCs w:val="24"/>
          <w:u w:val="single"/>
        </w:rPr>
      </w:pPr>
      <w:r>
        <w:rPr>
          <w:noProof/>
          <w:lang w:val="en-US" w:eastAsia="en-US" w:bidi="ar-SA"/>
        </w:rPr>
        <w:drawing>
          <wp:inline distT="0" distB="0" distL="0" distR="0">
            <wp:extent cx="4278630" cy="267398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78630" cy="2673985"/>
                    </a:xfrm>
                    <a:prstGeom prst="rect">
                      <a:avLst/>
                    </a:prstGeom>
                    <a:noFill/>
                    <a:ln>
                      <a:noFill/>
                    </a:ln>
                  </pic:spPr>
                </pic:pic>
              </a:graphicData>
            </a:graphic>
          </wp:inline>
        </w:drawing>
      </w:r>
    </w:p>
    <w:p>
      <w:pPr>
        <w:pStyle w:val="ManualHeading2"/>
        <w:spacing w:before="240" w:after="240"/>
        <w:ind w:left="851" w:hanging="851"/>
        <w:outlineLvl w:val="0"/>
        <w:rPr>
          <w:noProof/>
        </w:rPr>
      </w:pPr>
      <w:bookmarkStart w:id="39" w:name="_Toc325641137"/>
      <w:bookmarkStart w:id="40" w:name="_Toc330157539"/>
      <w:bookmarkStart w:id="41" w:name="_Toc361393253"/>
      <w:bookmarkStart w:id="42" w:name="_Toc388883941"/>
      <w:bookmarkStart w:id="43" w:name="_Toc393808493"/>
      <w:bookmarkStart w:id="44" w:name="_Toc448397054"/>
      <w:bookmarkStart w:id="45" w:name="_Toc495679896"/>
      <w:r>
        <w:rPr>
          <w:noProof/>
        </w:rPr>
        <w:t>2.1.</w:t>
      </w:r>
      <w:r>
        <w:rPr>
          <w:noProof/>
        </w:rPr>
        <w:tab/>
        <w:t>Механизъм за подкрепа на платежния баланс</w:t>
      </w:r>
      <w:bookmarkEnd w:id="39"/>
      <w:bookmarkEnd w:id="40"/>
      <w:bookmarkEnd w:id="41"/>
      <w:bookmarkEnd w:id="42"/>
      <w:bookmarkEnd w:id="43"/>
      <w:bookmarkEnd w:id="44"/>
      <w:bookmarkEnd w:id="45"/>
    </w:p>
    <w:p>
      <w:pPr>
        <w:spacing w:after="120" w:line="240" w:lineRule="auto"/>
        <w:jc w:val="both"/>
        <w:rPr>
          <w:rFonts w:ascii="Times New Roman" w:hAnsi="Times New Roman"/>
          <w:noProof/>
          <w:sz w:val="24"/>
          <w:szCs w:val="24"/>
        </w:rPr>
      </w:pPr>
      <w:r>
        <w:rPr>
          <w:rFonts w:ascii="Times New Roman" w:hAnsi="Times New Roman"/>
          <w:noProof/>
          <w:sz w:val="24"/>
        </w:rPr>
        <w:t>Съгласно член 143 от Договора за функционирането на Европейския съюз (ДФЕС) и Регламент (ЕО) № 332/2002 на Съвета от 18 февруари 2002 г. за установяване на механизъм, осигуряващ средносрочна финансова подкрепа за платежния баланс на държавите членки</w:t>
      </w:r>
      <w:r>
        <w:rPr>
          <w:rStyle w:val="FootnoteReference"/>
          <w:rFonts w:ascii="Times New Roman" w:hAnsi="Times New Roman"/>
          <w:noProof/>
          <w:sz w:val="24"/>
        </w:rPr>
        <w:footnoteReference w:id="3"/>
      </w:r>
      <w:r>
        <w:rPr>
          <w:rFonts w:ascii="Times New Roman" w:hAnsi="Times New Roman"/>
          <w:noProof/>
          <w:sz w:val="24"/>
        </w:rPr>
        <w:t xml:space="preserve"> (Регламент относно платежния баланс), подкрепата за платежния баланс (ПБ) е под формата на средносрочни заеми, отпуснати от Съюза. Като цяло тя се предоставя във връзка с финансиране от Международния валутен фонд (МВФ) и други международни кредитори, като Европейската инвестиционна банка (ЕИБ), Европейската банка за възстановяване и развитие (ЕБВР) или Световната банка.</w:t>
      </w:r>
    </w:p>
    <w:p>
      <w:pPr>
        <w:spacing w:after="120" w:line="240" w:lineRule="auto"/>
        <w:jc w:val="both"/>
        <w:rPr>
          <w:rFonts w:ascii="Times New Roman" w:hAnsi="Times New Roman"/>
          <w:noProof/>
          <w:sz w:val="24"/>
          <w:szCs w:val="24"/>
        </w:rPr>
      </w:pPr>
      <w:r>
        <w:rPr>
          <w:rFonts w:ascii="Times New Roman" w:hAnsi="Times New Roman"/>
          <w:noProof/>
          <w:sz w:val="24"/>
        </w:rPr>
        <w:t>Подкрепата за ПБ се отпуска след гласуване с квалифицирано мнозинство от Съвета, като се вземат предвид обстоятелствата при всеки отделен случай. Потенциални бенефициери са държавите членки извън еврозоната, които изпитват сериозни затруднения с платежния си баланс. Подкрепата има за цел да облекчи ограниченията във връзка с външното финансиране на държавата членка получател и да възстанови доброто състояние на платежния ѝ баланс. Тя се изплаща при изпълнение на условията на икономическата политика, за които е взето решение от Съвета — след консултация с Икономическия и финансов комитет (ИФК) по проектопрограмата за корекции, и които условия се договарят между Комисията и държавата членка бенефициер в меморандум за разбирателство (МР) преди сключването на договора за заем. Правят се редовни прегледи на трайното спазване на мерките, заложени в програмата за корекции, което представлява и условие за изплащането на следващите траншове. Комисията, от името на Европейския съюз, набира необходимите средства на капиталовите пазари.</w:t>
      </w:r>
    </w:p>
    <w:p>
      <w:pPr>
        <w:spacing w:after="120" w:line="240" w:lineRule="auto"/>
        <w:jc w:val="both"/>
        <w:rPr>
          <w:rFonts w:ascii="Times New Roman" w:hAnsi="Times New Roman"/>
          <w:noProof/>
          <w:spacing w:val="-6"/>
          <w:sz w:val="24"/>
          <w:szCs w:val="24"/>
        </w:rPr>
      </w:pPr>
      <w:r>
        <w:rPr>
          <w:rFonts w:ascii="Times New Roman" w:hAnsi="Times New Roman"/>
          <w:noProof/>
          <w:spacing w:val="-6"/>
          <w:sz w:val="24"/>
        </w:rPr>
        <w:t>Комисията редовно докладва на ИФК и на Съвета за прилагането на Регламента относно ПБ.</w:t>
      </w:r>
    </w:p>
    <w:p>
      <w:pPr>
        <w:spacing w:after="120" w:line="240" w:lineRule="auto"/>
        <w:jc w:val="both"/>
        <w:rPr>
          <w:rFonts w:ascii="Times New Roman" w:hAnsi="Times New Roman"/>
          <w:noProof/>
          <w:sz w:val="24"/>
          <w:szCs w:val="24"/>
        </w:rPr>
      </w:pPr>
      <w:r>
        <w:rPr>
          <w:rFonts w:ascii="Times New Roman" w:hAnsi="Times New Roman"/>
          <w:noProof/>
          <w:sz w:val="24"/>
        </w:rPr>
        <w:t>През април 2016 г. Унгария изплати последния транш от своя заем в размер на 1,5 милиарда евро. Към 31 декември 2016 г. общата непогасена сума по програмата за подкрепа на платежния баланс беше 4,2 млрд. евро</w:t>
      </w:r>
      <w:r>
        <w:rPr>
          <w:rStyle w:val="FootnoteReference"/>
          <w:rFonts w:ascii="Times New Roman" w:hAnsi="Times New Roman"/>
          <w:noProof/>
          <w:sz w:val="24"/>
        </w:rPr>
        <w:footnoteReference w:id="4"/>
      </w:r>
      <w:r>
        <w:rPr>
          <w:rFonts w:ascii="Times New Roman" w:hAnsi="Times New Roman"/>
          <w:noProof/>
          <w:sz w:val="24"/>
        </w:rPr>
        <w:t>.</w:t>
      </w:r>
    </w:p>
    <w:p>
      <w:pPr>
        <w:spacing w:after="240" w:line="240" w:lineRule="auto"/>
        <w:jc w:val="both"/>
        <w:rPr>
          <w:rFonts w:ascii="Times New Roman" w:hAnsi="Times New Roman"/>
          <w:noProof/>
          <w:sz w:val="24"/>
          <w:szCs w:val="24"/>
        </w:rPr>
      </w:pPr>
      <w:r>
        <w:rPr>
          <w:rFonts w:ascii="Times New Roman" w:hAnsi="Times New Roman"/>
          <w:noProof/>
          <w:sz w:val="24"/>
          <w:u w:val="single"/>
        </w:rPr>
        <w:t>Таблица 2: Подкрепа за платежния баланс до 31.12.2016 г. (размер на главниците в млрд. евро)</w:t>
      </w:r>
      <w:r>
        <w:rPr>
          <w:rFonts w:ascii="Times New Roman" w:hAnsi="Times New Roman"/>
          <w:noProof/>
          <w:sz w:val="24"/>
        </w:rPr>
        <w:t> </w:t>
      </w:r>
    </w:p>
    <w:p>
      <w:pPr>
        <w:spacing w:after="240" w:line="240" w:lineRule="auto"/>
        <w:jc w:val="center"/>
        <w:rPr>
          <w:rFonts w:ascii="Times New Roman" w:hAnsi="Times New Roman"/>
          <w:noProof/>
          <w:sz w:val="24"/>
          <w:szCs w:val="24"/>
        </w:rPr>
      </w:pPr>
      <w:r>
        <w:rPr>
          <w:noProof/>
          <w:lang w:val="en-US" w:eastAsia="en-US" w:bidi="ar-SA"/>
        </w:rPr>
        <w:drawing>
          <wp:inline distT="0" distB="0" distL="0" distR="0">
            <wp:extent cx="4942840" cy="16306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42840" cy="1630680"/>
                    </a:xfrm>
                    <a:prstGeom prst="rect">
                      <a:avLst/>
                    </a:prstGeom>
                    <a:noFill/>
                    <a:ln>
                      <a:noFill/>
                    </a:ln>
                  </pic:spPr>
                </pic:pic>
              </a:graphicData>
            </a:graphic>
          </wp:inline>
        </w:drawing>
      </w:r>
    </w:p>
    <w:p>
      <w:pPr>
        <w:pStyle w:val="ManualHeading2"/>
        <w:spacing w:before="240" w:after="240"/>
        <w:ind w:left="851" w:hanging="851"/>
        <w:outlineLvl w:val="0"/>
        <w:rPr>
          <w:noProof/>
        </w:rPr>
      </w:pPr>
      <w:bookmarkStart w:id="46" w:name="_Toc325641139"/>
      <w:bookmarkStart w:id="47" w:name="_Toc330157541"/>
      <w:bookmarkStart w:id="48" w:name="_Toc361393254"/>
      <w:bookmarkStart w:id="49" w:name="_Toc388883942"/>
      <w:bookmarkStart w:id="50" w:name="_Toc393808494"/>
    </w:p>
    <w:p>
      <w:pPr>
        <w:pStyle w:val="ManualHeading2"/>
        <w:spacing w:before="240" w:after="240"/>
        <w:ind w:left="851" w:hanging="851"/>
        <w:outlineLvl w:val="0"/>
        <w:rPr>
          <w:noProof/>
        </w:rPr>
      </w:pPr>
      <w:bookmarkStart w:id="51" w:name="_Toc448397055"/>
      <w:bookmarkStart w:id="52" w:name="_Toc495679897"/>
      <w:r>
        <w:rPr>
          <w:noProof/>
        </w:rPr>
        <w:t>2.2.</w:t>
      </w:r>
      <w:r>
        <w:rPr>
          <w:noProof/>
        </w:rPr>
        <w:tab/>
        <w:t>Европейски механизъм за финансово стабилизиране</w:t>
      </w:r>
      <w:bookmarkEnd w:id="46"/>
      <w:bookmarkEnd w:id="47"/>
      <w:bookmarkEnd w:id="48"/>
      <w:bookmarkEnd w:id="49"/>
      <w:bookmarkEnd w:id="50"/>
      <w:bookmarkEnd w:id="51"/>
      <w:bookmarkEnd w:id="52"/>
    </w:p>
    <w:p>
      <w:pPr>
        <w:spacing w:after="120" w:line="240" w:lineRule="auto"/>
        <w:jc w:val="both"/>
        <w:rPr>
          <w:rFonts w:ascii="Times New Roman" w:hAnsi="Times New Roman"/>
          <w:noProof/>
          <w:sz w:val="24"/>
          <w:szCs w:val="24"/>
        </w:rPr>
      </w:pPr>
      <w:r>
        <w:rPr>
          <w:rFonts w:ascii="Times New Roman" w:hAnsi="Times New Roman"/>
          <w:noProof/>
          <w:sz w:val="24"/>
        </w:rPr>
        <w:t>Европейският механизъм за финансово стабилизиране (ЕМФС) е създаден с Регламент (ЕС) № 407/2010 на Съвета</w:t>
      </w:r>
      <w:r>
        <w:rPr>
          <w:rStyle w:val="FootnoteReference"/>
          <w:rFonts w:ascii="Times New Roman" w:hAnsi="Times New Roman"/>
          <w:noProof/>
          <w:sz w:val="24"/>
        </w:rPr>
        <w:footnoteReference w:id="5"/>
      </w:r>
      <w:r>
        <w:rPr>
          <w:rFonts w:ascii="Times New Roman" w:hAnsi="Times New Roman"/>
          <w:noProof/>
          <w:sz w:val="24"/>
        </w:rPr>
        <w:t xml:space="preserve"> от 11 май 2010 г. на основание член 122, параграф 2</w:t>
      </w:r>
      <w:r>
        <w:rPr>
          <w:rStyle w:val="FootnoteReference"/>
          <w:rFonts w:ascii="Times New Roman" w:hAnsi="Times New Roman"/>
          <w:noProof/>
          <w:sz w:val="24"/>
        </w:rPr>
        <w:footnoteReference w:id="6"/>
      </w:r>
      <w:r>
        <w:rPr>
          <w:rFonts w:ascii="Times New Roman" w:hAnsi="Times New Roman"/>
          <w:noProof/>
          <w:sz w:val="24"/>
        </w:rPr>
        <w:t xml:space="preserve"> от ДФЕС. ЕМФС е финансиран изцяло от бюджета на ЕС и има общ кредитен капацитет до 60 млрд. евро</w:t>
      </w:r>
      <w:r>
        <w:rPr>
          <w:rStyle w:val="FootnoteReference"/>
          <w:rFonts w:ascii="Times New Roman" w:hAnsi="Times New Roman"/>
          <w:noProof/>
          <w:sz w:val="24"/>
        </w:rPr>
        <w:footnoteReference w:id="7"/>
      </w:r>
      <w:r>
        <w:rPr>
          <w:rFonts w:ascii="Times New Roman" w:hAnsi="Times New Roman"/>
          <w:noProof/>
          <w:sz w:val="24"/>
        </w:rPr>
        <w:t xml:space="preserve">. </w:t>
      </w:r>
    </w:p>
    <w:p>
      <w:pPr>
        <w:spacing w:after="120" w:line="240" w:lineRule="auto"/>
        <w:jc w:val="both"/>
        <w:rPr>
          <w:rFonts w:ascii="Times New Roman" w:hAnsi="Times New Roman"/>
          <w:noProof/>
          <w:spacing w:val="-4"/>
          <w:sz w:val="24"/>
          <w:szCs w:val="24"/>
        </w:rPr>
      </w:pPr>
      <w:r>
        <w:rPr>
          <w:rFonts w:ascii="Times New Roman" w:hAnsi="Times New Roman"/>
          <w:noProof/>
          <w:spacing w:val="-4"/>
          <w:sz w:val="24"/>
        </w:rPr>
        <w:t>ЕМФС бе задействан през 2011 г. за Ирландия</w:t>
      </w:r>
      <w:r>
        <w:rPr>
          <w:rStyle w:val="FootnoteReference"/>
          <w:rFonts w:ascii="Times New Roman" w:hAnsi="Times New Roman"/>
          <w:noProof/>
          <w:spacing w:val="-4"/>
          <w:sz w:val="24"/>
        </w:rPr>
        <w:footnoteReference w:id="8"/>
      </w:r>
      <w:r>
        <w:rPr>
          <w:rFonts w:ascii="Times New Roman" w:hAnsi="Times New Roman"/>
          <w:noProof/>
          <w:spacing w:val="-4"/>
          <w:sz w:val="24"/>
        </w:rPr>
        <w:t xml:space="preserve"> и Португалия</w:t>
      </w:r>
      <w:r>
        <w:rPr>
          <w:rStyle w:val="FootnoteReference"/>
          <w:rFonts w:ascii="Times New Roman" w:hAnsi="Times New Roman"/>
          <w:noProof/>
          <w:spacing w:val="-4"/>
          <w:sz w:val="24"/>
        </w:rPr>
        <w:footnoteReference w:id="9"/>
      </w:r>
      <w:r>
        <w:rPr>
          <w:rFonts w:ascii="Times New Roman" w:hAnsi="Times New Roman"/>
          <w:noProof/>
          <w:spacing w:val="-4"/>
          <w:sz w:val="24"/>
        </w:rPr>
        <w:t xml:space="preserve"> с поемането на задължение за отпускане на заеми в размер съответно до 22,5 млрд. евро и 26 млрд. евро.</w:t>
      </w:r>
    </w:p>
    <w:p>
      <w:pPr>
        <w:spacing w:after="120" w:line="240" w:lineRule="auto"/>
        <w:jc w:val="both"/>
        <w:rPr>
          <w:rFonts w:ascii="Times New Roman" w:hAnsi="Times New Roman"/>
          <w:noProof/>
          <w:sz w:val="24"/>
          <w:szCs w:val="24"/>
        </w:rPr>
      </w:pPr>
      <w:r>
        <w:rPr>
          <w:rFonts w:ascii="Times New Roman" w:hAnsi="Times New Roman"/>
          <w:noProof/>
          <w:sz w:val="24"/>
        </w:rPr>
        <w:t>През 2013 г. беше взето решение за удължаване на максималния среден матуритет на отпуснатите заеми от 12,5 години на 19,5 години за двете държави членки. Бенефициерите на ЕМФС могат да поискат удължаване и рефинансиране на всички заеми по ЕМФС, ако средният матуритет на отпуснатите заеми (изчислен от първоначалното отпускане) не надвишава 19,5 години.</w:t>
      </w:r>
    </w:p>
    <w:p>
      <w:pPr>
        <w:spacing w:after="120" w:line="240" w:lineRule="auto"/>
        <w:jc w:val="both"/>
        <w:rPr>
          <w:rFonts w:ascii="Times New Roman" w:hAnsi="Times New Roman"/>
          <w:noProof/>
          <w:spacing w:val="-4"/>
          <w:sz w:val="24"/>
          <w:szCs w:val="24"/>
        </w:rPr>
      </w:pPr>
      <w:r>
        <w:rPr>
          <w:rFonts w:ascii="Times New Roman" w:hAnsi="Times New Roman"/>
          <w:noProof/>
          <w:spacing w:val="-4"/>
          <w:sz w:val="24"/>
        </w:rPr>
        <w:t>В този контекст беше получено искане за удължаване на заема по ЕМФС в размер на 4,75 млрд. евро, отпуснат на Португалия през 2011 г. и дължим на 3 юни 2016 г. Заемът беше рефинансиран в три сделки с падежи 2023 г. (1,5 млрд. евро), 2031 г. (2,25 млрд. евро) и 2036 г. (1 млрд. евро). След това удължаване на матуритета, среднопретегленият матуритет на заемите по  ЕМФС за Португалия понастоящем е 14,9 години.</w:t>
      </w:r>
    </w:p>
    <w:p>
      <w:pPr>
        <w:spacing w:after="120" w:line="240" w:lineRule="auto"/>
        <w:jc w:val="both"/>
        <w:rPr>
          <w:rFonts w:ascii="Times New Roman" w:hAnsi="Times New Roman"/>
          <w:noProof/>
          <w:sz w:val="24"/>
          <w:szCs w:val="24"/>
        </w:rPr>
      </w:pPr>
      <w:r>
        <w:rPr>
          <w:rFonts w:ascii="Times New Roman" w:hAnsi="Times New Roman"/>
          <w:noProof/>
          <w:sz w:val="24"/>
        </w:rPr>
        <w:t>Общата непогасена сума по ЕМФС в края на 2016 г. възлиза на 46,8 млн. евро (Ирландия: 22,5 млрд. евро, Португалия: 24,3 млрд. евро).</w:t>
      </w:r>
    </w:p>
    <w:p>
      <w:pPr>
        <w:pStyle w:val="ManualHeading2"/>
        <w:spacing w:before="240" w:after="240"/>
        <w:ind w:left="851" w:hanging="851"/>
        <w:rPr>
          <w:noProof/>
        </w:rPr>
      </w:pPr>
      <w:bookmarkStart w:id="53" w:name="_Toc325641141"/>
      <w:bookmarkStart w:id="54" w:name="_Toc330157543"/>
      <w:bookmarkStart w:id="55" w:name="_Toc361393255"/>
      <w:bookmarkStart w:id="56" w:name="_Toc388883943"/>
      <w:bookmarkStart w:id="57" w:name="_Toc393808495"/>
      <w:bookmarkStart w:id="58" w:name="_Toc448397056"/>
      <w:bookmarkStart w:id="59" w:name="_Toc495679898"/>
      <w:r>
        <w:rPr>
          <w:noProof/>
        </w:rPr>
        <w:t>2.3.</w:t>
      </w:r>
      <w:r>
        <w:rPr>
          <w:noProof/>
        </w:rPr>
        <w:tab/>
      </w:r>
      <w:bookmarkEnd w:id="53"/>
      <w:bookmarkEnd w:id="54"/>
      <w:bookmarkEnd w:id="55"/>
      <w:bookmarkEnd w:id="56"/>
      <w:bookmarkEnd w:id="57"/>
      <w:r>
        <w:rPr>
          <w:noProof/>
        </w:rPr>
        <w:t>Макрофинансова помощ</w:t>
      </w:r>
      <w:bookmarkEnd w:id="58"/>
      <w:bookmarkEnd w:id="59"/>
    </w:p>
    <w:p>
      <w:pPr>
        <w:spacing w:after="120" w:line="240" w:lineRule="auto"/>
        <w:jc w:val="both"/>
        <w:rPr>
          <w:rFonts w:ascii="Times New Roman" w:hAnsi="Times New Roman"/>
          <w:noProof/>
          <w:sz w:val="24"/>
          <w:szCs w:val="24"/>
        </w:rPr>
      </w:pPr>
      <w:r>
        <w:rPr>
          <w:rFonts w:ascii="Times New Roman" w:hAnsi="Times New Roman"/>
          <w:noProof/>
          <w:sz w:val="24"/>
        </w:rPr>
        <w:t>Макрофинансовата помощ (МФП)</w:t>
      </w:r>
      <w:r>
        <w:rPr>
          <w:rFonts w:ascii="Times New Roman" w:hAnsi="Times New Roman"/>
          <w:noProof/>
          <w:sz w:val="24"/>
          <w:vertAlign w:val="superscript"/>
        </w:rPr>
        <w:footnoteReference w:id="10"/>
      </w:r>
      <w:r>
        <w:rPr>
          <w:rFonts w:ascii="Times New Roman" w:hAnsi="Times New Roman"/>
          <w:noProof/>
          <w:sz w:val="24"/>
        </w:rPr>
        <w:t xml:space="preserve"> е предназначена за извънредни нужди от външно финансиране на страните, които са в географска, икономическа и политическа близост до ЕС. Целта на помощта е да се възстанови макроикономическата и финансовата стабилност в държавите кандидатки, държавите потенциални кандидатки и съседните на ЕС държави (и при изключителни обстоятелства — други трети държави), като същевременно се насърчава прилагането на макроикономически корекции и структурни реформи. МФП се предоставя извънредно и временно и се отпуска на траншове въз основа на строги изисквания по отношение на икономическата политика. МФП допълва и зависи от наличието на подкрепяни от програми на МВФ за макроикономически корекции. МФП може да се отпуска под формата на заеми и/или, при определени обстоятелства, под формата на безвъзмездни средства</w:t>
      </w:r>
      <w:r>
        <w:rPr>
          <w:rStyle w:val="FootnoteReference"/>
          <w:rFonts w:ascii="Times New Roman" w:hAnsi="Times New Roman"/>
          <w:noProof/>
          <w:sz w:val="24"/>
        </w:rPr>
        <w:footnoteReference w:id="11"/>
      </w:r>
      <w:r>
        <w:rPr>
          <w:rFonts w:ascii="Times New Roman" w:hAnsi="Times New Roman"/>
          <w:noProof/>
          <w:sz w:val="24"/>
        </w:rPr>
        <w:t>.</w:t>
      </w:r>
    </w:p>
    <w:p>
      <w:pPr>
        <w:spacing w:after="120" w:line="240" w:lineRule="auto"/>
        <w:jc w:val="both"/>
        <w:rPr>
          <w:rFonts w:ascii="Times New Roman" w:hAnsi="Times New Roman"/>
          <w:noProof/>
          <w:sz w:val="24"/>
          <w:szCs w:val="24"/>
        </w:rPr>
      </w:pPr>
      <w:r>
        <w:rPr>
          <w:rFonts w:ascii="Times New Roman" w:hAnsi="Times New Roman"/>
          <w:noProof/>
          <w:sz w:val="24"/>
        </w:rPr>
        <w:t>Ако държава бенефициер не изпълни задълженията си по погасяването, Комисията може да прибегне до Гаранционния фонд за външни дейности</w:t>
      </w:r>
      <w:r>
        <w:rPr>
          <w:rStyle w:val="FootnoteReference"/>
          <w:rFonts w:ascii="Times New Roman" w:hAnsi="Times New Roman"/>
          <w:noProof/>
          <w:sz w:val="24"/>
        </w:rPr>
        <w:footnoteReference w:id="12"/>
      </w:r>
      <w:r>
        <w:rPr>
          <w:rFonts w:ascii="Times New Roman" w:hAnsi="Times New Roman"/>
          <w:noProof/>
          <w:sz w:val="24"/>
        </w:rPr>
        <w:t>; тогава погасяването на съответния отпуснат от Комисията заем става със средства от него</w:t>
      </w:r>
      <w:r>
        <w:rPr>
          <w:rStyle w:val="FootnoteReference"/>
          <w:rFonts w:ascii="Times New Roman" w:hAnsi="Times New Roman"/>
          <w:noProof/>
          <w:sz w:val="24"/>
        </w:rPr>
        <w:footnoteReference w:id="13"/>
      </w:r>
      <w:r>
        <w:rPr>
          <w:rFonts w:ascii="Times New Roman" w:hAnsi="Times New Roman"/>
          <w:noProof/>
          <w:sz w:val="24"/>
        </w:rPr>
        <w:t>.</w:t>
      </w:r>
    </w:p>
    <w:p>
      <w:pPr>
        <w:spacing w:before="120" w:after="240" w:line="240" w:lineRule="auto"/>
        <w:jc w:val="both"/>
        <w:rPr>
          <w:rFonts w:ascii="Times New Roman" w:eastAsia="Times New Roman" w:hAnsi="Times New Roman"/>
          <w:noProof/>
          <w:sz w:val="24"/>
          <w:szCs w:val="24"/>
        </w:rPr>
      </w:pPr>
      <w:r>
        <w:rPr>
          <w:rFonts w:ascii="Times New Roman" w:hAnsi="Times New Roman"/>
          <w:noProof/>
          <w:sz w:val="24"/>
        </w:rPr>
        <w:t>Вторият и последен транш от 10 млн. евро от заема на обща стойност от 15 млн. евро, предоставен на Киргизката република</w:t>
      </w:r>
      <w:r>
        <w:rPr>
          <w:rFonts w:ascii="Times New Roman" w:hAnsi="Times New Roman"/>
          <w:noProof/>
          <w:sz w:val="24"/>
          <w:vertAlign w:val="superscript"/>
        </w:rPr>
        <w:footnoteReference w:id="14"/>
      </w:r>
      <w:r>
        <w:rPr>
          <w:rFonts w:ascii="Times New Roman" w:hAnsi="Times New Roman"/>
          <w:noProof/>
          <w:sz w:val="24"/>
        </w:rPr>
        <w:t>, бе отпуснат през април 2016 г.</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На 6 юли 2016 г. Европейският парламент и Съветът решиха да предоставят допълнителна макрофинансова помощ на Тунис</w:t>
      </w:r>
      <w:r>
        <w:rPr>
          <w:rFonts w:ascii="Times New Roman" w:hAnsi="Times New Roman"/>
          <w:noProof/>
          <w:sz w:val="24"/>
          <w:vertAlign w:val="superscript"/>
        </w:rPr>
        <w:footnoteReference w:id="15"/>
      </w:r>
      <w:r>
        <w:rPr>
          <w:rFonts w:ascii="Times New Roman" w:hAnsi="Times New Roman"/>
          <w:noProof/>
          <w:sz w:val="24"/>
        </w:rPr>
        <w:t xml:space="preserve"> в максимален размер от 500 млн. евро под формата на заеми (заем на три транша от 200, 150 и 150 млн. евро). </w:t>
      </w:r>
    </w:p>
    <w:p>
      <w:pPr>
        <w:spacing w:before="120" w:after="120" w:line="240" w:lineRule="auto"/>
        <w:jc w:val="both"/>
        <w:rPr>
          <w:rFonts w:ascii="Times New Roman" w:eastAsia="Times New Roman" w:hAnsi="Times New Roman"/>
          <w:noProof/>
          <w:spacing w:val="-4"/>
          <w:sz w:val="24"/>
          <w:szCs w:val="24"/>
        </w:rPr>
      </w:pPr>
      <w:r>
        <w:rPr>
          <w:rFonts w:ascii="Times New Roman" w:hAnsi="Times New Roman"/>
          <w:noProof/>
          <w:spacing w:val="-4"/>
          <w:sz w:val="24"/>
        </w:rPr>
        <w:t>На 14 декември 2016 г. Европейският парламент и Съветът решиха да предоставят допълнителна макрофинансова помощ на Хашемитско кралство Йордания</w:t>
      </w:r>
      <w:r>
        <w:rPr>
          <w:rFonts w:ascii="Times New Roman" w:hAnsi="Times New Roman"/>
          <w:noProof/>
          <w:spacing w:val="-4"/>
          <w:sz w:val="24"/>
          <w:vertAlign w:val="superscript"/>
        </w:rPr>
        <w:footnoteReference w:id="16"/>
      </w:r>
      <w:r>
        <w:rPr>
          <w:rFonts w:ascii="Times New Roman" w:hAnsi="Times New Roman"/>
          <w:noProof/>
          <w:spacing w:val="-4"/>
          <w:sz w:val="24"/>
        </w:rPr>
        <w:t xml:space="preserve"> в максимален размер от 200 млн. евро под формата на заеми (заем на два транша от по 100 млн. евро).</w:t>
      </w:r>
    </w:p>
    <w:p>
      <w:pPr>
        <w:autoSpaceDE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Държавите бенефициери погасиха общо 70 млн. евро (Босна и Херцеговина — 4 млн. евро, бившата югославска република Македония — 10 млн. евро, Черна гора — 1,34 млн. евро и Сърбия — 54,66 млн. евро). </w:t>
      </w:r>
    </w:p>
    <w:p>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Непогасените суми по заеми за МФП намаляха от 3 006,6 млн. евро на 2 946,6 млн. евро в периода от 31 декември 2015 г. до 31 декември 2016 г. Заемите за Украйна представляват 75 % от общата експозиция за МФП.</w:t>
      </w:r>
    </w:p>
    <w:p>
      <w:pPr>
        <w:pStyle w:val="ManualHeading2"/>
        <w:spacing w:before="240" w:after="240"/>
        <w:ind w:left="851" w:hanging="851"/>
        <w:rPr>
          <w:noProof/>
        </w:rPr>
      </w:pPr>
      <w:bookmarkStart w:id="60" w:name="_Toc325641143"/>
      <w:bookmarkStart w:id="61" w:name="_Toc330157545"/>
      <w:bookmarkStart w:id="62" w:name="_Toc361393256"/>
      <w:bookmarkStart w:id="63" w:name="_Toc388883944"/>
      <w:bookmarkStart w:id="64" w:name="_Toc393808496"/>
      <w:bookmarkStart w:id="65" w:name="_Toc448397057"/>
      <w:bookmarkStart w:id="66" w:name="_Toc495679899"/>
      <w:r>
        <w:rPr>
          <w:noProof/>
        </w:rPr>
        <w:t>2.4.</w:t>
      </w:r>
      <w:r>
        <w:rPr>
          <w:noProof/>
        </w:rPr>
        <w:tab/>
        <w:t>Механизъм за отпускане на заеми от Евратом</w:t>
      </w:r>
      <w:bookmarkEnd w:id="60"/>
      <w:bookmarkEnd w:id="61"/>
      <w:bookmarkEnd w:id="62"/>
      <w:bookmarkEnd w:id="63"/>
      <w:bookmarkEnd w:id="64"/>
      <w:bookmarkEnd w:id="65"/>
      <w:bookmarkEnd w:id="66"/>
    </w:p>
    <w:p>
      <w:pPr>
        <w:spacing w:after="120" w:line="240" w:lineRule="auto"/>
        <w:jc w:val="both"/>
        <w:rPr>
          <w:rFonts w:ascii="Times New Roman" w:hAnsi="Times New Roman"/>
          <w:noProof/>
          <w:sz w:val="24"/>
          <w:szCs w:val="24"/>
        </w:rPr>
      </w:pPr>
      <w:r>
        <w:rPr>
          <w:rFonts w:ascii="Times New Roman" w:hAnsi="Times New Roman"/>
          <w:noProof/>
          <w:sz w:val="24"/>
        </w:rPr>
        <w:t>Механизмът за отпускане на заеми от Евратом може да се използва за финансиране на проекти в държавите членки (Решение 77/270/Евратом на Съвета) или в някои трети държави</w:t>
      </w:r>
      <w:r>
        <w:rPr>
          <w:rStyle w:val="FootnoteReference"/>
          <w:rFonts w:ascii="Times New Roman" w:hAnsi="Times New Roman"/>
          <w:noProof/>
          <w:sz w:val="24"/>
        </w:rPr>
        <w:footnoteReference w:id="17"/>
      </w:r>
      <w:r>
        <w:rPr>
          <w:rFonts w:ascii="Times New Roman" w:hAnsi="Times New Roman"/>
          <w:noProof/>
          <w:sz w:val="24"/>
        </w:rPr>
        <w:t xml:space="preserve"> (Решение 94/179/Евратом на Съвета). </w:t>
      </w:r>
    </w:p>
    <w:p>
      <w:pPr>
        <w:spacing w:after="120" w:line="240" w:lineRule="auto"/>
        <w:jc w:val="both"/>
        <w:rPr>
          <w:rFonts w:ascii="Times New Roman" w:hAnsi="Times New Roman"/>
          <w:noProof/>
          <w:sz w:val="24"/>
          <w:szCs w:val="24"/>
        </w:rPr>
      </w:pPr>
      <w:r>
        <w:rPr>
          <w:rFonts w:ascii="Times New Roman" w:hAnsi="Times New Roman"/>
          <w:noProof/>
          <w:sz w:val="24"/>
        </w:rPr>
        <w:t>През 1990 г. Съветът определи максимална граница на заемите от 4 млрд. евро, от които 3,7 млрд. евро са одобрени и 3,4 млрд. евро са вече отпуснати. В съответствие с Решението на Съвета за максималната граница на заемите (Решение 77/271/Евратом, изменено) когато одобреният размер достигне 3,8 млрд. евро, Комисията следва да информира Съвета и, ако е целесъобразно, да предложи нова максимална граница.</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В подкрепа на програмата на Украйна за повишаване на безопасността на атомните електроцентрали, през 2013 г. Комисията прие Решение C(2013) 3496 за предоставяне на страната на заем по Евратом в размер до 300 млн. евро. Споразумението за заем бе подписано на 7 август 2013 г. Успоредно с това през март 2013 г. бе подписано споразумение за заем от ЕБВР в размер на 300 млн. евро.</w:t>
      </w:r>
    </w:p>
    <w:p>
      <w:pPr>
        <w:autoSpaceDE w:val="0"/>
        <w:autoSpaceDN w:val="0"/>
        <w:adjustRightInd w:val="0"/>
        <w:spacing w:after="120" w:line="240" w:lineRule="auto"/>
        <w:jc w:val="both"/>
        <w:rPr>
          <w:rFonts w:ascii="Times New Roman" w:hAnsi="Times New Roman"/>
          <w:noProof/>
          <w:spacing w:val="-4"/>
          <w:sz w:val="24"/>
          <w:szCs w:val="24"/>
        </w:rPr>
      </w:pPr>
      <w:r>
        <w:rPr>
          <w:rFonts w:ascii="Times New Roman" w:hAnsi="Times New Roman"/>
          <w:noProof/>
          <w:spacing w:val="-4"/>
          <w:sz w:val="24"/>
        </w:rPr>
        <w:t>На 27 май 2015 г. беше прието решение за вземане на заем с първи транш в размер до 100 млн. евро, но поради забавяне в процеса на изпълнение, до края на 2016 г. все още не беше извършено плащане. Първият транш от 50 млн. евро беше отпуснат през май 2017 г.</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България и Румъния възстановиха суми от съответно 22,62 млн. евро и 19 млн. евро, а Украйна — сума, еквивалентна на 7,1 млн. евро</w:t>
      </w:r>
      <w:r>
        <w:rPr>
          <w:rStyle w:val="FootnoteReference"/>
          <w:rFonts w:ascii="Times New Roman" w:hAnsi="Times New Roman"/>
          <w:noProof/>
          <w:sz w:val="24"/>
        </w:rPr>
        <w:footnoteReference w:id="18"/>
      </w:r>
      <w:r>
        <w:rPr>
          <w:rFonts w:ascii="Times New Roman" w:hAnsi="Times New Roman"/>
          <w:noProof/>
          <w:sz w:val="24"/>
        </w:rPr>
        <w:t>.</w:t>
      </w:r>
    </w:p>
    <w:p>
      <w:pPr>
        <w:pStyle w:val="ManualHeading1"/>
        <w:spacing w:after="240"/>
        <w:ind w:left="851" w:hanging="851"/>
        <w:rPr>
          <w:noProof/>
        </w:rPr>
      </w:pPr>
      <w:bookmarkStart w:id="67" w:name="_Toc325641145"/>
      <w:bookmarkStart w:id="68" w:name="_Toc330157547"/>
      <w:bookmarkStart w:id="69" w:name="_Toc361393257"/>
      <w:bookmarkStart w:id="70" w:name="_Toc388883945"/>
      <w:bookmarkStart w:id="71" w:name="_Toc393808497"/>
      <w:bookmarkStart w:id="72" w:name="_Toc448397059"/>
      <w:bookmarkStart w:id="73" w:name="_Toc495679900"/>
      <w:r>
        <w:rPr>
          <w:noProof/>
        </w:rPr>
        <w:t>3.</w:t>
      </w:r>
      <w:r>
        <w:rPr>
          <w:noProof/>
        </w:rPr>
        <w:tab/>
        <w:t>Операции на Европейския съюз по получаване на заеми</w:t>
      </w:r>
      <w:bookmarkEnd w:id="67"/>
      <w:bookmarkEnd w:id="68"/>
      <w:bookmarkEnd w:id="69"/>
      <w:bookmarkEnd w:id="70"/>
      <w:bookmarkEnd w:id="71"/>
      <w:bookmarkEnd w:id="72"/>
      <w:bookmarkEnd w:id="73"/>
    </w:p>
    <w:p>
      <w:pPr>
        <w:spacing w:after="240" w:line="240" w:lineRule="auto"/>
        <w:jc w:val="both"/>
        <w:rPr>
          <w:rFonts w:ascii="Times New Roman" w:hAnsi="Times New Roman"/>
          <w:noProof/>
          <w:sz w:val="24"/>
          <w:szCs w:val="24"/>
        </w:rPr>
      </w:pPr>
      <w:r>
        <w:rPr>
          <w:rFonts w:ascii="Times New Roman" w:hAnsi="Times New Roman"/>
          <w:noProof/>
          <w:sz w:val="24"/>
        </w:rPr>
        <w:t>С цел да се финансират отпусканите заеми, одобрени от Съвета, Комисията е оправомощена да заема средства на капиталовите пазари от името на Европейския съюз и Евратом. Вземането и отпускането на заеми се извършва под формата на операции от вида „back-to-back“ (със сходни условия), с което се гарантира, че бюджетът на ЕС не поема лихвен или валутен риск</w:t>
      </w:r>
      <w:r>
        <w:rPr>
          <w:rStyle w:val="FootnoteReference"/>
          <w:rFonts w:ascii="Times New Roman" w:hAnsi="Times New Roman"/>
          <w:noProof/>
          <w:sz w:val="24"/>
        </w:rPr>
        <w:footnoteReference w:id="19"/>
      </w:r>
      <w:r>
        <w:rPr>
          <w:rFonts w:ascii="Times New Roman" w:hAnsi="Times New Roman"/>
          <w:noProof/>
          <w:sz w:val="24"/>
        </w:rPr>
        <w:t>. На оставащите за изплащане задължения по получени заеми съответстват оставащите за събиране вземания по отпуснати заеми.</w:t>
      </w:r>
    </w:p>
    <w:p>
      <w:pPr>
        <w:pStyle w:val="ManualHeading2"/>
        <w:spacing w:before="240" w:after="240"/>
        <w:ind w:left="851" w:hanging="851"/>
        <w:outlineLvl w:val="0"/>
        <w:rPr>
          <w:noProof/>
        </w:rPr>
      </w:pPr>
      <w:bookmarkStart w:id="74" w:name="_Toc325641146"/>
      <w:bookmarkStart w:id="75" w:name="_Toc330157548"/>
      <w:bookmarkStart w:id="76" w:name="_Toc361393258"/>
      <w:bookmarkStart w:id="77" w:name="_Toc388883946"/>
      <w:bookmarkStart w:id="78" w:name="_Toc393808498"/>
      <w:bookmarkStart w:id="79" w:name="_Toc448397060"/>
      <w:bookmarkStart w:id="80" w:name="_Toc495679901"/>
      <w:r>
        <w:rPr>
          <w:noProof/>
        </w:rPr>
        <w:t>3.1.</w:t>
      </w:r>
      <w:r>
        <w:rPr>
          <w:noProof/>
        </w:rPr>
        <w:tab/>
        <w:t>Механизъм за подкрепа на платежния баланс</w:t>
      </w:r>
      <w:bookmarkEnd w:id="74"/>
      <w:bookmarkEnd w:id="75"/>
      <w:bookmarkEnd w:id="76"/>
      <w:bookmarkEnd w:id="77"/>
      <w:bookmarkEnd w:id="78"/>
      <w:bookmarkEnd w:id="79"/>
      <w:bookmarkEnd w:id="80"/>
    </w:p>
    <w:p>
      <w:pPr>
        <w:spacing w:after="120" w:line="240" w:lineRule="auto"/>
        <w:jc w:val="both"/>
        <w:rPr>
          <w:rFonts w:ascii="Times New Roman" w:hAnsi="Times New Roman"/>
          <w:noProof/>
          <w:sz w:val="24"/>
          <w:szCs w:val="24"/>
        </w:rPr>
      </w:pPr>
      <w:r>
        <w:rPr>
          <w:rFonts w:ascii="Times New Roman" w:hAnsi="Times New Roman"/>
          <w:noProof/>
          <w:sz w:val="24"/>
        </w:rPr>
        <w:t>През 2016 г. по линия на механизма за подкрепа на платежния баланс не са набирани средства от пазара. В края на 2016 г. общият размер на неизплатените средства, набрани за ПБ, бе 4,2 млрд. евро.</w:t>
      </w:r>
    </w:p>
    <w:p>
      <w:pPr>
        <w:pStyle w:val="ManualHeading2"/>
        <w:spacing w:before="240" w:after="240"/>
        <w:ind w:left="851" w:hanging="851"/>
        <w:outlineLvl w:val="0"/>
        <w:rPr>
          <w:noProof/>
        </w:rPr>
      </w:pPr>
      <w:bookmarkStart w:id="81" w:name="_Toc325641147"/>
      <w:bookmarkStart w:id="82" w:name="_Toc330157549"/>
      <w:bookmarkStart w:id="83" w:name="_Toc361393259"/>
      <w:bookmarkStart w:id="84" w:name="_Toc388883947"/>
      <w:bookmarkStart w:id="85" w:name="_Toc393808499"/>
      <w:bookmarkStart w:id="86" w:name="_Toc448397061"/>
      <w:bookmarkStart w:id="87" w:name="_Toc495679902"/>
      <w:r>
        <w:rPr>
          <w:noProof/>
        </w:rPr>
        <w:t>3.2.</w:t>
      </w:r>
      <w:r>
        <w:rPr>
          <w:noProof/>
        </w:rPr>
        <w:tab/>
        <w:t>Европейски механизъм за финансово стабилизиране</w:t>
      </w:r>
      <w:bookmarkEnd w:id="81"/>
      <w:bookmarkEnd w:id="82"/>
      <w:bookmarkEnd w:id="83"/>
      <w:bookmarkEnd w:id="84"/>
      <w:bookmarkEnd w:id="85"/>
      <w:bookmarkEnd w:id="86"/>
      <w:bookmarkEnd w:id="87"/>
    </w:p>
    <w:p>
      <w:pPr>
        <w:spacing w:after="120" w:line="240" w:lineRule="auto"/>
        <w:jc w:val="both"/>
        <w:rPr>
          <w:rFonts w:ascii="Times New Roman" w:hAnsi="Times New Roman"/>
          <w:noProof/>
          <w:sz w:val="24"/>
          <w:szCs w:val="24"/>
        </w:rPr>
      </w:pPr>
      <w:r>
        <w:rPr>
          <w:rFonts w:ascii="Times New Roman" w:hAnsi="Times New Roman"/>
          <w:noProof/>
          <w:sz w:val="24"/>
        </w:rPr>
        <w:t>Вследствие на искането на Португалия за удължаване на матуритета на нейния заем по ЕМФС, дължим на 3 юни 2016 г., през март и април 2016 г. ЕС емитира три облигации с падежи през 2023 г. (1,5 млрд. евро), 2031 г. (2,25 млрд. евро) и 2036 г. (1 млрд. евро), за да рефинансира облигацията с изтичащ срок.</w:t>
      </w:r>
    </w:p>
    <w:p>
      <w:pPr>
        <w:tabs>
          <w:tab w:val="left" w:pos="7800"/>
        </w:tabs>
        <w:spacing w:after="240" w:line="240" w:lineRule="auto"/>
        <w:jc w:val="both"/>
        <w:rPr>
          <w:rFonts w:ascii="Times New Roman" w:hAnsi="Times New Roman"/>
          <w:noProof/>
          <w:sz w:val="24"/>
          <w:szCs w:val="24"/>
          <w:u w:val="single"/>
        </w:rPr>
      </w:pPr>
      <w:r>
        <w:rPr>
          <w:rFonts w:ascii="Times New Roman" w:hAnsi="Times New Roman"/>
          <w:noProof/>
          <w:sz w:val="24"/>
          <w:u w:val="single"/>
        </w:rPr>
        <w:t>Таблица 4: Операции на ЕС по получаване на заеми за ЕМФС през 2016 г. (в млн. евро)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693"/>
        <w:gridCol w:w="2127"/>
        <w:gridCol w:w="1382"/>
      </w:tblGrid>
      <w:tr>
        <w:trPr>
          <w:trHeight w:val="239"/>
        </w:trPr>
        <w:tc>
          <w:tcPr>
            <w:tcW w:w="1661" w:type="pct"/>
            <w:tcBorders>
              <w:bottom w:val="single" w:sz="4" w:space="0" w:color="auto"/>
            </w:tcBorders>
            <w:shd w:val="clear" w:color="auto" w:fill="auto"/>
          </w:tcPr>
          <w:p>
            <w:pPr>
              <w:spacing w:before="100" w:beforeAutospacing="1" w:after="100" w:afterAutospacing="1" w:line="240" w:lineRule="auto"/>
              <w:jc w:val="center"/>
              <w:rPr>
                <w:rFonts w:ascii="Times New Roman" w:hAnsi="Times New Roman"/>
                <w:noProof/>
                <w:sz w:val="24"/>
                <w:szCs w:val="24"/>
              </w:rPr>
            </w:pPr>
            <w:r>
              <w:rPr>
                <w:rFonts w:ascii="Times New Roman" w:hAnsi="Times New Roman"/>
                <w:noProof/>
                <w:sz w:val="24"/>
              </w:rPr>
              <w:t>Държава</w:t>
            </w:r>
          </w:p>
        </w:tc>
        <w:tc>
          <w:tcPr>
            <w:tcW w:w="1450" w:type="pct"/>
            <w:tcBorders>
              <w:bottom w:val="single" w:sz="4" w:space="0" w:color="auto"/>
            </w:tcBorders>
            <w:shd w:val="clear" w:color="auto" w:fill="auto"/>
          </w:tcPr>
          <w:p>
            <w:pPr>
              <w:spacing w:before="100" w:beforeAutospacing="1" w:after="100" w:afterAutospacing="1" w:line="240" w:lineRule="auto"/>
              <w:jc w:val="center"/>
              <w:rPr>
                <w:rFonts w:ascii="Times New Roman" w:hAnsi="Times New Roman"/>
                <w:noProof/>
                <w:sz w:val="24"/>
                <w:szCs w:val="24"/>
              </w:rPr>
            </w:pPr>
            <w:r>
              <w:rPr>
                <w:rFonts w:ascii="Times New Roman" w:hAnsi="Times New Roman"/>
                <w:noProof/>
                <w:sz w:val="24"/>
              </w:rPr>
              <w:t>Дата на емисията</w:t>
            </w:r>
          </w:p>
        </w:tc>
        <w:tc>
          <w:tcPr>
            <w:tcW w:w="1145" w:type="pct"/>
            <w:tcBorders>
              <w:bottom w:val="single" w:sz="4" w:space="0" w:color="auto"/>
            </w:tcBorders>
            <w:shd w:val="clear" w:color="auto" w:fill="auto"/>
          </w:tcPr>
          <w:p>
            <w:pPr>
              <w:spacing w:before="100" w:beforeAutospacing="1" w:after="100" w:afterAutospacing="1" w:line="240" w:lineRule="auto"/>
              <w:jc w:val="center"/>
              <w:rPr>
                <w:rFonts w:ascii="Times New Roman" w:hAnsi="Times New Roman"/>
                <w:noProof/>
                <w:sz w:val="24"/>
                <w:szCs w:val="24"/>
              </w:rPr>
            </w:pPr>
            <w:r>
              <w:rPr>
                <w:rFonts w:ascii="Times New Roman" w:hAnsi="Times New Roman"/>
                <w:noProof/>
                <w:sz w:val="24"/>
              </w:rPr>
              <w:t>Падеж</w:t>
            </w:r>
          </w:p>
        </w:tc>
        <w:tc>
          <w:tcPr>
            <w:tcW w:w="744" w:type="pct"/>
            <w:tcBorders>
              <w:bottom w:val="single" w:sz="4" w:space="0" w:color="auto"/>
            </w:tcBorders>
            <w:shd w:val="clear" w:color="auto" w:fill="auto"/>
          </w:tcPr>
          <w:p>
            <w:pPr>
              <w:spacing w:before="100" w:beforeAutospacing="1" w:after="100" w:afterAutospacing="1" w:line="240" w:lineRule="auto"/>
              <w:jc w:val="center"/>
              <w:rPr>
                <w:rFonts w:ascii="Times New Roman" w:hAnsi="Times New Roman"/>
                <w:noProof/>
                <w:sz w:val="24"/>
                <w:szCs w:val="24"/>
              </w:rPr>
            </w:pPr>
            <w:r>
              <w:rPr>
                <w:rFonts w:ascii="Times New Roman" w:hAnsi="Times New Roman"/>
                <w:noProof/>
                <w:sz w:val="24"/>
              </w:rPr>
              <w:t>Размер</w:t>
            </w:r>
          </w:p>
        </w:tc>
      </w:tr>
      <w:tr>
        <w:tc>
          <w:tcPr>
            <w:tcW w:w="1661" w:type="pct"/>
            <w:tcBorders>
              <w:top w:val="single" w:sz="4" w:space="0" w:color="auto"/>
            </w:tcBorders>
            <w:shd w:val="clear" w:color="auto" w:fill="auto"/>
          </w:tcPr>
          <w:p>
            <w:pPr>
              <w:spacing w:before="100" w:beforeAutospacing="1" w:after="100" w:afterAutospacing="1" w:line="240" w:lineRule="auto"/>
              <w:rPr>
                <w:rFonts w:ascii="Times New Roman" w:hAnsi="Times New Roman"/>
                <w:bCs/>
                <w:noProof/>
                <w:sz w:val="24"/>
                <w:szCs w:val="24"/>
              </w:rPr>
            </w:pPr>
            <w:r>
              <w:rPr>
                <w:rFonts w:ascii="Times New Roman" w:hAnsi="Times New Roman"/>
                <w:noProof/>
                <w:sz w:val="24"/>
              </w:rPr>
              <w:t>Португалия — 1-ви транш</w:t>
            </w:r>
          </w:p>
        </w:tc>
        <w:tc>
          <w:tcPr>
            <w:tcW w:w="1450" w:type="pct"/>
            <w:tcBorders>
              <w:top w:val="single" w:sz="4" w:space="0" w:color="auto"/>
            </w:tcBorders>
            <w:shd w:val="clear" w:color="auto" w:fill="auto"/>
          </w:tcPr>
          <w:p>
            <w:pPr>
              <w:spacing w:before="100" w:beforeAutospacing="1" w:after="100" w:afterAutospacing="1" w:line="240" w:lineRule="auto"/>
              <w:jc w:val="center"/>
              <w:rPr>
                <w:rFonts w:ascii="Times New Roman" w:hAnsi="Times New Roman"/>
                <w:bCs/>
                <w:noProof/>
                <w:sz w:val="24"/>
                <w:szCs w:val="24"/>
              </w:rPr>
            </w:pPr>
            <w:r>
              <w:rPr>
                <w:rFonts w:ascii="Times New Roman" w:hAnsi="Times New Roman"/>
                <w:noProof/>
                <w:sz w:val="24"/>
              </w:rPr>
              <w:t>15.3.2016 г.</w:t>
            </w:r>
          </w:p>
        </w:tc>
        <w:tc>
          <w:tcPr>
            <w:tcW w:w="1145" w:type="pct"/>
            <w:tcBorders>
              <w:top w:val="single" w:sz="4" w:space="0" w:color="auto"/>
            </w:tcBorders>
            <w:shd w:val="clear" w:color="auto" w:fill="auto"/>
          </w:tcPr>
          <w:p>
            <w:pPr>
              <w:spacing w:before="100" w:beforeAutospacing="1" w:after="100" w:afterAutospacing="1" w:line="240" w:lineRule="auto"/>
              <w:jc w:val="center"/>
              <w:rPr>
                <w:rFonts w:ascii="Times New Roman" w:hAnsi="Times New Roman"/>
                <w:bCs/>
                <w:noProof/>
                <w:sz w:val="24"/>
                <w:szCs w:val="24"/>
              </w:rPr>
            </w:pPr>
            <w:r>
              <w:rPr>
                <w:rFonts w:ascii="Times New Roman" w:hAnsi="Times New Roman"/>
                <w:noProof/>
                <w:sz w:val="24"/>
              </w:rPr>
              <w:t>4.4.2036 г.</w:t>
            </w:r>
          </w:p>
        </w:tc>
        <w:tc>
          <w:tcPr>
            <w:tcW w:w="744" w:type="pct"/>
            <w:tcBorders>
              <w:top w:val="single" w:sz="4" w:space="0" w:color="auto"/>
            </w:tcBorders>
            <w:shd w:val="clear" w:color="auto" w:fill="auto"/>
          </w:tcPr>
          <w:p>
            <w:pPr>
              <w:spacing w:before="100" w:beforeAutospacing="1" w:after="100" w:afterAutospacing="1" w:line="240" w:lineRule="auto"/>
              <w:jc w:val="center"/>
              <w:rPr>
                <w:rFonts w:ascii="Times New Roman" w:hAnsi="Times New Roman"/>
                <w:bCs/>
                <w:noProof/>
                <w:sz w:val="24"/>
                <w:szCs w:val="24"/>
              </w:rPr>
            </w:pPr>
            <w:r>
              <w:rPr>
                <w:rFonts w:ascii="Times New Roman" w:hAnsi="Times New Roman"/>
                <w:noProof/>
                <w:sz w:val="24"/>
              </w:rPr>
              <w:t>1 000</w:t>
            </w:r>
          </w:p>
        </w:tc>
      </w:tr>
      <w:tr>
        <w:tc>
          <w:tcPr>
            <w:tcW w:w="1661" w:type="pct"/>
            <w:tcBorders>
              <w:top w:val="single" w:sz="4" w:space="0" w:color="auto"/>
            </w:tcBorders>
            <w:shd w:val="clear" w:color="auto" w:fill="auto"/>
          </w:tcPr>
          <w:p>
            <w:pPr>
              <w:spacing w:before="100" w:beforeAutospacing="1" w:after="100" w:afterAutospacing="1" w:line="240" w:lineRule="auto"/>
              <w:rPr>
                <w:rFonts w:ascii="Times New Roman" w:hAnsi="Times New Roman"/>
                <w:bCs/>
                <w:noProof/>
                <w:sz w:val="24"/>
                <w:szCs w:val="24"/>
              </w:rPr>
            </w:pPr>
            <w:r>
              <w:rPr>
                <w:rFonts w:ascii="Times New Roman" w:hAnsi="Times New Roman"/>
                <w:noProof/>
                <w:sz w:val="24"/>
              </w:rPr>
              <w:t>Португалия — 2-ри транш</w:t>
            </w:r>
            <w:r>
              <w:rPr>
                <w:rFonts w:ascii="Times New Roman" w:hAnsi="Times New Roman"/>
                <w:noProof/>
                <w:sz w:val="16"/>
              </w:rPr>
              <w:t>*</w:t>
            </w:r>
          </w:p>
        </w:tc>
        <w:tc>
          <w:tcPr>
            <w:tcW w:w="1450" w:type="pct"/>
            <w:tcBorders>
              <w:top w:val="single" w:sz="4" w:space="0" w:color="auto"/>
            </w:tcBorders>
            <w:shd w:val="clear" w:color="auto" w:fill="auto"/>
          </w:tcPr>
          <w:p>
            <w:pPr>
              <w:spacing w:before="100" w:beforeAutospacing="1" w:after="100" w:afterAutospacing="1" w:line="240" w:lineRule="auto"/>
              <w:jc w:val="center"/>
              <w:rPr>
                <w:rFonts w:ascii="Times New Roman" w:hAnsi="Times New Roman"/>
                <w:bCs/>
                <w:noProof/>
                <w:sz w:val="24"/>
                <w:szCs w:val="24"/>
              </w:rPr>
            </w:pPr>
            <w:r>
              <w:rPr>
                <w:rFonts w:ascii="Times New Roman" w:hAnsi="Times New Roman"/>
                <w:noProof/>
                <w:sz w:val="24"/>
              </w:rPr>
              <w:t>13.4.2016 г.</w:t>
            </w:r>
          </w:p>
        </w:tc>
        <w:tc>
          <w:tcPr>
            <w:tcW w:w="1145" w:type="pct"/>
            <w:tcBorders>
              <w:top w:val="single" w:sz="4" w:space="0" w:color="auto"/>
            </w:tcBorders>
            <w:shd w:val="clear" w:color="auto" w:fill="auto"/>
          </w:tcPr>
          <w:p>
            <w:pPr>
              <w:spacing w:before="100" w:beforeAutospacing="1" w:after="100" w:afterAutospacing="1" w:line="240" w:lineRule="auto"/>
              <w:jc w:val="center"/>
              <w:rPr>
                <w:rFonts w:ascii="Times New Roman" w:hAnsi="Times New Roman"/>
                <w:bCs/>
                <w:noProof/>
                <w:sz w:val="24"/>
                <w:szCs w:val="24"/>
              </w:rPr>
            </w:pPr>
            <w:r>
              <w:rPr>
                <w:rFonts w:ascii="Times New Roman" w:hAnsi="Times New Roman"/>
                <w:noProof/>
                <w:sz w:val="24"/>
              </w:rPr>
              <w:t>4.4.2031 г.</w:t>
            </w:r>
          </w:p>
        </w:tc>
        <w:tc>
          <w:tcPr>
            <w:tcW w:w="744" w:type="pct"/>
            <w:tcBorders>
              <w:top w:val="single" w:sz="4" w:space="0" w:color="auto"/>
            </w:tcBorders>
            <w:shd w:val="clear" w:color="auto" w:fill="auto"/>
          </w:tcPr>
          <w:p>
            <w:pPr>
              <w:spacing w:before="100" w:beforeAutospacing="1" w:after="100" w:afterAutospacing="1" w:line="240" w:lineRule="auto"/>
              <w:jc w:val="center"/>
              <w:rPr>
                <w:rFonts w:ascii="Times New Roman" w:hAnsi="Times New Roman"/>
                <w:bCs/>
                <w:noProof/>
                <w:sz w:val="24"/>
                <w:szCs w:val="24"/>
              </w:rPr>
            </w:pPr>
            <w:r>
              <w:rPr>
                <w:rFonts w:ascii="Times New Roman" w:hAnsi="Times New Roman"/>
                <w:noProof/>
                <w:sz w:val="24"/>
              </w:rPr>
              <w:t>2 250</w:t>
            </w:r>
          </w:p>
        </w:tc>
      </w:tr>
      <w:tr>
        <w:tc>
          <w:tcPr>
            <w:tcW w:w="1661" w:type="pct"/>
            <w:tcBorders>
              <w:top w:val="single" w:sz="4" w:space="0" w:color="auto"/>
            </w:tcBorders>
            <w:shd w:val="clear" w:color="auto" w:fill="auto"/>
          </w:tcPr>
          <w:p>
            <w:pPr>
              <w:spacing w:before="100" w:beforeAutospacing="1" w:after="100" w:afterAutospacing="1" w:line="240" w:lineRule="auto"/>
              <w:rPr>
                <w:rFonts w:ascii="Times New Roman" w:hAnsi="Times New Roman"/>
                <w:bCs/>
                <w:noProof/>
                <w:sz w:val="24"/>
                <w:szCs w:val="24"/>
              </w:rPr>
            </w:pPr>
            <w:r>
              <w:rPr>
                <w:rFonts w:ascii="Times New Roman" w:hAnsi="Times New Roman"/>
                <w:noProof/>
                <w:sz w:val="24"/>
              </w:rPr>
              <w:t>Португалия — 3-ти транш</w:t>
            </w:r>
          </w:p>
        </w:tc>
        <w:tc>
          <w:tcPr>
            <w:tcW w:w="1450" w:type="pct"/>
            <w:tcBorders>
              <w:top w:val="single" w:sz="4" w:space="0" w:color="auto"/>
            </w:tcBorders>
            <w:shd w:val="clear" w:color="auto" w:fill="auto"/>
          </w:tcPr>
          <w:p>
            <w:pPr>
              <w:spacing w:before="100" w:beforeAutospacing="1" w:after="100" w:afterAutospacing="1" w:line="240" w:lineRule="auto"/>
              <w:jc w:val="center"/>
              <w:rPr>
                <w:rFonts w:ascii="Times New Roman" w:hAnsi="Times New Roman"/>
                <w:bCs/>
                <w:noProof/>
                <w:sz w:val="24"/>
                <w:szCs w:val="24"/>
              </w:rPr>
            </w:pPr>
            <w:r>
              <w:rPr>
                <w:rFonts w:ascii="Times New Roman" w:hAnsi="Times New Roman"/>
                <w:noProof/>
                <w:sz w:val="24"/>
              </w:rPr>
              <w:t>19.4.2016 г.</w:t>
            </w:r>
          </w:p>
        </w:tc>
        <w:tc>
          <w:tcPr>
            <w:tcW w:w="1145" w:type="pct"/>
            <w:tcBorders>
              <w:top w:val="single" w:sz="4" w:space="0" w:color="auto"/>
            </w:tcBorders>
            <w:shd w:val="clear" w:color="auto" w:fill="auto"/>
          </w:tcPr>
          <w:p>
            <w:pPr>
              <w:spacing w:before="100" w:beforeAutospacing="1" w:after="100" w:afterAutospacing="1" w:line="240" w:lineRule="auto"/>
              <w:jc w:val="center"/>
              <w:rPr>
                <w:rFonts w:ascii="Times New Roman" w:hAnsi="Times New Roman"/>
                <w:bCs/>
                <w:noProof/>
                <w:sz w:val="24"/>
                <w:szCs w:val="24"/>
              </w:rPr>
            </w:pPr>
            <w:r>
              <w:rPr>
                <w:rFonts w:ascii="Times New Roman" w:hAnsi="Times New Roman"/>
                <w:noProof/>
                <w:sz w:val="24"/>
              </w:rPr>
              <w:t>4.11.2023 г.</w:t>
            </w:r>
          </w:p>
        </w:tc>
        <w:tc>
          <w:tcPr>
            <w:tcW w:w="744" w:type="pct"/>
            <w:tcBorders>
              <w:top w:val="single" w:sz="4" w:space="0" w:color="auto"/>
            </w:tcBorders>
            <w:shd w:val="clear" w:color="auto" w:fill="auto"/>
          </w:tcPr>
          <w:p>
            <w:pPr>
              <w:spacing w:before="100" w:beforeAutospacing="1" w:after="100" w:afterAutospacing="1" w:line="240" w:lineRule="auto"/>
              <w:jc w:val="center"/>
              <w:rPr>
                <w:rFonts w:ascii="Times New Roman" w:hAnsi="Times New Roman"/>
                <w:bCs/>
                <w:noProof/>
                <w:sz w:val="24"/>
                <w:szCs w:val="24"/>
              </w:rPr>
            </w:pPr>
            <w:r>
              <w:rPr>
                <w:rFonts w:ascii="Times New Roman" w:hAnsi="Times New Roman"/>
                <w:noProof/>
                <w:sz w:val="24"/>
              </w:rPr>
              <w:t>1 500</w:t>
            </w:r>
          </w:p>
        </w:tc>
      </w:tr>
      <w:tr>
        <w:trPr>
          <w:trHeight w:val="64"/>
        </w:trPr>
        <w:tc>
          <w:tcPr>
            <w:tcW w:w="1661" w:type="pct"/>
            <w:shd w:val="clear" w:color="auto" w:fill="auto"/>
          </w:tcPr>
          <w:p>
            <w:pPr>
              <w:spacing w:before="100" w:beforeAutospacing="1" w:after="100" w:afterAutospacing="1" w:line="240" w:lineRule="auto"/>
              <w:rPr>
                <w:rFonts w:ascii="Times New Roman" w:hAnsi="Times New Roman"/>
                <w:b/>
                <w:noProof/>
                <w:sz w:val="24"/>
                <w:szCs w:val="24"/>
              </w:rPr>
            </w:pPr>
            <w:r>
              <w:rPr>
                <w:rFonts w:ascii="Times New Roman" w:hAnsi="Times New Roman"/>
                <w:b/>
                <w:noProof/>
                <w:sz w:val="24"/>
              </w:rPr>
              <w:t>Общо</w:t>
            </w:r>
          </w:p>
        </w:tc>
        <w:tc>
          <w:tcPr>
            <w:tcW w:w="1450" w:type="pct"/>
            <w:shd w:val="clear" w:color="auto" w:fill="auto"/>
          </w:tcPr>
          <w:p>
            <w:pPr>
              <w:spacing w:before="100" w:beforeAutospacing="1" w:after="100" w:afterAutospacing="1" w:line="240" w:lineRule="auto"/>
              <w:jc w:val="center"/>
              <w:rPr>
                <w:rFonts w:ascii="Times New Roman" w:hAnsi="Times New Roman"/>
                <w:b/>
                <w:noProof/>
                <w:sz w:val="24"/>
                <w:szCs w:val="24"/>
              </w:rPr>
            </w:pPr>
          </w:p>
        </w:tc>
        <w:tc>
          <w:tcPr>
            <w:tcW w:w="1145" w:type="pct"/>
            <w:shd w:val="clear" w:color="auto" w:fill="auto"/>
          </w:tcPr>
          <w:p>
            <w:pPr>
              <w:spacing w:before="100" w:beforeAutospacing="1" w:after="100" w:afterAutospacing="1" w:line="240" w:lineRule="auto"/>
              <w:jc w:val="center"/>
              <w:rPr>
                <w:rFonts w:ascii="Times New Roman" w:hAnsi="Times New Roman"/>
                <w:b/>
                <w:noProof/>
                <w:sz w:val="24"/>
                <w:szCs w:val="24"/>
              </w:rPr>
            </w:pPr>
          </w:p>
        </w:tc>
        <w:tc>
          <w:tcPr>
            <w:tcW w:w="744" w:type="pct"/>
            <w:shd w:val="clear" w:color="auto" w:fill="auto"/>
          </w:tcPr>
          <w:p>
            <w:pPr>
              <w:spacing w:before="100" w:beforeAutospacing="1" w:after="100" w:afterAutospacing="1" w:line="240" w:lineRule="auto"/>
              <w:jc w:val="center"/>
              <w:rPr>
                <w:rFonts w:ascii="Times New Roman" w:hAnsi="Times New Roman"/>
                <w:b/>
                <w:noProof/>
                <w:sz w:val="24"/>
                <w:szCs w:val="24"/>
              </w:rPr>
            </w:pPr>
            <w:r>
              <w:rPr>
                <w:rFonts w:ascii="Times New Roman" w:hAnsi="Times New Roman"/>
                <w:b/>
                <w:noProof/>
                <w:sz w:val="24"/>
              </w:rPr>
              <w:t>4 750</w:t>
            </w:r>
          </w:p>
        </w:tc>
      </w:tr>
    </w:tbl>
    <w:p>
      <w:pPr>
        <w:spacing w:after="240" w:line="240" w:lineRule="auto"/>
        <w:jc w:val="both"/>
        <w:rPr>
          <w:rFonts w:ascii="Times New Roman" w:hAnsi="Times New Roman"/>
          <w:noProof/>
          <w:sz w:val="16"/>
          <w:szCs w:val="16"/>
        </w:rPr>
      </w:pPr>
      <w:r>
        <w:rPr>
          <w:rFonts w:ascii="Times New Roman" w:hAnsi="Times New Roman"/>
          <w:noProof/>
          <w:sz w:val="16"/>
        </w:rPr>
        <w:t>*Заедно с 10 млн. евро МФП за Киргизката република; (вж. точка 3.3 по-долу)</w:t>
      </w:r>
    </w:p>
    <w:p>
      <w:pPr>
        <w:pStyle w:val="ManualHeading2"/>
        <w:spacing w:before="480" w:after="240"/>
        <w:ind w:left="851" w:hanging="851"/>
        <w:outlineLvl w:val="0"/>
        <w:rPr>
          <w:noProof/>
        </w:rPr>
      </w:pPr>
      <w:bookmarkStart w:id="88" w:name="_Toc325641148"/>
      <w:bookmarkStart w:id="89" w:name="_Toc330157550"/>
      <w:bookmarkStart w:id="90" w:name="_Toc361393260"/>
      <w:bookmarkStart w:id="91" w:name="_Toc388883948"/>
      <w:bookmarkStart w:id="92" w:name="_Toc393808500"/>
      <w:bookmarkStart w:id="93" w:name="_Toc448397062"/>
      <w:bookmarkStart w:id="94" w:name="_Toc495679903"/>
      <w:r>
        <w:rPr>
          <w:noProof/>
        </w:rPr>
        <w:t>3.3.</w:t>
      </w:r>
      <w:r>
        <w:rPr>
          <w:noProof/>
        </w:rPr>
        <w:tab/>
        <w:t>Макрофинансова помощ</w:t>
      </w:r>
      <w:bookmarkEnd w:id="88"/>
      <w:bookmarkEnd w:id="89"/>
      <w:bookmarkEnd w:id="90"/>
      <w:bookmarkEnd w:id="91"/>
      <w:bookmarkEnd w:id="92"/>
      <w:bookmarkEnd w:id="93"/>
      <w:bookmarkEnd w:id="94"/>
    </w:p>
    <w:p>
      <w:pPr>
        <w:tabs>
          <w:tab w:val="left" w:pos="7800"/>
        </w:tabs>
        <w:spacing w:after="240" w:line="240" w:lineRule="auto"/>
        <w:rPr>
          <w:rFonts w:ascii="Times New Roman" w:hAnsi="Times New Roman"/>
          <w:noProof/>
          <w:sz w:val="24"/>
          <w:szCs w:val="24"/>
          <w:u w:val="single"/>
        </w:rPr>
      </w:pPr>
      <w:bookmarkStart w:id="95" w:name="_Toc325641149"/>
      <w:bookmarkStart w:id="96" w:name="_Toc330157551"/>
      <w:bookmarkStart w:id="97" w:name="_Toc361393261"/>
      <w:r>
        <w:rPr>
          <w:rFonts w:ascii="Times New Roman" w:hAnsi="Times New Roman"/>
          <w:noProof/>
          <w:sz w:val="24"/>
        </w:rPr>
        <w:t>Вторият транш (10 млн. евро от общо 15 млн. евро) на заема, предоставен на Киргизката република, бе отпуснат през април 2016 г.</w:t>
      </w:r>
    </w:p>
    <w:p>
      <w:pPr>
        <w:tabs>
          <w:tab w:val="left" w:pos="7800"/>
        </w:tabs>
        <w:spacing w:after="240" w:line="240" w:lineRule="auto"/>
        <w:rPr>
          <w:rFonts w:ascii="Times New Roman" w:hAnsi="Times New Roman"/>
          <w:noProof/>
          <w:sz w:val="24"/>
          <w:szCs w:val="24"/>
          <w:u w:val="single"/>
        </w:rPr>
      </w:pPr>
      <w:r>
        <w:rPr>
          <w:rFonts w:ascii="Times New Roman" w:hAnsi="Times New Roman"/>
          <w:noProof/>
          <w:sz w:val="24"/>
          <w:u w:val="single"/>
        </w:rPr>
        <w:t>Таблица 5: Операции на ЕС по получаване на заеми за МФП през 2016 г. (в млн. евро)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1"/>
        <w:gridCol w:w="2322"/>
        <w:gridCol w:w="2322"/>
        <w:gridCol w:w="2322"/>
      </w:tblGrid>
      <w:tr>
        <w:trPr>
          <w:trHeight w:val="279"/>
        </w:trPr>
        <w:tc>
          <w:tcPr>
            <w:tcW w:w="1250" w:type="pct"/>
            <w:tcBorders>
              <w:bottom w:val="single" w:sz="4" w:space="0" w:color="auto"/>
            </w:tcBorders>
            <w:shd w:val="clear" w:color="auto" w:fill="auto"/>
          </w:tcPr>
          <w:p>
            <w:pPr>
              <w:spacing w:before="100" w:beforeAutospacing="1" w:after="100" w:afterAutospacing="1" w:line="240" w:lineRule="auto"/>
              <w:jc w:val="center"/>
              <w:rPr>
                <w:rFonts w:ascii="Times New Roman" w:hAnsi="Times New Roman"/>
                <w:noProof/>
                <w:sz w:val="24"/>
                <w:szCs w:val="24"/>
              </w:rPr>
            </w:pPr>
            <w:r>
              <w:rPr>
                <w:rFonts w:ascii="Times New Roman" w:hAnsi="Times New Roman"/>
                <w:noProof/>
                <w:sz w:val="24"/>
              </w:rPr>
              <w:t>Държава</w:t>
            </w:r>
          </w:p>
        </w:tc>
        <w:tc>
          <w:tcPr>
            <w:tcW w:w="1250" w:type="pct"/>
            <w:tcBorders>
              <w:bottom w:val="single" w:sz="4" w:space="0" w:color="auto"/>
            </w:tcBorders>
            <w:shd w:val="clear" w:color="auto" w:fill="auto"/>
          </w:tcPr>
          <w:p>
            <w:pPr>
              <w:spacing w:before="100" w:beforeAutospacing="1" w:after="100" w:afterAutospacing="1" w:line="240" w:lineRule="auto"/>
              <w:jc w:val="center"/>
              <w:rPr>
                <w:rFonts w:ascii="Times New Roman" w:hAnsi="Times New Roman"/>
                <w:noProof/>
                <w:sz w:val="24"/>
                <w:szCs w:val="24"/>
              </w:rPr>
            </w:pPr>
            <w:r>
              <w:rPr>
                <w:rFonts w:ascii="Times New Roman" w:hAnsi="Times New Roman"/>
                <w:noProof/>
                <w:sz w:val="24"/>
              </w:rPr>
              <w:t>Дата на емисията</w:t>
            </w:r>
          </w:p>
        </w:tc>
        <w:tc>
          <w:tcPr>
            <w:tcW w:w="1250" w:type="pct"/>
            <w:tcBorders>
              <w:bottom w:val="single" w:sz="4" w:space="0" w:color="auto"/>
            </w:tcBorders>
            <w:shd w:val="clear" w:color="auto" w:fill="auto"/>
          </w:tcPr>
          <w:p>
            <w:pPr>
              <w:spacing w:before="100" w:beforeAutospacing="1" w:after="100" w:afterAutospacing="1" w:line="240" w:lineRule="auto"/>
              <w:jc w:val="center"/>
              <w:rPr>
                <w:rFonts w:ascii="Times New Roman" w:hAnsi="Times New Roman"/>
                <w:noProof/>
                <w:sz w:val="24"/>
                <w:szCs w:val="24"/>
              </w:rPr>
            </w:pPr>
            <w:r>
              <w:rPr>
                <w:rFonts w:ascii="Times New Roman" w:hAnsi="Times New Roman"/>
                <w:noProof/>
                <w:sz w:val="24"/>
              </w:rPr>
              <w:t>Падеж</w:t>
            </w:r>
          </w:p>
        </w:tc>
        <w:tc>
          <w:tcPr>
            <w:tcW w:w="1250" w:type="pct"/>
            <w:tcBorders>
              <w:bottom w:val="single" w:sz="4" w:space="0" w:color="auto"/>
            </w:tcBorders>
            <w:shd w:val="clear" w:color="auto" w:fill="auto"/>
          </w:tcPr>
          <w:p>
            <w:pPr>
              <w:spacing w:before="100" w:beforeAutospacing="1" w:after="100" w:afterAutospacing="1" w:line="240" w:lineRule="auto"/>
              <w:jc w:val="center"/>
              <w:rPr>
                <w:rFonts w:ascii="Times New Roman" w:hAnsi="Times New Roman"/>
                <w:noProof/>
                <w:sz w:val="24"/>
                <w:szCs w:val="24"/>
              </w:rPr>
            </w:pPr>
            <w:r>
              <w:rPr>
                <w:rFonts w:ascii="Times New Roman" w:hAnsi="Times New Roman"/>
                <w:noProof/>
                <w:sz w:val="24"/>
              </w:rPr>
              <w:t>Размер</w:t>
            </w:r>
          </w:p>
        </w:tc>
      </w:tr>
      <w:tr>
        <w:trPr>
          <w:trHeight w:val="218"/>
        </w:trPr>
        <w:tc>
          <w:tcPr>
            <w:tcW w:w="1250" w:type="pct"/>
            <w:shd w:val="clear" w:color="auto" w:fill="auto"/>
          </w:tcPr>
          <w:p>
            <w:pPr>
              <w:spacing w:before="100" w:beforeAutospacing="1" w:after="100" w:afterAutospacing="1" w:line="240" w:lineRule="auto"/>
              <w:jc w:val="center"/>
              <w:rPr>
                <w:rFonts w:ascii="Times New Roman" w:hAnsi="Times New Roman"/>
                <w:noProof/>
                <w:sz w:val="24"/>
                <w:szCs w:val="24"/>
              </w:rPr>
            </w:pPr>
            <w:r>
              <w:rPr>
                <w:rFonts w:ascii="Times New Roman" w:hAnsi="Times New Roman"/>
                <w:noProof/>
                <w:sz w:val="24"/>
              </w:rPr>
              <w:t>Киргизка република</w:t>
            </w:r>
          </w:p>
        </w:tc>
        <w:tc>
          <w:tcPr>
            <w:tcW w:w="1250" w:type="pct"/>
            <w:shd w:val="clear" w:color="auto" w:fill="auto"/>
          </w:tcPr>
          <w:p>
            <w:pPr>
              <w:spacing w:before="100" w:beforeAutospacing="1" w:after="100" w:afterAutospacing="1" w:line="240" w:lineRule="auto"/>
              <w:jc w:val="center"/>
              <w:rPr>
                <w:rFonts w:ascii="Times New Roman" w:hAnsi="Times New Roman"/>
                <w:b/>
                <w:noProof/>
                <w:sz w:val="24"/>
                <w:szCs w:val="24"/>
              </w:rPr>
            </w:pPr>
            <w:r>
              <w:rPr>
                <w:rFonts w:ascii="Times New Roman" w:hAnsi="Times New Roman"/>
                <w:noProof/>
                <w:sz w:val="24"/>
              </w:rPr>
              <w:t>13.4.2016 г.</w:t>
            </w:r>
          </w:p>
        </w:tc>
        <w:tc>
          <w:tcPr>
            <w:tcW w:w="1250" w:type="pct"/>
            <w:shd w:val="clear" w:color="auto" w:fill="auto"/>
          </w:tcPr>
          <w:p>
            <w:pPr>
              <w:spacing w:before="100" w:beforeAutospacing="1" w:after="100" w:afterAutospacing="1" w:line="240" w:lineRule="auto"/>
              <w:jc w:val="center"/>
              <w:rPr>
                <w:rFonts w:ascii="Times New Roman" w:hAnsi="Times New Roman"/>
                <w:b/>
                <w:noProof/>
                <w:sz w:val="24"/>
                <w:szCs w:val="24"/>
              </w:rPr>
            </w:pPr>
            <w:r>
              <w:rPr>
                <w:rFonts w:ascii="Times New Roman" w:hAnsi="Times New Roman"/>
                <w:noProof/>
                <w:sz w:val="24"/>
              </w:rPr>
              <w:t>4.4.2031 г.</w:t>
            </w:r>
          </w:p>
        </w:tc>
        <w:tc>
          <w:tcPr>
            <w:tcW w:w="1250" w:type="pct"/>
            <w:shd w:val="clear" w:color="auto" w:fill="auto"/>
          </w:tcPr>
          <w:p>
            <w:pPr>
              <w:spacing w:before="100" w:beforeAutospacing="1" w:after="100" w:afterAutospacing="1" w:line="240" w:lineRule="auto"/>
              <w:jc w:val="center"/>
              <w:rPr>
                <w:rFonts w:ascii="Times New Roman" w:hAnsi="Times New Roman"/>
                <w:b/>
                <w:noProof/>
                <w:sz w:val="24"/>
                <w:szCs w:val="24"/>
              </w:rPr>
            </w:pPr>
            <w:r>
              <w:rPr>
                <w:rFonts w:ascii="Times New Roman" w:hAnsi="Times New Roman"/>
                <w:noProof/>
                <w:sz w:val="24"/>
              </w:rPr>
              <w:t>10</w:t>
            </w:r>
          </w:p>
        </w:tc>
      </w:tr>
      <w:tr>
        <w:trPr>
          <w:trHeight w:val="156"/>
        </w:trPr>
        <w:tc>
          <w:tcPr>
            <w:tcW w:w="1250" w:type="pct"/>
            <w:shd w:val="clear" w:color="auto" w:fill="auto"/>
          </w:tcPr>
          <w:p>
            <w:pPr>
              <w:spacing w:before="100" w:beforeAutospacing="1" w:after="100" w:afterAutospacing="1" w:line="240" w:lineRule="auto"/>
              <w:jc w:val="center"/>
              <w:rPr>
                <w:rFonts w:ascii="Times New Roman" w:hAnsi="Times New Roman"/>
                <w:b/>
                <w:noProof/>
                <w:sz w:val="24"/>
                <w:szCs w:val="24"/>
              </w:rPr>
            </w:pPr>
            <w:r>
              <w:rPr>
                <w:rFonts w:ascii="Times New Roman" w:hAnsi="Times New Roman"/>
                <w:b/>
                <w:noProof/>
                <w:sz w:val="24"/>
              </w:rPr>
              <w:t>Общо</w:t>
            </w:r>
          </w:p>
        </w:tc>
        <w:tc>
          <w:tcPr>
            <w:tcW w:w="1250" w:type="pct"/>
            <w:shd w:val="clear" w:color="auto" w:fill="auto"/>
          </w:tcPr>
          <w:p>
            <w:pPr>
              <w:spacing w:before="100" w:beforeAutospacing="1" w:after="100" w:afterAutospacing="1" w:line="240" w:lineRule="auto"/>
              <w:jc w:val="center"/>
              <w:rPr>
                <w:rFonts w:ascii="Times New Roman" w:hAnsi="Times New Roman"/>
                <w:b/>
                <w:noProof/>
                <w:sz w:val="24"/>
                <w:szCs w:val="24"/>
              </w:rPr>
            </w:pPr>
          </w:p>
        </w:tc>
        <w:tc>
          <w:tcPr>
            <w:tcW w:w="1250" w:type="pct"/>
            <w:shd w:val="clear" w:color="auto" w:fill="auto"/>
          </w:tcPr>
          <w:p>
            <w:pPr>
              <w:spacing w:before="100" w:beforeAutospacing="1" w:after="100" w:afterAutospacing="1" w:line="240" w:lineRule="auto"/>
              <w:jc w:val="center"/>
              <w:rPr>
                <w:rFonts w:ascii="Times New Roman" w:hAnsi="Times New Roman"/>
                <w:b/>
                <w:noProof/>
                <w:sz w:val="24"/>
                <w:szCs w:val="24"/>
              </w:rPr>
            </w:pPr>
          </w:p>
        </w:tc>
        <w:tc>
          <w:tcPr>
            <w:tcW w:w="1250" w:type="pct"/>
            <w:shd w:val="clear" w:color="auto" w:fill="auto"/>
          </w:tcPr>
          <w:p>
            <w:pPr>
              <w:spacing w:before="100" w:beforeAutospacing="1" w:after="100" w:afterAutospacing="1" w:line="240" w:lineRule="auto"/>
              <w:jc w:val="center"/>
              <w:rPr>
                <w:rFonts w:ascii="Times New Roman" w:hAnsi="Times New Roman"/>
                <w:b/>
                <w:noProof/>
                <w:sz w:val="24"/>
                <w:szCs w:val="24"/>
              </w:rPr>
            </w:pPr>
            <w:r>
              <w:rPr>
                <w:rFonts w:ascii="Times New Roman" w:hAnsi="Times New Roman"/>
                <w:b/>
                <w:noProof/>
                <w:sz w:val="24"/>
              </w:rPr>
              <w:t>10</w:t>
            </w:r>
          </w:p>
        </w:tc>
      </w:tr>
    </w:tbl>
    <w:p>
      <w:pPr>
        <w:pStyle w:val="ManualHeading2"/>
        <w:spacing w:after="240"/>
        <w:ind w:left="851" w:hanging="851"/>
        <w:outlineLvl w:val="0"/>
        <w:rPr>
          <w:noProof/>
        </w:rPr>
      </w:pPr>
      <w:bookmarkStart w:id="98" w:name="_Toc388883949"/>
      <w:bookmarkStart w:id="99" w:name="_Toc393808501"/>
      <w:bookmarkStart w:id="100" w:name="_Toc448397063"/>
    </w:p>
    <w:p>
      <w:pPr>
        <w:pStyle w:val="ManualHeading2"/>
        <w:spacing w:before="240" w:after="240"/>
        <w:ind w:left="851" w:hanging="851"/>
        <w:outlineLvl w:val="0"/>
        <w:rPr>
          <w:noProof/>
        </w:rPr>
      </w:pPr>
      <w:bookmarkStart w:id="101" w:name="_Toc495679904"/>
      <w:r>
        <w:rPr>
          <w:noProof/>
        </w:rPr>
        <w:t>3.4.</w:t>
      </w:r>
      <w:r>
        <w:rPr>
          <w:noProof/>
        </w:rPr>
        <w:tab/>
        <w:t>Механизъм</w:t>
      </w:r>
      <w:bookmarkEnd w:id="95"/>
      <w:bookmarkEnd w:id="96"/>
      <w:bookmarkEnd w:id="97"/>
      <w:bookmarkEnd w:id="98"/>
      <w:bookmarkEnd w:id="99"/>
      <w:r>
        <w:rPr>
          <w:noProof/>
        </w:rPr>
        <w:t xml:space="preserve"> за отпускане на заеми от Евратом</w:t>
      </w:r>
      <w:bookmarkEnd w:id="100"/>
      <w:bookmarkEnd w:id="101"/>
    </w:p>
    <w:p>
      <w:pPr>
        <w:spacing w:after="240" w:line="240" w:lineRule="auto"/>
        <w:jc w:val="both"/>
        <w:rPr>
          <w:rFonts w:ascii="Times New Roman" w:hAnsi="Times New Roman"/>
          <w:noProof/>
          <w:sz w:val="24"/>
          <w:szCs w:val="24"/>
        </w:rPr>
      </w:pPr>
      <w:r>
        <w:rPr>
          <w:rFonts w:ascii="Times New Roman" w:hAnsi="Times New Roman"/>
          <w:noProof/>
          <w:sz w:val="24"/>
        </w:rPr>
        <w:t>През 2016 г. не е имало операции за получаване на заеми от Евратом.</w:t>
      </w:r>
    </w:p>
    <w:p>
      <w:pPr>
        <w:pStyle w:val="ManualHeading1"/>
        <w:spacing w:after="240"/>
        <w:ind w:left="851" w:hanging="851"/>
        <w:rPr>
          <w:noProof/>
        </w:rPr>
      </w:pPr>
      <w:bookmarkStart w:id="102" w:name="_Toc325641150"/>
      <w:bookmarkStart w:id="103" w:name="_Toc330157552"/>
      <w:bookmarkStart w:id="104" w:name="_Toc361393262"/>
      <w:bookmarkStart w:id="105" w:name="_Toc388883950"/>
      <w:bookmarkStart w:id="106" w:name="_Toc393808502"/>
      <w:bookmarkStart w:id="107" w:name="_Toc448397064"/>
      <w:bookmarkStart w:id="108" w:name="_Toc495679905"/>
      <w:r>
        <w:rPr>
          <w:noProof/>
        </w:rPr>
        <w:t>4.</w:t>
      </w:r>
      <w:r>
        <w:rPr>
          <w:noProof/>
        </w:rPr>
        <w:tab/>
        <w:t>Европейска инвестиционна банка</w:t>
      </w:r>
      <w:bookmarkEnd w:id="102"/>
      <w:bookmarkEnd w:id="103"/>
      <w:bookmarkEnd w:id="104"/>
      <w:bookmarkEnd w:id="105"/>
      <w:bookmarkEnd w:id="106"/>
      <w:bookmarkEnd w:id="107"/>
      <w:bookmarkEnd w:id="108"/>
      <w:r>
        <w:rPr>
          <w:noProof/>
        </w:rPr>
        <w:t xml:space="preserve"> </w:t>
      </w:r>
    </w:p>
    <w:p>
      <w:pPr>
        <w:pStyle w:val="ManualHeading2"/>
        <w:spacing w:after="240"/>
        <w:ind w:left="851" w:hanging="851"/>
        <w:rPr>
          <w:noProof/>
        </w:rPr>
      </w:pPr>
      <w:bookmarkStart w:id="109" w:name="_Toc325641151"/>
      <w:bookmarkStart w:id="110" w:name="_Toc330157553"/>
      <w:bookmarkStart w:id="111" w:name="_Toc361393263"/>
      <w:bookmarkStart w:id="112" w:name="_Toc388883951"/>
      <w:bookmarkStart w:id="113" w:name="_Toc393808503"/>
      <w:bookmarkStart w:id="114" w:name="_Toc448397065"/>
      <w:bookmarkStart w:id="115" w:name="_Toc495679906"/>
      <w:r>
        <w:rPr>
          <w:noProof/>
        </w:rPr>
        <w:t>4.1.</w:t>
      </w:r>
      <w:r>
        <w:rPr>
          <w:noProof/>
        </w:rPr>
        <w:tab/>
        <w:t>Дейности на ЕИБ по отпускане на заеми</w:t>
      </w:r>
      <w:bookmarkEnd w:id="109"/>
      <w:bookmarkEnd w:id="110"/>
      <w:bookmarkEnd w:id="111"/>
      <w:bookmarkEnd w:id="112"/>
      <w:bookmarkEnd w:id="113"/>
      <w:bookmarkEnd w:id="114"/>
      <w:bookmarkEnd w:id="115"/>
    </w:p>
    <w:p>
      <w:pPr>
        <w:spacing w:after="120" w:line="240" w:lineRule="auto"/>
        <w:jc w:val="both"/>
        <w:rPr>
          <w:rFonts w:ascii="Times New Roman" w:hAnsi="Times New Roman"/>
          <w:noProof/>
          <w:sz w:val="24"/>
          <w:szCs w:val="24"/>
        </w:rPr>
      </w:pPr>
      <w:r>
        <w:rPr>
          <w:rFonts w:ascii="Times New Roman" w:hAnsi="Times New Roman"/>
          <w:noProof/>
          <w:sz w:val="24"/>
        </w:rPr>
        <w:t xml:space="preserve">ЕИБ финансира </w:t>
      </w:r>
      <w:r>
        <w:rPr>
          <w:rFonts w:ascii="Times New Roman" w:hAnsi="Times New Roman"/>
          <w:i/>
          <w:noProof/>
          <w:sz w:val="24"/>
        </w:rPr>
        <w:t>пряко</w:t>
      </w:r>
      <w:r>
        <w:rPr>
          <w:rFonts w:ascii="Times New Roman" w:hAnsi="Times New Roman"/>
          <w:noProof/>
          <w:sz w:val="24"/>
        </w:rPr>
        <w:t xml:space="preserve"> индивидуални инвестиционни проекти или </w:t>
      </w:r>
      <w:r>
        <w:rPr>
          <w:rFonts w:ascii="Times New Roman" w:hAnsi="Times New Roman"/>
          <w:i/>
          <w:noProof/>
          <w:sz w:val="24"/>
        </w:rPr>
        <w:t>чрез финансови посредници</w:t>
      </w:r>
      <w:r>
        <w:rPr>
          <w:rFonts w:ascii="Times New Roman" w:hAnsi="Times New Roman"/>
          <w:noProof/>
          <w:sz w:val="24"/>
        </w:rPr>
        <w:t xml:space="preserve"> — по-малки по мащаб проекти на МСП или на местните органи и общините. ЕИБ осигурява също и обезпечения по заеми, техническа помощ и рисков капитал.</w:t>
      </w:r>
    </w:p>
    <w:p>
      <w:pPr>
        <w:spacing w:after="120" w:line="240" w:lineRule="auto"/>
        <w:jc w:val="both"/>
        <w:rPr>
          <w:rFonts w:ascii="Times New Roman" w:hAnsi="Times New Roman"/>
          <w:noProof/>
          <w:sz w:val="24"/>
          <w:szCs w:val="24"/>
        </w:rPr>
      </w:pPr>
      <w:r>
        <w:rPr>
          <w:rFonts w:ascii="Times New Roman" w:hAnsi="Times New Roman"/>
          <w:noProof/>
          <w:sz w:val="24"/>
        </w:rPr>
        <w:t>През 2016 г. ЕИБ подписа споразумения за финансиране на обща стойност 74,6 млрд. евро (спрямо 77,5 млрд. евро през 2015 г.). Финансирането от групата на ЕИБ (включително дейността на ЕИФ) възлиза на 83,8 млрд. евро, което е катализирало инвестиции за почти 280 млрд. евро.</w:t>
      </w:r>
    </w:p>
    <w:p>
      <w:pPr>
        <w:spacing w:after="120" w:line="240" w:lineRule="auto"/>
        <w:jc w:val="both"/>
        <w:rPr>
          <w:rFonts w:ascii="Times New Roman" w:hAnsi="Times New Roman"/>
          <w:noProof/>
          <w:sz w:val="24"/>
          <w:szCs w:val="24"/>
        </w:rPr>
      </w:pPr>
      <w:r>
        <w:rPr>
          <w:rFonts w:ascii="Times New Roman" w:hAnsi="Times New Roman"/>
          <w:noProof/>
          <w:sz w:val="24"/>
        </w:rPr>
        <w:t>В допълнение, до края на 2016 г. групата на ЕИБ одобри 422 заеми и гаранции по Плана за инвестиции, които бяха обезпечени с гаранцията на ЕС по линия на ЕФСИ</w:t>
      </w:r>
      <w:r>
        <w:rPr>
          <w:rStyle w:val="FootnoteReference"/>
          <w:rFonts w:ascii="Times New Roman" w:hAnsi="Times New Roman"/>
          <w:noProof/>
          <w:sz w:val="24"/>
        </w:rPr>
        <w:footnoteReference w:id="20"/>
      </w:r>
      <w:r>
        <w:rPr>
          <w:rFonts w:ascii="Times New Roman" w:hAnsi="Times New Roman"/>
          <w:noProof/>
          <w:sz w:val="24"/>
        </w:rPr>
        <w:t>. Поетите като задължение средства са в размер на 30,2 млрд. евро, одобрени по ЕФСИ. Стойността на проектите и на мобилизираните инвестиции възлиза на общо 163,9 млрд. евро. Това представлява 52 % от общата цел от 315 млрд. евро за период от три години.</w:t>
      </w:r>
    </w:p>
    <w:p>
      <w:pPr>
        <w:spacing w:after="120" w:line="240" w:lineRule="auto"/>
        <w:jc w:val="both"/>
        <w:rPr>
          <w:rFonts w:ascii="Times New Roman" w:hAnsi="Times New Roman"/>
          <w:noProof/>
          <w:sz w:val="24"/>
          <w:szCs w:val="24"/>
        </w:rPr>
      </w:pPr>
      <w:r>
        <w:rPr>
          <w:rFonts w:ascii="Times New Roman" w:hAnsi="Times New Roman"/>
          <w:noProof/>
          <w:sz w:val="24"/>
        </w:rPr>
        <w:t>Дейностите на ЕИБ по финансиране оказват въздействие върху бюджета на ЕС, когато са обезпечени с гаранция от ЕС или с други средства от бюджета на ЕС. Освен за операциите, одобрени по ЕФСИ, това се отнася за:</w:t>
      </w:r>
    </w:p>
    <w:p>
      <w:pPr>
        <w:numPr>
          <w:ilvl w:val="0"/>
          <w:numId w:val="25"/>
        </w:numPr>
        <w:spacing w:after="120" w:line="240" w:lineRule="auto"/>
        <w:ind w:left="284" w:hanging="284"/>
        <w:jc w:val="both"/>
        <w:rPr>
          <w:rFonts w:ascii="Times New Roman" w:hAnsi="Times New Roman"/>
          <w:noProof/>
          <w:sz w:val="24"/>
          <w:szCs w:val="24"/>
        </w:rPr>
      </w:pPr>
      <w:r>
        <w:rPr>
          <w:rFonts w:ascii="Times New Roman" w:hAnsi="Times New Roman"/>
          <w:noProof/>
          <w:sz w:val="24"/>
        </w:rPr>
        <w:t>операциите на ЕИБ по финансиране, извършени в рамките на мандата за външно кредитиране (обхващащ държавите на етап предприсъединяване, съседните и партньорските държави, Азия и Латинска Америка, Южна Африка). Това финансиране се ползва с гаранция от бюджета на ЕС, покриваща риска от кредитно неизпълнение от държавата заемополучател или политическия риск. През второто полугодие на 2017 г. Комисията ще изготви отделен доклад за дейността на ЕИБ по външно кредитиране за 2016 г.</w:t>
      </w:r>
    </w:p>
    <w:p>
      <w:pPr>
        <w:numPr>
          <w:ilvl w:val="0"/>
          <w:numId w:val="25"/>
        </w:numPr>
        <w:spacing w:after="120" w:line="240" w:lineRule="auto"/>
        <w:ind w:left="284" w:hanging="284"/>
        <w:jc w:val="both"/>
        <w:rPr>
          <w:rFonts w:ascii="Times New Roman" w:hAnsi="Times New Roman"/>
          <w:noProof/>
          <w:sz w:val="24"/>
          <w:szCs w:val="24"/>
        </w:rPr>
      </w:pPr>
      <w:r>
        <w:rPr>
          <w:rFonts w:ascii="Times New Roman" w:hAnsi="Times New Roman"/>
          <w:noProof/>
          <w:sz w:val="24"/>
        </w:rPr>
        <w:t>механизмите за финансиране с поделяне на риска, включващи използването на бюджета на ЕС за подпомагане на политиките на ЕС (например механизмът за финансиране с поделяне на риска за проекти в областта на научноизследователската и развойната дейност и инициативата за облигации за проекти).</w:t>
      </w:r>
    </w:p>
    <w:p>
      <w:pPr>
        <w:spacing w:after="120" w:line="240" w:lineRule="auto"/>
        <w:jc w:val="both"/>
        <w:rPr>
          <w:rFonts w:ascii="Times New Roman" w:hAnsi="Times New Roman"/>
          <w:noProof/>
          <w:sz w:val="24"/>
          <w:szCs w:val="24"/>
        </w:rPr>
      </w:pPr>
      <w:r>
        <w:rPr>
          <w:rFonts w:ascii="Times New Roman" w:hAnsi="Times New Roman"/>
          <w:noProof/>
          <w:sz w:val="24"/>
        </w:rPr>
        <w:t>През 2016 г. дейностите на ЕИБ по отпускане на заеми извън ЕС възлизат на 7,9 млрд. евро, от които 6,8 млрд. евро в регионите, обхванати от мандата за външно кредитиране. Приблизително 5,9 млрд. евро, или 74 % от общото финансиране извън ЕС, са предоставени в държавите на предприсъединителен етап и в съседните на ЕС региони. Останалата част (26 %) е разпределена за Азия, Централна Азия и Латинска Америка.</w:t>
      </w:r>
    </w:p>
    <w:p>
      <w:pPr>
        <w:spacing w:after="120" w:line="240" w:lineRule="auto"/>
        <w:jc w:val="both"/>
        <w:rPr>
          <w:rFonts w:ascii="Times New Roman" w:hAnsi="Times New Roman"/>
          <w:noProof/>
          <w:sz w:val="24"/>
          <w:szCs w:val="24"/>
        </w:rPr>
      </w:pPr>
      <w:r>
        <w:rPr>
          <w:rFonts w:ascii="Times New Roman" w:hAnsi="Times New Roman"/>
          <w:noProof/>
          <w:sz w:val="24"/>
        </w:rPr>
        <w:t xml:space="preserve">От общо 6,8 млрд. евро, подписани от ЕИБ през 2016 г. в регионите, обхванати от мандата за външно кредитиране, почти 4 млрд. евро (58 %) са покрити от гаранцията от ЕС. </w:t>
      </w:r>
    </w:p>
    <w:p>
      <w:pPr>
        <w:spacing w:after="120" w:line="240" w:lineRule="auto"/>
        <w:jc w:val="both"/>
        <w:rPr>
          <w:rFonts w:ascii="Times New Roman" w:hAnsi="Times New Roman"/>
          <w:noProof/>
          <w:sz w:val="24"/>
          <w:szCs w:val="24"/>
        </w:rPr>
      </w:pPr>
      <w:r>
        <w:rPr>
          <w:rFonts w:ascii="Times New Roman" w:hAnsi="Times New Roman"/>
          <w:noProof/>
          <w:sz w:val="24"/>
        </w:rPr>
        <w:t>На 16 април 2014 г. Европейският парламент и Съветът приеха решението за предоставяне на гаранция от ЕС за операциите на ЕИБ извън ЕС</w:t>
      </w:r>
      <w:r>
        <w:rPr>
          <w:rStyle w:val="FootnoteReference"/>
          <w:rFonts w:ascii="Times New Roman" w:hAnsi="Times New Roman"/>
          <w:noProof/>
          <w:sz w:val="24"/>
        </w:rPr>
        <w:footnoteReference w:id="21"/>
      </w:r>
      <w:r>
        <w:rPr>
          <w:rFonts w:ascii="Times New Roman" w:hAnsi="Times New Roman"/>
          <w:noProof/>
          <w:sz w:val="24"/>
        </w:rPr>
        <w:t>. Размерът на общия мандат е 27 млрд. евро, плюс допълнителна незадължителна сума от 3 млрд. евро. Активирането на цялата или на част от тази незадължителна сума се решава от Европейския парламент и Съвета в съответствие с обикновената законодателна процедура и въз основа на резултатите от междинния преглед на мандата за външно кредитиране.</w:t>
      </w:r>
    </w:p>
    <w:p>
      <w:pPr>
        <w:spacing w:after="120" w:line="240" w:lineRule="auto"/>
        <w:jc w:val="both"/>
        <w:rPr>
          <w:rFonts w:ascii="Times New Roman" w:hAnsi="Times New Roman"/>
          <w:noProof/>
          <w:sz w:val="24"/>
          <w:szCs w:val="24"/>
        </w:rPr>
      </w:pPr>
      <w:r>
        <w:rPr>
          <w:rFonts w:ascii="Times New Roman" w:hAnsi="Times New Roman"/>
          <w:noProof/>
          <w:sz w:val="24"/>
        </w:rPr>
        <w:t>През септември 2016 г. Европейската комисия предложи изменение на мандата за външно кредитиране с увеличение на тавана на 32,3 млрд. евро, което понастоящем се обсъжда от законодателите.</w:t>
      </w:r>
    </w:p>
    <w:p>
      <w:pPr>
        <w:pStyle w:val="ManualHeading2"/>
        <w:spacing w:before="240" w:after="240"/>
        <w:ind w:left="851" w:hanging="851"/>
        <w:rPr>
          <w:noProof/>
        </w:rPr>
      </w:pPr>
      <w:bookmarkStart w:id="116" w:name="_Toc325641152"/>
      <w:bookmarkStart w:id="117" w:name="_Toc330157554"/>
      <w:bookmarkStart w:id="118" w:name="_Toc361393264"/>
      <w:bookmarkStart w:id="119" w:name="_Toc388883952"/>
      <w:bookmarkStart w:id="120" w:name="_Toc393808504"/>
      <w:bookmarkStart w:id="121" w:name="_Toc448397066"/>
      <w:bookmarkStart w:id="122" w:name="_Toc495679907"/>
      <w:r>
        <w:rPr>
          <w:noProof/>
        </w:rPr>
        <w:t>4.2.</w:t>
      </w:r>
      <w:r>
        <w:rPr>
          <w:noProof/>
        </w:rPr>
        <w:tab/>
        <w:t>Дейности на ЕИБ по получаване на заеми</w:t>
      </w:r>
      <w:bookmarkEnd w:id="116"/>
      <w:bookmarkEnd w:id="117"/>
      <w:bookmarkEnd w:id="118"/>
      <w:bookmarkEnd w:id="119"/>
      <w:bookmarkEnd w:id="120"/>
      <w:bookmarkEnd w:id="121"/>
      <w:bookmarkEnd w:id="122"/>
    </w:p>
    <w:p>
      <w:pPr>
        <w:spacing w:after="120" w:line="240" w:lineRule="auto"/>
        <w:jc w:val="both"/>
        <w:rPr>
          <w:rFonts w:ascii="Times New Roman" w:hAnsi="Times New Roman"/>
          <w:noProof/>
          <w:sz w:val="24"/>
          <w:szCs w:val="24"/>
        </w:rPr>
      </w:pPr>
      <w:bookmarkStart w:id="123" w:name="_CopyToNewDocument_"/>
      <w:bookmarkStart w:id="124" w:name="_Toc330157555"/>
      <w:bookmarkStart w:id="125" w:name="_Toc361393265"/>
      <w:bookmarkEnd w:id="123"/>
      <w:r>
        <w:rPr>
          <w:rFonts w:ascii="Times New Roman" w:hAnsi="Times New Roman"/>
          <w:noProof/>
          <w:sz w:val="24"/>
        </w:rPr>
        <w:t>ЕИБ има устойчива стратегия за финансиране, като набира дългосрочни средства чрез емитиране на облигации на международните капиталови пазари, за да подкрепя своите операции по отпускане на заеми. С цел постигане на достатъчни обеми до дати на падеж, адаптирани за управлението на активите и пасивите, както и с цел оптимизиране на разходите за финансиране на устойчива основа, стратегията на ЕИБ за финансиране съчетава емитирането на големи ликвидни облигации в основните валути с целенасочени  индивидуализирани емисии в няколко други валути.</w:t>
      </w:r>
    </w:p>
    <w:p>
      <w:pPr>
        <w:spacing w:after="120" w:line="240" w:lineRule="auto"/>
        <w:jc w:val="both"/>
        <w:rPr>
          <w:rFonts w:ascii="Times New Roman" w:hAnsi="Times New Roman"/>
          <w:noProof/>
          <w:sz w:val="24"/>
          <w:szCs w:val="24"/>
        </w:rPr>
      </w:pPr>
      <w:r>
        <w:rPr>
          <w:rFonts w:ascii="Times New Roman" w:hAnsi="Times New Roman"/>
          <w:noProof/>
          <w:sz w:val="24"/>
        </w:rPr>
        <w:t>През 2016 г. дейността на ЕИБ по получаване на заеми възлиза на 66,4 млрд. евро със среден матуритет 7,1 години.</w:t>
      </w:r>
    </w:p>
    <w:p>
      <w:pPr>
        <w:pStyle w:val="ManualHeading2"/>
        <w:spacing w:before="360" w:after="240"/>
        <w:ind w:left="851" w:hanging="851"/>
        <w:rPr>
          <w:noProof/>
        </w:rPr>
      </w:pPr>
      <w:bookmarkStart w:id="126" w:name="_Toc388883953"/>
      <w:bookmarkStart w:id="127" w:name="_Toc393808505"/>
      <w:bookmarkStart w:id="128" w:name="_Toc448397067"/>
      <w:bookmarkStart w:id="129" w:name="_Toc495679908"/>
      <w:r>
        <w:rPr>
          <w:noProof/>
        </w:rPr>
        <w:t>5.</w:t>
      </w:r>
      <w:r>
        <w:rPr>
          <w:noProof/>
        </w:rPr>
        <w:tab/>
        <w:t>Осигуряване на финансова стабилност в еврозоната</w:t>
      </w:r>
      <w:bookmarkEnd w:id="124"/>
      <w:bookmarkEnd w:id="125"/>
      <w:bookmarkEnd w:id="126"/>
      <w:bookmarkEnd w:id="127"/>
      <w:bookmarkEnd w:id="128"/>
      <w:bookmarkEnd w:id="129"/>
    </w:p>
    <w:p>
      <w:pPr>
        <w:spacing w:after="120" w:line="240" w:lineRule="auto"/>
        <w:jc w:val="both"/>
        <w:rPr>
          <w:rFonts w:ascii="Times New Roman" w:hAnsi="Times New Roman"/>
          <w:noProof/>
          <w:sz w:val="24"/>
          <w:szCs w:val="24"/>
        </w:rPr>
      </w:pPr>
      <w:r>
        <w:rPr>
          <w:rFonts w:ascii="Times New Roman" w:hAnsi="Times New Roman"/>
          <w:noProof/>
          <w:sz w:val="24"/>
        </w:rPr>
        <w:t>В отговор на глобалната икономическа и финансова криза държавите членки от еврозоната одобриха мерки за запазване на финансовата стабилност в еврозоната и в Европа като цяло. Тези мерки са описани по-долу. Те не са обезпечени с гаранция от бюджета на ЕС</w:t>
      </w:r>
      <w:r>
        <w:rPr>
          <w:rStyle w:val="FootnoteReference"/>
          <w:rFonts w:ascii="Times New Roman" w:hAnsi="Times New Roman"/>
          <w:noProof/>
          <w:sz w:val="24"/>
        </w:rPr>
        <w:footnoteReference w:id="22"/>
      </w:r>
      <w:r>
        <w:rPr>
          <w:rFonts w:ascii="Times New Roman" w:hAnsi="Times New Roman"/>
          <w:noProof/>
          <w:sz w:val="24"/>
        </w:rPr>
        <w:t>.</w:t>
      </w:r>
    </w:p>
    <w:p>
      <w:pPr>
        <w:pStyle w:val="ManualHeading2"/>
        <w:spacing w:before="240" w:after="240"/>
        <w:ind w:left="851" w:hanging="851"/>
        <w:rPr>
          <w:noProof/>
        </w:rPr>
      </w:pPr>
      <w:bookmarkStart w:id="130" w:name="_Toc325641154"/>
      <w:bookmarkStart w:id="131" w:name="_Toc330157556"/>
      <w:bookmarkStart w:id="132" w:name="_Toc361393266"/>
      <w:bookmarkStart w:id="133" w:name="_Toc388883954"/>
      <w:bookmarkStart w:id="134" w:name="_Toc393808506"/>
      <w:bookmarkStart w:id="135" w:name="_Toc448397068"/>
      <w:bookmarkStart w:id="136" w:name="_Toc495679909"/>
      <w:r>
        <w:rPr>
          <w:noProof/>
        </w:rPr>
        <w:t>5.1.</w:t>
      </w:r>
      <w:r>
        <w:rPr>
          <w:noProof/>
        </w:rPr>
        <w:tab/>
        <w:t>Механизъм за отпускане на заеми за Гърция</w:t>
      </w:r>
      <w:bookmarkEnd w:id="130"/>
      <w:bookmarkEnd w:id="131"/>
      <w:bookmarkEnd w:id="132"/>
      <w:bookmarkEnd w:id="133"/>
      <w:bookmarkEnd w:id="134"/>
      <w:bookmarkEnd w:id="135"/>
      <w:bookmarkEnd w:id="136"/>
      <w:r>
        <w:rPr>
          <w:noProof/>
        </w:rPr>
        <w:t xml:space="preserve"> </w:t>
      </w:r>
    </w:p>
    <w:p>
      <w:pPr>
        <w:spacing w:after="120" w:line="240" w:lineRule="auto"/>
        <w:jc w:val="both"/>
        <w:rPr>
          <w:rFonts w:ascii="Times New Roman" w:hAnsi="Times New Roman"/>
          <w:noProof/>
          <w:sz w:val="24"/>
          <w:szCs w:val="24"/>
        </w:rPr>
      </w:pPr>
      <w:r>
        <w:rPr>
          <w:rFonts w:ascii="Times New Roman" w:hAnsi="Times New Roman"/>
          <w:noProof/>
          <w:sz w:val="24"/>
        </w:rPr>
        <w:t>След като на 2 май 2010 г.</w:t>
      </w:r>
      <w:r>
        <w:rPr>
          <w:rStyle w:val="FootnoteReference"/>
          <w:rFonts w:ascii="Times New Roman" w:hAnsi="Times New Roman"/>
          <w:noProof/>
          <w:sz w:val="24"/>
        </w:rPr>
        <w:footnoteReference w:id="23"/>
      </w:r>
      <w:r>
        <w:rPr>
          <w:rFonts w:ascii="Times New Roman" w:hAnsi="Times New Roman"/>
          <w:noProof/>
          <w:sz w:val="24"/>
        </w:rPr>
        <w:t xml:space="preserve"> финансовите министри от еврозоната с единодушие се съгласиха да окажат подкрепа на Гърция, за тази цел бе създадена тригодишна съвместна програма с МВФ, съдържаща финансов пакет в размер до 110 млрд. евро. Програмата бе придружена от строги изисквания по отношение на провежданата политика</w:t>
      </w:r>
      <w:r>
        <w:rPr>
          <w:rStyle w:val="FootnoteReference"/>
          <w:rFonts w:ascii="Times New Roman" w:hAnsi="Times New Roman"/>
          <w:noProof/>
          <w:sz w:val="24"/>
        </w:rPr>
        <w:footnoteReference w:id="24"/>
      </w:r>
      <w:r>
        <w:rPr>
          <w:rFonts w:ascii="Times New Roman" w:hAnsi="Times New Roman"/>
          <w:noProof/>
          <w:sz w:val="24"/>
        </w:rPr>
        <w:t xml:space="preserve">, договорени с гръцките власти от Комисията и МВФ с участието на ЕЦБ. Заемите, отпуснати от държавите членки от еврозоната по Механизма за отпускане на заеми за Гърция (МОЗГ), възлизат на 52,9 млрд. евро, които бяха отпуснати между май 2010 г. и декември 2011 г. </w:t>
      </w:r>
    </w:p>
    <w:p>
      <w:pPr>
        <w:pStyle w:val="ManualHeading2"/>
        <w:spacing w:before="240" w:after="240"/>
        <w:ind w:left="851" w:hanging="851"/>
        <w:rPr>
          <w:noProof/>
        </w:rPr>
      </w:pPr>
      <w:bookmarkStart w:id="137" w:name="_Toc448397069"/>
      <w:bookmarkStart w:id="138" w:name="_Toc495679910"/>
      <w:bookmarkStart w:id="139" w:name="_Toc361393267"/>
      <w:bookmarkStart w:id="140" w:name="_Toc388883955"/>
      <w:bookmarkStart w:id="141" w:name="_Toc393808507"/>
      <w:r>
        <w:rPr>
          <w:noProof/>
        </w:rPr>
        <w:t>5.2.</w:t>
      </w:r>
      <w:r>
        <w:rPr>
          <w:noProof/>
        </w:rPr>
        <w:tab/>
        <w:t>Европейски инструмент за финансова стабилност</w:t>
      </w:r>
      <w:bookmarkEnd w:id="137"/>
      <w:bookmarkEnd w:id="138"/>
      <w:r>
        <w:rPr>
          <w:noProof/>
        </w:rPr>
        <w:t xml:space="preserve"> </w:t>
      </w:r>
      <w:bookmarkEnd w:id="139"/>
      <w:bookmarkEnd w:id="140"/>
      <w:bookmarkEnd w:id="141"/>
    </w:p>
    <w:p>
      <w:pPr>
        <w:spacing w:after="120" w:line="240" w:lineRule="auto"/>
        <w:jc w:val="both"/>
        <w:rPr>
          <w:rFonts w:ascii="Times New Roman" w:hAnsi="Times New Roman"/>
          <w:noProof/>
          <w:sz w:val="24"/>
          <w:szCs w:val="24"/>
        </w:rPr>
      </w:pPr>
      <w:r>
        <w:rPr>
          <w:rFonts w:ascii="Times New Roman" w:hAnsi="Times New Roman"/>
          <w:noProof/>
          <w:sz w:val="24"/>
        </w:rPr>
        <w:t>Европейският инструмент за финансова стабилност (ЕИФС)</w:t>
      </w:r>
      <w:r>
        <w:rPr>
          <w:rStyle w:val="FootnoteReference"/>
          <w:rFonts w:ascii="Times New Roman" w:hAnsi="Times New Roman"/>
          <w:noProof/>
          <w:sz w:val="24"/>
        </w:rPr>
        <w:footnoteReference w:id="25"/>
      </w:r>
      <w:r>
        <w:rPr>
          <w:rFonts w:ascii="Times New Roman" w:hAnsi="Times New Roman"/>
          <w:noProof/>
          <w:sz w:val="24"/>
        </w:rPr>
        <w:t xml:space="preserve"> е създаден от държавите членки от еврозоната като притежавано от тях дружество, регистрирано в Люксембург, предназначено да действа като временен спасителен механизъм за предоставяне на заеми на намиращи се в затруднение държави членки от еврозоната чрез емитиране на облигации, гарантирани от държавите членки от еврозоната. През октомври 2010 г. бе решено да се създаде постоянен оздравителен механизъм — Европейският механизъм за стабилност (ЕМС), който започна да функционира на 8 октомври 2012 г.</w:t>
      </w:r>
    </w:p>
    <w:p>
      <w:pPr>
        <w:spacing w:after="120" w:line="240" w:lineRule="auto"/>
        <w:jc w:val="both"/>
        <w:rPr>
          <w:rFonts w:ascii="Times New Roman" w:hAnsi="Times New Roman"/>
          <w:noProof/>
          <w:sz w:val="24"/>
          <w:szCs w:val="24"/>
        </w:rPr>
      </w:pPr>
      <w:r>
        <w:rPr>
          <w:rFonts w:ascii="Times New Roman" w:hAnsi="Times New Roman"/>
          <w:noProof/>
          <w:sz w:val="24"/>
        </w:rPr>
        <w:t xml:space="preserve">На 14 март 2012 г. министрите на финансите на държавите от еврозоната и МВФ одобриха втората програма за икономически корекции за Гърция, като бяха добавени 130 млрд. евро към непреведените суми по първата програма. Тази втора програма предвижда следователно обща финансова помощ в размер на 164,5 млрд. евро, като МВФ участва с 19,8 млрд. евро. Докато първата програма (МОЗГ) бе създадена като споразумение между кредиторите с централизиране на двустранните заеми, отпуснати от подкрепящите държави членки от еврозоната, като Комисията осигури координация и управление, втората програма се финансира от ЕИФС. </w:t>
      </w:r>
    </w:p>
    <w:p>
      <w:pPr>
        <w:spacing w:after="120" w:line="240" w:lineRule="auto"/>
        <w:jc w:val="both"/>
        <w:rPr>
          <w:rFonts w:ascii="Times New Roman" w:hAnsi="Times New Roman"/>
          <w:noProof/>
          <w:sz w:val="24"/>
          <w:szCs w:val="24"/>
        </w:rPr>
      </w:pPr>
      <w:r>
        <w:rPr>
          <w:rStyle w:val="Strong"/>
          <w:rFonts w:ascii="Times New Roman" w:hAnsi="Times New Roman"/>
          <w:b w:val="0"/>
          <w:noProof/>
          <w:sz w:val="24"/>
        </w:rPr>
        <w:t>Считано от 1 юли 2013 г.</w:t>
      </w:r>
      <w:r>
        <w:rPr>
          <w:noProof/>
        </w:rPr>
        <w:t xml:space="preserve"> </w:t>
      </w:r>
      <w:r>
        <w:rPr>
          <w:rFonts w:ascii="Times New Roman" w:hAnsi="Times New Roman"/>
          <w:noProof/>
          <w:sz w:val="24"/>
        </w:rPr>
        <w:t>ЕИФС не може повече да участва в нови програми за финансиране или да сключва нови споразумения за заеми. Въпреки това дейността му продължава в рамките на текущите програми за Гърция, Португалия и Ирландия, където той е кредитор (заедно с МВФ и някои държави членки).</w:t>
      </w:r>
    </w:p>
    <w:p>
      <w:pPr>
        <w:pStyle w:val="ManualHeading2"/>
        <w:spacing w:before="240" w:after="240"/>
        <w:ind w:left="851" w:hanging="851"/>
        <w:rPr>
          <w:noProof/>
        </w:rPr>
      </w:pPr>
      <w:bookmarkStart w:id="142" w:name="_Toc325641156"/>
      <w:bookmarkStart w:id="143" w:name="_Toc330157558"/>
      <w:bookmarkStart w:id="144" w:name="_Toc361393268"/>
      <w:bookmarkStart w:id="145" w:name="_Toc388883956"/>
      <w:bookmarkStart w:id="146" w:name="_Toc393808508"/>
      <w:bookmarkStart w:id="147" w:name="_Toc448397070"/>
      <w:bookmarkStart w:id="148" w:name="_Toc495679911"/>
      <w:r>
        <w:rPr>
          <w:noProof/>
        </w:rPr>
        <w:t>5.3.</w:t>
      </w:r>
      <w:r>
        <w:rPr>
          <w:noProof/>
        </w:rPr>
        <w:tab/>
        <w:t>Европейски механизъм за стабилност</w:t>
      </w:r>
      <w:bookmarkEnd w:id="142"/>
      <w:bookmarkEnd w:id="143"/>
      <w:bookmarkEnd w:id="144"/>
      <w:bookmarkEnd w:id="145"/>
      <w:bookmarkEnd w:id="146"/>
      <w:bookmarkEnd w:id="147"/>
      <w:bookmarkEnd w:id="148"/>
    </w:p>
    <w:p>
      <w:pPr>
        <w:spacing w:after="120" w:line="240" w:lineRule="auto"/>
        <w:jc w:val="both"/>
        <w:rPr>
          <w:rFonts w:ascii="Times New Roman" w:hAnsi="Times New Roman"/>
          <w:noProof/>
          <w:sz w:val="24"/>
          <w:szCs w:val="24"/>
        </w:rPr>
      </w:pPr>
      <w:r>
        <w:rPr>
          <w:rFonts w:ascii="Times New Roman" w:hAnsi="Times New Roman"/>
          <w:noProof/>
          <w:sz w:val="24"/>
        </w:rPr>
        <w:t>Европейският механизъм за стабилност (ЕМС)</w:t>
      </w:r>
      <w:r>
        <w:rPr>
          <w:rStyle w:val="FootnoteReference"/>
          <w:rFonts w:ascii="Times New Roman" w:hAnsi="Times New Roman"/>
          <w:noProof/>
          <w:sz w:val="24"/>
        </w:rPr>
        <w:footnoteReference w:id="26"/>
      </w:r>
      <w:r>
        <w:rPr>
          <w:rFonts w:ascii="Times New Roman" w:hAnsi="Times New Roman"/>
          <w:noProof/>
          <w:sz w:val="24"/>
        </w:rPr>
        <w:t xml:space="preserve"> се превърна считано от 1 юли 2013 г. в постоянен механизъм за отговор на новите искания за финансова помощ от държавите членки на еврозоната. </w:t>
      </w:r>
    </w:p>
    <w:p>
      <w:pPr>
        <w:pStyle w:val="Default"/>
        <w:autoSpaceDE/>
        <w:autoSpaceDN/>
        <w:adjustRightInd/>
        <w:spacing w:after="120"/>
        <w:jc w:val="both"/>
        <w:rPr>
          <w:noProof/>
        </w:rPr>
      </w:pPr>
      <w:r>
        <w:rPr>
          <w:noProof/>
        </w:rPr>
        <w:t xml:space="preserve">ЕМС има максимален кредитен капацитет от 500 млрд. евро. Общият записан капитал възлиза на 704,8 млрд. евро, като внесеният капитал от държавите членки от еврозоната е 80,5 млрд. евро, а изискуемият — 624,3 млрд. евро. </w:t>
      </w:r>
    </w:p>
    <w:p>
      <w:pPr>
        <w:spacing w:after="120" w:line="240" w:lineRule="auto"/>
        <w:jc w:val="both"/>
        <w:rPr>
          <w:rFonts w:ascii="Times New Roman" w:hAnsi="Times New Roman"/>
          <w:noProof/>
          <w:sz w:val="24"/>
          <w:szCs w:val="24"/>
        </w:rPr>
      </w:pPr>
      <w:r>
        <w:rPr>
          <w:rFonts w:ascii="Times New Roman" w:hAnsi="Times New Roman"/>
          <w:noProof/>
          <w:sz w:val="24"/>
        </w:rPr>
        <w:t>ЕМС предостави финансова помощ за Гърция и Кипър (при условие че бъде приета програма за макроикономически корекции) и на Испания — за рекапитализиране на банковия сектор. Срокът на програмата за Испания изтече през декември 2013 г. с отпускането на обща сума в размер на 41,3 млрд. евро, а Кипър приключи своята програма на 31 март 2016 г. с отпускането на заеми на обща стойност 6,3 млрд. евро.</w:t>
      </w:r>
    </w:p>
    <w:p>
      <w:pPr>
        <w:spacing w:after="120" w:line="240" w:lineRule="auto"/>
        <w:jc w:val="both"/>
        <w:rPr>
          <w:rFonts w:ascii="Times New Roman" w:hAnsi="Times New Roman"/>
          <w:noProof/>
          <w:sz w:val="24"/>
          <w:szCs w:val="24"/>
        </w:rPr>
      </w:pPr>
      <w:r>
        <w:rPr>
          <w:rFonts w:ascii="Times New Roman" w:hAnsi="Times New Roman"/>
          <w:noProof/>
          <w:sz w:val="24"/>
        </w:rPr>
        <w:t>На 8 юли 2015 г. гръцкото правителство подаде искане за финансова помощ от ЕМС. Финансовата помощ за Гърция, предоставяна от ЕМС, ще бъде в размер до 86 млрд. евро за срок от три години. Лидерите на страните от еврозоната постигнаха споразумение с Гърция на 13 юли 2015 г. относно набор от предварителни действия, които трябва да се предприемат спешно, за да могат да започнат преговори по всеобхватна програма за реформи, изложена в меморандум за разбирателство (МР). На 19 август 2015 г. ЕМС одобри меморандума за разбирателство. МР е насочен към четири ключови области: възстановяване на фискалната устойчивост; запазване на финансовата стабилност; засилване на растежа, конкурентоспособността и инвестициите; и реформа на публичната администрация.</w:t>
      </w:r>
    </w:p>
    <w:p>
      <w:pPr>
        <w:pStyle w:val="NormalWeb"/>
        <w:spacing w:before="0" w:beforeAutospacing="0" w:after="120" w:afterAutospacing="0"/>
        <w:jc w:val="both"/>
        <w:rPr>
          <w:rFonts w:eastAsia="Calibri"/>
          <w:noProof/>
        </w:rPr>
      </w:pPr>
      <w:r>
        <w:rPr>
          <w:noProof/>
        </w:rPr>
        <w:t>Към 31 декември 2016 г. общият размер на финансовата помощ по линия на ЕМС за Гърция достигна 31,7 млрд. евро (около 37 % от общия обем на програмата).</w:t>
      </w:r>
    </w:p>
    <w:p>
      <w:pPr>
        <w:pStyle w:val="NormalWeb"/>
        <w:spacing w:before="0" w:beforeAutospacing="0" w:after="120" w:afterAutospacing="0"/>
        <w:jc w:val="both"/>
        <w:rPr>
          <w:rFonts w:eastAsia="Calibri"/>
          <w:noProof/>
        </w:rPr>
      </w:pPr>
      <w:r>
        <w:rPr>
          <w:noProof/>
        </w:rPr>
        <w:t>На 10 юли 2017 г. беше отпусната допълнителна сума от 7,7 млрд. евро, като по този начин съвкупната сума, отпусната за Гърция по ЕМС, достигна 39,4 млрд. евро.</w:t>
      </w:r>
    </w:p>
    <w:sectPr>
      <w:headerReference w:type="even" r:id="rId24"/>
      <w:headerReference w:type="default" r:id="rId25"/>
      <w:footerReference w:type="even" r:id="rId26"/>
      <w:footerReference w:type="default" r:id="rId27"/>
      <w:headerReference w:type="first" r:id="rId28"/>
      <w:footerReference w:type="first" r:id="rId29"/>
      <w:pgSz w:w="11907" w:h="16839" w:code="9"/>
      <w:pgMar w:top="1134" w:right="1418" w:bottom="993"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535"/>
        <w:tab w:val="left" w:pos="127"/>
        <w:tab w:val="center" w:pos="4536"/>
      </w:tabs>
      <w:ind w:left="-851" w:right="-851"/>
    </w:pPr>
    <w:r>
      <w:tab/>
    </w:r>
    <w:r>
      <w:tab/>
    </w:r>
    <w:r>
      <w:fldChar w:fldCharType="begin"/>
    </w:r>
    <w:r>
      <w:instrText xml:space="preserve"> PAGE   \* MERGEFORMAT </w:instrText>
    </w:r>
    <w:r>
      <w:fldChar w:fldCharType="separate"/>
    </w:r>
    <w:r>
      <w:rPr>
        <w:noProof/>
      </w:rPr>
      <w:t>3</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 (ОВ L 298, 26.10.2012 г., стp. 1).</w:t>
      </w:r>
    </w:p>
  </w:footnote>
  <w:footnote w:id="2">
    <w:p>
      <w:pPr>
        <w:pStyle w:val="FootnoteText"/>
      </w:pPr>
      <w:r>
        <w:rPr>
          <w:rStyle w:val="FootnoteReference"/>
        </w:rPr>
        <w:footnoteRef/>
      </w:r>
      <w:r>
        <w:tab/>
        <w:t>Дейностите на Комисията по вземане и получаване на заеми са представени подробно на адрес: http://ec.europa.eu/economy_finance/eu_borrower/index_en.htm.</w:t>
      </w:r>
    </w:p>
  </w:footnote>
  <w:footnote w:id="3">
    <w:p>
      <w:pPr>
        <w:pStyle w:val="FootnoteText"/>
        <w:ind w:left="709" w:hanging="709"/>
      </w:pPr>
      <w:r>
        <w:rPr>
          <w:rStyle w:val="FootnoteReference"/>
        </w:rPr>
        <w:footnoteRef/>
      </w:r>
      <w:r>
        <w:tab/>
        <w:t>OВ L 53, 23.2.2002 г., стр. 1.</w:t>
      </w:r>
    </w:p>
  </w:footnote>
  <w:footnote w:id="4">
    <w:p>
      <w:pPr>
        <w:spacing w:after="0" w:line="240" w:lineRule="auto"/>
        <w:ind w:left="709" w:hanging="709"/>
      </w:pPr>
      <w:r>
        <w:rPr>
          <w:rStyle w:val="FootnoteReference"/>
        </w:rPr>
        <w:footnoteRef/>
      </w:r>
      <w:r>
        <w:tab/>
      </w:r>
      <w:r>
        <w:rPr>
          <w:rFonts w:ascii="Times New Roman" w:hAnsi="Times New Roman"/>
          <w:sz w:val="20"/>
        </w:rPr>
        <w:t>Подробна информация за операциите в подкрепа на платежния баланс се намира на следния интернет адрес: http://ec.europa.eu/economy_finance/eu_borrower/balance_of_payments/index_en.htm</w:t>
      </w:r>
    </w:p>
  </w:footnote>
  <w:footnote w:id="5">
    <w:p>
      <w:pPr>
        <w:pStyle w:val="FootnoteText"/>
      </w:pPr>
      <w:r>
        <w:rPr>
          <w:rStyle w:val="FootnoteReference"/>
        </w:rPr>
        <w:footnoteRef/>
      </w:r>
      <w:r>
        <w:tab/>
        <w:t>Изменен с Регламент (ЕС) 2015/1360 на Съвета от 4 август 2015 г. (ОВ L 210, 7.8.2015 г., стр. 1).</w:t>
      </w:r>
    </w:p>
  </w:footnote>
  <w:footnote w:id="6">
    <w:p>
      <w:pPr>
        <w:pStyle w:val="FootnoteText"/>
      </w:pPr>
      <w:r>
        <w:rPr>
          <w:rStyle w:val="FootnoteReference"/>
        </w:rPr>
        <w:footnoteRef/>
      </w:r>
      <w:r>
        <w:tab/>
        <w:t>В член 122, параграф 2 от ДФЕС се предвижда финансова подкрепа за държави членки в затруднено положение поради извънредни обстоятелства извън техния контрол.</w:t>
      </w:r>
    </w:p>
  </w:footnote>
  <w:footnote w:id="7">
    <w:p>
      <w:pPr>
        <w:pStyle w:val="FootnoteText"/>
        <w:jc w:val="left"/>
      </w:pPr>
      <w:r>
        <w:rPr>
          <w:rStyle w:val="FootnoteReference"/>
        </w:rPr>
        <w:footnoteRef/>
      </w:r>
      <w:r>
        <w:tab/>
        <w:t>Подробна информация за операциите на ЕМФС се намира на следния интернет адрес: http://ec.europa.eu/economy_finance/eu_borrower/efsm/index_en.htm</w:t>
      </w:r>
    </w:p>
  </w:footnote>
  <w:footnote w:id="8">
    <w:p>
      <w:pPr>
        <w:pStyle w:val="FootnoteText"/>
      </w:pPr>
      <w:r>
        <w:rPr>
          <w:rStyle w:val="FootnoteReference"/>
        </w:rPr>
        <w:footnoteRef/>
      </w:r>
      <w:r>
        <w:tab/>
        <w:t>Решение за изпълнение 2011/77/ЕС на Съвета от 7 декември 2010 г. за предоставяне на финансова помощ за Ирландия от страна на Съюза (ОВ L 30, 4.2.2011 г., стp. 34).</w:t>
      </w:r>
    </w:p>
  </w:footnote>
  <w:footnote w:id="9">
    <w:p>
      <w:pPr>
        <w:pStyle w:val="FootnoteText"/>
      </w:pPr>
      <w:r>
        <w:rPr>
          <w:rStyle w:val="FootnoteReference"/>
        </w:rPr>
        <w:footnoteRef/>
      </w:r>
      <w:r>
        <w:tab/>
        <w:t>Решение за изпълнение 2011/344/ЕС на Съвета от 30 май 2011 г. за предоставяне на финансова помощ за Португалия от страна на Съюза (ОВ L 159, 17.6.2011 г., стp. 88).</w:t>
      </w:r>
    </w:p>
  </w:footnote>
  <w:footnote w:id="10">
    <w:p>
      <w:pPr>
        <w:pStyle w:val="FootnoteText"/>
      </w:pPr>
      <w:r>
        <w:rPr>
          <w:rStyle w:val="FootnoteReference"/>
        </w:rPr>
        <w:footnoteRef/>
      </w:r>
      <w:r>
        <w:tab/>
        <w:t>Член 212 от Договора за функционирането на Европейския съюз (ДФЕС) (ОВ C 326, 26.10.2012 г., стр. 47—390)</w:t>
      </w:r>
    </w:p>
  </w:footnote>
  <w:footnote w:id="11">
    <w:p>
      <w:pPr>
        <w:pStyle w:val="FootnoteText"/>
      </w:pPr>
      <w:r>
        <w:rPr>
          <w:rStyle w:val="FootnoteReference"/>
        </w:rPr>
        <w:footnoteRef/>
      </w:r>
      <w:r>
        <w:t xml:space="preserve"> </w:t>
      </w:r>
      <w:r>
        <w:tab/>
        <w:t>Подробна информация относно МФП: http://ec.europa.eu/economy_finance/eu_borrower/macro-financial_assistance/index_en.htm</w:t>
      </w:r>
    </w:p>
  </w:footnote>
  <w:footnote w:id="12">
    <w:p>
      <w:pPr>
        <w:pStyle w:val="FootnoteText"/>
      </w:pPr>
      <w:r>
        <w:rPr>
          <w:rStyle w:val="FootnoteReference"/>
        </w:rPr>
        <w:footnoteRef/>
      </w:r>
      <w:r>
        <w:tab/>
        <w:t>Вж. Регламент (ЕО, Евратом) № 480/2009 на Съвета относно създаване на Гаранционен фонд за външни дейности (кодифицирана версия) (ОВ L 145, 10.6.2009 г., стр. 10). Досега по заемите в рамките на МФП не е регистрирано неизпълнение на плащане.</w:t>
      </w:r>
    </w:p>
  </w:footnote>
  <w:footnote w:id="13">
    <w:p>
      <w:pPr>
        <w:pStyle w:val="FootnoteText"/>
      </w:pPr>
      <w:r>
        <w:rPr>
          <w:rStyle w:val="FootnoteReference"/>
        </w:rPr>
        <w:footnoteRef/>
      </w:r>
      <w:r>
        <w:tab/>
        <w:t xml:space="preserve">Въпреки че погасяването на заема се покрива в крайна сметка от бюджета на ЕС, Гаранционният фонд действа като ликвиден буфер, който защитава бюджета на ЕС срещу риска от предявяване на вземания в резултат на просрочени плащания. За подробния доклад относно функционирането на фонда вж. COM(2014) 214 и придружаващия го Работен документ на службите на Комисията SEC(2014) 129. </w:t>
      </w:r>
    </w:p>
  </w:footnote>
  <w:footnote w:id="14">
    <w:p>
      <w:pPr>
        <w:pStyle w:val="FootnoteText"/>
      </w:pPr>
      <w:r>
        <w:rPr>
          <w:rStyle w:val="FootnoteReference"/>
        </w:rPr>
        <w:footnoteRef/>
      </w:r>
      <w:r>
        <w:t xml:space="preserve"> </w:t>
      </w:r>
      <w:r>
        <w:tab/>
      </w:r>
      <w:r>
        <w:rPr>
          <w:spacing w:val="-4"/>
        </w:rPr>
        <w:t>Решение 1025/2013/ЕС на Европейския парламент и на Съвета от 22 октомври 2013 г. за предоставяне на макрофинансова помощ на Киргизката република (ОВ L 283, 25.10.2013 г., стр. 1).</w:t>
      </w:r>
    </w:p>
  </w:footnote>
  <w:footnote w:id="15">
    <w:p>
      <w:pPr>
        <w:pStyle w:val="FootnoteText"/>
      </w:pPr>
      <w:r>
        <w:rPr>
          <w:rStyle w:val="FootnoteReference"/>
        </w:rPr>
        <w:footnoteRef/>
      </w:r>
      <w:r>
        <w:tab/>
        <w:t>Решение (ЕС) 2016/1112 на Европейския парламент и на Съвета от 6 юли 2016 г. за предоставяне на допълнителна макрофинансова помощ на Тунис (ОВ L 186, 9.7.2016 г., стр. 1).</w:t>
      </w:r>
    </w:p>
  </w:footnote>
  <w:footnote w:id="16">
    <w:p>
      <w:pPr>
        <w:pStyle w:val="FootnoteText"/>
      </w:pPr>
      <w:r>
        <w:rPr>
          <w:rStyle w:val="FootnoteReference"/>
        </w:rPr>
        <w:footnoteRef/>
      </w:r>
      <w:r>
        <w:tab/>
        <w:t>Решение (ЕС) 2016/2371 на Европейския парламент и на Съвета от 14 декември 2016 г. за предоставяне на допълнителна макрофинансова помощ на Хашемитското кралство Йордания (ОВ L 352, 23.12.2016 г., стр. 18).</w:t>
      </w:r>
    </w:p>
  </w:footnote>
  <w:footnote w:id="17">
    <w:p>
      <w:pPr>
        <w:pStyle w:val="FootnoteText"/>
      </w:pPr>
      <w:r>
        <w:rPr>
          <w:rStyle w:val="FootnoteReference"/>
        </w:rPr>
        <w:footnoteRef/>
      </w:r>
      <w:r>
        <w:tab/>
      </w:r>
      <w:r>
        <w:rPr>
          <w:rStyle w:val="Hyperlink"/>
          <w:color w:val="000000"/>
          <w:u w:val="none"/>
        </w:rPr>
        <w:t>Понастоящем Украйна, Русия и Армения.</w:t>
      </w:r>
    </w:p>
  </w:footnote>
  <w:footnote w:id="18">
    <w:p>
      <w:pPr>
        <w:pStyle w:val="FootnoteText"/>
      </w:pPr>
      <w:r>
        <w:rPr>
          <w:rStyle w:val="FootnoteReference"/>
        </w:rPr>
        <w:footnoteRef/>
      </w:r>
      <w:r>
        <w:tab/>
        <w:t xml:space="preserve">Възстановяване на суми в размер на </w:t>
      </w:r>
      <w:r>
        <w:rPr>
          <w:rStyle w:val="Hyperlink"/>
          <w:color w:val="000000"/>
          <w:u w:val="none"/>
        </w:rPr>
        <w:t>3 607 665,00 USD и 3 900 000,00 EUR</w:t>
      </w:r>
      <w:r>
        <w:t>.</w:t>
      </w:r>
    </w:p>
  </w:footnote>
  <w:footnote w:id="19">
    <w:p>
      <w:pPr>
        <w:pStyle w:val="FootnoteText"/>
      </w:pPr>
      <w:r>
        <w:rPr>
          <w:rStyle w:val="FootnoteReference"/>
        </w:rPr>
        <w:footnoteRef/>
      </w:r>
      <w:r>
        <w:tab/>
      </w:r>
      <w:hyperlink r:id="rId1">
        <w:r>
          <w:rPr>
            <w:rStyle w:val="Hyperlink"/>
            <w:color w:val="000000"/>
            <w:u w:val="none"/>
          </w:rPr>
          <w:t>Регламентът за ЕМФС</w:t>
        </w:r>
      </w:hyperlink>
      <w:r>
        <w:t xml:space="preserve"> позволява да се прибегне до предварително финансиране, тъй като оправомощава Комисията „</w:t>
      </w:r>
      <w:r>
        <w:rPr>
          <w:i/>
          <w:color w:val="000000"/>
        </w:rPr>
        <w:t>да предприеме заемане на средства на капиталовите пазари или от финансови институции в най-подходящия момент между планираните изплащания, така че да оптимизира разходите по финансирането и да запази репутацията си на емитент на Съюза на пазарите</w:t>
      </w:r>
      <w:r>
        <w:t>.“ Произтичащите от това разходи за изпълнение обаче се поемат от заемополучателя.</w:t>
      </w:r>
    </w:p>
  </w:footnote>
  <w:footnote w:id="20">
    <w:p>
      <w:pPr>
        <w:spacing w:after="0" w:line="240" w:lineRule="auto"/>
        <w:ind w:left="709" w:hanging="709"/>
        <w:jc w:val="both"/>
        <w:rPr>
          <w:rFonts w:ascii="Times New Roman" w:eastAsia="Times New Roman" w:hAnsi="Times New Roman"/>
          <w:sz w:val="20"/>
          <w:szCs w:val="20"/>
        </w:rPr>
      </w:pPr>
      <w:r>
        <w:rPr>
          <w:rStyle w:val="FootnoteReference"/>
        </w:rPr>
        <w:footnoteRef/>
      </w:r>
      <w:r>
        <w:tab/>
      </w:r>
      <w:r>
        <w:rPr>
          <w:rFonts w:ascii="Times New Roman" w:hAnsi="Times New Roman"/>
          <w:sz w:val="20"/>
        </w:rPr>
        <w:t>Регламент (ЕС) 2015/1017 на Европейския парламент и на Съвета от 25 юни 2015 г. за Европейския фонд за стратегически инвестиции, Европейския консултантски център по инвестиционни въпроси и Европейския портал за инвестиционни проекти и за изменение на регламенти (ЕС) № 1291/2013 и (ЕС) № 1316/2013 — Европейски фонд за стратегически инвестиции („Регламент за ЕФСИ“). ОВ L 169, 1.7.2015 г., стр. 1.</w:t>
      </w:r>
    </w:p>
  </w:footnote>
  <w:footnote w:id="21">
    <w:p>
      <w:pPr>
        <w:pStyle w:val="FootnoteText"/>
      </w:pPr>
      <w:r>
        <w:rPr>
          <w:rStyle w:val="FootnoteReference"/>
        </w:rPr>
        <w:footnoteRef/>
      </w:r>
      <w:r>
        <w:tab/>
        <w:t>Решение № 466/2014/ЕС на Европейския парламент и на Съвета от 16 април 2014 г. за предоставяне на гаранция от ЕС на Европейската инвестиционна банка за загуби по операции по финансиране на инвестиционни проекти извън Съюза (OB L 135, 8.5.2014 г., стр. 1—20).</w:t>
      </w:r>
    </w:p>
  </w:footnote>
  <w:footnote w:id="22">
    <w:p>
      <w:pPr>
        <w:spacing w:after="0" w:line="240" w:lineRule="auto"/>
        <w:ind w:left="709" w:hanging="709"/>
        <w:jc w:val="both"/>
        <w:rPr>
          <w:rFonts w:ascii="Times New Roman" w:eastAsia="Times New Roman" w:hAnsi="Times New Roman"/>
          <w:sz w:val="20"/>
          <w:szCs w:val="20"/>
        </w:rPr>
      </w:pPr>
      <w:r>
        <w:rPr>
          <w:rStyle w:val="FootnoteReference"/>
        </w:rPr>
        <w:footnoteRef/>
      </w:r>
      <w:r>
        <w:tab/>
      </w:r>
      <w:r>
        <w:rPr>
          <w:rFonts w:ascii="Times New Roman" w:hAnsi="Times New Roman"/>
          <w:sz w:val="20"/>
        </w:rPr>
        <w:t>Допълнителна информация за трите действащи механизма се намира на следния интернет адрес: http://ec.europa.eu/economy_finance/assistance_eu_ms/index_en.htm</w:t>
      </w:r>
    </w:p>
  </w:footnote>
  <w:footnote w:id="23">
    <w:p>
      <w:pPr>
        <w:pStyle w:val="FootnoteText"/>
      </w:pPr>
      <w:r>
        <w:rPr>
          <w:rStyle w:val="FootnoteReference"/>
        </w:rPr>
        <w:footnoteRef/>
      </w:r>
      <w:r>
        <w:tab/>
        <w:t>Подкрепата се предоставя чрез двустранни заеми от останалите държави членки от еврозоната, обединени в пакет от Комисията, съгласно условията, описани в изявлението им от 11 април 2010 г.</w:t>
      </w:r>
    </w:p>
  </w:footnote>
  <w:footnote w:id="24">
    <w:p>
      <w:pPr>
        <w:pStyle w:val="FootnoteText"/>
      </w:pPr>
      <w:r>
        <w:rPr>
          <w:rStyle w:val="FootnoteReference"/>
        </w:rPr>
        <w:footnoteRef/>
      </w:r>
      <w:r>
        <w:tab/>
      </w:r>
      <w:r>
        <w:rPr>
          <w:color w:val="000000"/>
        </w:rPr>
        <w:t>Основните елементи на изискванията по отношение на политиката са заложени в Решение на Съвета от 10 май 2010 г., отправено към Гърция с оглед засилване и задълбочаване на фискалния надзор и за предизвестие към Гърция за предприемане на необходимите мерки за коригирането на прекомерния дефицит (2010/320/ЕС). Условията са описани по-подробно в меморандума за разбирателство, сключен между гръцките власти и Комисията от името на държавите членки от еврозоната.</w:t>
      </w:r>
    </w:p>
  </w:footnote>
  <w:footnote w:id="25">
    <w:p>
      <w:pPr>
        <w:autoSpaceDE w:val="0"/>
        <w:autoSpaceDN w:val="0"/>
        <w:adjustRightInd w:val="0"/>
        <w:spacing w:after="0" w:line="240" w:lineRule="auto"/>
        <w:ind w:left="709" w:hanging="709"/>
        <w:jc w:val="both"/>
        <w:rPr>
          <w:rFonts w:ascii="Times New Roman" w:eastAsia="Times New Roman" w:hAnsi="Times New Roman"/>
          <w:color w:val="000000"/>
          <w:sz w:val="20"/>
          <w:szCs w:val="20"/>
          <w:lang w:eastAsia="en-GB"/>
        </w:rPr>
      </w:pPr>
      <w:r>
        <w:rPr>
          <w:rStyle w:val="FootnoteReference"/>
        </w:rPr>
        <w:footnoteRef/>
      </w:r>
      <w:r>
        <w:tab/>
      </w:r>
      <w:r>
        <w:rPr>
          <w:rFonts w:ascii="Times New Roman" w:hAnsi="Times New Roman"/>
          <w:color w:val="000000"/>
          <w:sz w:val="20"/>
        </w:rPr>
        <w:t>Европейският инструмент за финансова стабилност (ЕИФС) е предприятие със специално предназначение, финансирано от членките на еврозоната за преодоляване на кризата с държавния дълг. Той беше одобрен от Съвета на Европейския съюз на 9 май 2010 г. с цел да се запази финансовата стабилност в Европа чрез предоставяне на финансова помощ на държавите от еврозоната в затруднено икономическо положение. Седалището на инструмента е в град Люксембург, тъй като ЕИФС е създаден като акционерно дружество съгласно законодателството на Великото херцогство Люксембург. (Journal Officiel du Grand-Duché de Luxembourg - C — N° 1189    8 juin 2010).</w:t>
      </w:r>
    </w:p>
  </w:footnote>
  <w:footnote w:id="26">
    <w:p>
      <w:pPr>
        <w:autoSpaceDE w:val="0"/>
        <w:autoSpaceDN w:val="0"/>
        <w:adjustRightInd w:val="0"/>
        <w:spacing w:after="0" w:line="240" w:lineRule="auto"/>
        <w:ind w:left="709" w:hanging="709"/>
        <w:jc w:val="both"/>
        <w:rPr>
          <w:rFonts w:ascii="TimesNewRomanPS-Bold" w:hAnsi="TimesNewRomanPS-Bold" w:cs="TimesNewRomanPS-Bold"/>
          <w:b/>
          <w:bCs/>
          <w:sz w:val="30"/>
          <w:szCs w:val="30"/>
          <w:lang w:eastAsia="en-GB"/>
        </w:rPr>
      </w:pPr>
      <w:r>
        <w:rPr>
          <w:rStyle w:val="FootnoteReference"/>
        </w:rPr>
        <w:footnoteRef/>
      </w:r>
      <w:r>
        <w:tab/>
      </w:r>
      <w:r>
        <w:rPr>
          <w:rFonts w:ascii="Times New Roman" w:hAnsi="Times New Roman"/>
          <w:color w:val="000000"/>
          <w:sz w:val="20"/>
        </w:rPr>
        <w:t>На 11 юли 2011 г. финансовите министри на 17-те държави членки от еврозоната подписаха Договора за създаване на европейския механизъм за стабилност (ЕМС). Договорът следва решението на Европейския съвет от 25 март 2011 г. и се основава на изменение на член 136 от Договора за функционирането на Европейския съюз (ДФЕС).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BEC5532"/>
    <w:lvl w:ilvl="0">
      <w:start w:val="1"/>
      <w:numFmt w:val="decimal"/>
      <w:pStyle w:val="ListNumber4"/>
      <w:lvlText w:val="%1."/>
      <w:lvlJc w:val="left"/>
      <w:pPr>
        <w:tabs>
          <w:tab w:val="num" w:pos="1209"/>
        </w:tabs>
        <w:ind w:left="1209" w:hanging="360"/>
      </w:pPr>
      <w:rPr>
        <w:rFonts w:cs="Times New Roman"/>
      </w:rPr>
    </w:lvl>
  </w:abstractNum>
  <w:abstractNum w:abstractNumId="1">
    <w:nsid w:val="FFFFFF7F"/>
    <w:multiLevelType w:val="singleLevel"/>
    <w:tmpl w:val="5224AC40"/>
    <w:lvl w:ilvl="0">
      <w:start w:val="1"/>
      <w:numFmt w:val="decimal"/>
      <w:pStyle w:val="ListNumber2"/>
      <w:lvlText w:val="%1."/>
      <w:lvlJc w:val="left"/>
      <w:pPr>
        <w:tabs>
          <w:tab w:val="num" w:pos="643"/>
        </w:tabs>
        <w:ind w:left="643" w:hanging="360"/>
      </w:pPr>
      <w:rPr>
        <w:rFonts w:cs="Times New Roman"/>
      </w:rPr>
    </w:lvl>
  </w:abstractNum>
  <w:abstractNum w:abstractNumId="2">
    <w:nsid w:val="FFFFFF81"/>
    <w:multiLevelType w:val="singleLevel"/>
    <w:tmpl w:val="1F4E5312"/>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A536889E"/>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9"/>
    <w:multiLevelType w:val="singleLevel"/>
    <w:tmpl w:val="7462546E"/>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14D308E8"/>
    <w:multiLevelType w:val="hybridMultilevel"/>
    <w:tmpl w:val="B980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7">
    <w:nsid w:val="3A5459E8"/>
    <w:multiLevelType w:val="singleLevel"/>
    <w:tmpl w:val="2188C922"/>
    <w:name w:val="LegalNumbering"/>
    <w:lvl w:ilvl="0">
      <w:start w:val="1"/>
      <w:numFmt w:val="bullet"/>
      <w:lvlRestart w:val="0"/>
      <w:pStyle w:val="Tiret1"/>
      <w:lvlText w:val="–"/>
      <w:lvlJc w:val="left"/>
      <w:pPr>
        <w:tabs>
          <w:tab w:val="num" w:pos="1417"/>
        </w:tabs>
        <w:ind w:left="1417" w:hanging="567"/>
      </w:pPr>
    </w:lvl>
  </w:abstractNum>
  <w:abstractNum w:abstractNumId="8">
    <w:nsid w:val="3BA736C9"/>
    <w:multiLevelType w:val="singleLevel"/>
    <w:tmpl w:val="F00A6C0C"/>
    <w:name w:val="Bullet 1"/>
    <w:lvl w:ilvl="0">
      <w:start w:val="1"/>
      <w:numFmt w:val="bullet"/>
      <w:lvlRestart w:val="0"/>
      <w:pStyle w:val="Tiret0"/>
      <w:lvlText w:val="–"/>
      <w:lvlJc w:val="left"/>
      <w:pPr>
        <w:tabs>
          <w:tab w:val="num" w:pos="850"/>
        </w:tabs>
        <w:ind w:left="850" w:hanging="850"/>
      </w:pPr>
    </w:lvl>
  </w:abstractNum>
  <w:abstractNum w:abstractNumId="9">
    <w:nsid w:val="3C90278F"/>
    <w:multiLevelType w:val="singleLevel"/>
    <w:tmpl w:val="0FE08974"/>
    <w:name w:val="Tiret 1"/>
    <w:lvl w:ilvl="0">
      <w:start w:val="1"/>
      <w:numFmt w:val="bullet"/>
      <w:lvlRestart w:val="0"/>
      <w:pStyle w:val="Tiret3"/>
      <w:lvlText w:val="–"/>
      <w:lvlJc w:val="left"/>
      <w:pPr>
        <w:tabs>
          <w:tab w:val="num" w:pos="2551"/>
        </w:tabs>
        <w:ind w:left="2551" w:hanging="567"/>
      </w:pPr>
    </w:lvl>
  </w:abstractNum>
  <w:abstractNum w:abstractNumId="10">
    <w:nsid w:val="40315490"/>
    <w:multiLevelType w:val="singleLevel"/>
    <w:tmpl w:val="1F86C700"/>
    <w:name w:val="Tiret 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1">
    <w:nsid w:val="45883E8B"/>
    <w:multiLevelType w:val="hybridMultilevel"/>
    <w:tmpl w:val="3ED255F4"/>
    <w:lvl w:ilvl="0" w:tplc="B5506BB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842C30"/>
    <w:multiLevelType w:val="singleLevel"/>
    <w:tmpl w:val="4FA60B90"/>
    <w:name w:val="Tiret 3"/>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nsid w:val="54593082"/>
    <w:multiLevelType w:val="singleLevel"/>
    <w:tmpl w:val="EDE069AC"/>
    <w:name w:val="Bullet 4"/>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68864DC"/>
    <w:multiLevelType w:val="singleLevel"/>
    <w:tmpl w:val="485EBDAC"/>
    <w:name w:val="Default"/>
    <w:lvl w:ilvl="0">
      <w:start w:val="1"/>
      <w:numFmt w:val="bullet"/>
      <w:lvlRestart w:val="0"/>
      <w:pStyle w:val="Tiret4"/>
      <w:lvlText w:val="–"/>
      <w:lvlJc w:val="left"/>
      <w:pPr>
        <w:tabs>
          <w:tab w:val="num" w:pos="3118"/>
        </w:tabs>
        <w:ind w:left="3118" w:hanging="567"/>
      </w:pPr>
    </w:lvl>
  </w:abstractNum>
  <w:abstractNum w:abstractNumId="15">
    <w:nsid w:val="59CC3BD0"/>
    <w:multiLevelType w:val="multilevel"/>
    <w:tmpl w:val="132A782E"/>
    <w:name w:val="Heading__3"/>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F342530"/>
    <w:multiLevelType w:val="singleLevel"/>
    <w:tmpl w:val="D5444702"/>
    <w:name w:val="Bullet 0"/>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nsid w:val="5F8C3B69"/>
    <w:multiLevelType w:val="multilevel"/>
    <w:tmpl w:val="9B14DAA8"/>
    <w:name w:val="Tiret 4"/>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5F9C40AA"/>
    <w:multiLevelType w:val="singleLevel"/>
    <w:tmpl w:val="B89CB5A2"/>
    <w:name w:val="Bullet 3"/>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62970F71"/>
    <w:multiLevelType w:val="singleLevel"/>
    <w:tmpl w:val="5AFA8C72"/>
    <w:name w:val="List Number"/>
    <w:lvl w:ilvl="0">
      <w:start w:val="1"/>
      <w:numFmt w:val="bullet"/>
      <w:lvlRestart w:val="0"/>
      <w:pStyle w:val="Tiret2"/>
      <w:lvlText w:val="–"/>
      <w:lvlJc w:val="left"/>
      <w:pPr>
        <w:tabs>
          <w:tab w:val="num" w:pos="1984"/>
        </w:tabs>
        <w:ind w:left="1984" w:hanging="567"/>
      </w:pPr>
    </w:lvl>
  </w:abstractNum>
  <w:abstractNum w:abstractNumId="20">
    <w:nsid w:val="6507794E"/>
    <w:multiLevelType w:val="singleLevel"/>
    <w:tmpl w:val="FD3464B4"/>
    <w:name w:val="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21">
    <w:nsid w:val="69995580"/>
    <w:multiLevelType w:val="singleLevel"/>
    <w:tmpl w:val="75CC7CBA"/>
    <w:name w:val="Tiret 2"/>
    <w:lvl w:ilvl="0">
      <w:start w:val="1"/>
      <w:numFmt w:val="decimal"/>
      <w:lvlRestart w:val="0"/>
      <w:pStyle w:val="Considrant"/>
      <w:lvlText w:val="(%1)"/>
      <w:lvlJc w:val="left"/>
      <w:pPr>
        <w:tabs>
          <w:tab w:val="num" w:pos="709"/>
        </w:tabs>
        <w:ind w:left="709" w:hanging="709"/>
      </w:pPr>
      <w:rPr>
        <w:rFonts w:cs="Times New Roman"/>
      </w:rPr>
    </w:lvl>
  </w:abstractNum>
  <w:abstractNum w:abstractNumId="22">
    <w:nsid w:val="6C5D7131"/>
    <w:multiLevelType w:val="multilevel"/>
    <w:tmpl w:val="65ACEFCE"/>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3">
    <w:nsid w:val="709E37A3"/>
    <w:multiLevelType w:val="multilevel"/>
    <w:tmpl w:val="2E5612E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711167E2"/>
    <w:multiLevelType w:val="multilevel"/>
    <w:tmpl w:val="C3843A7A"/>
    <w:name w:val="Heading__2"/>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8"/>
  </w:num>
  <w:num w:numId="2">
    <w:abstractNumId w:val="7"/>
  </w:num>
  <w:num w:numId="3">
    <w:abstractNumId w:val="19"/>
  </w:num>
  <w:num w:numId="4">
    <w:abstractNumId w:val="9"/>
  </w:num>
  <w:num w:numId="5">
    <w:abstractNumId w:val="14"/>
  </w:num>
  <w:num w:numId="6">
    <w:abstractNumId w:val="24"/>
  </w:num>
  <w:num w:numId="7">
    <w:abstractNumId w:val="13"/>
  </w:num>
  <w:num w:numId="8">
    <w:abstractNumId w:val="6"/>
  </w:num>
  <w:num w:numId="9">
    <w:abstractNumId w:val="18"/>
  </w:num>
  <w:num w:numId="10">
    <w:abstractNumId w:val="16"/>
  </w:num>
  <w:num w:numId="11">
    <w:abstractNumId w:val="12"/>
  </w:num>
  <w:num w:numId="12">
    <w:abstractNumId w:val="21"/>
  </w:num>
  <w:num w:numId="13">
    <w:abstractNumId w:val="23"/>
  </w:num>
  <w:num w:numId="14">
    <w:abstractNumId w:val="20"/>
  </w:num>
  <w:num w:numId="15">
    <w:abstractNumId w:val="1"/>
  </w:num>
  <w:num w:numId="16">
    <w:abstractNumId w:val="0"/>
  </w:num>
  <w:num w:numId="17">
    <w:abstractNumId w:val="4"/>
  </w:num>
  <w:num w:numId="18">
    <w:abstractNumId w:val="3"/>
  </w:num>
  <w:num w:numId="19">
    <w:abstractNumId w:val="2"/>
  </w:num>
  <w:num w:numId="20">
    <w:abstractNumId w:val="17"/>
  </w:num>
  <w:num w:numId="21">
    <w:abstractNumId w:val="10"/>
  </w:num>
  <w:num w:numId="22">
    <w:abstractNumId w:val="15"/>
  </w:num>
  <w:num w:numId="23">
    <w:abstractNumId w:val="22"/>
  </w:num>
  <w:num w:numId="24">
    <w:abstractNumId w:val="5"/>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8353626-0A36-4303-8D95-3D11FAED8E07"/>
    <w:docVar w:name="LW_COVERPAGE_TYPE" w:val="1"/>
    <w:docVar w:name="LW_CROSSREFERENCE" w:val="&lt;UNUSED&gt;"/>
    <w:docVar w:name="LW_DocType" w:val="NORMAL"/>
    <w:docVar w:name="LW_EMISSION" w:val="23.11.2017"/>
    <w:docVar w:name="LW_EMISSION_ISODATE" w:val="2017-11-23"/>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6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54?\u1058?\u1053?\u1054?\u1057?\u1053?\u1054? \u1044?\u1045?\u1049?\u1053?\u1054?\u1057?\u1058?\u1048?\u1058?\u1045? \u1053?\u1040? \u1045?\u1042?\u1056?\u1054?\u1055?\u1045?\u1049?\u1057?\u1050?\u1048?\u1071? \u1057?\u1066?\u1070?\u1047? \u1055?\u1054? \u1055?\u1054?\u1051?\u1059?\u1063?\u1040?\u1042?\u1040?\u1053?\u1045? \u1048? \u1054?\u1058?\u1055?\u1059?\u1057?\u1050?\u1040?\u1053?\u1045? \u1053?\u1040? \u1047?\u1040?\u1045?\u1052?\u1048? \u1055?\u1056?\u1045?\u1047? 2016 \u1075?."/>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semiHidden="0" w:uiPriority="0" w:unhideWhenUsed="0" w:qFormat="1"/>
    <w:lsdException w:name="table of figures" w:uiPriority="0"/>
    <w:lsdException w:name="footnote reference"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qFormat/>
    <w:pPr>
      <w:keepNext/>
      <w:numPr>
        <w:numId w:val="22"/>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22"/>
      </w:numPr>
      <w:spacing w:after="240" w:line="240" w:lineRule="auto"/>
      <w:jc w:val="both"/>
      <w:outlineLvl w:val="1"/>
    </w:pPr>
    <w:rPr>
      <w:rFonts w:ascii="Times New Roman" w:eastAsia="Times New Roman" w:hAnsi="Times New Roman"/>
      <w:b/>
      <w:bCs/>
      <w:iCs/>
      <w:noProof/>
      <w:sz w:val="24"/>
      <w:szCs w:val="24"/>
    </w:rPr>
  </w:style>
  <w:style w:type="paragraph" w:styleId="Heading3">
    <w:name w:val="heading 3"/>
    <w:basedOn w:val="Normal"/>
    <w:next w:val="Text1"/>
    <w:link w:val="Heading3Char"/>
    <w:qFormat/>
    <w:pPr>
      <w:keepNext/>
      <w:numPr>
        <w:ilvl w:val="2"/>
        <w:numId w:val="22"/>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qFormat/>
    <w:pPr>
      <w:keepNext/>
      <w:numPr>
        <w:ilvl w:val="3"/>
        <w:numId w:val="22"/>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eastAsia="bg-BG"/>
    </w:rPr>
  </w:style>
  <w:style w:type="character" w:customStyle="1" w:styleId="Heading2Char">
    <w:name w:val="Heading 2 Char"/>
    <w:link w:val="Heading2"/>
    <w:rPr>
      <w:rFonts w:ascii="Times New Roman" w:eastAsia="Times New Roman" w:hAnsi="Times New Roman"/>
      <w:b/>
      <w:bCs/>
      <w:iCs/>
      <w:noProof/>
      <w:sz w:val="24"/>
      <w:szCs w:val="24"/>
      <w:lang w:eastAsia="bg-BG"/>
    </w:rPr>
  </w:style>
  <w:style w:type="character" w:customStyle="1" w:styleId="Heading3Char">
    <w:name w:val="Heading 3 Char"/>
    <w:link w:val="Heading3"/>
    <w:rPr>
      <w:rFonts w:ascii="Times New Roman" w:eastAsia="Times New Roman" w:hAnsi="Times New Roman"/>
      <w:bCs/>
      <w:i/>
      <w:sz w:val="24"/>
      <w:szCs w:val="26"/>
      <w:lang w:eastAsia="bg-BG"/>
    </w:rPr>
  </w:style>
  <w:style w:type="character" w:customStyle="1" w:styleId="Heading4Char">
    <w:name w:val="Heading 4 Char"/>
    <w:link w:val="Heading4"/>
    <w:rPr>
      <w:rFonts w:ascii="Times New Roman" w:eastAsia="Times New Roman" w:hAnsi="Times New Roman"/>
      <w:bCs/>
      <w:sz w:val="24"/>
      <w:szCs w:val="28"/>
      <w:lang w:eastAsia="bg-BG"/>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lang w:eastAsia="en-US" w:bidi="ar-SA"/>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bidi="ar-SA"/>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
    <w:basedOn w:val="Normal"/>
    <w:link w:val="FootnoteTextChar"/>
    <w:uiPriority w:val="99"/>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
    <w:link w:val="FootnoteText"/>
    <w:uiPriority w:val="99"/>
    <w:rPr>
      <w:rFonts w:ascii="Times New Roman" w:eastAsia="Times New Roman" w:hAnsi="Times New Roman"/>
      <w:lang w:eastAsia="bg-BG"/>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lang w:eastAsia="en-US" w:bidi="ar-SA"/>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lang w:eastAsia="en-US" w:bidi="ar-SA"/>
    </w:rPr>
  </w:style>
  <w:style w:type="character" w:styleId="FootnoteReference">
    <w:name w:val="footnote reference"/>
    <w:aliases w:val="BVI fnr"/>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
    <w:name w:val="Marker"/>
    <w:rPr>
      <w:rFonts w:cs="Times New Roman"/>
      <w:color w:val="0000FF"/>
      <w:shd w:val="clear" w:color="auto" w:fill="auto"/>
    </w:rPr>
  </w:style>
  <w:style w:type="character" w:customStyle="1" w:styleId="Marker1">
    <w:name w:val="Marker1"/>
    <w:rPr>
      <w:rFonts w:cs="Times New Roman"/>
      <w:color w:val="008000"/>
      <w:shd w:val="clear" w:color="auto" w:fill="auto"/>
    </w:rPr>
  </w:style>
  <w:style w:type="character" w:customStyle="1" w:styleId="Marker2">
    <w:name w:val="Marker2"/>
    <w:rPr>
      <w:rFonts w:cs="Times New Roman"/>
      <w:color w:val="FF0000"/>
      <w:shd w:val="clear" w:color="auto" w:fill="auto"/>
    </w:rPr>
  </w:style>
  <w:style w:type="paragraph" w:styleId="TOCHeading">
    <w:name w:val="TOC Heading"/>
    <w:basedOn w:val="Normal"/>
    <w:next w:val="Normal"/>
    <w:link w:val="TOCHeadingChar"/>
    <w:uiPriority w:val="3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pPr>
      <w:numPr>
        <w:numId w:val="23"/>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23"/>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23"/>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23"/>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23"/>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23"/>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23"/>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23"/>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23"/>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7"/>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8"/>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9"/>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10"/>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11"/>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pPr>
      <w:numPr>
        <w:numId w:val="12"/>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character" w:customStyle="1" w:styleId="Added">
    <w:name w:val="Added"/>
    <w:rPr>
      <w:rFonts w:cs="Times New Roman"/>
      <w:b/>
      <w:u w:val="single"/>
      <w:shd w:val="clear" w:color="auto" w:fill="auto"/>
    </w:rPr>
  </w:style>
  <w:style w:type="character" w:customStyle="1" w:styleId="Deleted">
    <w:name w:val="Deleted"/>
    <w:rPr>
      <w:rFonts w:cs="Times New Roman"/>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before="120" w:after="12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styleId="ListBullet2">
    <w:name w:val="List Bullet 2"/>
    <w:basedOn w:val="Normal"/>
    <w:pPr>
      <w:numPr>
        <w:numId w:val="14"/>
      </w:numPr>
      <w:spacing w:before="120" w:after="120" w:line="240" w:lineRule="auto"/>
      <w:jc w:val="both"/>
    </w:pPr>
    <w:rPr>
      <w:rFonts w:ascii="Times New Roman" w:eastAsia="Times New Roman" w:hAnsi="Times New Roman"/>
      <w:sz w:val="24"/>
      <w:szCs w:val="24"/>
    </w:rPr>
  </w:style>
  <w:style w:type="paragraph" w:styleId="ListNumber3">
    <w:name w:val="List Number 3"/>
    <w:basedOn w:val="Normal"/>
    <w:pPr>
      <w:numPr>
        <w:numId w:val="13"/>
      </w:numPr>
      <w:spacing w:before="120" w:after="120" w:line="240" w:lineRule="auto"/>
      <w:jc w:val="both"/>
    </w:pPr>
    <w:rPr>
      <w:rFonts w:ascii="Times New Roman" w:eastAsia="Times New Roman" w:hAnsi="Times New Roman"/>
      <w:sz w:val="24"/>
      <w:szCs w:val="24"/>
    </w:rPr>
  </w:style>
  <w:style w:type="paragraph" w:customStyle="1" w:styleId="ListNumber3Level2">
    <w:name w:val="List Number 3 (Level 2)"/>
    <w:basedOn w:val="Text3"/>
    <w:pPr>
      <w:numPr>
        <w:ilvl w:val="1"/>
        <w:numId w:val="13"/>
      </w:numPr>
    </w:pPr>
  </w:style>
  <w:style w:type="paragraph" w:customStyle="1" w:styleId="ListNumber3Level3">
    <w:name w:val="List Number 3 (Level 3)"/>
    <w:basedOn w:val="Text3"/>
    <w:pPr>
      <w:numPr>
        <w:ilvl w:val="2"/>
        <w:numId w:val="13"/>
      </w:numPr>
    </w:pPr>
  </w:style>
  <w:style w:type="paragraph" w:customStyle="1" w:styleId="ListNumber3Level4">
    <w:name w:val="List Number 3 (Level 4)"/>
    <w:basedOn w:val="Text3"/>
    <w:pPr>
      <w:numPr>
        <w:ilvl w:val="3"/>
        <w:numId w:val="13"/>
      </w:numPr>
    </w:p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lang w:eastAsia="bg-BG"/>
    </w:rPr>
  </w:style>
  <w:style w:type="character" w:styleId="Hyperlink">
    <w:name w:val="Hyperlink"/>
    <w:uiPriority w:val="99"/>
    <w:rPr>
      <w:rFonts w:cs="Times New Roman"/>
      <w:color w:val="0000FF"/>
      <w:u w:val="single"/>
      <w:shd w:val="clear" w:color="auto" w:fill="auto"/>
    </w:rPr>
  </w:style>
  <w:style w:type="paragraph" w:styleId="DocumentMap">
    <w:name w:val="Document Map"/>
    <w:basedOn w:val="Normal"/>
    <w:link w:val="DocumentMapChar"/>
    <w:semiHidden/>
    <w:pPr>
      <w:shd w:val="clear" w:color="auto" w:fill="000080"/>
      <w:spacing w:before="120" w:after="120" w:line="240" w:lineRule="auto"/>
      <w:jc w:val="both"/>
    </w:pPr>
    <w:rPr>
      <w:rFonts w:ascii="Tahoma" w:eastAsia="Times New Roman" w:hAnsi="Tahoma" w:cs="Tahoma"/>
      <w:sz w:val="20"/>
      <w:szCs w:val="20"/>
    </w:rPr>
  </w:style>
  <w:style w:type="character" w:customStyle="1" w:styleId="DocumentMapChar">
    <w:name w:val="Document Map Char"/>
    <w:link w:val="DocumentMap"/>
    <w:semiHidden/>
    <w:rPr>
      <w:rFonts w:ascii="Tahoma" w:eastAsia="Times New Roman" w:hAnsi="Tahoma" w:cs="Tahoma"/>
      <w:shd w:val="clear" w:color="auto" w:fill="000080"/>
      <w:lang w:eastAsia="bg-BG"/>
    </w:rPr>
  </w:style>
  <w:style w:type="table" w:styleId="TableGrid">
    <w:name w:val="Table Grid"/>
    <w:basedOn w:val="TableNormal"/>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
    <w:name w:val="List Number"/>
    <w:basedOn w:val="Normal"/>
    <w:pPr>
      <w:numPr>
        <w:numId w:val="20"/>
      </w:numPr>
      <w:spacing w:before="120" w:after="120" w:line="240" w:lineRule="auto"/>
      <w:jc w:val="both"/>
    </w:pPr>
    <w:rPr>
      <w:rFonts w:ascii="Times New Roman" w:eastAsia="Times New Roman" w:hAnsi="Times New Roman"/>
      <w:sz w:val="24"/>
      <w:szCs w:val="24"/>
    </w:rPr>
  </w:style>
  <w:style w:type="paragraph" w:styleId="ListNumber2">
    <w:name w:val="List Number 2"/>
    <w:basedOn w:val="Normal"/>
    <w:pPr>
      <w:numPr>
        <w:numId w:val="15"/>
      </w:numPr>
      <w:spacing w:before="120" w:after="120" w:line="240" w:lineRule="auto"/>
      <w:jc w:val="both"/>
    </w:pPr>
    <w:rPr>
      <w:rFonts w:ascii="Times New Roman" w:eastAsia="Times New Roman" w:hAnsi="Times New Roman"/>
      <w:sz w:val="24"/>
      <w:szCs w:val="24"/>
    </w:rPr>
  </w:style>
  <w:style w:type="paragraph" w:styleId="ListNumber4">
    <w:name w:val="List Number 4"/>
    <w:basedOn w:val="Normal"/>
    <w:pPr>
      <w:numPr>
        <w:numId w:val="16"/>
      </w:numPr>
      <w:spacing w:before="120" w:after="120" w:line="240" w:lineRule="auto"/>
      <w:jc w:val="both"/>
    </w:pPr>
    <w:rPr>
      <w:rFonts w:ascii="Times New Roman" w:eastAsia="Times New Roman" w:hAnsi="Times New Roman"/>
      <w:sz w:val="24"/>
      <w:szCs w:val="24"/>
    </w:rPr>
  </w:style>
  <w:style w:type="paragraph" w:styleId="ListBullet">
    <w:name w:val="List Bullet"/>
    <w:basedOn w:val="Normal"/>
    <w:pPr>
      <w:numPr>
        <w:numId w:val="17"/>
      </w:numPr>
      <w:spacing w:before="120" w:after="120" w:line="240" w:lineRule="auto"/>
      <w:jc w:val="both"/>
    </w:pPr>
    <w:rPr>
      <w:rFonts w:ascii="Times New Roman" w:eastAsia="Times New Roman" w:hAnsi="Times New Roman"/>
      <w:sz w:val="24"/>
      <w:szCs w:val="24"/>
    </w:rPr>
  </w:style>
  <w:style w:type="paragraph" w:styleId="ListBullet3">
    <w:name w:val="List Bullet 3"/>
    <w:basedOn w:val="Normal"/>
    <w:pPr>
      <w:numPr>
        <w:numId w:val="18"/>
      </w:numPr>
      <w:spacing w:before="120" w:after="120" w:line="240" w:lineRule="auto"/>
      <w:jc w:val="both"/>
    </w:pPr>
    <w:rPr>
      <w:rFonts w:ascii="Times New Roman" w:eastAsia="Times New Roman" w:hAnsi="Times New Roman"/>
      <w:sz w:val="24"/>
      <w:szCs w:val="24"/>
    </w:rPr>
  </w:style>
  <w:style w:type="paragraph" w:styleId="ListBullet4">
    <w:name w:val="List Bullet 4"/>
    <w:basedOn w:val="Normal"/>
    <w:pPr>
      <w:numPr>
        <w:numId w:val="19"/>
      </w:numPr>
      <w:spacing w:before="120" w:after="120" w:line="240" w:lineRule="auto"/>
      <w:jc w:val="both"/>
    </w:pPr>
    <w:rPr>
      <w:rFonts w:ascii="Times New Roman" w:eastAsia="Times New Roman" w:hAnsi="Times New Roman"/>
      <w:sz w:val="24"/>
      <w:szCs w:val="24"/>
    </w:rPr>
  </w:style>
  <w:style w:type="character" w:styleId="CommentReference">
    <w:name w:val="annotation reference"/>
    <w:semiHidden/>
    <w:rPr>
      <w:rFonts w:cs="Times New Roman"/>
      <w:sz w:val="16"/>
      <w:szCs w:val="16"/>
      <w:shd w:val="clear" w:color="auto" w:fill="auto"/>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uiPriority w:val="99"/>
    <w:rPr>
      <w:rFonts w:ascii="Times New Roman" w:eastAsia="Times New Roman" w:hAnsi="Times New Roman"/>
      <w:lang w:eastAsia="bg-BG"/>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rFonts w:ascii="Times New Roman" w:eastAsia="Times New Roman" w:hAnsi="Times New Roman"/>
      <w:b/>
      <w:bCs/>
      <w:lang w:eastAsia="bg-BG"/>
    </w:r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sz w:val="24"/>
      <w:szCs w:val="24"/>
    </w:rPr>
  </w:style>
  <w:style w:type="paragraph" w:customStyle="1" w:styleId="a3520normal">
    <w:name w:val="a___35__20_normal"/>
    <w:basedOn w:val="Normal"/>
    <w:pPr>
      <w:spacing w:after="120" w:line="240" w:lineRule="auto"/>
      <w:jc w:val="both"/>
    </w:pPr>
    <w:rPr>
      <w:rFonts w:ascii="Times New Roman" w:eastAsia="Times New Roman" w:hAnsi="Times New Roman"/>
      <w:sz w:val="24"/>
      <w:szCs w:val="24"/>
    </w:rPr>
  </w:style>
  <w:style w:type="paragraph" w:customStyle="1" w:styleId="ListNumberLevel2">
    <w:name w:val="List Number (Level 2)"/>
    <w:basedOn w:val="Normal"/>
    <w:pPr>
      <w:numPr>
        <w:ilvl w:val="1"/>
        <w:numId w:val="20"/>
      </w:numPr>
      <w:spacing w:before="120" w:after="120" w:line="240" w:lineRule="auto"/>
      <w:jc w:val="both"/>
    </w:pPr>
    <w:rPr>
      <w:rFonts w:ascii="Times New Roman" w:eastAsia="Times New Roman" w:hAnsi="Times New Roman"/>
      <w:sz w:val="24"/>
      <w:szCs w:val="24"/>
    </w:rPr>
  </w:style>
  <w:style w:type="paragraph" w:customStyle="1" w:styleId="ListDash">
    <w:name w:val="List Dash"/>
    <w:basedOn w:val="Normal"/>
    <w:pPr>
      <w:numPr>
        <w:numId w:val="21"/>
      </w:numPr>
      <w:spacing w:before="120" w:after="120" w:line="240" w:lineRule="auto"/>
      <w:jc w:val="both"/>
    </w:pPr>
    <w:rPr>
      <w:rFonts w:ascii="Times New Roman" w:eastAsia="Times New Roman" w:hAnsi="Times New Roman"/>
      <w:sz w:val="24"/>
      <w:szCs w:val="24"/>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customStyle="1" w:styleId="Text">
    <w:name w:val="Text"/>
    <w:basedOn w:val="Normal"/>
    <w:pPr>
      <w:spacing w:after="240" w:line="240" w:lineRule="auto"/>
      <w:jc w:val="both"/>
    </w:pPr>
    <w:rPr>
      <w:rFonts w:ascii="Times New Roman" w:eastAsia="Times New Roman" w:hAnsi="Times New Roman"/>
      <w:sz w:val="24"/>
      <w:szCs w:val="24"/>
    </w:rPr>
  </w:style>
  <w:style w:type="paragraph" w:customStyle="1" w:styleId="H3">
    <w:name w:val="H3"/>
    <w:basedOn w:val="Normal"/>
    <w:next w:val="Normal"/>
    <w:pPr>
      <w:keepNext/>
      <w:autoSpaceDE w:val="0"/>
      <w:autoSpaceDN w:val="0"/>
      <w:adjustRightInd w:val="0"/>
      <w:spacing w:before="100" w:after="100" w:line="240" w:lineRule="auto"/>
      <w:outlineLvl w:val="3"/>
    </w:pPr>
    <w:rPr>
      <w:rFonts w:ascii="Times New Roman" w:eastAsia="Times New Roman" w:hAnsi="Times New Roman"/>
      <w:b/>
      <w:bCs/>
      <w:sz w:val="28"/>
      <w:szCs w:val="28"/>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qFormat/>
    <w:rPr>
      <w:i/>
      <w:iC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OCHeadingChar">
    <w:name w:val="TOC Heading Char"/>
    <w:link w:val="TOCHeading"/>
    <w:rPr>
      <w:rFonts w:ascii="Times New Roman" w:eastAsia="Times New Roman" w:hAnsi="Times New Roman"/>
      <w:b/>
      <w:sz w:val="28"/>
      <w:szCs w:val="24"/>
      <w:lang w:eastAsia="bg-BG"/>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Revision">
    <w:name w:val="Revision"/>
    <w:hidden/>
    <w:uiPriority w:val="99"/>
    <w:semiHidden/>
    <w:rPr>
      <w:sz w:val="22"/>
      <w:szCs w:val="22"/>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bg-BG"/>
    </w:rPr>
  </w:style>
  <w:style w:type="character" w:styleId="EndnoteReference">
    <w:name w:val="endnote reference"/>
    <w:uiPriority w:val="99"/>
    <w:semiHidden/>
    <w:unhideWhenUsed/>
    <w:rPr>
      <w:vertAlign w:val="superscript"/>
    </w:rPr>
  </w:style>
  <w:style w:type="character" w:styleId="Strong">
    <w:name w:val="Strong"/>
    <w:uiPriority w:val="22"/>
    <w:qFormat/>
    <w:rPr>
      <w:b/>
      <w:bCs/>
      <w:shd w:val="clear" w:color="auto" w:fill="auto"/>
    </w:rPr>
  </w:style>
  <w:style w:type="character" w:customStyle="1" w:styleId="reference-text">
    <w:name w:val="reference-text"/>
    <w:basedOn w:val="DefaultParagraphFont"/>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semiHidden="0" w:uiPriority="0" w:unhideWhenUsed="0" w:qFormat="1"/>
    <w:lsdException w:name="table of figures" w:uiPriority="0"/>
    <w:lsdException w:name="footnote reference"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qFormat/>
    <w:pPr>
      <w:keepNext/>
      <w:numPr>
        <w:numId w:val="22"/>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22"/>
      </w:numPr>
      <w:spacing w:after="240" w:line="240" w:lineRule="auto"/>
      <w:jc w:val="both"/>
      <w:outlineLvl w:val="1"/>
    </w:pPr>
    <w:rPr>
      <w:rFonts w:ascii="Times New Roman" w:eastAsia="Times New Roman" w:hAnsi="Times New Roman"/>
      <w:b/>
      <w:bCs/>
      <w:iCs/>
      <w:noProof/>
      <w:sz w:val="24"/>
      <w:szCs w:val="24"/>
    </w:rPr>
  </w:style>
  <w:style w:type="paragraph" w:styleId="Heading3">
    <w:name w:val="heading 3"/>
    <w:basedOn w:val="Normal"/>
    <w:next w:val="Text1"/>
    <w:link w:val="Heading3Char"/>
    <w:qFormat/>
    <w:pPr>
      <w:keepNext/>
      <w:numPr>
        <w:ilvl w:val="2"/>
        <w:numId w:val="22"/>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qFormat/>
    <w:pPr>
      <w:keepNext/>
      <w:numPr>
        <w:ilvl w:val="3"/>
        <w:numId w:val="22"/>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eastAsia="bg-BG"/>
    </w:rPr>
  </w:style>
  <w:style w:type="character" w:customStyle="1" w:styleId="Heading2Char">
    <w:name w:val="Heading 2 Char"/>
    <w:link w:val="Heading2"/>
    <w:rPr>
      <w:rFonts w:ascii="Times New Roman" w:eastAsia="Times New Roman" w:hAnsi="Times New Roman"/>
      <w:b/>
      <w:bCs/>
      <w:iCs/>
      <w:noProof/>
      <w:sz w:val="24"/>
      <w:szCs w:val="24"/>
      <w:lang w:eastAsia="bg-BG"/>
    </w:rPr>
  </w:style>
  <w:style w:type="character" w:customStyle="1" w:styleId="Heading3Char">
    <w:name w:val="Heading 3 Char"/>
    <w:link w:val="Heading3"/>
    <w:rPr>
      <w:rFonts w:ascii="Times New Roman" w:eastAsia="Times New Roman" w:hAnsi="Times New Roman"/>
      <w:bCs/>
      <w:i/>
      <w:sz w:val="24"/>
      <w:szCs w:val="26"/>
      <w:lang w:eastAsia="bg-BG"/>
    </w:rPr>
  </w:style>
  <w:style w:type="character" w:customStyle="1" w:styleId="Heading4Char">
    <w:name w:val="Heading 4 Char"/>
    <w:link w:val="Heading4"/>
    <w:rPr>
      <w:rFonts w:ascii="Times New Roman" w:eastAsia="Times New Roman" w:hAnsi="Times New Roman"/>
      <w:bCs/>
      <w:sz w:val="24"/>
      <w:szCs w:val="28"/>
      <w:lang w:eastAsia="bg-BG"/>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lang w:eastAsia="en-US" w:bidi="ar-SA"/>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bidi="ar-SA"/>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
    <w:basedOn w:val="Normal"/>
    <w:link w:val="FootnoteTextChar"/>
    <w:uiPriority w:val="99"/>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
    <w:link w:val="FootnoteText"/>
    <w:uiPriority w:val="99"/>
    <w:rPr>
      <w:rFonts w:ascii="Times New Roman" w:eastAsia="Times New Roman" w:hAnsi="Times New Roman"/>
      <w:lang w:eastAsia="bg-BG"/>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lang w:eastAsia="en-US" w:bidi="ar-SA"/>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lang w:eastAsia="en-US" w:bidi="ar-SA"/>
    </w:rPr>
  </w:style>
  <w:style w:type="character" w:styleId="FootnoteReference">
    <w:name w:val="footnote reference"/>
    <w:aliases w:val="BVI fnr"/>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
    <w:name w:val="Marker"/>
    <w:rPr>
      <w:rFonts w:cs="Times New Roman"/>
      <w:color w:val="0000FF"/>
      <w:shd w:val="clear" w:color="auto" w:fill="auto"/>
    </w:rPr>
  </w:style>
  <w:style w:type="character" w:customStyle="1" w:styleId="Marker1">
    <w:name w:val="Marker1"/>
    <w:rPr>
      <w:rFonts w:cs="Times New Roman"/>
      <w:color w:val="008000"/>
      <w:shd w:val="clear" w:color="auto" w:fill="auto"/>
    </w:rPr>
  </w:style>
  <w:style w:type="character" w:customStyle="1" w:styleId="Marker2">
    <w:name w:val="Marker2"/>
    <w:rPr>
      <w:rFonts w:cs="Times New Roman"/>
      <w:color w:val="FF0000"/>
      <w:shd w:val="clear" w:color="auto" w:fill="auto"/>
    </w:rPr>
  </w:style>
  <w:style w:type="paragraph" w:styleId="TOCHeading">
    <w:name w:val="TOC Heading"/>
    <w:basedOn w:val="Normal"/>
    <w:next w:val="Normal"/>
    <w:link w:val="TOCHeadingChar"/>
    <w:uiPriority w:val="3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pPr>
      <w:numPr>
        <w:numId w:val="23"/>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23"/>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23"/>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23"/>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23"/>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23"/>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23"/>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23"/>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23"/>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7"/>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8"/>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9"/>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10"/>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11"/>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pPr>
      <w:numPr>
        <w:numId w:val="12"/>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character" w:customStyle="1" w:styleId="Added">
    <w:name w:val="Added"/>
    <w:rPr>
      <w:rFonts w:cs="Times New Roman"/>
      <w:b/>
      <w:u w:val="single"/>
      <w:shd w:val="clear" w:color="auto" w:fill="auto"/>
    </w:rPr>
  </w:style>
  <w:style w:type="character" w:customStyle="1" w:styleId="Deleted">
    <w:name w:val="Deleted"/>
    <w:rPr>
      <w:rFonts w:cs="Times New Roman"/>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before="120" w:after="12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styleId="ListBullet2">
    <w:name w:val="List Bullet 2"/>
    <w:basedOn w:val="Normal"/>
    <w:pPr>
      <w:numPr>
        <w:numId w:val="14"/>
      </w:numPr>
      <w:spacing w:before="120" w:after="120" w:line="240" w:lineRule="auto"/>
      <w:jc w:val="both"/>
    </w:pPr>
    <w:rPr>
      <w:rFonts w:ascii="Times New Roman" w:eastAsia="Times New Roman" w:hAnsi="Times New Roman"/>
      <w:sz w:val="24"/>
      <w:szCs w:val="24"/>
    </w:rPr>
  </w:style>
  <w:style w:type="paragraph" w:styleId="ListNumber3">
    <w:name w:val="List Number 3"/>
    <w:basedOn w:val="Normal"/>
    <w:pPr>
      <w:numPr>
        <w:numId w:val="13"/>
      </w:numPr>
      <w:spacing w:before="120" w:after="120" w:line="240" w:lineRule="auto"/>
      <w:jc w:val="both"/>
    </w:pPr>
    <w:rPr>
      <w:rFonts w:ascii="Times New Roman" w:eastAsia="Times New Roman" w:hAnsi="Times New Roman"/>
      <w:sz w:val="24"/>
      <w:szCs w:val="24"/>
    </w:rPr>
  </w:style>
  <w:style w:type="paragraph" w:customStyle="1" w:styleId="ListNumber3Level2">
    <w:name w:val="List Number 3 (Level 2)"/>
    <w:basedOn w:val="Text3"/>
    <w:pPr>
      <w:numPr>
        <w:ilvl w:val="1"/>
        <w:numId w:val="13"/>
      </w:numPr>
    </w:pPr>
  </w:style>
  <w:style w:type="paragraph" w:customStyle="1" w:styleId="ListNumber3Level3">
    <w:name w:val="List Number 3 (Level 3)"/>
    <w:basedOn w:val="Text3"/>
    <w:pPr>
      <w:numPr>
        <w:ilvl w:val="2"/>
        <w:numId w:val="13"/>
      </w:numPr>
    </w:pPr>
  </w:style>
  <w:style w:type="paragraph" w:customStyle="1" w:styleId="ListNumber3Level4">
    <w:name w:val="List Number 3 (Level 4)"/>
    <w:basedOn w:val="Text3"/>
    <w:pPr>
      <w:numPr>
        <w:ilvl w:val="3"/>
        <w:numId w:val="13"/>
      </w:numPr>
    </w:p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lang w:eastAsia="bg-BG"/>
    </w:rPr>
  </w:style>
  <w:style w:type="character" w:styleId="Hyperlink">
    <w:name w:val="Hyperlink"/>
    <w:uiPriority w:val="99"/>
    <w:rPr>
      <w:rFonts w:cs="Times New Roman"/>
      <w:color w:val="0000FF"/>
      <w:u w:val="single"/>
      <w:shd w:val="clear" w:color="auto" w:fill="auto"/>
    </w:rPr>
  </w:style>
  <w:style w:type="paragraph" w:styleId="DocumentMap">
    <w:name w:val="Document Map"/>
    <w:basedOn w:val="Normal"/>
    <w:link w:val="DocumentMapChar"/>
    <w:semiHidden/>
    <w:pPr>
      <w:shd w:val="clear" w:color="auto" w:fill="000080"/>
      <w:spacing w:before="120" w:after="120" w:line="240" w:lineRule="auto"/>
      <w:jc w:val="both"/>
    </w:pPr>
    <w:rPr>
      <w:rFonts w:ascii="Tahoma" w:eastAsia="Times New Roman" w:hAnsi="Tahoma" w:cs="Tahoma"/>
      <w:sz w:val="20"/>
      <w:szCs w:val="20"/>
    </w:rPr>
  </w:style>
  <w:style w:type="character" w:customStyle="1" w:styleId="DocumentMapChar">
    <w:name w:val="Document Map Char"/>
    <w:link w:val="DocumentMap"/>
    <w:semiHidden/>
    <w:rPr>
      <w:rFonts w:ascii="Tahoma" w:eastAsia="Times New Roman" w:hAnsi="Tahoma" w:cs="Tahoma"/>
      <w:shd w:val="clear" w:color="auto" w:fill="000080"/>
      <w:lang w:eastAsia="bg-BG"/>
    </w:rPr>
  </w:style>
  <w:style w:type="table" w:styleId="TableGrid">
    <w:name w:val="Table Grid"/>
    <w:basedOn w:val="TableNormal"/>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
    <w:name w:val="List Number"/>
    <w:basedOn w:val="Normal"/>
    <w:pPr>
      <w:numPr>
        <w:numId w:val="20"/>
      </w:numPr>
      <w:spacing w:before="120" w:after="120" w:line="240" w:lineRule="auto"/>
      <w:jc w:val="both"/>
    </w:pPr>
    <w:rPr>
      <w:rFonts w:ascii="Times New Roman" w:eastAsia="Times New Roman" w:hAnsi="Times New Roman"/>
      <w:sz w:val="24"/>
      <w:szCs w:val="24"/>
    </w:rPr>
  </w:style>
  <w:style w:type="paragraph" w:styleId="ListNumber2">
    <w:name w:val="List Number 2"/>
    <w:basedOn w:val="Normal"/>
    <w:pPr>
      <w:numPr>
        <w:numId w:val="15"/>
      </w:numPr>
      <w:spacing w:before="120" w:after="120" w:line="240" w:lineRule="auto"/>
      <w:jc w:val="both"/>
    </w:pPr>
    <w:rPr>
      <w:rFonts w:ascii="Times New Roman" w:eastAsia="Times New Roman" w:hAnsi="Times New Roman"/>
      <w:sz w:val="24"/>
      <w:szCs w:val="24"/>
    </w:rPr>
  </w:style>
  <w:style w:type="paragraph" w:styleId="ListNumber4">
    <w:name w:val="List Number 4"/>
    <w:basedOn w:val="Normal"/>
    <w:pPr>
      <w:numPr>
        <w:numId w:val="16"/>
      </w:numPr>
      <w:spacing w:before="120" w:after="120" w:line="240" w:lineRule="auto"/>
      <w:jc w:val="both"/>
    </w:pPr>
    <w:rPr>
      <w:rFonts w:ascii="Times New Roman" w:eastAsia="Times New Roman" w:hAnsi="Times New Roman"/>
      <w:sz w:val="24"/>
      <w:szCs w:val="24"/>
    </w:rPr>
  </w:style>
  <w:style w:type="paragraph" w:styleId="ListBullet">
    <w:name w:val="List Bullet"/>
    <w:basedOn w:val="Normal"/>
    <w:pPr>
      <w:numPr>
        <w:numId w:val="17"/>
      </w:numPr>
      <w:spacing w:before="120" w:after="120" w:line="240" w:lineRule="auto"/>
      <w:jc w:val="both"/>
    </w:pPr>
    <w:rPr>
      <w:rFonts w:ascii="Times New Roman" w:eastAsia="Times New Roman" w:hAnsi="Times New Roman"/>
      <w:sz w:val="24"/>
      <w:szCs w:val="24"/>
    </w:rPr>
  </w:style>
  <w:style w:type="paragraph" w:styleId="ListBullet3">
    <w:name w:val="List Bullet 3"/>
    <w:basedOn w:val="Normal"/>
    <w:pPr>
      <w:numPr>
        <w:numId w:val="18"/>
      </w:numPr>
      <w:spacing w:before="120" w:after="120" w:line="240" w:lineRule="auto"/>
      <w:jc w:val="both"/>
    </w:pPr>
    <w:rPr>
      <w:rFonts w:ascii="Times New Roman" w:eastAsia="Times New Roman" w:hAnsi="Times New Roman"/>
      <w:sz w:val="24"/>
      <w:szCs w:val="24"/>
    </w:rPr>
  </w:style>
  <w:style w:type="paragraph" w:styleId="ListBullet4">
    <w:name w:val="List Bullet 4"/>
    <w:basedOn w:val="Normal"/>
    <w:pPr>
      <w:numPr>
        <w:numId w:val="19"/>
      </w:numPr>
      <w:spacing w:before="120" w:after="120" w:line="240" w:lineRule="auto"/>
      <w:jc w:val="both"/>
    </w:pPr>
    <w:rPr>
      <w:rFonts w:ascii="Times New Roman" w:eastAsia="Times New Roman" w:hAnsi="Times New Roman"/>
      <w:sz w:val="24"/>
      <w:szCs w:val="24"/>
    </w:rPr>
  </w:style>
  <w:style w:type="character" w:styleId="CommentReference">
    <w:name w:val="annotation reference"/>
    <w:semiHidden/>
    <w:rPr>
      <w:rFonts w:cs="Times New Roman"/>
      <w:sz w:val="16"/>
      <w:szCs w:val="16"/>
      <w:shd w:val="clear" w:color="auto" w:fill="auto"/>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uiPriority w:val="99"/>
    <w:rPr>
      <w:rFonts w:ascii="Times New Roman" w:eastAsia="Times New Roman" w:hAnsi="Times New Roman"/>
      <w:lang w:eastAsia="bg-BG"/>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rFonts w:ascii="Times New Roman" w:eastAsia="Times New Roman" w:hAnsi="Times New Roman"/>
      <w:b/>
      <w:bCs/>
      <w:lang w:eastAsia="bg-BG"/>
    </w:r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sz w:val="24"/>
      <w:szCs w:val="24"/>
    </w:rPr>
  </w:style>
  <w:style w:type="paragraph" w:customStyle="1" w:styleId="a3520normal">
    <w:name w:val="a___35__20_normal"/>
    <w:basedOn w:val="Normal"/>
    <w:pPr>
      <w:spacing w:after="120" w:line="240" w:lineRule="auto"/>
      <w:jc w:val="both"/>
    </w:pPr>
    <w:rPr>
      <w:rFonts w:ascii="Times New Roman" w:eastAsia="Times New Roman" w:hAnsi="Times New Roman"/>
      <w:sz w:val="24"/>
      <w:szCs w:val="24"/>
    </w:rPr>
  </w:style>
  <w:style w:type="paragraph" w:customStyle="1" w:styleId="ListNumberLevel2">
    <w:name w:val="List Number (Level 2)"/>
    <w:basedOn w:val="Normal"/>
    <w:pPr>
      <w:numPr>
        <w:ilvl w:val="1"/>
        <w:numId w:val="20"/>
      </w:numPr>
      <w:spacing w:before="120" w:after="120" w:line="240" w:lineRule="auto"/>
      <w:jc w:val="both"/>
    </w:pPr>
    <w:rPr>
      <w:rFonts w:ascii="Times New Roman" w:eastAsia="Times New Roman" w:hAnsi="Times New Roman"/>
      <w:sz w:val="24"/>
      <w:szCs w:val="24"/>
    </w:rPr>
  </w:style>
  <w:style w:type="paragraph" w:customStyle="1" w:styleId="ListDash">
    <w:name w:val="List Dash"/>
    <w:basedOn w:val="Normal"/>
    <w:pPr>
      <w:numPr>
        <w:numId w:val="21"/>
      </w:numPr>
      <w:spacing w:before="120" w:after="120" w:line="240" w:lineRule="auto"/>
      <w:jc w:val="both"/>
    </w:pPr>
    <w:rPr>
      <w:rFonts w:ascii="Times New Roman" w:eastAsia="Times New Roman" w:hAnsi="Times New Roman"/>
      <w:sz w:val="24"/>
      <w:szCs w:val="24"/>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customStyle="1" w:styleId="Text">
    <w:name w:val="Text"/>
    <w:basedOn w:val="Normal"/>
    <w:pPr>
      <w:spacing w:after="240" w:line="240" w:lineRule="auto"/>
      <w:jc w:val="both"/>
    </w:pPr>
    <w:rPr>
      <w:rFonts w:ascii="Times New Roman" w:eastAsia="Times New Roman" w:hAnsi="Times New Roman"/>
      <w:sz w:val="24"/>
      <w:szCs w:val="24"/>
    </w:rPr>
  </w:style>
  <w:style w:type="paragraph" w:customStyle="1" w:styleId="H3">
    <w:name w:val="H3"/>
    <w:basedOn w:val="Normal"/>
    <w:next w:val="Normal"/>
    <w:pPr>
      <w:keepNext/>
      <w:autoSpaceDE w:val="0"/>
      <w:autoSpaceDN w:val="0"/>
      <w:adjustRightInd w:val="0"/>
      <w:spacing w:before="100" w:after="100" w:line="240" w:lineRule="auto"/>
      <w:outlineLvl w:val="3"/>
    </w:pPr>
    <w:rPr>
      <w:rFonts w:ascii="Times New Roman" w:eastAsia="Times New Roman" w:hAnsi="Times New Roman"/>
      <w:b/>
      <w:bCs/>
      <w:sz w:val="28"/>
      <w:szCs w:val="28"/>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qFormat/>
    <w:rPr>
      <w:i/>
      <w:iC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OCHeadingChar">
    <w:name w:val="TOC Heading Char"/>
    <w:link w:val="TOCHeading"/>
    <w:rPr>
      <w:rFonts w:ascii="Times New Roman" w:eastAsia="Times New Roman" w:hAnsi="Times New Roman"/>
      <w:b/>
      <w:sz w:val="28"/>
      <w:szCs w:val="24"/>
      <w:lang w:eastAsia="bg-BG"/>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Revision">
    <w:name w:val="Revision"/>
    <w:hidden/>
    <w:uiPriority w:val="99"/>
    <w:semiHidden/>
    <w:rPr>
      <w:sz w:val="22"/>
      <w:szCs w:val="22"/>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bg-BG"/>
    </w:rPr>
  </w:style>
  <w:style w:type="character" w:styleId="EndnoteReference">
    <w:name w:val="endnote reference"/>
    <w:uiPriority w:val="99"/>
    <w:semiHidden/>
    <w:unhideWhenUsed/>
    <w:rPr>
      <w:vertAlign w:val="superscript"/>
    </w:rPr>
  </w:style>
  <w:style w:type="character" w:styleId="Strong">
    <w:name w:val="Strong"/>
    <w:uiPriority w:val="22"/>
    <w:qFormat/>
    <w:rPr>
      <w:b/>
      <w:bCs/>
      <w:shd w:val="clear" w:color="auto" w:fill="auto"/>
    </w:rPr>
  </w:style>
  <w:style w:type="character" w:customStyle="1" w:styleId="reference-text">
    <w:name w:val="reference-text"/>
    <w:basedOn w:val="DefaultParagraphFont"/>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1808">
      <w:bodyDiv w:val="1"/>
      <w:marLeft w:val="0"/>
      <w:marRight w:val="0"/>
      <w:marTop w:val="0"/>
      <w:marBottom w:val="0"/>
      <w:divBdr>
        <w:top w:val="none" w:sz="0" w:space="0" w:color="auto"/>
        <w:left w:val="none" w:sz="0" w:space="0" w:color="auto"/>
        <w:bottom w:val="none" w:sz="0" w:space="0" w:color="auto"/>
        <w:right w:val="none" w:sz="0" w:space="0" w:color="auto"/>
      </w:divBdr>
    </w:div>
    <w:div w:id="159778159">
      <w:bodyDiv w:val="1"/>
      <w:marLeft w:val="0"/>
      <w:marRight w:val="0"/>
      <w:marTop w:val="0"/>
      <w:marBottom w:val="0"/>
      <w:divBdr>
        <w:top w:val="none" w:sz="0" w:space="0" w:color="auto"/>
        <w:left w:val="none" w:sz="0" w:space="0" w:color="auto"/>
        <w:bottom w:val="none" w:sz="0" w:space="0" w:color="auto"/>
        <w:right w:val="none" w:sz="0" w:space="0" w:color="auto"/>
      </w:divBdr>
      <w:divsChild>
        <w:div w:id="1407992964">
          <w:marLeft w:val="0"/>
          <w:marRight w:val="0"/>
          <w:marTop w:val="0"/>
          <w:marBottom w:val="0"/>
          <w:divBdr>
            <w:top w:val="none" w:sz="0" w:space="0" w:color="auto"/>
            <w:left w:val="none" w:sz="0" w:space="0" w:color="auto"/>
            <w:bottom w:val="none" w:sz="0" w:space="0" w:color="auto"/>
            <w:right w:val="none" w:sz="0" w:space="0" w:color="auto"/>
          </w:divBdr>
          <w:divsChild>
            <w:div w:id="833452650">
              <w:marLeft w:val="0"/>
              <w:marRight w:val="0"/>
              <w:marTop w:val="0"/>
              <w:marBottom w:val="0"/>
              <w:divBdr>
                <w:top w:val="none" w:sz="0" w:space="0" w:color="auto"/>
                <w:left w:val="none" w:sz="0" w:space="0" w:color="auto"/>
                <w:bottom w:val="none" w:sz="0" w:space="0" w:color="auto"/>
                <w:right w:val="none" w:sz="0" w:space="0" w:color="auto"/>
              </w:divBdr>
              <w:divsChild>
                <w:div w:id="40680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85188">
      <w:bodyDiv w:val="1"/>
      <w:marLeft w:val="0"/>
      <w:marRight w:val="0"/>
      <w:marTop w:val="0"/>
      <w:marBottom w:val="0"/>
      <w:divBdr>
        <w:top w:val="none" w:sz="0" w:space="0" w:color="auto"/>
        <w:left w:val="none" w:sz="0" w:space="0" w:color="auto"/>
        <w:bottom w:val="none" w:sz="0" w:space="0" w:color="auto"/>
        <w:right w:val="none" w:sz="0" w:space="0" w:color="auto"/>
      </w:divBdr>
    </w:div>
    <w:div w:id="343946674">
      <w:bodyDiv w:val="1"/>
      <w:marLeft w:val="0"/>
      <w:marRight w:val="0"/>
      <w:marTop w:val="0"/>
      <w:marBottom w:val="0"/>
      <w:divBdr>
        <w:top w:val="none" w:sz="0" w:space="0" w:color="auto"/>
        <w:left w:val="none" w:sz="0" w:space="0" w:color="auto"/>
        <w:bottom w:val="none" w:sz="0" w:space="0" w:color="auto"/>
        <w:right w:val="none" w:sz="0" w:space="0" w:color="auto"/>
      </w:divBdr>
      <w:divsChild>
        <w:div w:id="911500446">
          <w:marLeft w:val="0"/>
          <w:marRight w:val="0"/>
          <w:marTop w:val="0"/>
          <w:marBottom w:val="0"/>
          <w:divBdr>
            <w:top w:val="none" w:sz="0" w:space="0" w:color="auto"/>
            <w:left w:val="none" w:sz="0" w:space="0" w:color="auto"/>
            <w:bottom w:val="none" w:sz="0" w:space="0" w:color="auto"/>
            <w:right w:val="none" w:sz="0" w:space="0" w:color="auto"/>
          </w:divBdr>
          <w:divsChild>
            <w:div w:id="2054226702">
              <w:marLeft w:val="0"/>
              <w:marRight w:val="0"/>
              <w:marTop w:val="0"/>
              <w:marBottom w:val="0"/>
              <w:divBdr>
                <w:top w:val="none" w:sz="0" w:space="0" w:color="auto"/>
                <w:left w:val="none" w:sz="0" w:space="0" w:color="auto"/>
                <w:bottom w:val="none" w:sz="0" w:space="0" w:color="auto"/>
                <w:right w:val="none" w:sz="0" w:space="0" w:color="auto"/>
              </w:divBdr>
              <w:divsChild>
                <w:div w:id="938484438">
                  <w:marLeft w:val="0"/>
                  <w:marRight w:val="0"/>
                  <w:marTop w:val="0"/>
                  <w:marBottom w:val="0"/>
                  <w:divBdr>
                    <w:top w:val="none" w:sz="0" w:space="0" w:color="auto"/>
                    <w:left w:val="none" w:sz="0" w:space="0" w:color="auto"/>
                    <w:bottom w:val="none" w:sz="0" w:space="0" w:color="auto"/>
                    <w:right w:val="none" w:sz="0" w:space="0" w:color="auto"/>
                  </w:divBdr>
                  <w:divsChild>
                    <w:div w:id="7730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63042">
      <w:bodyDiv w:val="1"/>
      <w:marLeft w:val="0"/>
      <w:marRight w:val="0"/>
      <w:marTop w:val="0"/>
      <w:marBottom w:val="0"/>
      <w:divBdr>
        <w:top w:val="none" w:sz="0" w:space="0" w:color="auto"/>
        <w:left w:val="none" w:sz="0" w:space="0" w:color="auto"/>
        <w:bottom w:val="none" w:sz="0" w:space="0" w:color="auto"/>
        <w:right w:val="none" w:sz="0" w:space="0" w:color="auto"/>
      </w:divBdr>
      <w:divsChild>
        <w:div w:id="894968088">
          <w:marLeft w:val="0"/>
          <w:marRight w:val="0"/>
          <w:marTop w:val="0"/>
          <w:marBottom w:val="0"/>
          <w:divBdr>
            <w:top w:val="none" w:sz="0" w:space="0" w:color="auto"/>
            <w:left w:val="none" w:sz="0" w:space="0" w:color="auto"/>
            <w:bottom w:val="none" w:sz="0" w:space="0" w:color="auto"/>
            <w:right w:val="none" w:sz="0" w:space="0" w:color="auto"/>
          </w:divBdr>
          <w:divsChild>
            <w:div w:id="1879857697">
              <w:marLeft w:val="0"/>
              <w:marRight w:val="0"/>
              <w:marTop w:val="0"/>
              <w:marBottom w:val="0"/>
              <w:divBdr>
                <w:top w:val="none" w:sz="0" w:space="0" w:color="auto"/>
                <w:left w:val="none" w:sz="0" w:space="0" w:color="auto"/>
                <w:bottom w:val="none" w:sz="0" w:space="0" w:color="auto"/>
                <w:right w:val="none" w:sz="0" w:space="0" w:color="auto"/>
              </w:divBdr>
              <w:divsChild>
                <w:div w:id="65883928">
                  <w:marLeft w:val="0"/>
                  <w:marRight w:val="0"/>
                  <w:marTop w:val="0"/>
                  <w:marBottom w:val="0"/>
                  <w:divBdr>
                    <w:top w:val="none" w:sz="0" w:space="0" w:color="auto"/>
                    <w:left w:val="none" w:sz="0" w:space="0" w:color="auto"/>
                    <w:bottom w:val="none" w:sz="0" w:space="0" w:color="auto"/>
                    <w:right w:val="none" w:sz="0" w:space="0" w:color="auto"/>
                  </w:divBdr>
                  <w:divsChild>
                    <w:div w:id="15887851">
                      <w:marLeft w:val="0"/>
                      <w:marRight w:val="0"/>
                      <w:marTop w:val="0"/>
                      <w:marBottom w:val="0"/>
                      <w:divBdr>
                        <w:top w:val="none" w:sz="0" w:space="0" w:color="auto"/>
                        <w:left w:val="none" w:sz="0" w:space="0" w:color="auto"/>
                        <w:bottom w:val="none" w:sz="0" w:space="0" w:color="auto"/>
                        <w:right w:val="none" w:sz="0" w:space="0" w:color="auto"/>
                      </w:divBdr>
                      <w:divsChild>
                        <w:div w:id="246496303">
                          <w:marLeft w:val="0"/>
                          <w:marRight w:val="0"/>
                          <w:marTop w:val="0"/>
                          <w:marBottom w:val="0"/>
                          <w:divBdr>
                            <w:top w:val="none" w:sz="0" w:space="0" w:color="auto"/>
                            <w:left w:val="none" w:sz="0" w:space="0" w:color="auto"/>
                            <w:bottom w:val="none" w:sz="0" w:space="0" w:color="auto"/>
                            <w:right w:val="none" w:sz="0" w:space="0" w:color="auto"/>
                          </w:divBdr>
                          <w:divsChild>
                            <w:div w:id="483156492">
                              <w:marLeft w:val="0"/>
                              <w:marRight w:val="0"/>
                              <w:marTop w:val="0"/>
                              <w:marBottom w:val="0"/>
                              <w:divBdr>
                                <w:top w:val="none" w:sz="0" w:space="0" w:color="auto"/>
                                <w:left w:val="none" w:sz="0" w:space="0" w:color="auto"/>
                                <w:bottom w:val="none" w:sz="0" w:space="0" w:color="auto"/>
                                <w:right w:val="none" w:sz="0" w:space="0" w:color="auto"/>
                              </w:divBdr>
                              <w:divsChild>
                                <w:div w:id="101915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266993">
      <w:bodyDiv w:val="1"/>
      <w:marLeft w:val="0"/>
      <w:marRight w:val="0"/>
      <w:marTop w:val="0"/>
      <w:marBottom w:val="0"/>
      <w:divBdr>
        <w:top w:val="none" w:sz="0" w:space="0" w:color="auto"/>
        <w:left w:val="none" w:sz="0" w:space="0" w:color="auto"/>
        <w:bottom w:val="none" w:sz="0" w:space="0" w:color="auto"/>
        <w:right w:val="none" w:sz="0" w:space="0" w:color="auto"/>
      </w:divBdr>
      <w:divsChild>
        <w:div w:id="1120605767">
          <w:marLeft w:val="0"/>
          <w:marRight w:val="0"/>
          <w:marTop w:val="0"/>
          <w:marBottom w:val="0"/>
          <w:divBdr>
            <w:top w:val="none" w:sz="0" w:space="0" w:color="auto"/>
            <w:left w:val="none" w:sz="0" w:space="0" w:color="auto"/>
            <w:bottom w:val="none" w:sz="0" w:space="0" w:color="auto"/>
            <w:right w:val="none" w:sz="0" w:space="0" w:color="auto"/>
          </w:divBdr>
          <w:divsChild>
            <w:div w:id="255485984">
              <w:marLeft w:val="-300"/>
              <w:marRight w:val="0"/>
              <w:marTop w:val="0"/>
              <w:marBottom w:val="270"/>
              <w:divBdr>
                <w:top w:val="none" w:sz="0" w:space="0" w:color="auto"/>
                <w:left w:val="none" w:sz="0" w:space="0" w:color="auto"/>
                <w:bottom w:val="none" w:sz="0" w:space="0" w:color="auto"/>
                <w:right w:val="none" w:sz="0" w:space="0" w:color="auto"/>
              </w:divBdr>
              <w:divsChild>
                <w:div w:id="527179358">
                  <w:marLeft w:val="0"/>
                  <w:marRight w:val="0"/>
                  <w:marTop w:val="0"/>
                  <w:marBottom w:val="0"/>
                  <w:divBdr>
                    <w:top w:val="none" w:sz="0" w:space="0" w:color="auto"/>
                    <w:left w:val="none" w:sz="0" w:space="0" w:color="auto"/>
                    <w:bottom w:val="none" w:sz="0" w:space="0" w:color="auto"/>
                    <w:right w:val="none" w:sz="0" w:space="0" w:color="auto"/>
                  </w:divBdr>
                  <w:divsChild>
                    <w:div w:id="15687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63990">
      <w:bodyDiv w:val="1"/>
      <w:marLeft w:val="0"/>
      <w:marRight w:val="0"/>
      <w:marTop w:val="0"/>
      <w:marBottom w:val="0"/>
      <w:divBdr>
        <w:top w:val="none" w:sz="0" w:space="0" w:color="auto"/>
        <w:left w:val="none" w:sz="0" w:space="0" w:color="auto"/>
        <w:bottom w:val="none" w:sz="0" w:space="0" w:color="auto"/>
        <w:right w:val="none" w:sz="0" w:space="0" w:color="auto"/>
      </w:divBdr>
      <w:divsChild>
        <w:div w:id="256133283">
          <w:marLeft w:val="0"/>
          <w:marRight w:val="0"/>
          <w:marTop w:val="0"/>
          <w:marBottom w:val="0"/>
          <w:divBdr>
            <w:top w:val="none" w:sz="0" w:space="0" w:color="auto"/>
            <w:left w:val="none" w:sz="0" w:space="0" w:color="auto"/>
            <w:bottom w:val="none" w:sz="0" w:space="0" w:color="auto"/>
            <w:right w:val="none" w:sz="0" w:space="0" w:color="auto"/>
          </w:divBdr>
          <w:divsChild>
            <w:div w:id="264459831">
              <w:marLeft w:val="-300"/>
              <w:marRight w:val="0"/>
              <w:marTop w:val="0"/>
              <w:marBottom w:val="270"/>
              <w:divBdr>
                <w:top w:val="none" w:sz="0" w:space="0" w:color="auto"/>
                <w:left w:val="none" w:sz="0" w:space="0" w:color="auto"/>
                <w:bottom w:val="none" w:sz="0" w:space="0" w:color="auto"/>
                <w:right w:val="none" w:sz="0" w:space="0" w:color="auto"/>
              </w:divBdr>
              <w:divsChild>
                <w:div w:id="309792165">
                  <w:marLeft w:val="0"/>
                  <w:marRight w:val="0"/>
                  <w:marTop w:val="0"/>
                  <w:marBottom w:val="0"/>
                  <w:divBdr>
                    <w:top w:val="none" w:sz="0" w:space="0" w:color="auto"/>
                    <w:left w:val="none" w:sz="0" w:space="0" w:color="auto"/>
                    <w:bottom w:val="none" w:sz="0" w:space="0" w:color="auto"/>
                    <w:right w:val="none" w:sz="0" w:space="0" w:color="auto"/>
                  </w:divBdr>
                  <w:divsChild>
                    <w:div w:id="1472477976">
                      <w:marLeft w:val="0"/>
                      <w:marRight w:val="0"/>
                      <w:marTop w:val="0"/>
                      <w:marBottom w:val="270"/>
                      <w:divBdr>
                        <w:top w:val="none" w:sz="0" w:space="0" w:color="auto"/>
                        <w:left w:val="none" w:sz="0" w:space="0" w:color="auto"/>
                        <w:bottom w:val="none" w:sz="0" w:space="0" w:color="auto"/>
                        <w:right w:val="none" w:sz="0" w:space="0" w:color="auto"/>
                      </w:divBdr>
                      <w:divsChild>
                        <w:div w:id="2064792853">
                          <w:marLeft w:val="0"/>
                          <w:marRight w:val="0"/>
                          <w:marTop w:val="0"/>
                          <w:marBottom w:val="0"/>
                          <w:divBdr>
                            <w:top w:val="none" w:sz="0" w:space="0" w:color="auto"/>
                            <w:left w:val="none" w:sz="0" w:space="0" w:color="auto"/>
                            <w:bottom w:val="none" w:sz="0" w:space="0" w:color="auto"/>
                            <w:right w:val="none" w:sz="0" w:space="0" w:color="auto"/>
                          </w:divBdr>
                          <w:divsChild>
                            <w:div w:id="284849914">
                              <w:marLeft w:val="0"/>
                              <w:marRight w:val="0"/>
                              <w:marTop w:val="0"/>
                              <w:marBottom w:val="0"/>
                              <w:divBdr>
                                <w:top w:val="none" w:sz="0" w:space="0" w:color="auto"/>
                                <w:left w:val="none" w:sz="0" w:space="0" w:color="auto"/>
                                <w:bottom w:val="none" w:sz="0" w:space="0" w:color="auto"/>
                                <w:right w:val="none" w:sz="0" w:space="0" w:color="auto"/>
                              </w:divBdr>
                              <w:divsChild>
                                <w:div w:id="1260063708">
                                  <w:marLeft w:val="0"/>
                                  <w:marRight w:val="0"/>
                                  <w:marTop w:val="0"/>
                                  <w:marBottom w:val="0"/>
                                  <w:divBdr>
                                    <w:top w:val="none" w:sz="0" w:space="0" w:color="auto"/>
                                    <w:left w:val="none" w:sz="0" w:space="0" w:color="auto"/>
                                    <w:bottom w:val="none" w:sz="0" w:space="0" w:color="auto"/>
                                    <w:right w:val="none" w:sz="0" w:space="0" w:color="auto"/>
                                  </w:divBdr>
                                  <w:divsChild>
                                    <w:div w:id="314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8691531">
      <w:bodyDiv w:val="1"/>
      <w:marLeft w:val="0"/>
      <w:marRight w:val="0"/>
      <w:marTop w:val="0"/>
      <w:marBottom w:val="0"/>
      <w:divBdr>
        <w:top w:val="none" w:sz="0" w:space="0" w:color="auto"/>
        <w:left w:val="none" w:sz="0" w:space="0" w:color="auto"/>
        <w:bottom w:val="none" w:sz="0" w:space="0" w:color="auto"/>
        <w:right w:val="none" w:sz="0" w:space="0" w:color="auto"/>
      </w:divBdr>
    </w:div>
    <w:div w:id="808401759">
      <w:bodyDiv w:val="1"/>
      <w:marLeft w:val="0"/>
      <w:marRight w:val="0"/>
      <w:marTop w:val="0"/>
      <w:marBottom w:val="0"/>
      <w:divBdr>
        <w:top w:val="none" w:sz="0" w:space="0" w:color="auto"/>
        <w:left w:val="none" w:sz="0" w:space="0" w:color="auto"/>
        <w:bottom w:val="none" w:sz="0" w:space="0" w:color="auto"/>
        <w:right w:val="none" w:sz="0" w:space="0" w:color="auto"/>
      </w:divBdr>
    </w:div>
    <w:div w:id="818109871">
      <w:bodyDiv w:val="1"/>
      <w:marLeft w:val="0"/>
      <w:marRight w:val="0"/>
      <w:marTop w:val="0"/>
      <w:marBottom w:val="0"/>
      <w:divBdr>
        <w:top w:val="none" w:sz="0" w:space="0" w:color="auto"/>
        <w:left w:val="none" w:sz="0" w:space="0" w:color="auto"/>
        <w:bottom w:val="none" w:sz="0" w:space="0" w:color="auto"/>
        <w:right w:val="none" w:sz="0" w:space="0" w:color="auto"/>
      </w:divBdr>
    </w:div>
    <w:div w:id="1171020437">
      <w:bodyDiv w:val="1"/>
      <w:marLeft w:val="0"/>
      <w:marRight w:val="0"/>
      <w:marTop w:val="0"/>
      <w:marBottom w:val="0"/>
      <w:divBdr>
        <w:top w:val="none" w:sz="0" w:space="0" w:color="auto"/>
        <w:left w:val="none" w:sz="0" w:space="0" w:color="auto"/>
        <w:bottom w:val="none" w:sz="0" w:space="0" w:color="auto"/>
        <w:right w:val="none" w:sz="0" w:space="0" w:color="auto"/>
      </w:divBdr>
    </w:div>
    <w:div w:id="1721710539">
      <w:bodyDiv w:val="1"/>
      <w:marLeft w:val="0"/>
      <w:marRight w:val="0"/>
      <w:marTop w:val="0"/>
      <w:marBottom w:val="0"/>
      <w:divBdr>
        <w:top w:val="none" w:sz="0" w:space="0" w:color="auto"/>
        <w:left w:val="none" w:sz="0" w:space="0" w:color="auto"/>
        <w:bottom w:val="none" w:sz="0" w:space="0" w:color="auto"/>
        <w:right w:val="none" w:sz="0" w:space="0" w:color="auto"/>
      </w:divBdr>
    </w:div>
    <w:div w:id="1739664756">
      <w:bodyDiv w:val="1"/>
      <w:marLeft w:val="0"/>
      <w:marRight w:val="0"/>
      <w:marTop w:val="0"/>
      <w:marBottom w:val="0"/>
      <w:divBdr>
        <w:top w:val="none" w:sz="0" w:space="0" w:color="auto"/>
        <w:left w:val="none" w:sz="0" w:space="0" w:color="auto"/>
        <w:bottom w:val="none" w:sz="0" w:space="0" w:color="auto"/>
        <w:right w:val="none" w:sz="0" w:space="0" w:color="auto"/>
      </w:divBdr>
      <w:divsChild>
        <w:div w:id="1647855003">
          <w:marLeft w:val="0"/>
          <w:marRight w:val="0"/>
          <w:marTop w:val="0"/>
          <w:marBottom w:val="0"/>
          <w:divBdr>
            <w:top w:val="none" w:sz="0" w:space="0" w:color="auto"/>
            <w:left w:val="none" w:sz="0" w:space="0" w:color="auto"/>
            <w:bottom w:val="none" w:sz="0" w:space="0" w:color="auto"/>
            <w:right w:val="none" w:sz="0" w:space="0" w:color="auto"/>
          </w:divBdr>
          <w:divsChild>
            <w:div w:id="1875457681">
              <w:marLeft w:val="0"/>
              <w:marRight w:val="0"/>
              <w:marTop w:val="0"/>
              <w:marBottom w:val="0"/>
              <w:divBdr>
                <w:top w:val="none" w:sz="0" w:space="0" w:color="auto"/>
                <w:left w:val="none" w:sz="0" w:space="0" w:color="auto"/>
                <w:bottom w:val="none" w:sz="0" w:space="0" w:color="auto"/>
                <w:right w:val="none" w:sz="0" w:space="0" w:color="auto"/>
              </w:divBdr>
              <w:divsChild>
                <w:div w:id="1752237273">
                  <w:marLeft w:val="0"/>
                  <w:marRight w:val="0"/>
                  <w:marTop w:val="0"/>
                  <w:marBottom w:val="0"/>
                  <w:divBdr>
                    <w:top w:val="none" w:sz="0" w:space="0" w:color="auto"/>
                    <w:left w:val="none" w:sz="0" w:space="0" w:color="auto"/>
                    <w:bottom w:val="none" w:sz="0" w:space="0" w:color="auto"/>
                    <w:right w:val="none" w:sz="0" w:space="0" w:color="auto"/>
                  </w:divBdr>
                  <w:divsChild>
                    <w:div w:id="1131555235">
                      <w:marLeft w:val="0"/>
                      <w:marRight w:val="0"/>
                      <w:marTop w:val="0"/>
                      <w:marBottom w:val="0"/>
                      <w:divBdr>
                        <w:top w:val="none" w:sz="0" w:space="0" w:color="auto"/>
                        <w:left w:val="none" w:sz="0" w:space="0" w:color="auto"/>
                        <w:bottom w:val="none" w:sz="0" w:space="0" w:color="auto"/>
                        <w:right w:val="none" w:sz="0" w:space="0" w:color="auto"/>
                      </w:divBdr>
                      <w:divsChild>
                        <w:div w:id="1507552105">
                          <w:marLeft w:val="0"/>
                          <w:marRight w:val="0"/>
                          <w:marTop w:val="0"/>
                          <w:marBottom w:val="0"/>
                          <w:divBdr>
                            <w:top w:val="none" w:sz="0" w:space="0" w:color="auto"/>
                            <w:left w:val="none" w:sz="0" w:space="0" w:color="auto"/>
                            <w:bottom w:val="none" w:sz="0" w:space="0" w:color="auto"/>
                            <w:right w:val="none" w:sz="0" w:space="0" w:color="auto"/>
                          </w:divBdr>
                          <w:divsChild>
                            <w:div w:id="1307587937">
                              <w:marLeft w:val="0"/>
                              <w:marRight w:val="0"/>
                              <w:marTop w:val="0"/>
                              <w:marBottom w:val="0"/>
                              <w:divBdr>
                                <w:top w:val="none" w:sz="0" w:space="0" w:color="auto"/>
                                <w:left w:val="none" w:sz="0" w:space="0" w:color="auto"/>
                                <w:bottom w:val="none" w:sz="0" w:space="0" w:color="auto"/>
                                <w:right w:val="none" w:sz="0" w:space="0" w:color="auto"/>
                              </w:divBdr>
                              <w:divsChild>
                                <w:div w:id="12172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74585">
      <w:bodyDiv w:val="1"/>
      <w:marLeft w:val="0"/>
      <w:marRight w:val="0"/>
      <w:marTop w:val="0"/>
      <w:marBottom w:val="0"/>
      <w:divBdr>
        <w:top w:val="none" w:sz="0" w:space="0" w:color="auto"/>
        <w:left w:val="none" w:sz="0" w:space="0" w:color="auto"/>
        <w:bottom w:val="none" w:sz="0" w:space="0" w:color="auto"/>
        <w:right w:val="none" w:sz="0" w:space="0" w:color="auto"/>
      </w:divBdr>
    </w:div>
    <w:div w:id="205141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footer" Target="foot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file:///\\net1.cec.eu.int\homes\032\valtosa\AppData\Local\Microsoft\Windows\Temporary%20Internet%20Files\AppData\Local\Microsoft\Documents%20and%20Settings\skrynna\Local%20Settings\Temporary%20Internet%20Files\Documents%20and%20Settings\sippool\Local%20Settings\Temporary%20Internet%20Files\OLK3\Reg%20407%20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12427-0369-4829-A831-0569F0DCD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3298</Words>
  <Characters>17583</Characters>
  <Application>Microsoft Office Word</Application>
  <DocSecurity>0</DocSecurity>
  <Lines>344</Lines>
  <Paragraphs>155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20726</CharactersWithSpaces>
  <SharedDoc>false</SharedDoc>
  <HLinks>
    <vt:vector size="114" baseType="variant">
      <vt:variant>
        <vt:i4>1048629</vt:i4>
      </vt:variant>
      <vt:variant>
        <vt:i4>107</vt:i4>
      </vt:variant>
      <vt:variant>
        <vt:i4>0</vt:i4>
      </vt:variant>
      <vt:variant>
        <vt:i4>5</vt:i4>
      </vt:variant>
      <vt:variant>
        <vt:lpwstr/>
      </vt:variant>
      <vt:variant>
        <vt:lpwstr>_Toc448397070</vt:lpwstr>
      </vt:variant>
      <vt:variant>
        <vt:i4>1114165</vt:i4>
      </vt:variant>
      <vt:variant>
        <vt:i4>101</vt:i4>
      </vt:variant>
      <vt:variant>
        <vt:i4>0</vt:i4>
      </vt:variant>
      <vt:variant>
        <vt:i4>5</vt:i4>
      </vt:variant>
      <vt:variant>
        <vt:lpwstr/>
      </vt:variant>
      <vt:variant>
        <vt:lpwstr>_Toc448397069</vt:lpwstr>
      </vt:variant>
      <vt:variant>
        <vt:i4>1114165</vt:i4>
      </vt:variant>
      <vt:variant>
        <vt:i4>95</vt:i4>
      </vt:variant>
      <vt:variant>
        <vt:i4>0</vt:i4>
      </vt:variant>
      <vt:variant>
        <vt:i4>5</vt:i4>
      </vt:variant>
      <vt:variant>
        <vt:lpwstr/>
      </vt:variant>
      <vt:variant>
        <vt:lpwstr>_Toc448397068</vt:lpwstr>
      </vt:variant>
      <vt:variant>
        <vt:i4>1114165</vt:i4>
      </vt:variant>
      <vt:variant>
        <vt:i4>89</vt:i4>
      </vt:variant>
      <vt:variant>
        <vt:i4>0</vt:i4>
      </vt:variant>
      <vt:variant>
        <vt:i4>5</vt:i4>
      </vt:variant>
      <vt:variant>
        <vt:lpwstr/>
      </vt:variant>
      <vt:variant>
        <vt:lpwstr>_Toc448397067</vt:lpwstr>
      </vt:variant>
      <vt:variant>
        <vt:i4>1114165</vt:i4>
      </vt:variant>
      <vt:variant>
        <vt:i4>83</vt:i4>
      </vt:variant>
      <vt:variant>
        <vt:i4>0</vt:i4>
      </vt:variant>
      <vt:variant>
        <vt:i4>5</vt:i4>
      </vt:variant>
      <vt:variant>
        <vt:lpwstr/>
      </vt:variant>
      <vt:variant>
        <vt:lpwstr>_Toc448397066</vt:lpwstr>
      </vt:variant>
      <vt:variant>
        <vt:i4>1114165</vt:i4>
      </vt:variant>
      <vt:variant>
        <vt:i4>77</vt:i4>
      </vt:variant>
      <vt:variant>
        <vt:i4>0</vt:i4>
      </vt:variant>
      <vt:variant>
        <vt:i4>5</vt:i4>
      </vt:variant>
      <vt:variant>
        <vt:lpwstr/>
      </vt:variant>
      <vt:variant>
        <vt:lpwstr>_Toc448397065</vt:lpwstr>
      </vt:variant>
      <vt:variant>
        <vt:i4>1114165</vt:i4>
      </vt:variant>
      <vt:variant>
        <vt:i4>71</vt:i4>
      </vt:variant>
      <vt:variant>
        <vt:i4>0</vt:i4>
      </vt:variant>
      <vt:variant>
        <vt:i4>5</vt:i4>
      </vt:variant>
      <vt:variant>
        <vt:lpwstr/>
      </vt:variant>
      <vt:variant>
        <vt:lpwstr>_Toc448397064</vt:lpwstr>
      </vt:variant>
      <vt:variant>
        <vt:i4>1114165</vt:i4>
      </vt:variant>
      <vt:variant>
        <vt:i4>65</vt:i4>
      </vt:variant>
      <vt:variant>
        <vt:i4>0</vt:i4>
      </vt:variant>
      <vt:variant>
        <vt:i4>5</vt:i4>
      </vt:variant>
      <vt:variant>
        <vt:lpwstr/>
      </vt:variant>
      <vt:variant>
        <vt:lpwstr>_Toc448397063</vt:lpwstr>
      </vt:variant>
      <vt:variant>
        <vt:i4>1114165</vt:i4>
      </vt:variant>
      <vt:variant>
        <vt:i4>59</vt:i4>
      </vt:variant>
      <vt:variant>
        <vt:i4>0</vt:i4>
      </vt:variant>
      <vt:variant>
        <vt:i4>5</vt:i4>
      </vt:variant>
      <vt:variant>
        <vt:lpwstr/>
      </vt:variant>
      <vt:variant>
        <vt:lpwstr>_Toc448397062</vt:lpwstr>
      </vt:variant>
      <vt:variant>
        <vt:i4>1114165</vt:i4>
      </vt:variant>
      <vt:variant>
        <vt:i4>53</vt:i4>
      </vt:variant>
      <vt:variant>
        <vt:i4>0</vt:i4>
      </vt:variant>
      <vt:variant>
        <vt:i4>5</vt:i4>
      </vt:variant>
      <vt:variant>
        <vt:lpwstr/>
      </vt:variant>
      <vt:variant>
        <vt:lpwstr>_Toc448397061</vt:lpwstr>
      </vt:variant>
      <vt:variant>
        <vt:i4>1114165</vt:i4>
      </vt:variant>
      <vt:variant>
        <vt:i4>47</vt:i4>
      </vt:variant>
      <vt:variant>
        <vt:i4>0</vt:i4>
      </vt:variant>
      <vt:variant>
        <vt:i4>5</vt:i4>
      </vt:variant>
      <vt:variant>
        <vt:lpwstr/>
      </vt:variant>
      <vt:variant>
        <vt:lpwstr>_Toc448397060</vt:lpwstr>
      </vt:variant>
      <vt:variant>
        <vt:i4>1179701</vt:i4>
      </vt:variant>
      <vt:variant>
        <vt:i4>41</vt:i4>
      </vt:variant>
      <vt:variant>
        <vt:i4>0</vt:i4>
      </vt:variant>
      <vt:variant>
        <vt:i4>5</vt:i4>
      </vt:variant>
      <vt:variant>
        <vt:lpwstr/>
      </vt:variant>
      <vt:variant>
        <vt:lpwstr>_Toc448397059</vt:lpwstr>
      </vt:variant>
      <vt:variant>
        <vt:i4>1179701</vt:i4>
      </vt:variant>
      <vt:variant>
        <vt:i4>35</vt:i4>
      </vt:variant>
      <vt:variant>
        <vt:i4>0</vt:i4>
      </vt:variant>
      <vt:variant>
        <vt:i4>5</vt:i4>
      </vt:variant>
      <vt:variant>
        <vt:lpwstr/>
      </vt:variant>
      <vt:variant>
        <vt:lpwstr>_Toc448397057</vt:lpwstr>
      </vt:variant>
      <vt:variant>
        <vt:i4>1179701</vt:i4>
      </vt:variant>
      <vt:variant>
        <vt:i4>29</vt:i4>
      </vt:variant>
      <vt:variant>
        <vt:i4>0</vt:i4>
      </vt:variant>
      <vt:variant>
        <vt:i4>5</vt:i4>
      </vt:variant>
      <vt:variant>
        <vt:lpwstr/>
      </vt:variant>
      <vt:variant>
        <vt:lpwstr>_Toc448397056</vt:lpwstr>
      </vt:variant>
      <vt:variant>
        <vt:i4>1179701</vt:i4>
      </vt:variant>
      <vt:variant>
        <vt:i4>23</vt:i4>
      </vt:variant>
      <vt:variant>
        <vt:i4>0</vt:i4>
      </vt:variant>
      <vt:variant>
        <vt:i4>5</vt:i4>
      </vt:variant>
      <vt:variant>
        <vt:lpwstr/>
      </vt:variant>
      <vt:variant>
        <vt:lpwstr>_Toc448397055</vt:lpwstr>
      </vt:variant>
      <vt:variant>
        <vt:i4>1179701</vt:i4>
      </vt:variant>
      <vt:variant>
        <vt:i4>17</vt:i4>
      </vt:variant>
      <vt:variant>
        <vt:i4>0</vt:i4>
      </vt:variant>
      <vt:variant>
        <vt:i4>5</vt:i4>
      </vt:variant>
      <vt:variant>
        <vt:lpwstr/>
      </vt:variant>
      <vt:variant>
        <vt:lpwstr>_Toc448397054</vt:lpwstr>
      </vt:variant>
      <vt:variant>
        <vt:i4>1179701</vt:i4>
      </vt:variant>
      <vt:variant>
        <vt:i4>11</vt:i4>
      </vt:variant>
      <vt:variant>
        <vt:i4>0</vt:i4>
      </vt:variant>
      <vt:variant>
        <vt:i4>5</vt:i4>
      </vt:variant>
      <vt:variant>
        <vt:lpwstr/>
      </vt:variant>
      <vt:variant>
        <vt:lpwstr>_Toc448397053</vt:lpwstr>
      </vt:variant>
      <vt:variant>
        <vt:i4>1179701</vt:i4>
      </vt:variant>
      <vt:variant>
        <vt:i4>5</vt:i4>
      </vt:variant>
      <vt:variant>
        <vt:i4>0</vt:i4>
      </vt:variant>
      <vt:variant>
        <vt:i4>5</vt:i4>
      </vt:variant>
      <vt:variant>
        <vt:lpwstr/>
      </vt:variant>
      <vt:variant>
        <vt:lpwstr>_Toc448397052</vt:lpwstr>
      </vt:variant>
      <vt:variant>
        <vt:i4>8192023</vt:i4>
      </vt:variant>
      <vt:variant>
        <vt:i4>0</vt:i4>
      </vt:variant>
      <vt:variant>
        <vt:i4>0</vt:i4>
      </vt:variant>
      <vt:variant>
        <vt:i4>5</vt:i4>
      </vt:variant>
      <vt:variant>
        <vt:lpwstr>file://\\net1.cec.eu.int\homes\032\valtosa\AppData\Local\Microsoft\Windows\Temporary Internet Files\AppData\Local\Microsoft\Documents and Settings\skrynna\Local Settings\Temporary Internet Files\Documents and Settings\sippool\Local Settings\Temporary Internet Files\OLK3\Reg 407 2010.pdf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27</cp:revision>
  <cp:lastPrinted>2017-09-21T15:41:00Z</cp:lastPrinted>
  <dcterms:created xsi:type="dcterms:W3CDTF">2017-10-02T07:52:00Z</dcterms:created>
  <dcterms:modified xsi:type="dcterms:W3CDTF">2017-11-16T08:30:00Z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