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0FC1732B-7977-4B03-9F29-5458305ED5E4" style="width:450.8pt;height:351.8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На 14 декември 2016 г. Европейският парламент и Съветът решиха маржът за непредвидени обстоятелства да бъде мобилизиран през 2017 г., за да се посрещнат нуждите, произтичащи от кризата с миграцията, с бежанците и със сигурността, като се увеличат бюджетните кредити за поети задължения в общия бюджет на ЕС за 2017 г. над таваните на функция 3 (1 167 милиона евро) и функция 4 (730 милиона евро).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решението се разглежда също компенсирането на сумата, мобилизирана през 2017 г., 2018 г. и 2019 г. Поради необходимостта от увеличаване на гъвкавостта в бюджета за 2018 г. Комисията предлага да се измени решението за мобилизиране на средства от 2017 г. и да се коригира профилът за компенсиране, за да се намали компенсираната сума във функция 5 през 2018 г. от 570 милиона евро на 318 милиона евро и съответно да се въведе компенсиране в размер на 252 милиона евро във функция 5 през 2020 г. Това не променя общата сума, която се мобилизира и компенсира.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(ЕС) 2017/344 на Европейския парламент и на Съвета от 14 декември 2016 г. относно мобилизирането на маржа за непредвидени обстоятелства през 2017 г.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точка 14, втора алинея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член 13 от Регламент № 1311/2013 на Съвета за определяне на многогодишната финансова рамка за годините 2014—2020</w:t>
      </w:r>
      <w:r>
        <w:rPr>
          <w:rStyle w:val="FootnoteReference"/>
          <w:noProof/>
          <w:spacing w:val="-2"/>
        </w:rPr>
        <w:footnoteReference w:id="2"/>
      </w:r>
      <w:r>
        <w:rPr>
          <w:noProof/>
        </w:rPr>
        <w:t xml:space="preserve"> е създаден марж за непредвидени обстоятелства в размер до 0,03 % от брутния национален доход на Съюза.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 6 от посочения регламент Комисията е изчислила абсолютния размер на този марж за непредвидени обстоятелства за 2017 г.</w:t>
      </w:r>
      <w:r>
        <w:rPr>
          <w:rStyle w:val="FootnoteReference"/>
          <w:noProof/>
        </w:rPr>
        <w:footnoteReference w:id="3"/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Европейският парламент и Съветът мобилизираха маржа за непредвидени обстоятелства през 2017 г., за да се осигури финансиране над таваните на поетите задължения в размер на 1 906 150 960 EUR, от които 1 176 030 960 EUR за функция 3 (Сигурност и гражданство).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Гъвкавостта в бюджета за 2018 г. трябва да бъде увеличена, поради което компенсирането на маржа за непредвидени обстоятелства, мобилизиран през 2017 г., се коригира, за да се намали компенсираната сума във функция 5 през 2018 г. и да се въведе съответна компенсация във функция 5 през 2020 г., </w:t>
      </w:r>
    </w:p>
    <w:p>
      <w:pPr>
        <w:rPr>
          <w:noProof/>
        </w:rPr>
      </w:pPr>
    </w:p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lastRenderedPageBreak/>
        <w:t>Член 2 от Решение (ЕС) 2017/344 на Европейския парламент и на Съвета от 14 декември 2016 г. относно мобилизирането на маржа за непредвидени обстоятелства през 2017 г.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първа алинея „2019“ се заменя с „2020“;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буква б) се заменя със следното:</w:t>
      </w:r>
    </w:p>
    <w:p>
      <w:pPr>
        <w:rPr>
          <w:noProof/>
        </w:rPr>
      </w:pPr>
      <w:r>
        <w:rPr>
          <w:noProof/>
        </w:rPr>
        <w:t>„б) 2018 г.: функция 5 (Администрация): 318 000 000 EUR;“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добавя се следната буква г):</w:t>
      </w:r>
    </w:p>
    <w:p>
      <w:pPr>
        <w:rPr>
          <w:noProof/>
        </w:rPr>
      </w:pPr>
      <w:r>
        <w:rPr>
          <w:noProof/>
        </w:rPr>
        <w:t>„г) 2020 г.: функция 5 (Администрация): 252 000 000 EUR.“.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C 373, 20.12.2013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OВ L 347, 20.12.2013 г., стр. 884.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Съобщение на Комисията до Съвета и Европейския парламент от 30 юни 2016 г. относно техническата корекция на финансовата рамка за 2017 г. в съответствие с промените в БНД (COM(2016) 311).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92ED6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50DF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37253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5E832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6BA2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A81A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E848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B6B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3 17:31:5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FC1732B-7977-4B03-9F29-5458305ED5E4"/>
    <w:docVar w:name="LW_COVERPAGE_TYPE" w:val="1"/>
    <w:docVar w:name="LW_CROSSREFERENCE" w:val="&lt;UNUSED&gt;"/>
    <w:docVar w:name="LW_DocType" w:val="COM"/>
    <w:docVar w:name="LW_EMISSION" w:val="22.11.2017"/>
    <w:docVar w:name="LW_EMISSION_ISODATE" w:val="2017-11-22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STATUT" w:val="SJ-026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90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(\u1045?\u1057?) 2017/344 \u1085?\u1072? \u1045?\u1074?\u1088?\u1086?\u1087?\u1077?\u1081?\u1089?\u1082?\u1080?\u1103? \u1087?\u1072?\u1088?\u1083?\u1072?\u1084?\u1077?\u1085?\u1090? \u1080? \u1085?\u1072? \u1057?\u1098?\u1074?\u1077?\u1090?\u1072? \u1086?\u1090? 14 \u1076?\u1077?\u1082?\u1077?\u1084?\u1074?\u1088?\u1080? 2016 \u1075?. \u1086?\u1090?\u1085?\u1086?\u1089?\u1085?\u1086? \u1084?\u1086?\u1073?\u1080?\u1083?\u1080?\u1079?\u1080?\u1088?\u1072?\u1085?\u1077?\u1090?\u1086? \u1085?\u1072? \u1084?\u1072?\u1088?\u1078?\u1072? \u1079?\u1072? \u1085?\u1077?\u1087?\u1088?\u1077?\u1076?\u1074?\u1080?\u1076?\u1077?\u1085?\u1080? \u1086?\u1073?\u1089?\u1090?\u1086?\u1103?\u1090?\u1077?\u1083?\u1089?\u1090?\u1074?\u1072? \u1087?\u1088?\u1077?\u1079? 2017 \u1075?.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30D2-D0A0-40F5-A7AE-5B1582E6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530</Words>
  <Characters>2782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2017-09-18T15:51:00Z</cp:lastPrinted>
  <dcterms:created xsi:type="dcterms:W3CDTF">2017-11-22T14:44:00Z</dcterms:created>
  <dcterms:modified xsi:type="dcterms:W3CDTF">2017-11-23T16:31:00Z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SJ-026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