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F72A35A5-9DE7-426E-ABC3-FE86808F82D5"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bookmarkStart w:id="1" w:name="_GoBack" w:displacedByCustomXml="next"/>
    <w:bookmarkEnd w:id="1" w:displacedByCustomXml="next"/>
    <w:sdt>
      <w:sdtPr>
        <w:rPr>
          <w:rFonts w:ascii="Times New Roman" w:hAnsi="Times New Roman"/>
          <w:noProof/>
          <w:color w:val="auto"/>
          <w:kern w:val="32"/>
          <w:sz w:val="24"/>
          <w:szCs w:val="32"/>
        </w:rPr>
        <w:id w:val="-1607735648"/>
        <w:docPartObj>
          <w:docPartGallery w:val="Table of Contents"/>
          <w:docPartUnique/>
        </w:docPartObj>
      </w:sdtPr>
      <w:sdtEndPr>
        <w:rPr>
          <w:rFonts w:eastAsia="Calibri"/>
          <w:b w:val="0"/>
          <w:bCs w:val="0"/>
          <w:szCs w:val="24"/>
        </w:rPr>
      </w:sdtEndPr>
      <w:sdtContent>
        <w:p>
          <w:pPr>
            <w:pStyle w:val="TOCHeading"/>
            <w:rPr>
              <w:rFonts w:ascii="Times New Roman" w:hAnsi="Times New Roman"/>
              <w:noProof/>
              <w:color w:val="auto"/>
              <w:sz w:val="24"/>
              <w:szCs w:val="24"/>
            </w:rPr>
          </w:pPr>
          <w:r>
            <w:rPr>
              <w:rFonts w:ascii="Times New Roman" w:hAnsi="Times New Roman"/>
              <w:noProof/>
              <w:color w:val="auto"/>
              <w:sz w:val="24"/>
            </w:rPr>
            <w:t>Съдържание</w:t>
          </w:r>
        </w:p>
        <w:p>
          <w:pPr>
            <w:rPr>
              <w:noProof/>
            </w:rPr>
          </w:pPr>
        </w:p>
        <w:p>
          <w:pPr>
            <w:pStyle w:val="TOC1"/>
            <w:tabs>
              <w:tab w:val="right" w:leader="dot" w:pos="9016"/>
            </w:tabs>
            <w:rPr>
              <w:rFonts w:asciiTheme="minorHAnsi" w:eastAsiaTheme="minorEastAsia" w:hAnsiTheme="minorHAnsi" w:cstheme="minorBidi"/>
              <w:noProof/>
              <w:lang w:val="en-GB" w:eastAsia="en-GB" w:bidi="ar-SA"/>
            </w:rPr>
          </w:pPr>
          <w:r>
            <w:rPr>
              <w:rFonts w:ascii="Times New Roman"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hAnsi="Times New Roman"/>
              <w:noProof/>
              <w:sz w:val="24"/>
              <w:szCs w:val="24"/>
            </w:rPr>
            <w:fldChar w:fldCharType="separate"/>
          </w:r>
          <w:hyperlink w:anchor="_Toc499041535" w:history="1">
            <w:r>
              <w:rPr>
                <w:rStyle w:val="Hyperlink"/>
                <w:noProof/>
              </w:rPr>
              <w:t>Списък на акронимите и съкращенията</w:t>
            </w:r>
            <w:r>
              <w:rPr>
                <w:noProof/>
                <w:webHidden/>
              </w:rPr>
              <w:tab/>
            </w:r>
            <w:r>
              <w:rPr>
                <w:noProof/>
                <w:webHidden/>
              </w:rPr>
              <w:fldChar w:fldCharType="begin"/>
            </w:r>
            <w:r>
              <w:rPr>
                <w:noProof/>
                <w:webHidden/>
              </w:rPr>
              <w:instrText xml:space="preserve"> PAGEREF _Toc499041535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499041536" w:history="1">
            <w:r>
              <w:rPr>
                <w:rStyle w:val="Hyperlink"/>
                <w:noProof/>
              </w:rPr>
              <w:t>1.</w:t>
            </w:r>
            <w:r>
              <w:rPr>
                <w:rFonts w:asciiTheme="minorHAnsi" w:eastAsiaTheme="minorEastAsia" w:hAnsiTheme="minorHAnsi" w:cstheme="minorBidi"/>
                <w:noProof/>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_Toc499041536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499041537" w:history="1">
            <w:r>
              <w:rPr>
                <w:rStyle w:val="Hyperlink"/>
                <w:noProof/>
              </w:rPr>
              <w:t>2.</w:t>
            </w:r>
            <w:r>
              <w:rPr>
                <w:rFonts w:asciiTheme="minorHAnsi" w:eastAsiaTheme="minorEastAsia" w:hAnsiTheme="minorHAnsi" w:cstheme="minorBidi"/>
                <w:noProof/>
                <w:lang w:val="en-GB" w:eastAsia="en-GB" w:bidi="ar-SA"/>
              </w:rPr>
              <w:tab/>
            </w:r>
            <w:r>
              <w:rPr>
                <w:rStyle w:val="Hyperlink"/>
                <w:noProof/>
              </w:rPr>
              <w:t>ИНФРАСТРУКТУРА НА СТЕ НА ЕС</w:t>
            </w:r>
            <w:r>
              <w:rPr>
                <w:noProof/>
                <w:webHidden/>
              </w:rPr>
              <w:tab/>
            </w:r>
            <w:r>
              <w:rPr>
                <w:noProof/>
                <w:webHidden/>
              </w:rPr>
              <w:fldChar w:fldCharType="begin"/>
            </w:r>
            <w:r>
              <w:rPr>
                <w:noProof/>
                <w:webHidden/>
              </w:rPr>
              <w:instrText xml:space="preserve"> PAGEREF _Toc499041537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660"/>
              <w:tab w:val="right" w:leader="dot" w:pos="9016"/>
            </w:tabs>
            <w:rPr>
              <w:rFonts w:asciiTheme="minorHAnsi" w:eastAsiaTheme="minorEastAsia" w:hAnsiTheme="minorHAnsi" w:cstheme="minorBidi"/>
              <w:noProof/>
              <w:lang w:val="en-GB" w:eastAsia="en-GB" w:bidi="ar-SA"/>
            </w:rPr>
          </w:pPr>
          <w:hyperlink w:anchor="_Toc499041538" w:history="1">
            <w:r>
              <w:rPr>
                <w:rStyle w:val="Hyperlink"/>
                <w:noProof/>
              </w:rPr>
              <w:t>2.1.</w:t>
            </w:r>
            <w:r>
              <w:rPr>
                <w:rFonts w:asciiTheme="minorHAnsi" w:eastAsiaTheme="minorEastAsia" w:hAnsiTheme="minorHAnsi" w:cstheme="minorBidi"/>
                <w:noProof/>
                <w:lang w:val="en-GB" w:eastAsia="en-GB" w:bidi="ar-SA"/>
              </w:rPr>
              <w:tab/>
            </w:r>
            <w:r>
              <w:rPr>
                <w:rStyle w:val="Hyperlink"/>
                <w:noProof/>
              </w:rPr>
              <w:t>Обхванати дейности, инсталации и оператори на въздухоплавателни средства</w:t>
            </w:r>
            <w:r>
              <w:rPr>
                <w:noProof/>
                <w:webHidden/>
              </w:rPr>
              <w:tab/>
            </w:r>
            <w:r>
              <w:rPr>
                <w:noProof/>
                <w:webHidden/>
              </w:rPr>
              <w:fldChar w:fldCharType="begin"/>
            </w:r>
            <w:r>
              <w:rPr>
                <w:noProof/>
                <w:webHidden/>
              </w:rPr>
              <w:instrText xml:space="preserve"> PAGEREF _Toc499041538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660"/>
              <w:tab w:val="right" w:leader="dot" w:pos="9016"/>
            </w:tabs>
            <w:rPr>
              <w:rFonts w:asciiTheme="minorHAnsi" w:eastAsiaTheme="minorEastAsia" w:hAnsiTheme="minorHAnsi" w:cstheme="minorBidi"/>
              <w:noProof/>
              <w:lang w:val="en-GB" w:eastAsia="en-GB" w:bidi="ar-SA"/>
            </w:rPr>
          </w:pPr>
          <w:hyperlink w:anchor="_Toc499041539" w:history="1">
            <w:r>
              <w:rPr>
                <w:rStyle w:val="Hyperlink"/>
                <w:noProof/>
              </w:rPr>
              <w:t>2.2.</w:t>
            </w:r>
            <w:r>
              <w:rPr>
                <w:rFonts w:asciiTheme="minorHAnsi" w:eastAsiaTheme="minorEastAsia" w:hAnsiTheme="minorHAnsi" w:cstheme="minorBidi"/>
                <w:noProof/>
                <w:lang w:val="en-GB" w:eastAsia="en-GB" w:bidi="ar-SA"/>
              </w:rPr>
              <w:tab/>
            </w:r>
            <w:r>
              <w:rPr>
                <w:rStyle w:val="Hyperlink"/>
                <w:noProof/>
              </w:rPr>
              <w:t>Регистър на ЕС и Дневник на ЕС за трансакциите (EUTL)</w:t>
            </w:r>
            <w:r>
              <w:rPr>
                <w:noProof/>
                <w:webHidden/>
              </w:rPr>
              <w:tab/>
            </w:r>
            <w:r>
              <w:rPr>
                <w:noProof/>
                <w:webHidden/>
              </w:rPr>
              <w:fldChar w:fldCharType="begin"/>
            </w:r>
            <w:r>
              <w:rPr>
                <w:noProof/>
                <w:webHidden/>
              </w:rPr>
              <w:instrText xml:space="preserve"> PAGEREF _Toc499041539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499041540" w:history="1">
            <w:r>
              <w:rPr>
                <w:rStyle w:val="Hyperlink"/>
                <w:noProof/>
              </w:rPr>
              <w:t>3.</w:t>
            </w:r>
            <w:r>
              <w:rPr>
                <w:rFonts w:asciiTheme="minorHAnsi" w:eastAsiaTheme="minorEastAsia" w:hAnsiTheme="minorHAnsi" w:cstheme="minorBidi"/>
                <w:noProof/>
                <w:lang w:val="en-GB" w:eastAsia="en-GB" w:bidi="ar-SA"/>
              </w:rPr>
              <w:tab/>
            </w:r>
            <w:r>
              <w:rPr>
                <w:rStyle w:val="Hyperlink"/>
                <w:noProof/>
              </w:rPr>
              <w:t>ФУНКЦИОНИРАНЕ НА ПАЗАРА НА ВЪГЛЕРОДНИ ЕМИСИИ ПРЕЗ 2016 Г.</w:t>
            </w:r>
            <w:r>
              <w:rPr>
                <w:noProof/>
                <w:webHidden/>
              </w:rPr>
              <w:tab/>
            </w:r>
            <w:r>
              <w:rPr>
                <w:noProof/>
                <w:webHidden/>
              </w:rPr>
              <w:fldChar w:fldCharType="begin"/>
            </w:r>
            <w:r>
              <w:rPr>
                <w:noProof/>
                <w:webHidden/>
              </w:rPr>
              <w:instrText xml:space="preserve"> PAGEREF _Toc499041540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16"/>
            </w:tabs>
            <w:rPr>
              <w:rFonts w:asciiTheme="minorHAnsi" w:eastAsiaTheme="minorEastAsia" w:hAnsiTheme="minorHAnsi" w:cstheme="minorBidi"/>
              <w:noProof/>
              <w:lang w:val="en-GB" w:eastAsia="en-GB" w:bidi="ar-SA"/>
            </w:rPr>
          </w:pPr>
          <w:hyperlink w:anchor="_Toc499041541" w:history="1">
            <w:r>
              <w:rPr>
                <w:rStyle w:val="Hyperlink"/>
                <w:noProof/>
              </w:rPr>
              <w:t>3.1.</w:t>
            </w:r>
            <w:r>
              <w:rPr>
                <w:rFonts w:asciiTheme="minorHAnsi" w:eastAsiaTheme="minorEastAsia" w:hAnsiTheme="minorHAnsi" w:cstheme="minorBidi"/>
                <w:noProof/>
                <w:lang w:val="en-GB" w:eastAsia="en-GB" w:bidi="ar-SA"/>
              </w:rPr>
              <w:tab/>
            </w:r>
            <w:r>
              <w:rPr>
                <w:rStyle w:val="Hyperlink"/>
                <w:noProof/>
              </w:rPr>
              <w:t>Предлагане: квоти, пуснати в обращение</w:t>
            </w:r>
            <w:r>
              <w:rPr>
                <w:noProof/>
                <w:webHidden/>
              </w:rPr>
              <w:tab/>
            </w:r>
            <w:r>
              <w:rPr>
                <w:noProof/>
                <w:webHidden/>
              </w:rPr>
              <w:fldChar w:fldCharType="begin"/>
            </w:r>
            <w:r>
              <w:rPr>
                <w:noProof/>
                <w:webHidden/>
              </w:rPr>
              <w:instrText xml:space="preserve"> PAGEREF _Toc499041541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320"/>
              <w:tab w:val="right" w:leader="dot" w:pos="9016"/>
            </w:tabs>
            <w:rPr>
              <w:rFonts w:asciiTheme="minorHAnsi" w:eastAsiaTheme="minorEastAsia" w:hAnsiTheme="minorHAnsi" w:cstheme="minorBidi"/>
              <w:noProof/>
              <w:lang w:val="en-GB" w:eastAsia="en-GB" w:bidi="ar-SA"/>
            </w:rPr>
          </w:pPr>
          <w:hyperlink w:anchor="_Toc499041542" w:history="1">
            <w:r>
              <w:rPr>
                <w:rStyle w:val="Hyperlink"/>
                <w:noProof/>
              </w:rPr>
              <w:t>3.1.1.</w:t>
            </w:r>
            <w:r>
              <w:rPr>
                <w:rFonts w:asciiTheme="minorHAnsi" w:eastAsiaTheme="minorEastAsia" w:hAnsiTheme="minorHAnsi" w:cstheme="minorBidi"/>
                <w:noProof/>
                <w:lang w:val="en-GB" w:eastAsia="en-GB" w:bidi="ar-SA"/>
              </w:rPr>
              <w:tab/>
            </w:r>
            <w:r>
              <w:rPr>
                <w:rStyle w:val="Hyperlink"/>
                <w:noProof/>
              </w:rPr>
              <w:t>Лимит</w:t>
            </w:r>
            <w:r>
              <w:rPr>
                <w:noProof/>
                <w:webHidden/>
              </w:rPr>
              <w:tab/>
            </w:r>
            <w:r>
              <w:rPr>
                <w:noProof/>
                <w:webHidden/>
              </w:rPr>
              <w:fldChar w:fldCharType="begin"/>
            </w:r>
            <w:r>
              <w:rPr>
                <w:noProof/>
                <w:webHidden/>
              </w:rPr>
              <w:instrText xml:space="preserve"> PAGEREF _Toc499041542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320"/>
              <w:tab w:val="right" w:leader="dot" w:pos="9016"/>
            </w:tabs>
            <w:rPr>
              <w:rFonts w:asciiTheme="minorHAnsi" w:eastAsiaTheme="minorEastAsia" w:hAnsiTheme="minorHAnsi" w:cstheme="minorBidi"/>
              <w:noProof/>
              <w:lang w:val="en-GB" w:eastAsia="en-GB" w:bidi="ar-SA"/>
            </w:rPr>
          </w:pPr>
          <w:hyperlink w:anchor="_Toc499041543" w:history="1">
            <w:r>
              <w:rPr>
                <w:rStyle w:val="Hyperlink"/>
                <w:noProof/>
              </w:rPr>
              <w:t>3.1.2.</w:t>
            </w:r>
            <w:r>
              <w:rPr>
                <w:rFonts w:asciiTheme="minorHAnsi" w:eastAsiaTheme="minorEastAsia" w:hAnsiTheme="minorHAnsi" w:cstheme="minorBidi"/>
                <w:noProof/>
                <w:lang w:val="en-GB" w:eastAsia="en-GB" w:bidi="ar-SA"/>
              </w:rPr>
              <w:tab/>
            </w:r>
            <w:r>
              <w:rPr>
                <w:rStyle w:val="Hyperlink"/>
                <w:noProof/>
              </w:rPr>
              <w:t>Издадени квоти</w:t>
            </w:r>
            <w:r>
              <w:rPr>
                <w:noProof/>
                <w:webHidden/>
              </w:rPr>
              <w:tab/>
            </w:r>
            <w:r>
              <w:rPr>
                <w:noProof/>
                <w:webHidden/>
              </w:rPr>
              <w:fldChar w:fldCharType="begin"/>
            </w:r>
            <w:r>
              <w:rPr>
                <w:noProof/>
                <w:webHidden/>
              </w:rPr>
              <w:instrText xml:space="preserve"> PAGEREF _Toc499041543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320"/>
              <w:tab w:val="right" w:leader="dot" w:pos="9016"/>
            </w:tabs>
            <w:rPr>
              <w:rFonts w:asciiTheme="minorHAnsi" w:eastAsiaTheme="minorEastAsia" w:hAnsiTheme="minorHAnsi" w:cstheme="minorBidi"/>
              <w:noProof/>
              <w:lang w:val="en-GB" w:eastAsia="en-GB" w:bidi="ar-SA"/>
            </w:rPr>
          </w:pPr>
          <w:hyperlink w:anchor="_Toc499041544" w:history="1">
            <w:r>
              <w:rPr>
                <w:rStyle w:val="Hyperlink"/>
                <w:noProof/>
              </w:rPr>
              <w:t>3.1.3.</w:t>
            </w:r>
            <w:r>
              <w:rPr>
                <w:rFonts w:asciiTheme="minorHAnsi" w:eastAsiaTheme="minorEastAsia" w:hAnsiTheme="minorHAnsi" w:cstheme="minorBidi"/>
                <w:noProof/>
                <w:lang w:val="en-GB" w:eastAsia="en-GB" w:bidi="ar-SA"/>
              </w:rPr>
              <w:tab/>
            </w:r>
            <w:r>
              <w:rPr>
                <w:rStyle w:val="Hyperlink"/>
                <w:noProof/>
              </w:rPr>
              <w:t>Международни кредити</w:t>
            </w:r>
            <w:r>
              <w:rPr>
                <w:noProof/>
                <w:webHidden/>
              </w:rPr>
              <w:tab/>
            </w:r>
            <w:r>
              <w:rPr>
                <w:noProof/>
                <w:webHidden/>
              </w:rPr>
              <w:fldChar w:fldCharType="begin"/>
            </w:r>
            <w:r>
              <w:rPr>
                <w:noProof/>
                <w:webHidden/>
              </w:rPr>
              <w:instrText xml:space="preserve"> PAGEREF _Toc499041544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880"/>
              <w:tab w:val="right" w:leader="dot" w:pos="9016"/>
            </w:tabs>
            <w:rPr>
              <w:rFonts w:asciiTheme="minorHAnsi" w:eastAsiaTheme="minorEastAsia" w:hAnsiTheme="minorHAnsi" w:cstheme="minorBidi"/>
              <w:noProof/>
              <w:lang w:val="en-GB" w:eastAsia="en-GB" w:bidi="ar-SA"/>
            </w:rPr>
          </w:pPr>
          <w:hyperlink w:anchor="_Toc499041545" w:history="1">
            <w:r>
              <w:rPr>
                <w:rStyle w:val="Hyperlink"/>
                <w:noProof/>
              </w:rPr>
              <w:t>3.2.</w:t>
            </w:r>
            <w:r>
              <w:rPr>
                <w:rFonts w:asciiTheme="minorHAnsi" w:eastAsiaTheme="minorEastAsia" w:hAnsiTheme="minorHAnsi" w:cstheme="minorBidi"/>
                <w:noProof/>
                <w:lang w:val="en-GB" w:eastAsia="en-GB" w:bidi="ar-SA"/>
              </w:rPr>
              <w:tab/>
            </w:r>
            <w:r>
              <w:rPr>
                <w:rStyle w:val="Hyperlink"/>
                <w:noProof/>
              </w:rPr>
              <w:t>Търсене: извадени от обращение квоти</w:t>
            </w:r>
            <w:r>
              <w:rPr>
                <w:noProof/>
                <w:webHidden/>
              </w:rPr>
              <w:tab/>
            </w:r>
            <w:r>
              <w:rPr>
                <w:noProof/>
                <w:webHidden/>
              </w:rPr>
              <w:fldChar w:fldCharType="begin"/>
            </w:r>
            <w:r>
              <w:rPr>
                <w:noProof/>
                <w:webHidden/>
              </w:rPr>
              <w:instrText xml:space="preserve"> PAGEREF _Toc499041545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880"/>
              <w:tab w:val="right" w:leader="dot" w:pos="9016"/>
            </w:tabs>
            <w:rPr>
              <w:rFonts w:asciiTheme="minorHAnsi" w:eastAsiaTheme="minorEastAsia" w:hAnsiTheme="minorHAnsi" w:cstheme="minorBidi"/>
              <w:noProof/>
              <w:lang w:val="en-GB" w:eastAsia="en-GB" w:bidi="ar-SA"/>
            </w:rPr>
          </w:pPr>
          <w:hyperlink w:anchor="_Toc499041546" w:history="1">
            <w:r>
              <w:rPr>
                <w:rStyle w:val="Hyperlink"/>
                <w:noProof/>
              </w:rPr>
              <w:t>3.3.</w:t>
            </w:r>
            <w:r>
              <w:rPr>
                <w:rFonts w:asciiTheme="minorHAnsi" w:eastAsiaTheme="minorEastAsia" w:hAnsiTheme="minorHAnsi" w:cstheme="minorBidi"/>
                <w:noProof/>
                <w:lang w:val="en-GB" w:eastAsia="en-GB" w:bidi="ar-SA"/>
              </w:rPr>
              <w:tab/>
            </w:r>
            <w:r>
              <w:rPr>
                <w:rStyle w:val="Hyperlink"/>
                <w:noProof/>
              </w:rPr>
              <w:t>Постигане на баланс между предлагането и търсенето</w:t>
            </w:r>
            <w:r>
              <w:rPr>
                <w:noProof/>
                <w:webHidden/>
              </w:rPr>
              <w:tab/>
            </w:r>
            <w:r>
              <w:rPr>
                <w:noProof/>
                <w:webHidden/>
              </w:rPr>
              <w:fldChar w:fldCharType="begin"/>
            </w:r>
            <w:r>
              <w:rPr>
                <w:noProof/>
                <w:webHidden/>
              </w:rPr>
              <w:instrText xml:space="preserve"> PAGEREF _Toc499041546 \h </w:instrText>
            </w:r>
            <w:r>
              <w:rPr>
                <w:noProof/>
                <w:webHidden/>
              </w:rPr>
            </w:r>
            <w:r>
              <w:rPr>
                <w:noProof/>
                <w:webHidden/>
              </w:rPr>
              <w:fldChar w:fldCharType="separate"/>
            </w:r>
            <w:r>
              <w:rPr>
                <w:noProof/>
                <w:webHidden/>
              </w:rPr>
              <w:t>26</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499041547" w:history="1">
            <w:r>
              <w:rPr>
                <w:rStyle w:val="Hyperlink"/>
                <w:noProof/>
              </w:rPr>
              <w:t>4.</w:t>
            </w:r>
            <w:r>
              <w:rPr>
                <w:rFonts w:asciiTheme="minorHAnsi" w:eastAsiaTheme="minorEastAsia" w:hAnsiTheme="minorHAnsi" w:cstheme="minorBidi"/>
                <w:noProof/>
                <w:lang w:val="en-GB" w:eastAsia="en-GB" w:bidi="ar-SA"/>
              </w:rPr>
              <w:tab/>
            </w:r>
            <w:r>
              <w:rPr>
                <w:rStyle w:val="Hyperlink"/>
                <w:noProof/>
              </w:rPr>
              <w:t>ВЪЗДУХОПЛАВАНЕ</w:t>
            </w:r>
            <w:r>
              <w:rPr>
                <w:noProof/>
                <w:webHidden/>
              </w:rPr>
              <w:tab/>
            </w:r>
            <w:r>
              <w:rPr>
                <w:noProof/>
                <w:webHidden/>
              </w:rPr>
              <w:fldChar w:fldCharType="begin"/>
            </w:r>
            <w:r>
              <w:rPr>
                <w:noProof/>
                <w:webHidden/>
              </w:rPr>
              <w:instrText xml:space="preserve"> PAGEREF _Toc499041547 \h </w:instrText>
            </w:r>
            <w:r>
              <w:rPr>
                <w:noProof/>
                <w:webHidden/>
              </w:rPr>
            </w:r>
            <w:r>
              <w:rPr>
                <w:noProof/>
                <w:webHidden/>
              </w:rPr>
              <w:fldChar w:fldCharType="separate"/>
            </w:r>
            <w:r>
              <w:rPr>
                <w:noProof/>
                <w:webHidden/>
              </w:rPr>
              <w:t>30</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499041548" w:history="1">
            <w:r>
              <w:rPr>
                <w:rStyle w:val="Hyperlink"/>
                <w:noProof/>
              </w:rPr>
              <w:t>5.</w:t>
            </w:r>
            <w:r>
              <w:rPr>
                <w:rFonts w:asciiTheme="minorHAnsi" w:eastAsiaTheme="minorEastAsia" w:hAnsiTheme="minorHAnsi" w:cstheme="minorBidi"/>
                <w:noProof/>
                <w:lang w:val="en-GB" w:eastAsia="en-GB" w:bidi="ar-SA"/>
              </w:rPr>
              <w:tab/>
            </w:r>
            <w:r>
              <w:rPr>
                <w:rStyle w:val="Hyperlink"/>
                <w:noProof/>
              </w:rPr>
              <w:t>НАДЗОР НА ПАЗАРА</w:t>
            </w:r>
            <w:r>
              <w:rPr>
                <w:noProof/>
                <w:webHidden/>
              </w:rPr>
              <w:tab/>
            </w:r>
            <w:r>
              <w:rPr>
                <w:noProof/>
                <w:webHidden/>
              </w:rPr>
              <w:fldChar w:fldCharType="begin"/>
            </w:r>
            <w:r>
              <w:rPr>
                <w:noProof/>
                <w:webHidden/>
              </w:rPr>
              <w:instrText xml:space="preserve"> PAGEREF _Toc499041548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880"/>
              <w:tab w:val="right" w:leader="dot" w:pos="9016"/>
            </w:tabs>
            <w:rPr>
              <w:rFonts w:asciiTheme="minorHAnsi" w:eastAsiaTheme="minorEastAsia" w:hAnsiTheme="minorHAnsi" w:cstheme="minorBidi"/>
              <w:noProof/>
              <w:lang w:val="en-GB" w:eastAsia="en-GB" w:bidi="ar-SA"/>
            </w:rPr>
          </w:pPr>
          <w:hyperlink w:anchor="_Toc499041549" w:history="1">
            <w:r>
              <w:rPr>
                <w:rStyle w:val="Hyperlink"/>
                <w:noProof/>
              </w:rPr>
              <w:t>5.1.</w:t>
            </w:r>
            <w:r>
              <w:rPr>
                <w:rFonts w:asciiTheme="minorHAnsi" w:eastAsiaTheme="minorEastAsia" w:hAnsiTheme="minorHAnsi" w:cstheme="minorBidi"/>
                <w:noProof/>
                <w:lang w:val="en-GB" w:eastAsia="en-GB" w:bidi="ar-SA"/>
              </w:rPr>
              <w:tab/>
            </w:r>
            <w:r>
              <w:rPr>
                <w:rStyle w:val="Hyperlink"/>
                <w:noProof/>
              </w:rPr>
              <w:t>Правно естество и данъчно третиране на квотите за емисии</w:t>
            </w:r>
            <w:r>
              <w:rPr>
                <w:noProof/>
                <w:webHidden/>
              </w:rPr>
              <w:tab/>
            </w:r>
            <w:r>
              <w:rPr>
                <w:noProof/>
                <w:webHidden/>
              </w:rPr>
              <w:fldChar w:fldCharType="begin"/>
            </w:r>
            <w:r>
              <w:rPr>
                <w:noProof/>
                <w:webHidden/>
              </w:rPr>
              <w:instrText xml:space="preserve"> PAGEREF _Toc499041549 \h </w:instrText>
            </w:r>
            <w:r>
              <w:rPr>
                <w:noProof/>
                <w:webHidden/>
              </w:rPr>
            </w:r>
            <w:r>
              <w:rPr>
                <w:noProof/>
                <w:webHidden/>
              </w:rPr>
              <w:fldChar w:fldCharType="separate"/>
            </w:r>
            <w:r>
              <w:rPr>
                <w:noProof/>
                <w:webHidden/>
              </w:rPr>
              <w:t>34</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499041550" w:history="1">
            <w:r>
              <w:rPr>
                <w:rStyle w:val="Hyperlink"/>
                <w:noProof/>
              </w:rPr>
              <w:t>6.</w:t>
            </w:r>
            <w:r>
              <w:rPr>
                <w:rFonts w:asciiTheme="minorHAnsi" w:eastAsiaTheme="minorEastAsia" w:hAnsiTheme="minorHAnsi" w:cstheme="minorBidi"/>
                <w:noProof/>
                <w:lang w:val="en-GB" w:eastAsia="en-GB" w:bidi="ar-SA"/>
              </w:rPr>
              <w:tab/>
            </w:r>
            <w:r>
              <w:rPr>
                <w:rStyle w:val="Hyperlink"/>
                <w:noProof/>
              </w:rPr>
              <w:t>МОНИТОРИНГ, ДОКЛАДВАНЕ И ВЕРИФИКАЦИЯ НА ЕМИСИИТЕ</w:t>
            </w:r>
            <w:r>
              <w:rPr>
                <w:noProof/>
                <w:webHidden/>
              </w:rPr>
              <w:tab/>
            </w:r>
            <w:r>
              <w:rPr>
                <w:noProof/>
                <w:webHidden/>
              </w:rPr>
              <w:fldChar w:fldCharType="begin"/>
            </w:r>
            <w:r>
              <w:rPr>
                <w:noProof/>
                <w:webHidden/>
              </w:rPr>
              <w:instrText xml:space="preserve"> PAGEREF _Toc499041550 \h </w:instrText>
            </w:r>
            <w:r>
              <w:rPr>
                <w:noProof/>
                <w:webHidden/>
              </w:rPr>
            </w:r>
            <w:r>
              <w:rPr>
                <w:noProof/>
                <w:webHidden/>
              </w:rPr>
              <w:fldChar w:fldCharType="separate"/>
            </w:r>
            <w:r>
              <w:rPr>
                <w:noProof/>
                <w:webHidden/>
              </w:rPr>
              <w:t>35</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499041551" w:history="1">
            <w:r>
              <w:rPr>
                <w:rStyle w:val="Hyperlink"/>
                <w:noProof/>
              </w:rPr>
              <w:t>7.</w:t>
            </w:r>
            <w:r>
              <w:rPr>
                <w:rFonts w:asciiTheme="minorHAnsi" w:eastAsiaTheme="minorEastAsia" w:hAnsiTheme="minorHAnsi" w:cstheme="minorBidi"/>
                <w:noProof/>
                <w:lang w:val="en-GB" w:eastAsia="en-GB" w:bidi="ar-SA"/>
              </w:rPr>
              <w:tab/>
            </w:r>
            <w:r>
              <w:rPr>
                <w:rStyle w:val="Hyperlink"/>
                <w:noProof/>
              </w:rPr>
              <w:t>ПРЕГЛЕД НА АДМИНИСТРАТИВНИТЕ МЕРКИ</w:t>
            </w:r>
            <w:r>
              <w:rPr>
                <w:noProof/>
                <w:webHidden/>
              </w:rPr>
              <w:tab/>
            </w:r>
            <w:r>
              <w:rPr>
                <w:noProof/>
                <w:webHidden/>
              </w:rPr>
              <w:fldChar w:fldCharType="begin"/>
            </w:r>
            <w:r>
              <w:rPr>
                <w:noProof/>
                <w:webHidden/>
              </w:rPr>
              <w:instrText xml:space="preserve"> PAGEREF _Toc499041551 \h </w:instrText>
            </w:r>
            <w:r>
              <w:rPr>
                <w:noProof/>
                <w:webHidden/>
              </w:rPr>
            </w:r>
            <w:r>
              <w:rPr>
                <w:noProof/>
                <w:webHidden/>
              </w:rPr>
              <w:fldChar w:fldCharType="separate"/>
            </w:r>
            <w:r>
              <w:rPr>
                <w:noProof/>
                <w:webHidden/>
              </w:rPr>
              <w:t>38</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499041552" w:history="1">
            <w:r>
              <w:rPr>
                <w:rStyle w:val="Hyperlink"/>
                <w:noProof/>
              </w:rPr>
              <w:t>8.</w:t>
            </w:r>
            <w:r>
              <w:rPr>
                <w:rFonts w:asciiTheme="minorHAnsi" w:eastAsiaTheme="minorEastAsia" w:hAnsiTheme="minorHAnsi" w:cstheme="minorBidi"/>
                <w:noProof/>
                <w:lang w:val="en-GB" w:eastAsia="en-GB" w:bidi="ar-SA"/>
              </w:rPr>
              <w:tab/>
            </w:r>
            <w:r>
              <w:rPr>
                <w:rStyle w:val="Hyperlink"/>
                <w:noProof/>
              </w:rPr>
              <w:t>СЪОТВЕТСТВИЕ И ПРИЛАГАНЕ</w:t>
            </w:r>
            <w:r>
              <w:rPr>
                <w:noProof/>
                <w:webHidden/>
              </w:rPr>
              <w:tab/>
            </w:r>
            <w:r>
              <w:rPr>
                <w:noProof/>
                <w:webHidden/>
              </w:rPr>
              <w:fldChar w:fldCharType="begin"/>
            </w:r>
            <w:r>
              <w:rPr>
                <w:noProof/>
                <w:webHidden/>
              </w:rPr>
              <w:instrText xml:space="preserve"> PAGEREF _Toc499041552 \h </w:instrText>
            </w:r>
            <w:r>
              <w:rPr>
                <w:noProof/>
                <w:webHidden/>
              </w:rPr>
            </w:r>
            <w:r>
              <w:rPr>
                <w:noProof/>
                <w:webHidden/>
              </w:rPr>
              <w:fldChar w:fldCharType="separate"/>
            </w:r>
            <w:r>
              <w:rPr>
                <w:noProof/>
                <w:webHidden/>
              </w:rPr>
              <w:t>39</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499041553" w:history="1">
            <w:r>
              <w:rPr>
                <w:rStyle w:val="Hyperlink"/>
                <w:noProof/>
              </w:rPr>
              <w:t>9.</w:t>
            </w:r>
            <w:r>
              <w:rPr>
                <w:rFonts w:asciiTheme="minorHAnsi" w:eastAsiaTheme="minorEastAsia" w:hAnsiTheme="minorHAnsi" w:cstheme="minorBidi"/>
                <w:noProof/>
                <w:lang w:val="en-GB" w:eastAsia="en-GB" w:bidi="ar-SA"/>
              </w:rPr>
              <w:tab/>
            </w:r>
            <w:r>
              <w:rPr>
                <w:rStyle w:val="Hyperlink"/>
                <w:noProof/>
              </w:rPr>
              <w:t>ЗАКЛЮЧЕНИЯ И ПЕРСПЕКТИВИ</w:t>
            </w:r>
            <w:r>
              <w:rPr>
                <w:noProof/>
                <w:webHidden/>
              </w:rPr>
              <w:tab/>
            </w:r>
            <w:r>
              <w:rPr>
                <w:noProof/>
                <w:webHidden/>
              </w:rPr>
              <w:fldChar w:fldCharType="begin"/>
            </w:r>
            <w:r>
              <w:rPr>
                <w:noProof/>
                <w:webHidden/>
              </w:rPr>
              <w:instrText xml:space="preserve"> PAGEREF _Toc499041553 \h </w:instrText>
            </w:r>
            <w:r>
              <w:rPr>
                <w:noProof/>
                <w:webHidden/>
              </w:rPr>
            </w:r>
            <w:r>
              <w:rPr>
                <w:noProof/>
                <w:webHidden/>
              </w:rPr>
              <w:fldChar w:fldCharType="separate"/>
            </w:r>
            <w:r>
              <w:rPr>
                <w:noProof/>
                <w:webHidden/>
              </w:rPr>
              <w:t>42</w:t>
            </w:r>
            <w:r>
              <w:rPr>
                <w:noProof/>
                <w:webHidden/>
              </w:rPr>
              <w:fldChar w:fldCharType="end"/>
            </w:r>
          </w:hyperlink>
        </w:p>
        <w:p>
          <w:pPr>
            <w:pStyle w:val="TOC1"/>
            <w:tabs>
              <w:tab w:val="right" w:leader="dot" w:pos="9016"/>
            </w:tabs>
            <w:rPr>
              <w:rFonts w:asciiTheme="minorHAnsi" w:eastAsiaTheme="minorEastAsia" w:hAnsiTheme="minorHAnsi" w:cstheme="minorBidi"/>
              <w:noProof/>
              <w:lang w:val="en-GB" w:eastAsia="en-GB" w:bidi="ar-SA"/>
            </w:rPr>
          </w:pPr>
          <w:hyperlink w:anchor="_Toc499041554" w:history="1">
            <w:r>
              <w:rPr>
                <w:rStyle w:val="Hyperlink"/>
                <w:noProof/>
              </w:rPr>
              <w:t>ПРИЛОЖЕНИЕ</w:t>
            </w:r>
            <w:r>
              <w:rPr>
                <w:noProof/>
                <w:webHidden/>
              </w:rPr>
              <w:tab/>
            </w:r>
            <w:r>
              <w:rPr>
                <w:noProof/>
                <w:webHidden/>
              </w:rPr>
              <w:fldChar w:fldCharType="begin"/>
            </w:r>
            <w:r>
              <w:rPr>
                <w:noProof/>
                <w:webHidden/>
              </w:rPr>
              <w:instrText xml:space="preserve"> PAGEREF _Toc499041554 \h </w:instrText>
            </w:r>
            <w:r>
              <w:rPr>
                <w:noProof/>
                <w:webHidden/>
              </w:rPr>
            </w:r>
            <w:r>
              <w:rPr>
                <w:noProof/>
                <w:webHidden/>
              </w:rPr>
              <w:fldChar w:fldCharType="separate"/>
            </w:r>
            <w:r>
              <w:rPr>
                <w:noProof/>
                <w:webHidden/>
              </w:rPr>
              <w:t>43</w:t>
            </w:r>
            <w:r>
              <w:rPr>
                <w:noProof/>
                <w:webHidden/>
              </w:rPr>
              <w:fldChar w:fldCharType="end"/>
            </w:r>
          </w:hyperlink>
        </w:p>
        <w:p>
          <w:pPr>
            <w:pStyle w:val="TOC1"/>
            <w:tabs>
              <w:tab w:val="right" w:leader="dot" w:pos="9016"/>
            </w:tabs>
            <w:rPr>
              <w:rFonts w:ascii="Times New Roman" w:eastAsiaTheme="minorEastAsia" w:hAnsi="Times New Roman"/>
              <w:noProof/>
              <w:sz w:val="24"/>
              <w:szCs w:val="24"/>
            </w:rPr>
          </w:pPr>
          <w:r>
            <w:rPr>
              <w:rFonts w:ascii="Times New Roman" w:hAnsi="Times New Roman"/>
              <w:b/>
              <w:bCs/>
              <w:noProof/>
              <w:sz w:val="24"/>
              <w:szCs w:val="24"/>
            </w:rPr>
            <w:fldChar w:fldCharType="end"/>
          </w:r>
        </w:p>
        <w:p>
          <w:pPr>
            <w:pStyle w:val="Heading1"/>
            <w:rPr>
              <w:noProof/>
              <w:szCs w:val="24"/>
            </w:rPr>
          </w:pPr>
        </w:p>
      </w:sdtContent>
    </w:sdt>
    <w:p>
      <w:pPr>
        <w:rPr>
          <w:noProof/>
        </w:rPr>
      </w:pPr>
    </w:p>
    <w:p>
      <w:pPr>
        <w:rPr>
          <w:noProof/>
        </w:rPr>
      </w:pPr>
    </w:p>
    <w:p>
      <w:pPr>
        <w:pStyle w:val="Heading1"/>
        <w:rPr>
          <w:noProof/>
        </w:rPr>
      </w:pPr>
      <w:bookmarkStart w:id="2" w:name="_Toc499041535"/>
      <w:r>
        <w:rPr>
          <w:noProof/>
        </w:rPr>
        <w:t xml:space="preserve">Списък на акронимите </w:t>
      </w:r>
      <w:bookmarkStart w:id="3" w:name="_Toc495312120"/>
      <w:r>
        <w:rPr>
          <w:noProof/>
        </w:rPr>
        <w:t>и съкращенията</w:t>
      </w:r>
      <w:bookmarkEnd w:id="3"/>
      <w:bookmarkEnd w:id="2"/>
    </w:p>
    <w:p>
      <w:pPr>
        <w:rPr>
          <w:noProof/>
        </w:rPr>
      </w:pPr>
    </w:p>
    <w:p>
      <w:pPr>
        <w:rPr>
          <w:rFonts w:ascii="Times New Roman" w:hAnsi="Times New Roman"/>
          <w:noProof/>
          <w:sz w:val="24"/>
          <w:szCs w:val="24"/>
        </w:rPr>
      </w:pPr>
      <w:r>
        <w:rPr>
          <w:rFonts w:ascii="Times New Roman" w:hAnsi="Times New Roman"/>
          <w:noProof/>
          <w:sz w:val="24"/>
        </w:rPr>
        <w:t>РАВ</w:t>
      </w:r>
      <w:r>
        <w:rPr>
          <w:noProof/>
        </w:rPr>
        <w:tab/>
      </w:r>
      <w:r>
        <w:rPr>
          <w:noProof/>
        </w:rPr>
        <w:tab/>
      </w:r>
      <w:r>
        <w:rPr>
          <w:rFonts w:ascii="Times New Roman" w:hAnsi="Times New Roman"/>
          <w:noProof/>
          <w:sz w:val="24"/>
        </w:rPr>
        <w:t>Регламент относно акредитацията и верификацията</w:t>
      </w:r>
    </w:p>
    <w:p>
      <w:pPr>
        <w:rPr>
          <w:rFonts w:ascii="Times New Roman" w:hAnsi="Times New Roman"/>
          <w:noProof/>
          <w:sz w:val="24"/>
          <w:szCs w:val="24"/>
        </w:rPr>
      </w:pPr>
      <w:r>
        <w:rPr>
          <w:rFonts w:ascii="Times New Roman" w:hAnsi="Times New Roman"/>
          <w:noProof/>
          <w:sz w:val="24"/>
        </w:rPr>
        <w:t>КО</w:t>
      </w:r>
      <w:r>
        <w:rPr>
          <w:noProof/>
        </w:rPr>
        <w:tab/>
      </w:r>
      <w:r>
        <w:rPr>
          <w:noProof/>
        </w:rPr>
        <w:tab/>
      </w:r>
      <w:r>
        <w:rPr>
          <w:rFonts w:ascii="Times New Roman" w:hAnsi="Times New Roman"/>
          <w:noProof/>
          <w:sz w:val="24"/>
        </w:rPr>
        <w:t>Компетентен орган</w:t>
      </w:r>
    </w:p>
    <w:p>
      <w:pPr>
        <w:rPr>
          <w:rFonts w:ascii="Times New Roman" w:hAnsi="Times New Roman"/>
          <w:noProof/>
          <w:sz w:val="24"/>
          <w:szCs w:val="24"/>
        </w:rPr>
      </w:pPr>
      <w:r>
        <w:rPr>
          <w:rFonts w:ascii="Times New Roman" w:hAnsi="Times New Roman"/>
          <w:noProof/>
          <w:sz w:val="24"/>
        </w:rPr>
        <w:t>ССS</w:t>
      </w:r>
      <w:r>
        <w:rPr>
          <w:noProof/>
        </w:rPr>
        <w:tab/>
      </w:r>
      <w:r>
        <w:rPr>
          <w:noProof/>
        </w:rPr>
        <w:tab/>
      </w:r>
      <w:r>
        <w:rPr>
          <w:rFonts w:ascii="Times New Roman" w:hAnsi="Times New Roman"/>
          <w:noProof/>
          <w:sz w:val="24"/>
        </w:rPr>
        <w:t>Улавяне и съхранение на въглероден диоксид</w:t>
      </w:r>
    </w:p>
    <w:p>
      <w:pPr>
        <w:rPr>
          <w:rFonts w:ascii="Times New Roman" w:hAnsi="Times New Roman"/>
          <w:noProof/>
          <w:sz w:val="24"/>
          <w:szCs w:val="24"/>
        </w:rPr>
      </w:pPr>
      <w:r>
        <w:rPr>
          <w:rFonts w:ascii="Times New Roman" w:hAnsi="Times New Roman"/>
          <w:noProof/>
          <w:sz w:val="24"/>
        </w:rPr>
        <w:t>МЧР</w:t>
      </w:r>
      <w:r>
        <w:rPr>
          <w:noProof/>
        </w:rPr>
        <w:tab/>
      </w:r>
      <w:r>
        <w:rPr>
          <w:noProof/>
        </w:rPr>
        <w:tab/>
      </w:r>
      <w:r>
        <w:rPr>
          <w:rFonts w:ascii="Times New Roman" w:hAnsi="Times New Roman"/>
          <w:noProof/>
          <w:sz w:val="24"/>
        </w:rPr>
        <w:t>Механизъм за чисто развитие</w:t>
      </w:r>
    </w:p>
    <w:p>
      <w:pPr>
        <w:rPr>
          <w:rFonts w:ascii="Times New Roman" w:hAnsi="Times New Roman"/>
          <w:noProof/>
          <w:sz w:val="24"/>
          <w:szCs w:val="24"/>
        </w:rPr>
      </w:pPr>
      <w:r>
        <w:rPr>
          <w:rFonts w:ascii="Times New Roman" w:hAnsi="Times New Roman"/>
          <w:noProof/>
          <w:sz w:val="24"/>
        </w:rPr>
        <w:t>СЕРЕ</w:t>
      </w:r>
      <w:r>
        <w:rPr>
          <w:noProof/>
        </w:rPr>
        <w:tab/>
      </w:r>
      <w:r>
        <w:rPr>
          <w:noProof/>
        </w:rPr>
        <w:tab/>
      </w:r>
      <w:r>
        <w:rPr>
          <w:rFonts w:ascii="Times New Roman" w:hAnsi="Times New Roman"/>
          <w:noProof/>
          <w:sz w:val="24"/>
        </w:rPr>
        <w:t>Сертифицирани единици редуцирани емисии</w:t>
      </w:r>
    </w:p>
    <w:p>
      <w:pPr>
        <w:rPr>
          <w:rFonts w:ascii="Times New Roman" w:hAnsi="Times New Roman"/>
          <w:noProof/>
          <w:sz w:val="24"/>
          <w:szCs w:val="24"/>
        </w:rPr>
      </w:pPr>
      <w:r>
        <w:rPr>
          <w:rFonts w:ascii="Times New Roman" w:hAnsi="Times New Roman"/>
          <w:noProof/>
          <w:sz w:val="24"/>
        </w:rPr>
        <w:t>СОRSIA</w:t>
      </w:r>
      <w:r>
        <w:rPr>
          <w:noProof/>
        </w:rPr>
        <w:tab/>
      </w:r>
      <w:r>
        <w:rPr>
          <w:rFonts w:ascii="Times New Roman" w:hAnsi="Times New Roman"/>
          <w:noProof/>
          <w:sz w:val="24"/>
        </w:rPr>
        <w:t>Схема за компенсиране и намаляване на емисиите на въглероден диоксид в международното въздухоплаване</w:t>
      </w:r>
    </w:p>
    <w:p>
      <w:pPr>
        <w:rPr>
          <w:rFonts w:ascii="Times New Roman" w:hAnsi="Times New Roman"/>
          <w:noProof/>
          <w:sz w:val="24"/>
          <w:szCs w:val="24"/>
        </w:rPr>
      </w:pPr>
      <w:r>
        <w:rPr>
          <w:rFonts w:ascii="Times New Roman" w:hAnsi="Times New Roman"/>
          <w:noProof/>
          <w:sz w:val="24"/>
        </w:rPr>
        <w:t>ЕА</w:t>
      </w:r>
      <w:r>
        <w:rPr>
          <w:noProof/>
        </w:rPr>
        <w:tab/>
      </w:r>
      <w:r>
        <w:rPr>
          <w:noProof/>
        </w:rPr>
        <w:tab/>
      </w:r>
      <w:r>
        <w:rPr>
          <w:rFonts w:ascii="Times New Roman" w:hAnsi="Times New Roman"/>
          <w:noProof/>
          <w:sz w:val="24"/>
        </w:rPr>
        <w:t>Европейска организация за акредитация</w:t>
      </w:r>
    </w:p>
    <w:p>
      <w:pPr>
        <w:rPr>
          <w:rFonts w:ascii="Times New Roman" w:hAnsi="Times New Roman"/>
          <w:noProof/>
          <w:sz w:val="24"/>
          <w:szCs w:val="24"/>
        </w:rPr>
      </w:pPr>
      <w:r>
        <w:rPr>
          <w:rFonts w:ascii="Times New Roman" w:hAnsi="Times New Roman"/>
          <w:noProof/>
          <w:sz w:val="24"/>
        </w:rPr>
        <w:t>ЕИП</w:t>
      </w:r>
      <w:r>
        <w:rPr>
          <w:noProof/>
        </w:rPr>
        <w:tab/>
      </w:r>
      <w:r>
        <w:rPr>
          <w:noProof/>
        </w:rPr>
        <w:tab/>
      </w:r>
      <w:r>
        <w:rPr>
          <w:rFonts w:ascii="Times New Roman" w:hAnsi="Times New Roman"/>
          <w:noProof/>
          <w:sz w:val="24"/>
        </w:rPr>
        <w:t>Европейско икономическо пространство</w:t>
      </w:r>
    </w:p>
    <w:p>
      <w:pPr>
        <w:rPr>
          <w:rFonts w:ascii="Times New Roman" w:hAnsi="Times New Roman"/>
          <w:noProof/>
          <w:sz w:val="24"/>
          <w:szCs w:val="24"/>
        </w:rPr>
      </w:pPr>
      <w:r>
        <w:rPr>
          <w:rFonts w:ascii="Times New Roman" w:hAnsi="Times New Roman"/>
          <w:noProof/>
          <w:sz w:val="24"/>
        </w:rPr>
        <w:t>ЕЕХ</w:t>
      </w:r>
      <w:r>
        <w:rPr>
          <w:noProof/>
        </w:rPr>
        <w:tab/>
      </w:r>
      <w:r>
        <w:rPr>
          <w:noProof/>
        </w:rPr>
        <w:tab/>
      </w:r>
      <w:r>
        <w:rPr>
          <w:rFonts w:ascii="Times New Roman" w:hAnsi="Times New Roman"/>
          <w:noProof/>
          <w:sz w:val="24"/>
        </w:rPr>
        <w:t>Европейска енергийна борса</w:t>
      </w:r>
    </w:p>
    <w:p>
      <w:pPr>
        <w:rPr>
          <w:rFonts w:ascii="Times New Roman" w:hAnsi="Times New Roman"/>
          <w:noProof/>
          <w:sz w:val="24"/>
          <w:szCs w:val="24"/>
        </w:rPr>
      </w:pPr>
      <w:r>
        <w:rPr>
          <w:rFonts w:ascii="Times New Roman" w:hAnsi="Times New Roman"/>
          <w:noProof/>
          <w:sz w:val="24"/>
        </w:rPr>
        <w:t>ЕИБ</w:t>
      </w:r>
      <w:r>
        <w:rPr>
          <w:noProof/>
        </w:rPr>
        <w:tab/>
      </w:r>
      <w:r>
        <w:rPr>
          <w:noProof/>
        </w:rPr>
        <w:tab/>
      </w:r>
      <w:r>
        <w:rPr>
          <w:rFonts w:ascii="Times New Roman" w:hAnsi="Times New Roman"/>
          <w:noProof/>
          <w:sz w:val="24"/>
        </w:rPr>
        <w:t>Европейска инвестиционна банка</w:t>
      </w:r>
    </w:p>
    <w:p>
      <w:pPr>
        <w:rPr>
          <w:noProof/>
          <w:szCs w:val="24"/>
        </w:rPr>
      </w:pPr>
      <w:r>
        <w:rPr>
          <w:rFonts w:ascii="Times New Roman" w:hAnsi="Times New Roman"/>
          <w:noProof/>
          <w:sz w:val="24"/>
        </w:rPr>
        <w:t>ЕРЕ</w:t>
      </w:r>
      <w:r>
        <w:rPr>
          <w:noProof/>
        </w:rPr>
        <w:tab/>
      </w:r>
      <w:r>
        <w:rPr>
          <w:noProof/>
        </w:rPr>
        <w:tab/>
      </w:r>
      <w:r>
        <w:rPr>
          <w:rFonts w:ascii="Times New Roman" w:hAnsi="Times New Roman"/>
          <w:noProof/>
          <w:sz w:val="24"/>
        </w:rPr>
        <w:t>Единици редуцирани емисии</w:t>
      </w:r>
    </w:p>
    <w:p>
      <w:pPr>
        <w:rPr>
          <w:rFonts w:ascii="Times New Roman" w:hAnsi="Times New Roman"/>
          <w:noProof/>
          <w:sz w:val="24"/>
          <w:szCs w:val="24"/>
        </w:rPr>
      </w:pPr>
      <w:r>
        <w:rPr>
          <w:rFonts w:ascii="Times New Roman" w:hAnsi="Times New Roman"/>
          <w:noProof/>
          <w:sz w:val="24"/>
        </w:rPr>
        <w:t>СТЕ на ЕС</w:t>
      </w:r>
      <w:r>
        <w:rPr>
          <w:noProof/>
        </w:rPr>
        <w:tab/>
      </w:r>
      <w:r>
        <w:rPr>
          <w:rFonts w:ascii="Times New Roman" w:hAnsi="Times New Roman"/>
          <w:noProof/>
          <w:sz w:val="24"/>
        </w:rPr>
        <w:t>Система на Европейския съюз за търговия с емисии</w:t>
      </w:r>
    </w:p>
    <w:p>
      <w:pPr>
        <w:rPr>
          <w:noProof/>
          <w:szCs w:val="24"/>
        </w:rPr>
      </w:pPr>
      <w:r>
        <w:rPr>
          <w:rFonts w:ascii="Times New Roman" w:hAnsi="Times New Roman"/>
          <w:noProof/>
          <w:sz w:val="24"/>
        </w:rPr>
        <w:t>ЕUTL</w:t>
      </w:r>
      <w:r>
        <w:rPr>
          <w:noProof/>
        </w:rPr>
        <w:tab/>
      </w:r>
      <w:r>
        <w:rPr>
          <w:noProof/>
        </w:rPr>
        <w:tab/>
      </w:r>
      <w:r>
        <w:rPr>
          <w:rFonts w:ascii="Times New Roman" w:hAnsi="Times New Roman"/>
          <w:noProof/>
          <w:sz w:val="24"/>
        </w:rPr>
        <w:t>Дневник на ЕС за трансакциите</w:t>
      </w:r>
    </w:p>
    <w:p>
      <w:pPr>
        <w:rPr>
          <w:rFonts w:ascii="Times New Roman" w:hAnsi="Times New Roman"/>
          <w:noProof/>
          <w:sz w:val="24"/>
          <w:szCs w:val="24"/>
        </w:rPr>
      </w:pPr>
      <w:r>
        <w:rPr>
          <w:rFonts w:ascii="Times New Roman" w:hAnsi="Times New Roman"/>
          <w:noProof/>
          <w:sz w:val="24"/>
        </w:rPr>
        <w:t xml:space="preserve">ПГ  </w:t>
      </w:r>
      <w:r>
        <w:rPr>
          <w:noProof/>
        </w:rPr>
        <w:tab/>
      </w:r>
      <w:r>
        <w:rPr>
          <w:noProof/>
        </w:rPr>
        <w:tab/>
      </w:r>
      <w:r>
        <w:rPr>
          <w:rFonts w:ascii="Times New Roman" w:hAnsi="Times New Roman"/>
          <w:noProof/>
          <w:sz w:val="24"/>
        </w:rPr>
        <w:t>Парников газ</w:t>
      </w:r>
    </w:p>
    <w:p>
      <w:pPr>
        <w:rPr>
          <w:rFonts w:ascii="Times New Roman" w:hAnsi="Times New Roman"/>
          <w:noProof/>
          <w:sz w:val="24"/>
          <w:szCs w:val="24"/>
        </w:rPr>
      </w:pPr>
      <w:r>
        <w:rPr>
          <w:rFonts w:ascii="Times New Roman" w:hAnsi="Times New Roman"/>
          <w:noProof/>
          <w:sz w:val="24"/>
        </w:rPr>
        <w:t>ИКАО</w:t>
      </w:r>
      <w:r>
        <w:rPr>
          <w:noProof/>
        </w:rPr>
        <w:tab/>
      </w:r>
      <w:r>
        <w:rPr>
          <w:noProof/>
        </w:rPr>
        <w:tab/>
      </w:r>
      <w:r>
        <w:rPr>
          <w:rFonts w:ascii="Times New Roman" w:hAnsi="Times New Roman"/>
          <w:noProof/>
          <w:sz w:val="24"/>
        </w:rPr>
        <w:t>Международна организация за гражданско въздухоплаване</w:t>
      </w:r>
    </w:p>
    <w:p>
      <w:pPr>
        <w:rPr>
          <w:rFonts w:ascii="Times New Roman" w:hAnsi="Times New Roman"/>
          <w:noProof/>
          <w:sz w:val="24"/>
          <w:szCs w:val="24"/>
        </w:rPr>
      </w:pPr>
      <w:r>
        <w:rPr>
          <w:rFonts w:ascii="Times New Roman" w:hAnsi="Times New Roman"/>
          <w:noProof/>
          <w:sz w:val="24"/>
        </w:rPr>
        <w:t>ІСЕ</w:t>
      </w:r>
      <w:r>
        <w:rPr>
          <w:noProof/>
        </w:rPr>
        <w:tab/>
      </w:r>
      <w:r>
        <w:rPr>
          <w:noProof/>
        </w:rPr>
        <w:tab/>
      </w:r>
      <w:r>
        <w:rPr>
          <w:rFonts w:ascii="Times New Roman" w:hAnsi="Times New Roman"/>
          <w:noProof/>
          <w:sz w:val="24"/>
        </w:rPr>
        <w:t>ІСЕ Future Europe</w:t>
      </w:r>
    </w:p>
    <w:p>
      <w:pPr>
        <w:rPr>
          <w:rFonts w:ascii="Times New Roman" w:hAnsi="Times New Roman"/>
          <w:noProof/>
          <w:sz w:val="24"/>
          <w:szCs w:val="24"/>
        </w:rPr>
      </w:pPr>
      <w:r>
        <w:rPr>
          <w:rFonts w:ascii="Times New Roman" w:hAnsi="Times New Roman"/>
          <w:noProof/>
          <w:sz w:val="24"/>
        </w:rPr>
        <w:t>JI</w:t>
      </w:r>
      <w:r>
        <w:rPr>
          <w:noProof/>
        </w:rPr>
        <w:tab/>
      </w:r>
      <w:r>
        <w:rPr>
          <w:noProof/>
        </w:rPr>
        <w:tab/>
      </w:r>
      <w:r>
        <w:rPr>
          <w:rFonts w:ascii="Times New Roman" w:hAnsi="Times New Roman"/>
          <w:noProof/>
          <w:sz w:val="24"/>
        </w:rPr>
        <w:t>Съвместно изпълнение</w:t>
      </w:r>
    </w:p>
    <w:p>
      <w:pPr>
        <w:rPr>
          <w:rFonts w:ascii="Times New Roman" w:hAnsi="Times New Roman"/>
          <w:noProof/>
          <w:sz w:val="24"/>
          <w:szCs w:val="24"/>
        </w:rPr>
      </w:pPr>
      <w:r>
        <w:rPr>
          <w:rFonts w:ascii="Times New Roman" w:hAnsi="Times New Roman"/>
          <w:noProof/>
          <w:sz w:val="24"/>
        </w:rPr>
        <w:t>MAR</w:t>
      </w:r>
      <w:r>
        <w:rPr>
          <w:noProof/>
        </w:rPr>
        <w:tab/>
      </w:r>
      <w:r>
        <w:rPr>
          <w:noProof/>
        </w:rPr>
        <w:tab/>
      </w:r>
      <w:r>
        <w:rPr>
          <w:rFonts w:ascii="Times New Roman" w:hAnsi="Times New Roman"/>
          <w:noProof/>
          <w:sz w:val="24"/>
        </w:rPr>
        <w:t>Регламент относно пазарната злоупотреба</w:t>
      </w:r>
    </w:p>
    <w:p>
      <w:pPr>
        <w:rPr>
          <w:rFonts w:ascii="Times New Roman" w:hAnsi="Times New Roman"/>
          <w:noProof/>
          <w:sz w:val="24"/>
          <w:szCs w:val="24"/>
        </w:rPr>
      </w:pPr>
      <w:r>
        <w:rPr>
          <w:rFonts w:ascii="Times New Roman" w:hAnsi="Times New Roman"/>
          <w:noProof/>
          <w:sz w:val="24"/>
        </w:rPr>
        <w:lastRenderedPageBreak/>
        <w:t>MiFID2</w:t>
      </w:r>
      <w:r>
        <w:rPr>
          <w:noProof/>
        </w:rPr>
        <w:tab/>
      </w:r>
      <w:r>
        <w:rPr>
          <w:rFonts w:ascii="Times New Roman" w:hAnsi="Times New Roman"/>
          <w:noProof/>
          <w:sz w:val="24"/>
        </w:rPr>
        <w:t>Директива относно пазарите на финансови инструменти</w:t>
      </w:r>
    </w:p>
    <w:p>
      <w:pPr>
        <w:rPr>
          <w:rFonts w:ascii="Times New Roman" w:hAnsi="Times New Roman"/>
          <w:noProof/>
          <w:sz w:val="24"/>
          <w:szCs w:val="24"/>
        </w:rPr>
      </w:pPr>
      <w:r>
        <w:rPr>
          <w:rFonts w:ascii="Times New Roman" w:hAnsi="Times New Roman"/>
          <w:noProof/>
          <w:sz w:val="24"/>
        </w:rPr>
        <w:t>РМД</w:t>
      </w:r>
      <w:r>
        <w:rPr>
          <w:noProof/>
        </w:rPr>
        <w:tab/>
      </w:r>
      <w:r>
        <w:rPr>
          <w:noProof/>
        </w:rPr>
        <w:tab/>
      </w:r>
      <w:r>
        <w:rPr>
          <w:rFonts w:ascii="Times New Roman" w:hAnsi="Times New Roman"/>
          <w:noProof/>
          <w:sz w:val="24"/>
        </w:rPr>
        <w:t>Регламент за мониторинг и докладване</w:t>
      </w:r>
    </w:p>
    <w:p>
      <w:pPr>
        <w:rPr>
          <w:rFonts w:ascii="Times New Roman" w:hAnsi="Times New Roman"/>
          <w:noProof/>
          <w:sz w:val="24"/>
          <w:szCs w:val="24"/>
        </w:rPr>
      </w:pPr>
      <w:r>
        <w:rPr>
          <w:rFonts w:ascii="Times New Roman" w:hAnsi="Times New Roman"/>
          <w:noProof/>
          <w:sz w:val="24"/>
        </w:rPr>
        <w:t>МДВ</w:t>
      </w:r>
      <w:r>
        <w:rPr>
          <w:noProof/>
        </w:rPr>
        <w:tab/>
      </w:r>
      <w:r>
        <w:rPr>
          <w:noProof/>
        </w:rPr>
        <w:tab/>
      </w:r>
      <w:r>
        <w:rPr>
          <w:rFonts w:ascii="Times New Roman" w:hAnsi="Times New Roman"/>
          <w:noProof/>
          <w:sz w:val="24"/>
        </w:rPr>
        <w:t>Мониторинг, докладване и верификация</w:t>
      </w:r>
    </w:p>
    <w:p>
      <w:pPr>
        <w:rPr>
          <w:noProof/>
          <w:szCs w:val="24"/>
        </w:rPr>
      </w:pPr>
      <w:r>
        <w:rPr>
          <w:rFonts w:ascii="Times New Roman" w:hAnsi="Times New Roman"/>
          <w:noProof/>
          <w:sz w:val="24"/>
        </w:rPr>
        <w:t>МДВА</w:t>
      </w:r>
      <w:r>
        <w:rPr>
          <w:noProof/>
        </w:rPr>
        <w:tab/>
      </w:r>
      <w:r>
        <w:rPr>
          <w:rFonts w:ascii="Times New Roman" w:hAnsi="Times New Roman"/>
          <w:noProof/>
          <w:sz w:val="24"/>
        </w:rPr>
        <w:t>Мониторинг, докладване, верификация и акредитация</w:t>
      </w:r>
    </w:p>
    <w:p>
      <w:pPr>
        <w:rPr>
          <w:rFonts w:ascii="Times New Roman" w:hAnsi="Times New Roman"/>
          <w:noProof/>
          <w:sz w:val="24"/>
          <w:szCs w:val="24"/>
        </w:rPr>
      </w:pPr>
      <w:r>
        <w:rPr>
          <w:rFonts w:ascii="Times New Roman" w:hAnsi="Times New Roman"/>
          <w:noProof/>
          <w:sz w:val="24"/>
        </w:rPr>
        <w:t xml:space="preserve">МSR  </w:t>
      </w:r>
      <w:r>
        <w:rPr>
          <w:noProof/>
        </w:rPr>
        <w:tab/>
      </w:r>
      <w:r>
        <w:rPr>
          <w:noProof/>
        </w:rPr>
        <w:tab/>
      </w:r>
      <w:r>
        <w:rPr>
          <w:rFonts w:ascii="Times New Roman" w:hAnsi="Times New Roman"/>
          <w:noProof/>
          <w:sz w:val="24"/>
        </w:rPr>
        <w:t>Резерв за стабилност на пазара</w:t>
      </w:r>
    </w:p>
    <w:p>
      <w:pPr>
        <w:rPr>
          <w:rFonts w:ascii="Times New Roman" w:hAnsi="Times New Roman"/>
          <w:noProof/>
          <w:sz w:val="24"/>
          <w:szCs w:val="24"/>
        </w:rPr>
      </w:pPr>
      <w:r>
        <w:rPr>
          <w:rFonts w:ascii="Times New Roman" w:hAnsi="Times New Roman"/>
          <w:noProof/>
          <w:sz w:val="24"/>
        </w:rPr>
        <w:t>НОА</w:t>
      </w:r>
      <w:r>
        <w:rPr>
          <w:noProof/>
        </w:rPr>
        <w:tab/>
      </w:r>
      <w:r>
        <w:rPr>
          <w:noProof/>
        </w:rPr>
        <w:tab/>
      </w:r>
      <w:r>
        <w:rPr>
          <w:rFonts w:ascii="Times New Roman" w:hAnsi="Times New Roman"/>
          <w:noProof/>
          <w:sz w:val="24"/>
        </w:rPr>
        <w:t>Национален орган по акредитация</w:t>
      </w:r>
    </w:p>
    <w:p>
      <w:pPr>
        <w:rPr>
          <w:noProof/>
          <w:szCs w:val="24"/>
        </w:rPr>
      </w:pPr>
      <w:r>
        <w:rPr>
          <w:rFonts w:ascii="Times New Roman" w:hAnsi="Times New Roman"/>
          <w:noProof/>
          <w:sz w:val="24"/>
        </w:rPr>
        <w:t>NER</w:t>
      </w:r>
      <w:r>
        <w:rPr>
          <w:noProof/>
        </w:rPr>
        <w:tab/>
      </w:r>
      <w:r>
        <w:rPr>
          <w:noProof/>
        </w:rPr>
        <w:tab/>
      </w:r>
      <w:r>
        <w:rPr>
          <w:rFonts w:ascii="Times New Roman" w:hAnsi="Times New Roman"/>
          <w:noProof/>
          <w:sz w:val="24"/>
        </w:rPr>
        <w:t>Резерв за нови участници</w:t>
      </w:r>
    </w:p>
    <w:p>
      <w:pPr>
        <w:rPr>
          <w:noProof/>
          <w:szCs w:val="24"/>
        </w:rPr>
      </w:pPr>
      <w:r>
        <w:rPr>
          <w:rFonts w:ascii="Times New Roman" w:hAnsi="Times New Roman"/>
          <w:noProof/>
          <w:sz w:val="24"/>
        </w:rPr>
        <w:t>PFC</w:t>
      </w:r>
      <w:r>
        <w:rPr>
          <w:noProof/>
        </w:rPr>
        <w:tab/>
      </w:r>
      <w:r>
        <w:rPr>
          <w:noProof/>
        </w:rPr>
        <w:tab/>
      </w:r>
      <w:r>
        <w:rPr>
          <w:rFonts w:ascii="Times New Roman" w:hAnsi="Times New Roman"/>
          <w:noProof/>
          <w:sz w:val="24"/>
        </w:rPr>
        <w:t>Перфлуоровъглероди</w:t>
      </w:r>
    </w:p>
    <w:p>
      <w:pPr>
        <w:rPr>
          <w:noProof/>
          <w:szCs w:val="24"/>
        </w:rPr>
      </w:pPr>
      <w:r>
        <w:rPr>
          <w:rFonts w:ascii="Times New Roman" w:hAnsi="Times New Roman"/>
          <w:noProof/>
          <w:sz w:val="24"/>
        </w:rPr>
        <w:t>ВЕИ</w:t>
      </w:r>
      <w:r>
        <w:rPr>
          <w:noProof/>
        </w:rPr>
        <w:tab/>
      </w:r>
      <w:r>
        <w:rPr>
          <w:noProof/>
        </w:rPr>
        <w:tab/>
      </w:r>
      <w:r>
        <w:rPr>
          <w:rFonts w:ascii="Times New Roman" w:hAnsi="Times New Roman"/>
          <w:noProof/>
          <w:sz w:val="24"/>
        </w:rPr>
        <w:t>Възобновяеми енергийни източници</w:t>
      </w:r>
    </w:p>
    <w:p>
      <w:pPr>
        <w:rPr>
          <w:noProof/>
          <w:szCs w:val="24"/>
        </w:rPr>
      </w:pPr>
      <w:r>
        <w:rPr>
          <w:rFonts w:ascii="Times New Roman" w:hAnsi="Times New Roman"/>
          <w:noProof/>
          <w:sz w:val="24"/>
        </w:rPr>
        <w:t>ОБКО</w:t>
      </w:r>
      <w:r>
        <w:rPr>
          <w:noProof/>
        </w:rPr>
        <w:tab/>
      </w:r>
      <w:r>
        <w:rPr>
          <w:noProof/>
        </w:rPr>
        <w:tab/>
      </w:r>
      <w:r>
        <w:rPr>
          <w:rFonts w:ascii="Times New Roman" w:hAnsi="Times New Roman"/>
          <w:noProof/>
          <w:sz w:val="24"/>
        </w:rPr>
        <w:t>Общ брой квоти в обращение</w:t>
      </w:r>
    </w:p>
    <w:p>
      <w:pPr>
        <w:pStyle w:val="Heading1"/>
        <w:numPr>
          <w:ilvl w:val="0"/>
          <w:numId w:val="1"/>
        </w:numPr>
        <w:rPr>
          <w:noProof/>
        </w:rPr>
      </w:pPr>
      <w:r>
        <w:rPr>
          <w:noProof/>
        </w:rPr>
        <w:br w:type="page"/>
      </w:r>
      <w:bookmarkStart w:id="4" w:name="_Toc490850418"/>
      <w:bookmarkStart w:id="5" w:name="_Toc495312121"/>
      <w:bookmarkStart w:id="6" w:name="_Toc499041536"/>
      <w:r>
        <w:rPr>
          <w:noProof/>
        </w:rPr>
        <w:t>ВЪВЕДЕНИЕ</w:t>
      </w:r>
      <w:bookmarkEnd w:id="4"/>
      <w:bookmarkEnd w:id="5"/>
      <w:bookmarkEnd w:id="6"/>
    </w:p>
    <w:p>
      <w:pPr>
        <w:jc w:val="both"/>
        <w:rPr>
          <w:rFonts w:ascii="Times New Roman" w:hAnsi="Times New Roman"/>
          <w:b/>
          <w:noProof/>
          <w:sz w:val="24"/>
          <w:szCs w:val="24"/>
        </w:rPr>
      </w:pPr>
      <w:r>
        <w:rPr>
          <w:rFonts w:ascii="Times New Roman" w:hAnsi="Times New Roman"/>
          <w:noProof/>
          <w:sz w:val="24"/>
        </w:rPr>
        <w:t>От 2005 г. насам системата за търговия с емисии на ЕС (СТЕ на ЕС) е в основата на стратегията на ЕС за намаляване на емисиите на парникови газове (ПГ) от промишлеността и електроенергийния сектор. Тя допринася значително за постигането на целта на ЕС за намаляване на емисиите на парникови газове с 20 % от нивата от 1990 г. до 2020 г. Макар че ЕС е на път да надмине този целеви показател</w:t>
      </w:r>
      <w:r>
        <w:rPr>
          <w:rStyle w:val="FootnoteReference"/>
          <w:rFonts w:ascii="Times New Roman" w:hAnsi="Times New Roman"/>
          <w:noProof/>
          <w:sz w:val="24"/>
        </w:rPr>
        <w:footnoteReference w:id="1"/>
      </w:r>
      <w:r>
        <w:rPr>
          <w:rFonts w:ascii="Times New Roman" w:hAnsi="Times New Roman"/>
          <w:noProof/>
          <w:sz w:val="24"/>
        </w:rPr>
        <w:t>, намаляването на емисиите на парникови газове с най-малко 40 % до 2030 г. — както се предвижда в Рамката на ЕС за политиките в областта на климата и енергетиката за периода до 2030 г. — налага да се осигури постоянен напредък</w:t>
      </w:r>
      <w:r>
        <w:rPr>
          <w:rStyle w:val="FootnoteReference"/>
          <w:rFonts w:ascii="Times New Roman" w:hAnsi="Times New Roman"/>
          <w:noProof/>
          <w:sz w:val="24"/>
        </w:rPr>
        <w:footnoteReference w:id="2"/>
      </w:r>
      <w:r>
        <w:rPr>
          <w:rFonts w:ascii="Times New Roman" w:hAnsi="Times New Roman"/>
          <w:noProof/>
          <w:sz w:val="24"/>
        </w:rPr>
        <w:t>. Целта за вътрешно намаление до 2030 г. ще бъде постигната колективно от ЕС чрез намаление както в секторите в рамките на СТЕ, така и в тези извън СТЕ. Въпреки това добре функциониращата и реформирана СТЕ на ЕС ще бъде основният механизъм за постигането на тази цел, който ще помогне за намаление на емисиите на ПГ с 43 % спрямо количествата от 2005 г. в секторите, обхванати от тази система.</w:t>
      </w:r>
    </w:p>
    <w:p>
      <w:pPr>
        <w:jc w:val="both"/>
        <w:rPr>
          <w:rFonts w:ascii="Times New Roman" w:hAnsi="Times New Roman"/>
          <w:noProof/>
          <w:sz w:val="24"/>
          <w:szCs w:val="24"/>
        </w:rPr>
      </w:pPr>
      <w:r>
        <w:rPr>
          <w:rFonts w:ascii="Times New Roman" w:hAnsi="Times New Roman"/>
          <w:noProof/>
          <w:sz w:val="24"/>
        </w:rPr>
        <w:t>За да даде възможност на СТЕ на ЕС да постигне тази цел, през юли 2015 г. Комисията представи законодателно предложение</w:t>
      </w:r>
      <w:r>
        <w:rPr>
          <w:rStyle w:val="FootnoteReference"/>
          <w:rFonts w:ascii="Times New Roman" w:hAnsi="Times New Roman"/>
          <w:noProof/>
          <w:sz w:val="24"/>
        </w:rPr>
        <w:footnoteReference w:id="3"/>
      </w:r>
      <w:r>
        <w:rPr>
          <w:rFonts w:ascii="Times New Roman" w:hAnsi="Times New Roman"/>
          <w:noProof/>
          <w:sz w:val="24"/>
        </w:rPr>
        <w:t xml:space="preserve"> за реформа на СТЕ на ЕС за четвъртия ѝ период на търгуване (2021—2030 г.). След продължителен процес на тристранни разговори в началото на ноември 2017 г. бе постигнато политическо споразумение по предложението.</w:t>
      </w:r>
      <w:r>
        <w:rPr>
          <w:rStyle w:val="FootnoteReference"/>
          <w:rFonts w:ascii="Times New Roman" w:hAnsi="Times New Roman"/>
          <w:noProof/>
          <w:sz w:val="24"/>
        </w:rPr>
        <w:footnoteReference w:id="4"/>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Настоящият доклад за функционирането на европейския пазар на въглеродни емисии е представен в съответствие с изискванията на член 10, параграф 5 и член 21, параграф 2 от Директива 2003/87/ЕО</w:t>
      </w:r>
      <w:r>
        <w:rPr>
          <w:rStyle w:val="FootnoteReference"/>
          <w:rFonts w:ascii="Times New Roman" w:hAnsi="Times New Roman"/>
          <w:noProof/>
          <w:sz w:val="24"/>
        </w:rPr>
        <w:footnoteReference w:id="5"/>
      </w:r>
      <w:r>
        <w:rPr>
          <w:rFonts w:ascii="Times New Roman" w:hAnsi="Times New Roman"/>
          <w:noProof/>
          <w:sz w:val="24"/>
        </w:rPr>
        <w:t xml:space="preserve"> (Директива за СТЕ на ЕС). Както е предвидено в директивата, целта на доклада е да предоставя ежегодно актуална картина на развитието на европейския пазар на въглеродни емисии. </w:t>
      </w:r>
    </w:p>
    <w:p>
      <w:pPr>
        <w:jc w:val="both"/>
        <w:rPr>
          <w:rFonts w:ascii="Times New Roman" w:hAnsi="Times New Roman"/>
          <w:b/>
          <w:noProof/>
        </w:rPr>
      </w:pPr>
      <w:r>
        <w:rPr>
          <w:rFonts w:ascii="Times New Roman" w:hAnsi="Times New Roman"/>
          <w:b/>
          <w:noProof/>
        </w:rPr>
        <w:t>Таблица 1: Доклади за пазара на въглеродни емисии през предходните години</w:t>
      </w:r>
      <w:r>
        <w:rPr>
          <w:rStyle w:val="FootnoteReference"/>
          <w:rFonts w:ascii="Times New Roman" w:hAnsi="Times New Roman"/>
          <w:b/>
          <w:noProof/>
        </w:rPr>
        <w:footnoteReference w:id="6"/>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4"/>
        <w:gridCol w:w="2985"/>
        <w:gridCol w:w="2985"/>
      </w:tblGrid>
      <w:tr>
        <w:trPr>
          <w:trHeight w:val="204"/>
          <w:jc w:val="center"/>
        </w:trPr>
        <w:tc>
          <w:tcPr>
            <w:tcW w:w="2984" w:type="dxa"/>
            <w:vAlign w:val="center"/>
          </w:tcPr>
          <w:p>
            <w:pPr>
              <w:jc w:val="center"/>
              <w:rPr>
                <w:rFonts w:ascii="Times New Roman" w:hAnsi="Times New Roman"/>
                <w:b/>
                <w:noProof/>
              </w:rPr>
            </w:pPr>
            <w:r>
              <w:rPr>
                <w:rFonts w:ascii="Times New Roman" w:hAnsi="Times New Roman"/>
                <w:b/>
                <w:noProof/>
              </w:rPr>
              <w:t>Позоваване</w:t>
            </w:r>
          </w:p>
        </w:tc>
        <w:tc>
          <w:tcPr>
            <w:tcW w:w="2985" w:type="dxa"/>
            <w:vAlign w:val="center"/>
          </w:tcPr>
          <w:p>
            <w:pPr>
              <w:jc w:val="center"/>
              <w:rPr>
                <w:rFonts w:ascii="Times New Roman" w:hAnsi="Times New Roman"/>
                <w:b/>
                <w:noProof/>
              </w:rPr>
            </w:pPr>
            <w:r>
              <w:rPr>
                <w:rFonts w:ascii="Times New Roman" w:hAnsi="Times New Roman"/>
                <w:b/>
                <w:noProof/>
              </w:rPr>
              <w:t>Обхванат период</w:t>
            </w:r>
          </w:p>
        </w:tc>
        <w:tc>
          <w:tcPr>
            <w:tcW w:w="2985" w:type="dxa"/>
            <w:vAlign w:val="center"/>
          </w:tcPr>
          <w:p>
            <w:pPr>
              <w:jc w:val="center"/>
              <w:rPr>
                <w:rFonts w:ascii="Times New Roman" w:hAnsi="Times New Roman"/>
                <w:b/>
                <w:noProof/>
              </w:rPr>
            </w:pPr>
            <w:r>
              <w:rPr>
                <w:rFonts w:ascii="Times New Roman" w:hAnsi="Times New Roman"/>
                <w:b/>
                <w:noProof/>
              </w:rPr>
              <w:t>Политически контекст</w:t>
            </w:r>
          </w:p>
        </w:tc>
      </w:tr>
      <w:tr>
        <w:trPr>
          <w:trHeight w:val="870"/>
          <w:jc w:val="center"/>
        </w:trPr>
        <w:tc>
          <w:tcPr>
            <w:tcW w:w="2984" w:type="dxa"/>
            <w:vAlign w:val="center"/>
          </w:tcPr>
          <w:p>
            <w:pPr>
              <w:jc w:val="center"/>
              <w:rPr>
                <w:rFonts w:ascii="Times New Roman" w:hAnsi="Times New Roman"/>
                <w:noProof/>
              </w:rPr>
            </w:pPr>
            <w:r>
              <w:rPr>
                <w:rFonts w:ascii="Times New Roman" w:hAnsi="Times New Roman"/>
                <w:noProof/>
              </w:rPr>
              <w:t>COM(2012) 652</w:t>
            </w:r>
          </w:p>
        </w:tc>
        <w:tc>
          <w:tcPr>
            <w:tcW w:w="2985" w:type="dxa"/>
            <w:vAlign w:val="center"/>
          </w:tcPr>
          <w:p>
            <w:pPr>
              <w:jc w:val="center"/>
              <w:rPr>
                <w:rFonts w:ascii="Times New Roman" w:hAnsi="Times New Roman"/>
                <w:noProof/>
              </w:rPr>
            </w:pPr>
            <w:r>
              <w:rPr>
                <w:rFonts w:ascii="Times New Roman" w:hAnsi="Times New Roman"/>
                <w:noProof/>
              </w:rPr>
              <w:t>2008—2011 г.</w:t>
            </w:r>
          </w:p>
        </w:tc>
        <w:tc>
          <w:tcPr>
            <w:tcW w:w="2985" w:type="dxa"/>
            <w:vAlign w:val="center"/>
          </w:tcPr>
          <w:p>
            <w:pPr>
              <w:jc w:val="center"/>
              <w:rPr>
                <w:rFonts w:ascii="Times New Roman" w:hAnsi="Times New Roman"/>
                <w:noProof/>
              </w:rPr>
            </w:pPr>
            <w:r>
              <w:rPr>
                <w:rFonts w:ascii="Times New Roman" w:hAnsi="Times New Roman"/>
                <w:noProof/>
              </w:rPr>
              <w:t>Оценяване на необходимостта за регулаторни действия с оглед на нарастващия излишък на квоти за емисии</w:t>
            </w:r>
          </w:p>
        </w:tc>
      </w:tr>
      <w:tr>
        <w:trPr>
          <w:trHeight w:val="204"/>
          <w:jc w:val="center"/>
        </w:trPr>
        <w:tc>
          <w:tcPr>
            <w:tcW w:w="2984" w:type="dxa"/>
            <w:vAlign w:val="center"/>
          </w:tcPr>
          <w:p>
            <w:pPr>
              <w:jc w:val="center"/>
              <w:rPr>
                <w:rFonts w:ascii="Times New Roman" w:hAnsi="Times New Roman"/>
                <w:noProof/>
              </w:rPr>
            </w:pPr>
            <w:r>
              <w:rPr>
                <w:rFonts w:ascii="Times New Roman" w:hAnsi="Times New Roman"/>
                <w:noProof/>
              </w:rPr>
              <w:t>COM(2015) 576</w:t>
            </w:r>
          </w:p>
        </w:tc>
        <w:tc>
          <w:tcPr>
            <w:tcW w:w="2985" w:type="dxa"/>
            <w:vAlign w:val="center"/>
          </w:tcPr>
          <w:p>
            <w:pPr>
              <w:jc w:val="center"/>
              <w:rPr>
                <w:rFonts w:ascii="Times New Roman" w:hAnsi="Times New Roman"/>
                <w:noProof/>
              </w:rPr>
            </w:pPr>
            <w:r>
              <w:rPr>
                <w:rFonts w:ascii="Times New Roman" w:hAnsi="Times New Roman"/>
                <w:noProof/>
              </w:rPr>
              <w:t>2013—2014 г.</w:t>
            </w:r>
          </w:p>
        </w:tc>
        <w:tc>
          <w:tcPr>
            <w:tcW w:w="2985" w:type="dxa"/>
            <w:vAlign w:val="center"/>
          </w:tcPr>
          <w:p>
            <w:pPr>
              <w:jc w:val="center"/>
              <w:rPr>
                <w:rFonts w:ascii="Times New Roman" w:hAnsi="Times New Roman"/>
                <w:noProof/>
              </w:rPr>
            </w:pPr>
            <w:r>
              <w:rPr>
                <w:rFonts w:ascii="Times New Roman" w:hAnsi="Times New Roman"/>
                <w:noProof/>
              </w:rPr>
              <w:t>І-ви доклад за състоянието на Енергийния съюз</w:t>
            </w:r>
          </w:p>
        </w:tc>
      </w:tr>
      <w:tr>
        <w:trPr>
          <w:trHeight w:val="410"/>
          <w:jc w:val="center"/>
        </w:trPr>
        <w:tc>
          <w:tcPr>
            <w:tcW w:w="2984" w:type="dxa"/>
            <w:vAlign w:val="center"/>
          </w:tcPr>
          <w:p>
            <w:pPr>
              <w:jc w:val="center"/>
              <w:rPr>
                <w:rFonts w:ascii="Times New Roman" w:hAnsi="Times New Roman"/>
                <w:noProof/>
              </w:rPr>
            </w:pPr>
            <w:r>
              <w:rPr>
                <w:rFonts w:ascii="Times New Roman" w:hAnsi="Times New Roman"/>
                <w:noProof/>
              </w:rPr>
              <w:t>COM(2017) 48</w:t>
            </w:r>
          </w:p>
        </w:tc>
        <w:tc>
          <w:tcPr>
            <w:tcW w:w="2985" w:type="dxa"/>
            <w:vAlign w:val="center"/>
          </w:tcPr>
          <w:p>
            <w:pPr>
              <w:jc w:val="center"/>
              <w:rPr>
                <w:rFonts w:ascii="Times New Roman" w:hAnsi="Times New Roman"/>
                <w:noProof/>
              </w:rPr>
            </w:pPr>
            <w:r>
              <w:rPr>
                <w:rFonts w:ascii="Times New Roman" w:hAnsi="Times New Roman"/>
                <w:noProof/>
              </w:rPr>
              <w:t>2015 г.</w:t>
            </w:r>
          </w:p>
        </w:tc>
        <w:tc>
          <w:tcPr>
            <w:tcW w:w="2985" w:type="dxa"/>
            <w:vAlign w:val="center"/>
          </w:tcPr>
          <w:p>
            <w:pPr>
              <w:jc w:val="center"/>
              <w:rPr>
                <w:rFonts w:ascii="Times New Roman" w:hAnsi="Times New Roman"/>
                <w:noProof/>
              </w:rPr>
            </w:pPr>
            <w:r>
              <w:rPr>
                <w:rFonts w:ascii="Times New Roman" w:hAnsi="Times New Roman"/>
                <w:noProof/>
              </w:rPr>
              <w:t>ІІ-ри доклад за състоянието на Енергийния съюз</w:t>
            </w: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Настоящият доклад обхваща 2016 г., но в него са представени и някои инициативи, предложени или договорени през 2017 г.</w:t>
      </w:r>
      <w:r>
        <w:rPr>
          <w:rStyle w:val="FootnoteReference"/>
          <w:rFonts w:ascii="Times New Roman" w:hAnsi="Times New Roman"/>
          <w:noProof/>
          <w:sz w:val="24"/>
        </w:rPr>
        <w:t xml:space="preserve"> </w:t>
      </w:r>
      <w:r>
        <w:rPr>
          <w:rFonts w:ascii="Times New Roman" w:hAnsi="Times New Roman"/>
          <w:noProof/>
          <w:sz w:val="24"/>
        </w:rPr>
        <w:t>В сравнение с предишния доклад, той съдържа нова глава за схемите за компенсиране на непреките разходи за ограничаване на въглеродните емисии, както и информация за показателя за излишък на резерва за стабилност на пазара, публикуван за пръв път през май 2017 г.  Освен ако не е посочено друго, в настоящия доклад са използвани публично достъпните данни и данните, с които Комисията е разполагала към 30 юни 2017 г.</w:t>
      </w:r>
    </w:p>
    <w:p>
      <w:pPr>
        <w:jc w:val="both"/>
        <w:rPr>
          <w:rFonts w:ascii="Times New Roman" w:hAnsi="Times New Roman"/>
          <w:noProof/>
          <w:sz w:val="24"/>
          <w:szCs w:val="24"/>
        </w:rPr>
      </w:pPr>
      <w:r>
        <w:rPr>
          <w:rFonts w:ascii="Times New Roman" w:hAnsi="Times New Roman"/>
          <w:noProof/>
          <w:sz w:val="24"/>
        </w:rPr>
        <w:t xml:space="preserve">Обща и описателна информация по различни аспекти на СТЕ на ЕС е включена в текстови карета, разпръснати в целия текст на доклада. </w:t>
      </w:r>
      <w:r>
        <w:rPr>
          <w:noProof/>
        </w:rPr>
        <w:br w:type="page"/>
      </w:r>
      <w:bookmarkStart w:id="7" w:name="_Toc427931123"/>
      <w:bookmarkEnd w:id="7"/>
    </w:p>
    <w:p>
      <w:pPr>
        <w:pStyle w:val="Heading1"/>
        <w:numPr>
          <w:ilvl w:val="0"/>
          <w:numId w:val="1"/>
        </w:numPr>
        <w:rPr>
          <w:noProof/>
        </w:rPr>
      </w:pPr>
      <w:bookmarkStart w:id="8" w:name="_Toc490850419"/>
      <w:bookmarkStart w:id="9" w:name="_Toc495312122"/>
      <w:bookmarkStart w:id="10" w:name="_Toc499041537"/>
      <w:r>
        <w:rPr>
          <w:noProof/>
        </w:rPr>
        <w:t>ИНФРАСТРУКТУРА НА СТЕ НА ЕС</w:t>
      </w:r>
      <w:bookmarkEnd w:id="8"/>
      <w:bookmarkEnd w:id="9"/>
      <w:bookmarkEnd w:id="10"/>
    </w:p>
    <w:p>
      <w:pPr>
        <w:pStyle w:val="Heading1"/>
        <w:numPr>
          <w:ilvl w:val="1"/>
          <w:numId w:val="1"/>
        </w:numPr>
        <w:rPr>
          <w:noProof/>
        </w:rPr>
      </w:pPr>
      <w:bookmarkStart w:id="11" w:name="_Toc490850420"/>
      <w:bookmarkStart w:id="12" w:name="_Toc495312123"/>
      <w:bookmarkStart w:id="13" w:name="_Toc499041538"/>
      <w:r>
        <w:rPr>
          <w:noProof/>
        </w:rPr>
        <w:t>Обхванати дейности, инсталации и оператори на въздухоплавателни средства</w:t>
      </w:r>
      <w:bookmarkEnd w:id="11"/>
      <w:bookmarkEnd w:id="12"/>
      <w:bookmarkEnd w:id="13"/>
    </w:p>
    <w:p>
      <w:pPr>
        <w:rPr>
          <w:noProof/>
        </w:rPr>
      </w:pPr>
    </w:p>
    <w:p>
      <w:pPr>
        <w:rPr>
          <w:noProof/>
          <w:highlight w:val="yellow"/>
        </w:rPr>
      </w:pPr>
      <w:r>
        <w:rPr>
          <w:noProof/>
          <w:lang w:val="en-US" w:eastAsia="en-US" w:bidi="ar-SA"/>
        </w:rPr>
        <mc:AlternateContent>
          <mc:Choice Requires="wps">
            <w:drawing>
              <wp:inline distT="0" distB="0" distL="0" distR="0">
                <wp:extent cx="5691226" cy="7220309"/>
                <wp:effectExtent l="0" t="0" r="2413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7220309"/>
                        </a:xfrm>
                        <a:prstGeom prst="rect">
                          <a:avLst/>
                        </a:prstGeom>
                        <a:solidFill>
                          <a:schemeClr val="bg1">
                            <a:lumMod val="85000"/>
                          </a:schemeClr>
                        </a:solidFill>
                        <a:ln w="12700">
                          <a:solidFill>
                            <a:srgbClr val="000000"/>
                          </a:solidFill>
                          <a:miter lim="800000"/>
                          <a:headEnd/>
                          <a:tailEnd/>
                        </a:ln>
                      </wps:spPr>
                      <wps:txbx>
                        <w:txbxContent>
                          <w:p>
                            <w:pPr>
                              <w:suppressAutoHyphens/>
                              <w:jc w:val="both"/>
                              <w:rPr>
                                <w:rFonts w:ascii="Times New Roman" w:hAnsi="Times New Roman"/>
                                <w:sz w:val="24"/>
                                <w:szCs w:val="24"/>
                              </w:rPr>
                            </w:pPr>
                            <w:r>
                              <w:rPr>
                                <w:rFonts w:ascii="Times New Roman" w:hAnsi="Times New Roman"/>
                                <w:sz w:val="24"/>
                              </w:rPr>
                              <w:t>СТЕ на ЕС работи във всичките 31 държави от Европейското икономическо пространство (ЕИП). Системата ограничава емисии от почти 11 000 електроцентрали и производствени инсталации, както и малко повече от 500 оператори на въздухоплавателни средства, които изпълняват полети между летищата на ЕИП.  Тя обхваща около 45 % от емисиите на ПГ в ЕС.</w:t>
                            </w:r>
                          </w:p>
                          <w:p>
                            <w:pPr>
                              <w:jc w:val="both"/>
                              <w:rPr>
                                <w:rFonts w:ascii="Times New Roman" w:hAnsi="Times New Roman"/>
                                <w:sz w:val="24"/>
                                <w:szCs w:val="24"/>
                              </w:rPr>
                            </w:pPr>
                            <w:r>
                              <w:rPr>
                                <w:rFonts w:ascii="Times New Roman" w:hAnsi="Times New Roman"/>
                                <w:sz w:val="24"/>
                              </w:rPr>
                              <w:t>Считано от началото на фаза 3 (2013—2020 г.)*, секторите със стационарни инсталации, регулирани от СТЕ на ЕС, са енергийно интензивните промишлени отрасли, включително електроцентрали и други горивни инсталации с входяща топлинна мощност ≥20 MW (с изключение на инсталациите за изгаряне на опасни или битови отпадъци), нефтените рафинерии, коксовите пещи, производството на чугун и стомана, цимент и клинкер, стъкло, вар, тухли, керамични продукти, целулоза, хартия и картон, алуминий, нефтохимически продукти, амоняк, азотна и адипинова киселина, глиоксал и глиоксилова киселина, улавянето на CO</w:t>
                            </w:r>
                            <w:r>
                              <w:rPr>
                                <w:rFonts w:ascii="Times New Roman" w:hAnsi="Times New Roman"/>
                                <w:sz w:val="24"/>
                                <w:vertAlign w:val="subscript"/>
                              </w:rPr>
                              <w:t>2</w:t>
                            </w:r>
                            <w:r>
                              <w:rPr>
                                <w:rFonts w:ascii="Times New Roman" w:hAnsi="Times New Roman"/>
                                <w:sz w:val="24"/>
                              </w:rPr>
                              <w:t>, преносът по тръбопроводи и съхранението на CO</w:t>
                            </w:r>
                            <w:r>
                              <w:rPr>
                                <w:rFonts w:ascii="Times New Roman" w:hAnsi="Times New Roman"/>
                                <w:sz w:val="24"/>
                                <w:vertAlign w:val="subscript"/>
                              </w:rPr>
                              <w:t>2</w:t>
                            </w:r>
                            <w:r>
                              <w:rPr>
                                <w:rFonts w:ascii="Times New Roman" w:hAnsi="Times New Roman"/>
                                <w:sz w:val="24"/>
                              </w:rPr>
                              <w:t xml:space="preserve"> в геоложки формации. </w:t>
                            </w:r>
                          </w:p>
                          <w:p>
                            <w:pPr>
                              <w:jc w:val="both"/>
                              <w:rPr>
                                <w:rFonts w:ascii="Times New Roman" w:hAnsi="Times New Roman"/>
                                <w:sz w:val="24"/>
                                <w:szCs w:val="24"/>
                              </w:rPr>
                            </w:pPr>
                            <w:r>
                              <w:rPr>
                                <w:rFonts w:ascii="Times New Roman" w:hAnsi="Times New Roman"/>
                                <w:sz w:val="24"/>
                              </w:rPr>
                              <w:t>В областта на въздухоплаването обхватът на СТЕ на ЕС беше ограничен до полети в ЕИП до края на 2016 г. в очакване на приемането на глобален подход от Международната организация за гражданска авиация (ИКАО).</w:t>
                            </w:r>
                            <w:r>
                              <w:t xml:space="preserve"> </w:t>
                            </w:r>
                            <w:r>
                              <w:rPr>
                                <w:rFonts w:ascii="Times New Roman" w:hAnsi="Times New Roman"/>
                                <w:sz w:val="24"/>
                              </w:rPr>
                              <w:t xml:space="preserve">През октомври 2016 г. ИКАО одобри резолюция за схема за компенсиране и намаляване на емисиите на въглероден диоксид в международното въздухоплаване (CORSIA), която да започне да се изпълнява през 2021 г. С оглед на този резултат Комисията предложи да продължи да прилага подхода в рамките на ЕИП след 2016 г. (вж. раздел 4). </w:t>
                            </w:r>
                          </w:p>
                          <w:p>
                            <w:pPr>
                              <w:jc w:val="both"/>
                              <w:rPr>
                                <w:rFonts w:ascii="Times New Roman" w:hAnsi="Times New Roman"/>
                                <w:sz w:val="24"/>
                                <w:szCs w:val="24"/>
                              </w:rPr>
                            </w:pPr>
                            <w:r>
                              <w:rPr>
                                <w:rFonts w:ascii="Times New Roman" w:hAnsi="Times New Roman"/>
                                <w:sz w:val="24"/>
                              </w:rPr>
                              <w:t>СТЕ на ЕС обхваща емисиите на въглероден диоксид (CO</w:t>
                            </w:r>
                            <w:r>
                              <w:rPr>
                                <w:rFonts w:ascii="Times New Roman" w:hAnsi="Times New Roman"/>
                                <w:sz w:val="24"/>
                                <w:vertAlign w:val="subscript"/>
                              </w:rPr>
                              <w:t>2</w:t>
                            </w:r>
                            <w:r>
                              <w:rPr>
                                <w:rFonts w:ascii="Times New Roman" w:hAnsi="Times New Roman"/>
                                <w:sz w:val="24"/>
                              </w:rPr>
                              <w:t>), емисиите на двуазотен оксид (N</w:t>
                            </w:r>
                            <w:r>
                              <w:rPr>
                                <w:rFonts w:ascii="Times New Roman" w:hAnsi="Times New Roman"/>
                                <w:sz w:val="24"/>
                                <w:vertAlign w:val="subscript"/>
                              </w:rPr>
                              <w:t>2</w:t>
                            </w:r>
                            <w:r>
                              <w:rPr>
                                <w:rFonts w:ascii="Times New Roman" w:hAnsi="Times New Roman"/>
                                <w:sz w:val="24"/>
                              </w:rPr>
                              <w:t>O) от всички производства на азотна, адипинова и глиоксилова киселина и на глиоксал и емисиите на перфлуоровъглероди (PFC) от производството на алуминий. Въпреки че участието в СТЕ на ЕС е задължително, в някои сектори са включени само инсталации над определен размер. Освен това участващите държави могат да изключват малки инсталации от обхвата на системата, ако са въведени мерки, които ще намалят емисиите им с толкова, с колкото те биха били намалени, ако съответните инсталации биха били включени в СТЕ на ЕС.  Участващите държави могат също да добавят повече сектори и ПГ в СТЕ на ЕС.</w:t>
                            </w:r>
                          </w:p>
                          <w:p>
                            <w:pPr>
                              <w:jc w:val="both"/>
                              <w:rPr>
                                <w:rFonts w:ascii="Times New Roman" w:hAnsi="Times New Roman"/>
                                <w:sz w:val="18"/>
                                <w:szCs w:val="18"/>
                              </w:rPr>
                            </w:pPr>
                            <w:r>
                              <w:rPr>
                                <w:rFonts w:ascii="Times New Roman" w:hAnsi="Times New Roman"/>
                                <w:sz w:val="18"/>
                              </w:rPr>
                              <w:t>* Информация относно фази 1 и 2 на СТЕ на ЕС може да се намери на следния адрес:</w:t>
                            </w:r>
                            <w:r>
                              <w:rPr>
                                <w:rFonts w:ascii="Times New Roman" w:hAnsi="Times New Roman"/>
                                <w:sz w:val="24"/>
                              </w:rPr>
                              <w:t xml:space="preserve"> </w:t>
                            </w:r>
                            <w:r>
                              <w:rPr>
                                <w:rFonts w:ascii="Times New Roman" w:hAnsi="Times New Roman"/>
                                <w:sz w:val="18"/>
                              </w:rPr>
                              <w:t>https://ec.europa.eu/clima/policies/ets/pre2013_bg</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15pt;height:5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" fillcolor="#d8d8d8 [2732]" strokeweight="1pt">
                <v:textbox>
                  <w:txbxContent>
                    <w:p>
                      <w:pPr>
                        <w:suppressAutoHyphens/>
                        <w:jc w:val="both"/>
                        <w:rPr>
                          <w:rFonts w:ascii="Times New Roman" w:hAnsi="Times New Roman"/>
                          <w:sz w:val="24"/>
                          <w:szCs w:val="24"/>
                        </w:rPr>
                      </w:pPr>
                      <w:r>
                        <w:rPr>
                          <w:rFonts w:ascii="Times New Roman" w:hAnsi="Times New Roman"/>
                          <w:sz w:val="24"/>
                        </w:rPr>
                        <w:t>СТЕ на ЕС работи във всичките 31 държави от Европейското икономическо пространство (ЕИП). Системата ограничава емисии от почти 11 000 електроцентрали и производствени инсталации, както и малко повече от 500 оператори на въздухоплавателни средства, които изпълняват полети между летищата на ЕИП.  Тя обхваща около 45 % от емисиите на ПГ в ЕС.</w:t>
                      </w:r>
                    </w:p>
                    <w:p>
                      <w:pPr>
                        <w:jc w:val="both"/>
                        <w:rPr>
                          <w:rFonts w:ascii="Times New Roman" w:hAnsi="Times New Roman"/>
                          <w:sz w:val="24"/>
                          <w:szCs w:val="24"/>
                        </w:rPr>
                      </w:pPr>
                      <w:r>
                        <w:rPr>
                          <w:rFonts w:ascii="Times New Roman" w:hAnsi="Times New Roman"/>
                          <w:sz w:val="24"/>
                        </w:rPr>
                        <w:t>Считано от началото на фаза 3 (2013—2020 г.)*, секторите със стационарни инсталации, регулирани от СТЕ на ЕС, са енергийно интензивните промишлени отрасли, включително електроцентрали и други горивни инсталации с входяща топлинна мощност ≥20 MW (с изключение на инсталациите за изгаряне на опасни или битови отпадъци), нефтените рафинерии, коксовите пещи, производството на чугун и стомана, цимент и клинкер, стъкло, вар, тухли, керамични продукти, целулоза, хартия и картон, алуминий, нефтохимически продукти, амоняк, азотна и адипинова киселина, глиоксал и глиоксилова киселина, улавянето на CO</w:t>
                      </w:r>
                      <w:r>
                        <w:rPr>
                          <w:rFonts w:ascii="Times New Roman" w:hAnsi="Times New Roman"/>
                          <w:sz w:val="24"/>
                          <w:vertAlign w:val="subscript"/>
                        </w:rPr>
                        <w:t>2</w:t>
                      </w:r>
                      <w:r>
                        <w:rPr>
                          <w:rFonts w:ascii="Times New Roman" w:hAnsi="Times New Roman"/>
                          <w:sz w:val="24"/>
                        </w:rPr>
                        <w:t>, преносът по тръбопроводи и съхранението на CO</w:t>
                      </w:r>
                      <w:r>
                        <w:rPr>
                          <w:rFonts w:ascii="Times New Roman" w:hAnsi="Times New Roman"/>
                          <w:sz w:val="24"/>
                          <w:vertAlign w:val="subscript"/>
                        </w:rPr>
                        <w:t>2</w:t>
                      </w:r>
                      <w:r>
                        <w:rPr>
                          <w:rFonts w:ascii="Times New Roman" w:hAnsi="Times New Roman"/>
                          <w:sz w:val="24"/>
                        </w:rPr>
                        <w:t xml:space="preserve"> в геоложки формации. </w:t>
                      </w:r>
                    </w:p>
                    <w:p>
                      <w:pPr>
                        <w:jc w:val="both"/>
                        <w:rPr>
                          <w:rFonts w:ascii="Times New Roman" w:hAnsi="Times New Roman"/>
                          <w:sz w:val="24"/>
                          <w:szCs w:val="24"/>
                        </w:rPr>
                      </w:pPr>
                      <w:r>
                        <w:rPr>
                          <w:rFonts w:ascii="Times New Roman" w:hAnsi="Times New Roman"/>
                          <w:sz w:val="24"/>
                        </w:rPr>
                        <w:t>В областта на въздухоплаването обхватът на СТЕ на ЕС беше ограничен до полети в ЕИП до края на 2016 г. в очакване на приемането на глобален подход от Международната организация за гражданска авиация (ИКАО).</w:t>
                      </w:r>
                      <w:r>
                        <w:t xml:space="preserve"> </w:t>
                      </w:r>
                      <w:r>
                        <w:rPr>
                          <w:rFonts w:ascii="Times New Roman" w:hAnsi="Times New Roman"/>
                          <w:sz w:val="24"/>
                        </w:rPr>
                        <w:t xml:space="preserve">През октомври 2016 г. ИКАО одобри резолюция за схема за компенсиране и намаляване на емисиите на въглероден диоксид в международното въздухоплаване (CORSIA), която да започне да се изпълнява през 2021 г. С оглед на този резултат Комисията предложи да продължи да прилага подхода в рамките на ЕИП след 2016 г. (вж. раздел 4). </w:t>
                      </w:r>
                    </w:p>
                    <w:p>
                      <w:pPr>
                        <w:jc w:val="both"/>
                        <w:rPr>
                          <w:rFonts w:ascii="Times New Roman" w:hAnsi="Times New Roman"/>
                          <w:sz w:val="24"/>
                          <w:szCs w:val="24"/>
                        </w:rPr>
                      </w:pPr>
                      <w:r>
                        <w:rPr>
                          <w:rFonts w:ascii="Times New Roman" w:hAnsi="Times New Roman"/>
                          <w:sz w:val="24"/>
                        </w:rPr>
                        <w:t>СТЕ на ЕС обхваща емисиите на въглероден диоксид (CO</w:t>
                      </w:r>
                      <w:r>
                        <w:rPr>
                          <w:rFonts w:ascii="Times New Roman" w:hAnsi="Times New Roman"/>
                          <w:sz w:val="24"/>
                          <w:vertAlign w:val="subscript"/>
                        </w:rPr>
                        <w:t>2</w:t>
                      </w:r>
                      <w:r>
                        <w:rPr>
                          <w:rFonts w:ascii="Times New Roman" w:hAnsi="Times New Roman"/>
                          <w:sz w:val="24"/>
                        </w:rPr>
                        <w:t>), емисиите на двуазотен оксид (N</w:t>
                      </w:r>
                      <w:r>
                        <w:rPr>
                          <w:rFonts w:ascii="Times New Roman" w:hAnsi="Times New Roman"/>
                          <w:sz w:val="24"/>
                          <w:vertAlign w:val="subscript"/>
                        </w:rPr>
                        <w:t>2</w:t>
                      </w:r>
                      <w:r>
                        <w:rPr>
                          <w:rFonts w:ascii="Times New Roman" w:hAnsi="Times New Roman"/>
                          <w:sz w:val="24"/>
                        </w:rPr>
                        <w:t>O) от всички производства на азотна, адипинова и глиоксилова киселина и на глиоксал и емисиите на перфлуоровъглероди (PFC) от производството на алуминий. Въпреки че участието в СТЕ на ЕС е задължително, в някои сектори са включени само инсталации над определен размер. Освен това участващите държави могат да изключват малки инсталации от обхвата на системата, ако са въведени мерки, които ще намалят емисиите им с толкова, с колкото те биха били намалени, ако съответните инсталации биха били включени в СТЕ на ЕС.  Участващите държави могат също да добавят повече сектори и ПГ в СТЕ на ЕС.</w:t>
                      </w:r>
                    </w:p>
                    <w:p>
                      <w:pPr>
                        <w:jc w:val="both"/>
                        <w:rPr>
                          <w:rFonts w:ascii="Times New Roman" w:hAnsi="Times New Roman"/>
                          <w:sz w:val="18"/>
                          <w:szCs w:val="18"/>
                        </w:rPr>
                      </w:pPr>
                      <w:r>
                        <w:rPr>
                          <w:rFonts w:ascii="Times New Roman" w:hAnsi="Times New Roman"/>
                          <w:sz w:val="18"/>
                        </w:rPr>
                        <w:t>* Информация относно фази 1 и 2 на СТЕ на ЕС може да се намери на следния адрес:</w:t>
                      </w:r>
                      <w:r>
                        <w:rPr>
                          <w:rFonts w:ascii="Times New Roman" w:hAnsi="Times New Roman"/>
                          <w:sz w:val="24"/>
                        </w:rPr>
                        <w:t xml:space="preserve"> </w:t>
                      </w:r>
                      <w:r>
                        <w:rPr>
                          <w:rFonts w:ascii="Times New Roman" w:hAnsi="Times New Roman"/>
                          <w:sz w:val="18"/>
                        </w:rPr>
                        <w:t>https://ec.europa.eu/clima/policies/ets/pre2013_bg</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Съгласно докладите по член 21, представени от участващите държави</w:t>
      </w:r>
      <w:r>
        <w:rPr>
          <w:rStyle w:val="FootnoteReference"/>
          <w:rFonts w:ascii="Times New Roman" w:hAnsi="Times New Roman"/>
          <w:noProof/>
          <w:sz w:val="24"/>
        </w:rPr>
        <w:footnoteReference w:id="7"/>
      </w:r>
      <w:r>
        <w:rPr>
          <w:rFonts w:ascii="Times New Roman" w:hAnsi="Times New Roman"/>
          <w:noProof/>
          <w:sz w:val="24"/>
        </w:rPr>
        <w:t xml:space="preserve"> през 2017 г., през 2016 г. е имало общо 10 790 разрешени инсталации в сравнение с около 10 950 през 2015 г. и около 11 200 през 2014 г. </w:t>
      </w:r>
    </w:p>
    <w:p>
      <w:pPr>
        <w:jc w:val="both"/>
        <w:rPr>
          <w:rFonts w:ascii="Times New Roman" w:hAnsi="Times New Roman"/>
          <w:noProof/>
          <w:sz w:val="24"/>
          <w:szCs w:val="24"/>
        </w:rPr>
      </w:pPr>
      <w:r>
        <w:rPr>
          <w:rFonts w:ascii="Times New Roman" w:hAnsi="Times New Roman"/>
          <w:noProof/>
          <w:sz w:val="24"/>
        </w:rPr>
        <w:t>Както и през предходните години, горивата, изгорени в рамките на СТЕ на ЕС през 2016 г., продължават да са предимно изкопаеми.  Все пак 29 държави съобщиха и за използване на биомаса (в сравнение с 27 през 2015 г.) в 2 079 инсталации (19 % от всички инсталации). Само две държави (Лихтенщайн и Малта) не съобщиха за използване на биомаса</w:t>
      </w:r>
      <w:r>
        <w:rPr>
          <w:rStyle w:val="FootnoteReference"/>
          <w:rFonts w:ascii="Times New Roman" w:hAnsi="Times New Roman"/>
          <w:noProof/>
          <w:sz w:val="24"/>
        </w:rPr>
        <w:footnoteReference w:id="8"/>
      </w:r>
      <w:r>
        <w:rPr>
          <w:rFonts w:ascii="Times New Roman" w:hAnsi="Times New Roman"/>
          <w:noProof/>
          <w:sz w:val="24"/>
        </w:rPr>
        <w:t>. Емисиите от биомаса през 2016 г. са възлизали на около 141 млн. тона CO</w:t>
      </w:r>
      <w:r>
        <w:rPr>
          <w:rFonts w:ascii="Times New Roman" w:hAnsi="Times New Roman"/>
          <w:noProof/>
          <w:sz w:val="24"/>
          <w:vertAlign w:val="subscript"/>
        </w:rPr>
        <w:t>2</w:t>
      </w:r>
      <w:r>
        <w:rPr>
          <w:rFonts w:ascii="Times New Roman" w:hAnsi="Times New Roman"/>
          <w:noProof/>
          <w:sz w:val="24"/>
        </w:rPr>
        <w:t xml:space="preserve"> (8 % от докладваните емисии по СТЕ на ЕС) в сравнение с около 125 млн. тона CO</w:t>
      </w:r>
      <w:r>
        <w:rPr>
          <w:rFonts w:ascii="Times New Roman" w:hAnsi="Times New Roman"/>
          <w:noProof/>
          <w:sz w:val="24"/>
          <w:vertAlign w:val="subscript"/>
        </w:rPr>
        <w:t>2</w:t>
      </w:r>
      <w:r>
        <w:rPr>
          <w:rFonts w:ascii="Times New Roman" w:hAnsi="Times New Roman"/>
          <w:noProof/>
          <w:sz w:val="24"/>
        </w:rPr>
        <w:t xml:space="preserve"> през 2015 г. (около 7 % от докладваните емисии по СТЕ на ЕС). Същите две държави като миналата година (Германия и Швеция) докладваха за малко използване на биогорива за три оператори на въздухоплавателни средства (в сравнение с четири през 2015 г.)</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В рамките на категориите инсталации, определени въз основа на годишните емисии</w:t>
      </w:r>
      <w:r>
        <w:rPr>
          <w:rFonts w:ascii="Times New Roman" w:hAnsi="Times New Roman"/>
          <w:noProof/>
          <w:sz w:val="24"/>
          <w:vertAlign w:val="superscript"/>
        </w:rPr>
        <w:footnoteReference w:id="10"/>
      </w:r>
      <w:r>
        <w:rPr>
          <w:rFonts w:ascii="Times New Roman" w:hAnsi="Times New Roman"/>
          <w:noProof/>
          <w:sz w:val="24"/>
        </w:rPr>
        <w:t xml:space="preserve">, данните за 2016 г. показват, че през предходните години приблизително 72 % от инсталациите са в категория А, 21 % — в категория Б и само 7 % – в категория В. Повече от 6 202 инсталации са били докладвани като „инсталации с малки емисии“ (57,5 % от общия брой). </w:t>
      </w:r>
    </w:p>
    <w:p>
      <w:pPr>
        <w:jc w:val="both"/>
        <w:rPr>
          <w:rFonts w:ascii="Times New Roman" w:hAnsi="Times New Roman"/>
          <w:noProof/>
          <w:sz w:val="24"/>
          <w:szCs w:val="24"/>
        </w:rPr>
      </w:pPr>
      <w:r>
        <w:rPr>
          <w:rFonts w:ascii="Times New Roman" w:hAnsi="Times New Roman"/>
          <w:noProof/>
          <w:sz w:val="24"/>
        </w:rPr>
        <w:t>Инсталации с горивни процеси, обхванати от СТЕ на ЕС, има във всички участващи държави, докато рафиниране на нефт, производство на стомана, цимент, вар, стъкло, керамика, целулоза и хартия има в повечето от тях. Що се отнася до дейностите по СТЕ на ЕС, включени допълнително в списъка на емисиите на парникови газове, различни от CO</w:t>
      </w:r>
      <w:r>
        <w:rPr>
          <w:rFonts w:ascii="Times New Roman" w:hAnsi="Times New Roman"/>
          <w:noProof/>
          <w:sz w:val="24"/>
          <w:vertAlign w:val="subscript"/>
        </w:rPr>
        <w:t>2</w:t>
      </w:r>
      <w:r>
        <w:rPr>
          <w:rFonts w:ascii="Times New Roman" w:hAnsi="Times New Roman"/>
          <w:noProof/>
          <w:sz w:val="24"/>
        </w:rPr>
        <w:t>, издаването на разрешителни за първичен алуминий и перфлуоровъглероди (PFC) е докладвано в 13 държави (Германия, Испания, Франция, Гърция, Исландия, Италия, Нидерландия, Норвегия, Румъния, Швеция, Словения, Словакия и Обединеното кралство), а за производство на азотна киселина и N</w:t>
      </w:r>
      <w:r>
        <w:rPr>
          <w:rFonts w:ascii="Times New Roman" w:hAnsi="Times New Roman"/>
          <w:noProof/>
          <w:sz w:val="24"/>
          <w:vertAlign w:val="subscript"/>
        </w:rPr>
        <w:t>2</w:t>
      </w:r>
      <w:r>
        <w:rPr>
          <w:rFonts w:ascii="Times New Roman" w:hAnsi="Times New Roman"/>
          <w:noProof/>
          <w:sz w:val="24"/>
        </w:rPr>
        <w:t>O — в 21 държави (изключение правят Кипър, Дания, Естония, Ирландия, Исландия, Лихтенщайн, Люксембург, Латвия, Малта, Португалия и Словения). Другите сектори с емисии на N</w:t>
      </w:r>
      <w:r>
        <w:rPr>
          <w:rFonts w:ascii="Times New Roman" w:hAnsi="Times New Roman"/>
          <w:noProof/>
          <w:sz w:val="24"/>
          <w:vertAlign w:val="subscript"/>
        </w:rPr>
        <w:t>2</w:t>
      </w:r>
      <w:r>
        <w:rPr>
          <w:rFonts w:ascii="Times New Roman" w:hAnsi="Times New Roman"/>
          <w:noProof/>
          <w:sz w:val="24"/>
        </w:rPr>
        <w:t>O — производство на адипинова киселина и производство на глиоксал и глиоксилова киселина — са докладвани съответно в три (Германия, Франция, Италия) и две (Германия, Франция) държави. Същите две държави като миналата година (Франция и Норвегия) докладваха дейности за улавяне и съхранение на CO</w:t>
      </w:r>
      <w:r>
        <w:rPr>
          <w:rFonts w:ascii="Times New Roman" w:hAnsi="Times New Roman"/>
          <w:noProof/>
          <w:sz w:val="24"/>
          <w:vertAlign w:val="subscript"/>
        </w:rPr>
        <w:t>2</w:t>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Осем държави (Германия, Испания, Франция, Унгария, Исландия, Италия, Словения, Обединеното кралство) са използвали възможността да изключат от СТЕ на ЕС предприятията с малки емисии в съответствие с член 27 от Директивата за СТЕ на ЕС. Както и през 2015 г., емисиите, изключени за 2016 г., са възлизали на около 4 млн. тона CO</w:t>
      </w:r>
      <w:r>
        <w:rPr>
          <w:rFonts w:ascii="Times New Roman" w:hAnsi="Times New Roman"/>
          <w:noProof/>
          <w:sz w:val="24"/>
          <w:vertAlign w:val="subscript"/>
        </w:rPr>
        <w:t>2</w:t>
      </w:r>
      <w:r>
        <w:rPr>
          <w:rFonts w:ascii="Times New Roman" w:hAnsi="Times New Roman"/>
          <w:noProof/>
          <w:sz w:val="24"/>
        </w:rPr>
        <w:t xml:space="preserve"> (около 0,22 % от общо верифицираните емисии).</w:t>
      </w:r>
    </w:p>
    <w:p>
      <w:pPr>
        <w:jc w:val="both"/>
        <w:rPr>
          <w:rFonts w:ascii="Times New Roman" w:hAnsi="Times New Roman"/>
          <w:noProof/>
          <w:sz w:val="24"/>
          <w:szCs w:val="24"/>
        </w:rPr>
      </w:pPr>
      <w:r>
        <w:rPr>
          <w:rFonts w:ascii="Times New Roman" w:hAnsi="Times New Roman"/>
          <w:noProof/>
          <w:sz w:val="24"/>
        </w:rPr>
        <w:t xml:space="preserve">Съгласно докладите по член 21, подадени през 2017 г., досега седем държави (Белгия, Дания, Франция, Хърватия, Унгария, Лихтенщайн, Литва) са се възползвали от разпоредбата, предвидена в член 13 от Регламент (ЕС) № 601/2012 на Комисията („Регламент за мониторинг и докладване“), за да разрешат използването на опростени планове за мониторинг в случаите с нисък риск за стационарни инсталации. Само Дания се присъедини, считано от 2015 г. В случая с оператори на въздухоплавателни средства с малки емисии четири държави докладваха за използване на тази разпоредба (Белгия, Финландия, Исландия и Полша), като Белгия се присъедини, считано от 2015 г.  </w:t>
      </w:r>
    </w:p>
    <w:p>
      <w:pPr>
        <w:spacing w:before="240" w:after="60"/>
        <w:jc w:val="both"/>
        <w:rPr>
          <w:rFonts w:ascii="Times New Roman" w:hAnsi="Times New Roman"/>
          <w:noProof/>
          <w:sz w:val="24"/>
          <w:szCs w:val="24"/>
        </w:rPr>
      </w:pPr>
      <w:r>
        <w:rPr>
          <w:rFonts w:ascii="Times New Roman" w:hAnsi="Times New Roman"/>
          <w:noProof/>
          <w:sz w:val="24"/>
        </w:rPr>
        <w:t>Що се отнася до обхващането на операторите на въздухоплавателни средства, за 503 оператори на въздухоплавателни средства е докладвано през 2016 г., че имат план за мониторинг (в сравнение с 524 през 2015 г. и 611 през 2014 г.). Това показва, че броят на операторите на въздухоплавателни средства се стабилизира в рамките на СТЕ на ЕС. Близо 60 % (300) от докладваните оператори бяха търговски, докато останалите 40 % (203) бяха нетърговски</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Общо 249 (почти 50 %) са квалифицирани като предприятия с малки емисии (в сравнение с 274 (52 %) през 2015 г. и 329 (54 %) през 2014 г.). </w:t>
      </w:r>
    </w:p>
    <w:p>
      <w:pPr>
        <w:pStyle w:val="Heading1"/>
        <w:numPr>
          <w:ilvl w:val="1"/>
          <w:numId w:val="1"/>
        </w:numPr>
        <w:rPr>
          <w:noProof/>
        </w:rPr>
      </w:pPr>
      <w:bookmarkStart w:id="14" w:name="_Toc426378556"/>
      <w:bookmarkStart w:id="15" w:name="_Toc490850421"/>
      <w:bookmarkStart w:id="16" w:name="_Toc495312124"/>
      <w:bookmarkStart w:id="17" w:name="_Toc499041539"/>
      <w:bookmarkEnd w:id="14"/>
      <w:r>
        <w:rPr>
          <w:noProof/>
        </w:rPr>
        <w:t>Регистър на ЕС и Дневник на ЕС за трансакциите (EUTL)</w:t>
      </w:r>
      <w:bookmarkEnd w:id="15"/>
      <w:bookmarkEnd w:id="16"/>
      <w:bookmarkEnd w:id="17"/>
    </w:p>
    <w:p>
      <w:pPr>
        <w:rPr>
          <w:noProof/>
        </w:rPr>
      </w:pPr>
    </w:p>
    <w:p>
      <w:pPr>
        <w:jc w:val="both"/>
        <w:rPr>
          <w:rFonts w:ascii="Times New Roman" w:hAnsi="Times New Roman"/>
          <w:noProof/>
          <w:sz w:val="24"/>
          <w:szCs w:val="24"/>
        </w:rPr>
      </w:pPr>
      <w:r>
        <w:rPr>
          <w:rFonts w:ascii="Times New Roman" w:hAnsi="Times New Roman"/>
          <w:noProof/>
          <w:sz w:val="24"/>
          <w:szCs w:val="24"/>
          <w:lang w:val="en-US" w:eastAsia="en-US" w:bidi="ar-SA"/>
        </w:rPr>
        <mc:AlternateContent>
          <mc:Choice Requires="wps">
            <w:drawing>
              <wp:inline distT="0" distB="0" distL="0" distR="0">
                <wp:extent cx="5727802" cy="4891177"/>
                <wp:effectExtent l="0" t="0" r="25400" b="241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4891177"/>
                        </a:xfrm>
                        <a:prstGeom prst="rect">
                          <a:avLst/>
                        </a:prstGeom>
                        <a:solidFill>
                          <a:schemeClr val="bg1">
                            <a:lumMod val="85000"/>
                          </a:schemeClr>
                        </a:solidFill>
                        <a:ln w="12700" cmpd="sng">
                          <a:solidFill>
                            <a:srgbClr val="000000">
                              <a:alpha val="70000"/>
                            </a:srgbClr>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Регистърът на ЕС и Дневникът на ЕС за трансакциите (EUTL) проследяват собствеността на квотите за общи и авиационни емисии, както и трансакциите с тях, като записват количествата по партидите и трансакциите между партидите. Работата и поддръжката им се осъществяват от Комисията, като в същото време националните администратори на регистри във всичките 31 участващи държави продължават да са лица за контакт за представителите на около 15 000 партиди (дружества или физически лица). </w:t>
                            </w:r>
                          </w:p>
                          <w:p>
                            <w:pPr>
                              <w:shd w:val="clear" w:color="auto" w:fill="D9D9D9" w:themeFill="background1" w:themeFillShade="D9"/>
                              <w:jc w:val="both"/>
                              <w:rPr>
                                <w:rFonts w:ascii="Times New Roman" w:hAnsi="Times New Roman"/>
                                <w:sz w:val="24"/>
                                <w:szCs w:val="24"/>
                              </w:rPr>
                            </w:pPr>
                            <w:r>
                              <w:rPr>
                                <w:rFonts w:ascii="Times New Roman" w:hAnsi="Times New Roman"/>
                                <w:sz w:val="24"/>
                              </w:rPr>
                              <w:t xml:space="preserve">В Регистъра на ЕС се водят партидите за стационарните инсталации и операторите на въздухоплавателни средства, а ЕUTL автоматично проверява, записва и разрешава всички трансакции между партидите, което гарантира съответствие на всички прехвърляния с правилата на СТЕ на ЕС. По този начин те предлагат на европейските замърсители и търговци и на 31 национални органа средствата и инструментите, които са им необходими, за да изпълняват своята дейност, свързана със СТЕ на ЕС: разпределяне на безплатни квоти на операторите на стационарни  инсталации и на операторите на въздухоплавателни средства, регистриране на емисиите, даване на възможност на замърсителите, професионалните търговци, както и на физическите лица да извършват трансакции чрез прехвърляне на квоти между партидите и даване на възможност на замърсителите да компенсират своите емисии чрез връщане на квоти. </w:t>
                            </w:r>
                          </w:p>
                          <w:p>
                            <w:pPr>
                              <w:shd w:val="clear" w:color="auto" w:fill="D9D9D9" w:themeFill="background1" w:themeFillShade="D9"/>
                              <w:jc w:val="both"/>
                            </w:pPr>
                            <w:r>
                              <w:t>*</w:t>
                            </w:r>
                            <w:r>
                              <w:rPr>
                                <w:rFonts w:ascii="Times New Roman" w:hAnsi="Times New Roman"/>
                                <w:sz w:val="18"/>
                              </w:rPr>
                              <w:t>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OВ L 140, 5.6.2009 г., стр. 136.</w:t>
                            </w:r>
                            <w:r>
                              <w:rPr>
                                <w:rFonts w:ascii="Times New Roman" w:hAnsi="Times New Roman"/>
                                <w:sz w:val="24"/>
                              </w:rPr>
                              <w:t xml:space="preserve"> </w:t>
                            </w:r>
                          </w:p>
                        </w:txbxContent>
                      </wps:txbx>
                      <wps:bodyPr rot="0" vert="horz" wrap="square" lIns="91440" tIns="45720" rIns="91440" bIns="45720" anchor="t" anchorCtr="0">
                        <a:noAutofit/>
                      </wps:bodyPr>
                    </wps:wsp>
                  </a:graphicData>
                </a:graphic>
              </wp:inline>
            </w:drawing>
          </mc:Choice>
          <mc:Fallback>
            <w:pict>
              <v:shape id="_x0000_s1027" type="#_x0000_t202" style="width:451pt;height:3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" fillcolor="#d8d8d8 [2732]" strokeweight="1pt">
                <v:stroke opacity="46003f"/>
                <v:textbox>
                  <w:txbxContent>
                    <w:p>
                      <w:pPr>
                        <w:jc w:val="both"/>
                        <w:rPr>
                          <w:rFonts w:ascii="Times New Roman" w:hAnsi="Times New Roman"/>
                          <w:sz w:val="24"/>
                          <w:szCs w:val="24"/>
                        </w:rPr>
                      </w:pPr>
                      <w:r>
                        <w:rPr>
                          <w:rFonts w:ascii="Times New Roman" w:hAnsi="Times New Roman"/>
                          <w:sz w:val="24"/>
                        </w:rPr>
                        <w:t xml:space="preserve">Регистърът на ЕС и Дневникът на ЕС за трансакциите (EUTL) проследяват собствеността на квотите за общи и авиационни емисии, както и трансакциите с тях, като записват количествата по партидите и трансакциите между партидите. Работата и поддръжката им се осъществяват от Комисията, като в същото време националните администратори на регистри във всичките 31 участващи държави продължават да са лица за контакт за представителите на около 15 000 партиди (дружества или физически лица). </w:t>
                      </w:r>
                    </w:p>
                    <w:p>
                      <w:pPr>
                        <w:shd w:val="clear" w:color="auto" w:fill="D9D9D9" w:themeFill="background1" w:themeFillShade="D9"/>
                        <w:jc w:val="both"/>
                        <w:rPr>
                          <w:rFonts w:ascii="Times New Roman" w:hAnsi="Times New Roman"/>
                          <w:sz w:val="24"/>
                          <w:szCs w:val="24"/>
                        </w:rPr>
                      </w:pPr>
                      <w:r>
                        <w:rPr>
                          <w:rFonts w:ascii="Times New Roman" w:hAnsi="Times New Roman"/>
                          <w:sz w:val="24"/>
                        </w:rPr>
                        <w:t xml:space="preserve">В Регистъра на ЕС се водят партидите за стационарните инсталации и операторите на въздухоплавателни средства, а ЕUTL автоматично проверява, записва и разрешава всички трансакции между партидите, което гарантира съответствие на всички прехвърляния с правилата на СТЕ на ЕС. По този начин те предлагат на европейските замърсители и търговци и на 31 национални органа средствата и инструментите, които са им необходими, за да изпълняват своята дейност, свързана със СТЕ на ЕС: разпределяне на безплатни квоти на операторите на стационарни  инсталации и на операторите на въздухоплавателни средства, регистриране на емисиите, даване на възможност на замърсителите, професионалните търговци, както и на физическите лица да извършват трансакции чрез прехвърляне на квоти между партидите и даване на възможност на замърсителите да компенсират своите емисии чрез връщане на квоти. </w:t>
                      </w:r>
                    </w:p>
                    <w:p>
                      <w:pPr>
                        <w:shd w:val="clear" w:color="auto" w:fill="D9D9D9" w:themeFill="background1" w:themeFillShade="D9"/>
                        <w:jc w:val="both"/>
                      </w:pPr>
                      <w:r>
                        <w:t>*</w:t>
                      </w:r>
                      <w:r>
                        <w:rPr>
                          <w:rFonts w:ascii="Times New Roman" w:hAnsi="Times New Roman"/>
                          <w:sz w:val="18"/>
                        </w:rPr>
                        <w:t>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OВ L 140, 5.6.2009 г., стр. 136.</w:t>
                      </w:r>
                      <w:r>
                        <w:rPr>
                          <w:rFonts w:ascii="Times New Roman" w:hAnsi="Times New Roman"/>
                          <w:sz w:val="24"/>
                        </w:rPr>
                        <w:t xml:space="preserve"> </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 xml:space="preserve">През 2016 г. Регистърът на ЕС продължи да предоставя надеждни услуги на европейските замърсители (стационарни инсталации и оператори на въздухоплавателни средства), търговци и национални органи. </w:t>
      </w:r>
    </w:p>
    <w:p>
      <w:pPr>
        <w:jc w:val="both"/>
        <w:rPr>
          <w:rFonts w:ascii="Times New Roman" w:hAnsi="Times New Roman"/>
          <w:noProof/>
          <w:sz w:val="24"/>
          <w:szCs w:val="24"/>
        </w:rPr>
      </w:pPr>
      <w:r>
        <w:rPr>
          <w:rFonts w:ascii="Times New Roman" w:hAnsi="Times New Roman"/>
          <w:noProof/>
          <w:sz w:val="24"/>
        </w:rPr>
        <w:t>В регистъра бяха въведени няколко технически подобрения и подобрения на приложимостта. Те се отнасят до характеристики на обработката, партидите и трансакциите на потребителите, както и до системата за автентикация, която бе съществено подобрена и стана уебсайт на ЕС за автентикация.</w:t>
      </w:r>
    </w:p>
    <w:p>
      <w:pPr>
        <w:jc w:val="both"/>
        <w:rPr>
          <w:rFonts w:ascii="Times New Roman" w:hAnsi="Times New Roman"/>
          <w:noProof/>
          <w:sz w:val="24"/>
          <w:szCs w:val="24"/>
        </w:rPr>
      </w:pPr>
      <w:r>
        <w:rPr>
          <w:rFonts w:ascii="Times New Roman" w:hAnsi="Times New Roman"/>
          <w:noProof/>
          <w:sz w:val="24"/>
        </w:rPr>
        <w:t>През лятото на 2017 г. Комисията започна изследване на потребителския интерфейс на Регистъра на ЕС, като поиска от потребителите да предоставят своите мнения за настоящото функциониране на интерфейса. Целта беше по-нататъшно подобряване на взаимодействието на потребителите с регистъра.</w:t>
      </w:r>
    </w:p>
    <w:p>
      <w:pPr>
        <w:jc w:val="both"/>
        <w:rPr>
          <w:rFonts w:ascii="Times New Roman" w:hAnsi="Times New Roman"/>
          <w:noProof/>
          <w:sz w:val="24"/>
          <w:szCs w:val="24"/>
        </w:rPr>
      </w:pPr>
    </w:p>
    <w:p>
      <w:pPr>
        <w:pStyle w:val="Heading1"/>
        <w:numPr>
          <w:ilvl w:val="0"/>
          <w:numId w:val="1"/>
        </w:numPr>
        <w:rPr>
          <w:noProof/>
        </w:rPr>
      </w:pPr>
      <w:bookmarkStart w:id="18" w:name="_Toc490850422"/>
      <w:bookmarkStart w:id="19" w:name="_Toc495312125"/>
      <w:bookmarkStart w:id="20" w:name="_Toc499041540"/>
      <w:r>
        <w:rPr>
          <w:noProof/>
        </w:rPr>
        <w:t>ФУНКЦИОНИРАНЕ НА ПАЗАРА НА ВЪГЛЕРОДНИ ЕМИСИИ ПРЕЗ 2016 Г.</w:t>
      </w:r>
      <w:bookmarkEnd w:id="18"/>
      <w:bookmarkEnd w:id="19"/>
      <w:bookmarkEnd w:id="20"/>
      <w:r>
        <w:rPr>
          <w:noProof/>
        </w:rPr>
        <w:t xml:space="preserve"> </w:t>
      </w:r>
    </w:p>
    <w:p>
      <w:pPr>
        <w:jc w:val="both"/>
        <w:rPr>
          <w:rFonts w:ascii="Times New Roman" w:hAnsi="Times New Roman"/>
          <w:noProof/>
          <w:sz w:val="24"/>
          <w:szCs w:val="24"/>
        </w:rPr>
      </w:pPr>
      <w:r>
        <w:rPr>
          <w:rFonts w:ascii="Times New Roman" w:hAnsi="Times New Roman"/>
          <w:noProof/>
          <w:sz w:val="24"/>
        </w:rPr>
        <w:t>В тази глава е предоставена информация за предлагането и търсенето в СТЕ на ЕС. В раздела за предлагането е включена информация по въпросите за лимита, безплатното разпределение на квоти, програмата NER300, тръжната продажба на квоти, дерогацията от задължението за предоставяне на квоти на електроенергийния сектор само чрез продажба, както и използването на международни кредити. Като нов елемент в доклада за настоящата година се съдържа и глава, посветена на схемата за компенсиране на непреките разходи за ограничаване на въглеродните емисии.</w:t>
      </w:r>
    </w:p>
    <w:p>
      <w:pPr>
        <w:jc w:val="both"/>
        <w:rPr>
          <w:rFonts w:ascii="Times New Roman" w:hAnsi="Times New Roman"/>
          <w:noProof/>
          <w:sz w:val="24"/>
          <w:szCs w:val="24"/>
        </w:rPr>
      </w:pPr>
      <w:r>
        <w:rPr>
          <w:rFonts w:ascii="Times New Roman" w:hAnsi="Times New Roman"/>
          <w:noProof/>
          <w:sz w:val="24"/>
        </w:rPr>
        <w:t>В раздела за търсенето е предоставена информация за броя на проверените емисии и за методите за балансиране на предлагането и търсенето на квоти, като резерва за стабилност на пазара (МSR).</w:t>
      </w:r>
    </w:p>
    <w:p>
      <w:pPr>
        <w:pStyle w:val="Heading2"/>
        <w:numPr>
          <w:ilvl w:val="1"/>
          <w:numId w:val="1"/>
        </w:numPr>
        <w:rPr>
          <w:i w:val="0"/>
          <w:noProof/>
        </w:rPr>
      </w:pPr>
      <w:bookmarkStart w:id="21" w:name="_Toc490850423"/>
      <w:bookmarkStart w:id="22" w:name="_Toc495312126"/>
      <w:bookmarkStart w:id="23" w:name="_Toc499041541"/>
      <w:r>
        <w:rPr>
          <w:i w:val="0"/>
          <w:noProof/>
        </w:rPr>
        <w:t>Предлагане: квоти, пуснати в обращение</w:t>
      </w:r>
      <w:bookmarkEnd w:id="21"/>
      <w:bookmarkEnd w:id="22"/>
      <w:bookmarkEnd w:id="23"/>
      <w:r>
        <w:rPr>
          <w:i w:val="0"/>
          <w:noProof/>
        </w:rPr>
        <w:t xml:space="preserve"> </w:t>
      </w:r>
    </w:p>
    <w:p>
      <w:pPr>
        <w:pStyle w:val="Heading3"/>
        <w:numPr>
          <w:ilvl w:val="2"/>
          <w:numId w:val="1"/>
        </w:numPr>
        <w:rPr>
          <w:noProof/>
        </w:rPr>
      </w:pPr>
      <w:bookmarkStart w:id="24" w:name="_Toc490850424"/>
      <w:bookmarkStart w:id="25" w:name="_Toc495312127"/>
      <w:bookmarkStart w:id="26" w:name="_Toc499041542"/>
      <w:r>
        <w:rPr>
          <w:noProof/>
        </w:rPr>
        <w:t>Лимит</w:t>
      </w:r>
      <w:bookmarkEnd w:id="24"/>
      <w:bookmarkEnd w:id="25"/>
      <w:bookmarkEnd w:id="26"/>
    </w:p>
    <w:p>
      <w:pPr>
        <w:jc w:val="both"/>
        <w:rPr>
          <w:rFonts w:ascii="Times New Roman" w:hAnsi="Times New Roman"/>
          <w:noProof/>
          <w:sz w:val="24"/>
          <w:szCs w:val="24"/>
        </w:rPr>
      </w:pPr>
      <w:r>
        <w:rPr>
          <w:noProof/>
          <w:szCs w:val="24"/>
          <w:lang w:val="en-US" w:eastAsia="en-US" w:bidi="ar-SA"/>
        </w:rPr>
        <mc:AlternateContent>
          <mc:Choice Requires="wps">
            <w:drawing>
              <wp:inline distT="0" distB="0" distL="0" distR="0">
                <wp:extent cx="5771693" cy="5796951"/>
                <wp:effectExtent l="0" t="0" r="1968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5796951"/>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Лимитът е абсолютното количество парникови газове, което може да бъде отделено в системата, така че да се осигури изпълнение на целта за намаление на емисиите; той съответства на броя на квотите, пускани в обращение през даден период на търгуване. Във фаза 3 се прилага общ лимит за ЕС, който заменя предишните системи на национални лимити. </w:t>
                            </w:r>
                          </w:p>
                          <w:p>
                            <w:pPr>
                              <w:jc w:val="both"/>
                              <w:rPr>
                                <w:rFonts w:ascii="Times New Roman" w:hAnsi="Times New Roman"/>
                                <w:sz w:val="24"/>
                                <w:szCs w:val="24"/>
                              </w:rPr>
                            </w:pPr>
                            <w:r>
                              <w:rPr>
                                <w:rFonts w:ascii="Times New Roman" w:hAnsi="Times New Roman"/>
                                <w:sz w:val="24"/>
                              </w:rPr>
                              <w:t>Лимитът от 2013 г. за емисиите от стационарни инсталации бе определен на 2 084 301 856 квоти.  Този лимит намалява всяка година с линеен коефициент на намаление, равен на 1,74 % от средното общо количество годишно издадени квоти през периода 2008—2012 г., което гарантира, че броят на квотите, които могат да бъдат използвани от стационарните инсталации, ще бъде с 21 % по-малък през 2020 г., отколкото през 2005 г.</w:t>
                            </w:r>
                          </w:p>
                          <w:p>
                            <w:pPr>
                              <w:jc w:val="both"/>
                              <w:rPr>
                                <w:rFonts w:ascii="Times New Roman" w:hAnsi="Times New Roman"/>
                                <w:sz w:val="24"/>
                                <w:szCs w:val="24"/>
                              </w:rPr>
                            </w:pPr>
                            <w:r>
                              <w:rPr>
                                <w:rFonts w:ascii="Times New Roman" w:hAnsi="Times New Roman"/>
                                <w:sz w:val="24"/>
                              </w:rPr>
                              <w:t>Лимитът за сектора на въздухоплаването бе определен първоначално на 210 349 264 годишни квоти за авиационни емисии, което е с 5 % по-малко от средния годишен брой на авиационните емисии през периода 2004—2006 г. Той бе повишен със 116 524 авиационни квоти на 1 януари 2014 г., за да се даде възможност на Хърватия да се присъедини към СТЕ на ЕС. Този лимит трябваше да отрази законодателството от 2008 г.*, което включи въздухоплаването в СТЕ на ЕС и в което се определя, че всички полети от, до и в рамките на ЕИП следва да бъдат включени в СТЕ на ЕС. Обхватът на СТЕ на ЕС бе обаче временно ограничен до полети в рамките на ЕИП през периода 2013—2016 г. в подкрепа на разработването на глобална мярка от ИКАО. Поради това броят на авиационните квоти, пуснати в обращение през периода 2013—2014 г., е бил значително по-нисък от първоначалния лимит. С оглед на напредъка по глобалната мярка през октомври 2016 г. Комисията предложи прилаганият понастоящем подход да бъде продължен и след 2016 г. (вж. Раздел 4).</w:t>
                            </w:r>
                          </w:p>
                          <w:p>
                            <w:pPr>
                              <w:jc w:val="both"/>
                              <w:rPr>
                                <w:rFonts w:ascii="Times New Roman" w:hAnsi="Times New Roman"/>
                                <w:sz w:val="24"/>
                                <w:szCs w:val="24"/>
                              </w:rPr>
                            </w:pPr>
                            <w:r>
                              <w:rPr>
                                <w:rFonts w:ascii="Times New Roman" w:hAnsi="Times New Roman"/>
                                <w:sz w:val="18"/>
                              </w:rPr>
                              <w:t>*</w:t>
                            </w:r>
                            <w:r>
                              <w:rPr>
                                <w:sz w:val="18"/>
                              </w:rPr>
                              <w:t xml:space="preserve"> </w:t>
                            </w:r>
                            <w:r>
                              <w:rPr>
                                <w:rFonts w:ascii="Times New Roman" w:hAnsi="Times New Roman"/>
                                <w:sz w:val="18"/>
                              </w:rPr>
                              <w:t>Директива 2008/101/ЕО на Европейския парламент и на Съвета от 19 ноември 2008 г. за изменение на Директива 2003/87/ЕО с цел включване на авиационните дейности в схемата за търговия с квоти за емисии на парникови газове в рамките на Общността.</w:t>
                            </w:r>
                          </w:p>
                        </w:txbxContent>
                      </wps:txbx>
                      <wps:bodyPr rot="0" vert="horz" wrap="square" lIns="91440" tIns="45720" rIns="91440" bIns="45720" anchor="t" anchorCtr="0">
                        <a:noAutofit/>
                      </wps:bodyPr>
                    </wps:wsp>
                  </a:graphicData>
                </a:graphic>
              </wp:inline>
            </w:drawing>
          </mc:Choice>
          <mc:Fallback>
            <w:pict>
              <v:shape id="_x0000_s1028" type="#_x0000_t202" style="width:454.45pt;height:45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" fillcolor="#d8d8d8 [2732]" strokeweight="1pt">
                <v:textbox>
                  <w:txbxContent>
                    <w:p>
                      <w:pPr>
                        <w:jc w:val="both"/>
                        <w:rPr>
                          <w:rFonts w:ascii="Times New Roman" w:hAnsi="Times New Roman"/>
                          <w:sz w:val="24"/>
                          <w:szCs w:val="24"/>
                        </w:rPr>
                      </w:pPr>
                      <w:r>
                        <w:rPr>
                          <w:rFonts w:ascii="Times New Roman" w:hAnsi="Times New Roman"/>
                          <w:sz w:val="24"/>
                        </w:rPr>
                        <w:t xml:space="preserve">Лимитът е абсолютното количество парникови газове, което може да бъде отделено в системата, така че да се осигури изпълнение на целта за намаление на емисиите; той съответства на броя на квотите, пускани в обращение през даден период на търгуване. Във фаза 3 се прилага общ лимит за ЕС, който заменя предишните системи на национални лимити. </w:t>
                      </w:r>
                    </w:p>
                    <w:p>
                      <w:pPr>
                        <w:jc w:val="both"/>
                        <w:rPr>
                          <w:rFonts w:ascii="Times New Roman" w:hAnsi="Times New Roman"/>
                          <w:sz w:val="24"/>
                          <w:szCs w:val="24"/>
                        </w:rPr>
                      </w:pPr>
                      <w:r>
                        <w:rPr>
                          <w:rFonts w:ascii="Times New Roman" w:hAnsi="Times New Roman"/>
                          <w:sz w:val="24"/>
                        </w:rPr>
                        <w:t>Лимитът от 2013 г. за емисиите от стационарни инсталации бе определен на 2 084 301 856 квоти.  Този лимит намалява всяка година с линеен коефициент на намаление, равен на 1,74 % от средното общо количество годишно издадени квоти през периода 2008—2012 г., което гарантира, че броят на квотите, които могат да бъдат използвани от стационарните инсталации, ще бъде с 21 % по-малък през 2020 г., отколкото през 2005 г.</w:t>
                      </w:r>
                    </w:p>
                    <w:p>
                      <w:pPr>
                        <w:jc w:val="both"/>
                        <w:rPr>
                          <w:rFonts w:ascii="Times New Roman" w:hAnsi="Times New Roman"/>
                          <w:sz w:val="24"/>
                          <w:szCs w:val="24"/>
                        </w:rPr>
                      </w:pPr>
                      <w:r>
                        <w:rPr>
                          <w:rFonts w:ascii="Times New Roman" w:hAnsi="Times New Roman"/>
                          <w:sz w:val="24"/>
                        </w:rPr>
                        <w:t>Лимитът за сектора на въздухоплаването бе определен първоначално на 210 349 264 годишни квоти за авиационни емисии, което е с 5 % по-малко от средния годишен брой на авиационните емисии през периода 2004—2006 г. Той бе повишен със 116 524 авиационни квоти на 1 януари 2014 г., за да се даде възможност на Хърватия да се присъедини към СТЕ на ЕС. Този лимит трябваше да отрази законодателството от 2008 г.*, което включи въздухоплаването в СТЕ на ЕС и в което се определя, че всички полети от, до и в рамките на ЕИП следва да бъдат включени в СТЕ на ЕС. Обхватът на СТЕ на ЕС бе обаче временно ограничен до полети в рамките на ЕИП през периода 2013—2016 г. в подкрепа на разработването на глобална мярка от ИКАО. Поради това броят на авиационните квоти, пуснати в обращение през периода 2013—2014 г., е бил значително по-нисък от първоначалния лимит. С оглед на напредъка по глобалната мярка през октомври 2016 г. Комисията предложи прилаганият понастоящем подход да бъде продължен и след 2016 г. (вж. Раздел 4).</w:t>
                      </w:r>
                    </w:p>
                    <w:p>
                      <w:pPr>
                        <w:jc w:val="both"/>
                        <w:rPr>
                          <w:rFonts w:ascii="Times New Roman" w:hAnsi="Times New Roman"/>
                          <w:sz w:val="24"/>
                          <w:szCs w:val="24"/>
                        </w:rPr>
                      </w:pPr>
                      <w:r>
                        <w:rPr>
                          <w:rFonts w:ascii="Times New Roman" w:hAnsi="Times New Roman"/>
                          <w:sz w:val="18"/>
                        </w:rPr>
                        <w:t>*</w:t>
                      </w:r>
                      <w:r>
                        <w:rPr>
                          <w:sz w:val="18"/>
                        </w:rPr>
                        <w:t xml:space="preserve"> </w:t>
                      </w:r>
                      <w:r>
                        <w:rPr>
                          <w:rFonts w:ascii="Times New Roman" w:hAnsi="Times New Roman"/>
                          <w:sz w:val="18"/>
                        </w:rPr>
                        <w:t>Директива 2008/101/ЕО на Европейския парламент и на Съвета от 19 ноември 2008 г. за изменение на Директива 2003/87/ЕО с цел включване на авиационните дейности в схемата за търговия с квоти за емисии на парникови газове в рамките на Общността.</w:t>
                      </w:r>
                    </w:p>
                  </w:txbxContent>
                </v:textbox>
                <w10:anchorlock/>
              </v:shape>
            </w:pict>
          </mc:Fallback>
        </mc:AlternateContent>
      </w:r>
    </w:p>
    <w:p>
      <w:pPr>
        <w:spacing w:after="0"/>
        <w:jc w:val="both"/>
        <w:rPr>
          <w:rFonts w:ascii="Times New Roman" w:hAnsi="Times New Roman"/>
          <w:noProof/>
          <w:sz w:val="24"/>
          <w:szCs w:val="24"/>
        </w:rPr>
      </w:pPr>
      <w:r>
        <w:rPr>
          <w:rFonts w:ascii="Times New Roman" w:hAnsi="Times New Roman"/>
          <w:noProof/>
          <w:sz w:val="24"/>
        </w:rPr>
        <w:t>В таблица 2 са дадени числените данни за лимита за стационарните инсталации и броят на квотите за авиационни емисии, пускани ежегодно в обращение</w:t>
      </w:r>
      <w:r>
        <w:rPr>
          <w:rStyle w:val="FootnoteReference"/>
          <w:rFonts w:ascii="Times New Roman" w:hAnsi="Times New Roman"/>
          <w:noProof/>
          <w:sz w:val="24"/>
        </w:rPr>
        <w:footnoteReference w:id="12"/>
      </w:r>
      <w:r>
        <w:rPr>
          <w:rFonts w:ascii="Times New Roman" w:hAnsi="Times New Roman"/>
          <w:noProof/>
          <w:sz w:val="24"/>
        </w:rPr>
        <w:t xml:space="preserve"> за всяка година през фаза 3 на СТЕ на ЕС.</w:t>
      </w:r>
    </w:p>
    <w:p>
      <w:pPr>
        <w:spacing w:after="0"/>
        <w:jc w:val="both"/>
        <w:rPr>
          <w:rFonts w:ascii="Times New Roman" w:hAnsi="Times New Roman"/>
          <w:b/>
          <w:noProof/>
          <w:sz w:val="20"/>
          <w:szCs w:val="20"/>
        </w:rPr>
      </w:pPr>
    </w:p>
    <w:p>
      <w:pPr>
        <w:spacing w:after="0"/>
        <w:jc w:val="both"/>
        <w:rPr>
          <w:rFonts w:ascii="Times New Roman" w:hAnsi="Times New Roman"/>
          <w:b/>
          <w:noProof/>
        </w:rPr>
      </w:pPr>
      <w:r>
        <w:rPr>
          <w:rFonts w:ascii="Times New Roman" w:hAnsi="Times New Roman"/>
          <w:b/>
          <w:noProof/>
        </w:rPr>
        <w:t>Таблица 2: Лимити по СТЕ на ЕС през периода 2013—2020 г.</w:t>
      </w:r>
    </w:p>
    <w:p>
      <w:pPr>
        <w:spacing w:after="0"/>
        <w:rPr>
          <w:rFonts w:ascii="Times New Roman" w:hAnsi="Times New Roman"/>
          <w:b/>
          <w:bCs/>
          <w:noProof/>
          <w:sz w:val="20"/>
          <w:szCs w:val="20"/>
        </w:rPr>
      </w:pPr>
    </w:p>
    <w:tbl>
      <w:tblPr>
        <w:tblStyle w:val="TableGrid"/>
        <w:tblW w:w="0" w:type="auto"/>
        <w:jc w:val="center"/>
        <w:tblInd w:w="-7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4"/>
        <w:gridCol w:w="3207"/>
        <w:gridCol w:w="3810"/>
      </w:tblGrid>
      <w:tr>
        <w:trPr>
          <w:trHeight w:val="615"/>
          <w:jc w:val="center"/>
        </w:trPr>
        <w:tc>
          <w:tcPr>
            <w:tcW w:w="1994" w:type="dxa"/>
          </w:tcPr>
          <w:p>
            <w:pPr>
              <w:jc w:val="center"/>
              <w:rPr>
                <w:rFonts w:ascii="Times New Roman" w:hAnsi="Times New Roman"/>
                <w:b/>
                <w:noProof/>
                <w:sz w:val="18"/>
                <w:szCs w:val="18"/>
              </w:rPr>
            </w:pPr>
            <w:r>
              <w:rPr>
                <w:rFonts w:ascii="Times New Roman" w:hAnsi="Times New Roman"/>
                <w:b/>
                <w:noProof/>
                <w:sz w:val="18"/>
                <w:szCs w:val="18"/>
              </w:rPr>
              <w:br/>
            </w:r>
            <w:r>
              <w:rPr>
                <w:rFonts w:ascii="Times New Roman" w:hAnsi="Times New Roman"/>
                <w:b/>
                <w:noProof/>
                <w:sz w:val="18"/>
              </w:rPr>
              <w:t>Година</w:t>
            </w:r>
          </w:p>
          <w:p>
            <w:pPr>
              <w:jc w:val="center"/>
              <w:rPr>
                <w:b/>
                <w:noProof/>
                <w:sz w:val="18"/>
                <w:szCs w:val="18"/>
              </w:rPr>
            </w:pPr>
          </w:p>
        </w:tc>
        <w:tc>
          <w:tcPr>
            <w:tcW w:w="3207" w:type="dxa"/>
          </w:tcPr>
          <w:p>
            <w:pPr>
              <w:jc w:val="center"/>
              <w:rPr>
                <w:b/>
                <w:noProof/>
                <w:sz w:val="18"/>
                <w:szCs w:val="18"/>
              </w:rPr>
            </w:pPr>
            <w:r>
              <w:rPr>
                <w:rFonts w:ascii="Times New Roman" w:hAnsi="Times New Roman"/>
                <w:b/>
                <w:noProof/>
                <w:sz w:val="18"/>
                <w:szCs w:val="18"/>
              </w:rPr>
              <w:br/>
            </w:r>
            <w:r>
              <w:rPr>
                <w:rFonts w:ascii="Times New Roman" w:hAnsi="Times New Roman"/>
                <w:b/>
                <w:noProof/>
                <w:sz w:val="18"/>
              </w:rPr>
              <w:t xml:space="preserve">Годишен лимит </w:t>
            </w:r>
            <w:r>
              <w:rPr>
                <w:rFonts w:ascii="Times New Roman" w:hAnsi="Times New Roman"/>
                <w:b/>
                <w:i/>
                <w:noProof/>
                <w:sz w:val="18"/>
              </w:rPr>
              <w:t>(инсталации)</w:t>
            </w:r>
          </w:p>
        </w:tc>
        <w:tc>
          <w:tcPr>
            <w:tcW w:w="3810" w:type="dxa"/>
          </w:tcPr>
          <w:p>
            <w:pPr>
              <w:jc w:val="center"/>
              <w:rPr>
                <w:rFonts w:ascii="Times New Roman" w:hAnsi="Times New Roman"/>
                <w:b/>
                <w:noProof/>
                <w:sz w:val="18"/>
                <w:szCs w:val="18"/>
              </w:rPr>
            </w:pPr>
          </w:p>
          <w:p>
            <w:pPr>
              <w:jc w:val="center"/>
              <w:rPr>
                <w:rFonts w:ascii="Times New Roman" w:hAnsi="Times New Roman"/>
                <w:b/>
                <w:noProof/>
                <w:sz w:val="18"/>
                <w:szCs w:val="18"/>
              </w:rPr>
            </w:pPr>
            <w:r>
              <w:rPr>
                <w:rFonts w:ascii="Times New Roman" w:hAnsi="Times New Roman"/>
                <w:b/>
                <w:noProof/>
                <w:sz w:val="18"/>
              </w:rPr>
              <w:t>Годишни квоти за авиационни емисии, пуснати в обращение</w:t>
            </w:r>
            <w:r>
              <w:rPr>
                <w:rStyle w:val="FootnoteReference"/>
                <w:rFonts w:ascii="Times New Roman" w:hAnsi="Times New Roman"/>
                <w:b/>
                <w:noProof/>
                <w:sz w:val="18"/>
              </w:rPr>
              <w:footnoteReference w:id="13"/>
            </w:r>
          </w:p>
        </w:tc>
      </w:tr>
      <w:tr>
        <w:trPr>
          <w:trHeight w:val="546"/>
          <w:jc w:val="center"/>
        </w:trPr>
        <w:tc>
          <w:tcPr>
            <w:tcW w:w="1994" w:type="dxa"/>
          </w:tcPr>
          <w:p>
            <w:pPr>
              <w:jc w:val="center"/>
              <w:rPr>
                <w:rFonts w:ascii="Times New Roman" w:hAnsi="Times New Roman"/>
                <w:noProof/>
              </w:rPr>
            </w:pPr>
            <w:r>
              <w:rPr>
                <w:rFonts w:ascii="Times New Roman" w:hAnsi="Times New Roman"/>
                <w:noProof/>
              </w:rPr>
              <w:br/>
              <w:t>2013 г.</w:t>
            </w:r>
          </w:p>
          <w:p>
            <w:pPr>
              <w:jc w:val="center"/>
              <w:rPr>
                <w:noProof/>
              </w:rPr>
            </w:pPr>
          </w:p>
        </w:tc>
        <w:tc>
          <w:tcPr>
            <w:tcW w:w="3207" w:type="dxa"/>
          </w:tcPr>
          <w:p>
            <w:pPr>
              <w:jc w:val="center"/>
              <w:rPr>
                <w:noProof/>
              </w:rPr>
            </w:pPr>
            <w:r>
              <w:rPr>
                <w:rFonts w:ascii="Times New Roman" w:hAnsi="Times New Roman"/>
                <w:noProof/>
              </w:rPr>
              <w:br/>
              <w:t>2 084 301 856</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32 455 312</w:t>
            </w:r>
          </w:p>
        </w:tc>
      </w:tr>
      <w:tr>
        <w:trPr>
          <w:trHeight w:val="534"/>
          <w:jc w:val="center"/>
        </w:trPr>
        <w:tc>
          <w:tcPr>
            <w:tcW w:w="1994" w:type="dxa"/>
          </w:tcPr>
          <w:p>
            <w:pPr>
              <w:jc w:val="center"/>
              <w:rPr>
                <w:rFonts w:ascii="Times New Roman" w:hAnsi="Times New Roman"/>
                <w:noProof/>
              </w:rPr>
            </w:pPr>
            <w:r>
              <w:rPr>
                <w:rFonts w:ascii="Times New Roman" w:hAnsi="Times New Roman"/>
                <w:noProof/>
              </w:rPr>
              <w:br/>
              <w:t>2014 г.</w:t>
            </w:r>
          </w:p>
          <w:p>
            <w:pPr>
              <w:jc w:val="center"/>
              <w:rPr>
                <w:noProof/>
              </w:rPr>
            </w:pPr>
          </w:p>
        </w:tc>
        <w:tc>
          <w:tcPr>
            <w:tcW w:w="3207" w:type="dxa"/>
          </w:tcPr>
          <w:p>
            <w:pPr>
              <w:jc w:val="center"/>
              <w:rPr>
                <w:noProof/>
              </w:rPr>
            </w:pPr>
            <w:r>
              <w:rPr>
                <w:rFonts w:ascii="Times New Roman" w:hAnsi="Times New Roman"/>
                <w:noProof/>
              </w:rPr>
              <w:br/>
              <w:t>2 046 037 610</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41 681 025</w:t>
            </w:r>
          </w:p>
        </w:tc>
      </w:tr>
      <w:tr>
        <w:trPr>
          <w:trHeight w:val="522"/>
          <w:jc w:val="center"/>
        </w:trPr>
        <w:tc>
          <w:tcPr>
            <w:tcW w:w="1994" w:type="dxa"/>
          </w:tcPr>
          <w:p>
            <w:pPr>
              <w:jc w:val="center"/>
              <w:rPr>
                <w:rFonts w:ascii="Times New Roman" w:hAnsi="Times New Roman"/>
                <w:noProof/>
              </w:rPr>
            </w:pPr>
            <w:r>
              <w:rPr>
                <w:rFonts w:ascii="Times New Roman" w:hAnsi="Times New Roman"/>
                <w:noProof/>
              </w:rPr>
              <w:br/>
              <w:t>2015 г.</w:t>
            </w:r>
          </w:p>
          <w:p>
            <w:pPr>
              <w:jc w:val="center"/>
              <w:rPr>
                <w:noProof/>
              </w:rPr>
            </w:pPr>
          </w:p>
        </w:tc>
        <w:tc>
          <w:tcPr>
            <w:tcW w:w="3207" w:type="dxa"/>
          </w:tcPr>
          <w:p>
            <w:pPr>
              <w:jc w:val="center"/>
              <w:rPr>
                <w:noProof/>
              </w:rPr>
            </w:pPr>
            <w:r>
              <w:rPr>
                <w:rFonts w:ascii="Times New Roman" w:hAnsi="Times New Roman"/>
                <w:noProof/>
              </w:rPr>
              <w:br/>
              <w:t>2 007 773 364</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48 543 026</w:t>
            </w: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2016 г.</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1 969 509 118</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38 034 475</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2017 г.</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1 931 244 873</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37 833 819</w:t>
            </w:r>
            <w:r>
              <w:rPr>
                <w:rStyle w:val="FootnoteReference"/>
                <w:rFonts w:ascii="Times New Roman" w:hAnsi="Times New Roman"/>
                <w:noProof/>
              </w:rPr>
              <w:footnoteReference w:id="14"/>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2018 г.</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1 892 980 627</w:t>
            </w:r>
          </w:p>
        </w:tc>
        <w:tc>
          <w:tcPr>
            <w:tcW w:w="3810" w:type="dxa"/>
          </w:tcPr>
          <w:p>
            <w:pPr>
              <w:jc w:val="center"/>
              <w:rPr>
                <w:rFonts w:ascii="Times New Roman" w:hAnsi="Times New Roman"/>
                <w:noProof/>
              </w:rPr>
            </w:pPr>
          </w:p>
          <w:p>
            <w:pPr>
              <w:jc w:val="center"/>
              <w:rPr>
                <w:rFonts w:ascii="Times New Roman" w:hAnsi="Times New Roman"/>
                <w:noProof/>
              </w:rPr>
            </w:pP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2019 г.</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1 854 716 381</w:t>
            </w:r>
          </w:p>
        </w:tc>
        <w:tc>
          <w:tcPr>
            <w:tcW w:w="3810" w:type="dxa"/>
          </w:tcPr>
          <w:p>
            <w:pPr>
              <w:jc w:val="center"/>
              <w:rPr>
                <w:rFonts w:ascii="Times New Roman" w:hAnsi="Times New Roman"/>
                <w:noProof/>
              </w:rPr>
            </w:pPr>
          </w:p>
          <w:p>
            <w:pPr>
              <w:jc w:val="center"/>
              <w:rPr>
                <w:rFonts w:ascii="Times New Roman" w:hAnsi="Times New Roman"/>
                <w:noProof/>
              </w:rPr>
            </w:pP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2020 г.</w:t>
            </w:r>
          </w:p>
          <w:p>
            <w:pPr>
              <w:jc w:val="center"/>
              <w:rPr>
                <w:rFonts w:ascii="Times New Roman" w:hAnsi="Times New Roman"/>
                <w:noProof/>
              </w:rPr>
            </w:pPr>
          </w:p>
        </w:tc>
        <w:tc>
          <w:tcPr>
            <w:tcW w:w="3207" w:type="dxa"/>
          </w:tcPr>
          <w:p>
            <w:pPr>
              <w:jc w:val="center"/>
              <w:rPr>
                <w:noProof/>
              </w:rPr>
            </w:pPr>
            <w:r>
              <w:rPr>
                <w:rFonts w:ascii="Times New Roman" w:hAnsi="Times New Roman"/>
                <w:noProof/>
              </w:rPr>
              <w:br/>
              <w:t>1 816 452 135</w:t>
            </w:r>
          </w:p>
        </w:tc>
        <w:tc>
          <w:tcPr>
            <w:tcW w:w="3810" w:type="dxa"/>
          </w:tcPr>
          <w:p>
            <w:pPr>
              <w:jc w:val="center"/>
              <w:rPr>
                <w:rFonts w:ascii="Times New Roman" w:hAnsi="Times New Roman"/>
                <w:noProof/>
              </w:rPr>
            </w:pPr>
          </w:p>
          <w:p>
            <w:pPr>
              <w:jc w:val="center"/>
              <w:rPr>
                <w:rFonts w:ascii="Times New Roman" w:hAnsi="Times New Roman"/>
                <w:noProof/>
              </w:rPr>
            </w:pPr>
          </w:p>
        </w:tc>
      </w:tr>
    </w:tbl>
    <w:p>
      <w:pPr>
        <w:pStyle w:val="Heading3"/>
        <w:numPr>
          <w:ilvl w:val="2"/>
          <w:numId w:val="1"/>
        </w:numPr>
        <w:rPr>
          <w:noProof/>
        </w:rPr>
      </w:pPr>
      <w:bookmarkStart w:id="27" w:name="_Toc490850425"/>
      <w:bookmarkStart w:id="28" w:name="_Toc495312128"/>
      <w:bookmarkStart w:id="29" w:name="_Toc499041543"/>
      <w:r>
        <w:rPr>
          <w:noProof/>
        </w:rPr>
        <w:t>Издадени квоти</w:t>
      </w:r>
      <w:bookmarkEnd w:id="27"/>
      <w:bookmarkEnd w:id="28"/>
      <w:bookmarkEnd w:id="29"/>
    </w:p>
    <w:p>
      <w:pPr>
        <w:pStyle w:val="Heading4"/>
        <w:numPr>
          <w:ilvl w:val="3"/>
          <w:numId w:val="1"/>
        </w:numPr>
        <w:rPr>
          <w:noProof/>
        </w:rPr>
      </w:pPr>
      <w:bookmarkStart w:id="30" w:name="_Toc490850426"/>
      <w:r>
        <w:rPr>
          <w:noProof/>
        </w:rPr>
        <w:t>Безплатно разпределение</w:t>
      </w:r>
      <w:bookmarkEnd w:id="30"/>
      <w:r>
        <w:rPr>
          <w:noProof/>
        </w:rPr>
        <w:t xml:space="preserve"> </w:t>
      </w:r>
    </w:p>
    <w:p>
      <w:pPr>
        <w:jc w:val="both"/>
        <w:rPr>
          <w:rFonts w:ascii="Times New Roman" w:hAnsi="Times New Roman"/>
          <w:noProof/>
          <w:sz w:val="24"/>
          <w:szCs w:val="24"/>
        </w:rPr>
      </w:pPr>
    </w:p>
    <w:p>
      <w:pPr>
        <w:pStyle w:val="NormalWeb"/>
        <w:spacing w:line="276" w:lineRule="auto"/>
        <w:jc w:val="both"/>
        <w:rPr>
          <w:noProof/>
        </w:rPr>
      </w:pPr>
      <w:r>
        <w:rPr>
          <w:noProof/>
        </w:rPr>
        <w:t>В рамките на фаза 3, 39 % от общото количество налични квоти ще бъдат разпределени безплатно на промишлени предприятия и инсталации за производство на електроенергия за произведената от тях топлинна енергия. Този дял ще се увеличи допълнително заради квотите за нови у</w:t>
      </w:r>
      <w:r>
        <w:rPr>
          <w:noProof/>
          <w:lang w:val="en-US" w:eastAsia="en-US" w:bidi="ar-SA"/>
        </w:rPr>
        <mc:AlternateContent>
          <mc:Choice Requires="wps">
            <w:drawing>
              <wp:inline distT="0" distB="0" distL="0" distR="0">
                <wp:extent cx="5749747" cy="4770408"/>
                <wp:effectExtent l="0" t="0" r="22860" b="1143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747" cy="4770408"/>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Въпреки че във фаза 3 тръжната продажба е основният метод за разпределяне на квоти за емисии на предприятията, участващи в СТЕ на ЕС, значително количество квоти ще продължават да се разпределят безплатно до 2020 г. и след това. Прилагат се следните принципи:</w:t>
                            </w:r>
                          </w:p>
                          <w:p>
                            <w:pPr>
                              <w:pStyle w:val="ListParagraph"/>
                              <w:numPr>
                                <w:ilvl w:val="0"/>
                                <w:numId w:val="10"/>
                              </w:numPr>
                              <w:jc w:val="both"/>
                              <w:rPr>
                                <w:rFonts w:ascii="Times New Roman" w:hAnsi="Times New Roman"/>
                                <w:sz w:val="24"/>
                                <w:szCs w:val="24"/>
                              </w:rPr>
                            </w:pPr>
                            <w:r>
                              <w:rPr>
                                <w:rFonts w:ascii="Times New Roman" w:hAnsi="Times New Roman"/>
                                <w:sz w:val="24"/>
                              </w:rPr>
                              <w:t>производството на електроенергия вече не получава безплатни квоти;</w:t>
                            </w:r>
                          </w:p>
                          <w:p>
                            <w:pPr>
                              <w:pStyle w:val="ListParagraph"/>
                              <w:numPr>
                                <w:ilvl w:val="0"/>
                                <w:numId w:val="10"/>
                              </w:numPr>
                              <w:jc w:val="both"/>
                              <w:rPr>
                                <w:rFonts w:ascii="Times New Roman" w:hAnsi="Times New Roman"/>
                                <w:sz w:val="24"/>
                                <w:szCs w:val="24"/>
                              </w:rPr>
                            </w:pPr>
                            <w:r>
                              <w:rPr>
                                <w:rFonts w:ascii="Times New Roman" w:hAnsi="Times New Roman"/>
                                <w:sz w:val="24"/>
                              </w:rPr>
                              <w:t>безплатното разпределение на квоти се извършва в съответствие с правила, хармонизирани за целия ЕС;</w:t>
                            </w:r>
                          </w:p>
                          <w:p>
                            <w:pPr>
                              <w:pStyle w:val="ListParagraph"/>
                              <w:numPr>
                                <w:ilvl w:val="0"/>
                                <w:numId w:val="10"/>
                              </w:numPr>
                              <w:jc w:val="both"/>
                              <w:rPr>
                                <w:rFonts w:ascii="Times New Roman" w:hAnsi="Times New Roman"/>
                                <w:sz w:val="24"/>
                                <w:szCs w:val="24"/>
                              </w:rPr>
                            </w:pPr>
                            <w:r>
                              <w:rPr>
                                <w:rFonts w:ascii="Times New Roman" w:hAnsi="Times New Roman"/>
                                <w:sz w:val="24"/>
                              </w:rPr>
                              <w:t>безплатното разпределение се основава на показатели за ефективност, така че да се засилят стимулите за намаляване на емисиите на парникови газове и да се възнаградят най-ефективните инсталации;</w:t>
                            </w:r>
                          </w:p>
                          <w:p>
                            <w:pPr>
                              <w:pStyle w:val="ListParagraph"/>
                              <w:numPr>
                                <w:ilvl w:val="0"/>
                                <w:numId w:val="10"/>
                              </w:numPr>
                              <w:jc w:val="both"/>
                              <w:rPr>
                                <w:rFonts w:ascii="Times New Roman" w:hAnsi="Times New Roman"/>
                                <w:sz w:val="24"/>
                                <w:szCs w:val="24"/>
                              </w:rPr>
                            </w:pPr>
                            <w:r>
                              <w:rPr>
                                <w:rFonts w:ascii="Times New Roman" w:hAnsi="Times New Roman"/>
                                <w:sz w:val="24"/>
                              </w:rPr>
                              <w:t>установен е обхващащ целия ЕС резерв за нови участници (NER) с 5 % от сумарното количество квоти за фаза 3.</w:t>
                            </w:r>
                          </w:p>
                          <w:p>
                            <w:pPr>
                              <w:spacing w:line="240" w:lineRule="auto"/>
                              <w:jc w:val="both"/>
                              <w:rPr>
                                <w:rFonts w:ascii="Times New Roman" w:hAnsi="Times New Roman"/>
                                <w:sz w:val="24"/>
                                <w:szCs w:val="24"/>
                              </w:rPr>
                            </w:pPr>
                            <w:r>
                              <w:rPr>
                                <w:rFonts w:ascii="Times New Roman" w:hAnsi="Times New Roman"/>
                                <w:sz w:val="24"/>
                              </w:rPr>
                              <w:t>Безплатните квоти се предоставят на промишлени инсталации с цел справяне с потенциалния риск от изместване на въглеродни емисии (ситуация, в която предприятия прехвърлят производството си към трети държави с не толкова стриктни ограничения относно емисиите на парникови газове заради разходите, свързани с политиките на ЕС по отношение на климата, което може да доведе до потенциално увеличаване на общото им количество емисии). Секторите и подсекторите, за които се смята, че са изложени на значителен риск от изместване на въглеродни емисии, са включени в списък за изместване на въглеродни емисии*, който обхваща понастоящем периода 2015—2019 г.</w:t>
                            </w:r>
                          </w:p>
                          <w:p>
                            <w:pPr>
                              <w:spacing w:line="240" w:lineRule="auto"/>
                              <w:rPr>
                                <w:rFonts w:ascii="Times New Roman" w:hAnsi="Times New Roman"/>
                                <w:sz w:val="18"/>
                                <w:szCs w:val="18"/>
                              </w:rPr>
                            </w:pPr>
                            <w:r>
                              <w:rPr>
                                <w:rFonts w:ascii="Times New Roman" w:hAnsi="Times New Roman"/>
                                <w:sz w:val="18"/>
                              </w:rPr>
                              <w:t>* Настоящият списък за изместване на въглеродни емисии може да бъде намерен тук: http://eur-lex.europa.eu/legal-content/BG/TXT/HTML/?uri=CELEX:32014D0746&amp;from=EN</w:t>
                            </w:r>
                          </w:p>
                        </w:txbxContent>
                      </wps:txbx>
                      <wps:bodyPr rot="0" vert="horz" wrap="square" lIns="91440" tIns="45720" rIns="91440" bIns="45720" anchor="t" anchorCtr="0">
                        <a:noAutofit/>
                      </wps:bodyPr>
                    </wps:wsp>
                  </a:graphicData>
                </a:graphic>
              </wp:inline>
            </w:drawing>
          </mc:Choice>
          <mc:Fallback>
            <w:pict>
              <v:shape id="_x0000_s1029" type="#_x0000_t202" style="width:452.75pt;height:3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" fillcolor="#d8d8d8 [2732]" strokeweight="1pt">
                <v:textbox>
                  <w:txbxContent>
                    <w:p>
                      <w:pPr>
                        <w:jc w:val="both"/>
                        <w:rPr>
                          <w:rFonts w:ascii="Times New Roman" w:hAnsi="Times New Roman"/>
                          <w:sz w:val="24"/>
                          <w:szCs w:val="24"/>
                        </w:rPr>
                      </w:pPr>
                      <w:r>
                        <w:rPr>
                          <w:rFonts w:ascii="Times New Roman" w:hAnsi="Times New Roman"/>
                          <w:sz w:val="24"/>
                        </w:rPr>
                        <w:t>Въпреки че във фаза 3 тръжната продажба е основният метод за разпределяне на квоти за емисии на предприятията, участващи в СТЕ на ЕС, значително количество квоти ще продължават да се разпределят безплатно до 2020 г. и след това. Прилагат се следните принципи:</w:t>
                      </w:r>
                    </w:p>
                    <w:p>
                      <w:pPr>
                        <w:pStyle w:val="ListParagraph"/>
                        <w:numPr>
                          <w:ilvl w:val="0"/>
                          <w:numId w:val="10"/>
                        </w:numPr>
                        <w:jc w:val="both"/>
                        <w:rPr>
                          <w:rFonts w:ascii="Times New Roman" w:hAnsi="Times New Roman"/>
                          <w:sz w:val="24"/>
                          <w:szCs w:val="24"/>
                        </w:rPr>
                      </w:pPr>
                      <w:r>
                        <w:rPr>
                          <w:rFonts w:ascii="Times New Roman" w:hAnsi="Times New Roman"/>
                          <w:sz w:val="24"/>
                        </w:rPr>
                        <w:t>производството на електроенергия вече не получава безплатни квоти;</w:t>
                      </w:r>
                    </w:p>
                    <w:p>
                      <w:pPr>
                        <w:pStyle w:val="ListParagraph"/>
                        <w:numPr>
                          <w:ilvl w:val="0"/>
                          <w:numId w:val="10"/>
                        </w:numPr>
                        <w:jc w:val="both"/>
                        <w:rPr>
                          <w:rFonts w:ascii="Times New Roman" w:hAnsi="Times New Roman"/>
                          <w:sz w:val="24"/>
                          <w:szCs w:val="24"/>
                        </w:rPr>
                      </w:pPr>
                      <w:r>
                        <w:rPr>
                          <w:rFonts w:ascii="Times New Roman" w:hAnsi="Times New Roman"/>
                          <w:sz w:val="24"/>
                        </w:rPr>
                        <w:t>безплатното разпределение на квоти се извършва в съответствие с правила, хармонизирани за целия ЕС;</w:t>
                      </w:r>
                    </w:p>
                    <w:p>
                      <w:pPr>
                        <w:pStyle w:val="ListParagraph"/>
                        <w:numPr>
                          <w:ilvl w:val="0"/>
                          <w:numId w:val="10"/>
                        </w:numPr>
                        <w:jc w:val="both"/>
                        <w:rPr>
                          <w:rFonts w:ascii="Times New Roman" w:hAnsi="Times New Roman"/>
                          <w:sz w:val="24"/>
                          <w:szCs w:val="24"/>
                        </w:rPr>
                      </w:pPr>
                      <w:r>
                        <w:rPr>
                          <w:rFonts w:ascii="Times New Roman" w:hAnsi="Times New Roman"/>
                          <w:sz w:val="24"/>
                        </w:rPr>
                        <w:t>безплатното разпределение се основава на показатели за ефективност, така че да се засилят стимулите за намаляване на емисиите на парникови газове и да се възнаградят най-ефективните инсталации;</w:t>
                      </w:r>
                    </w:p>
                    <w:p>
                      <w:pPr>
                        <w:pStyle w:val="ListParagraph"/>
                        <w:numPr>
                          <w:ilvl w:val="0"/>
                          <w:numId w:val="10"/>
                        </w:numPr>
                        <w:jc w:val="both"/>
                        <w:rPr>
                          <w:rFonts w:ascii="Times New Roman" w:hAnsi="Times New Roman"/>
                          <w:sz w:val="24"/>
                          <w:szCs w:val="24"/>
                        </w:rPr>
                      </w:pPr>
                      <w:r>
                        <w:rPr>
                          <w:rFonts w:ascii="Times New Roman" w:hAnsi="Times New Roman"/>
                          <w:sz w:val="24"/>
                        </w:rPr>
                        <w:t>установен е обхващащ целия ЕС резерв за нови участници (NER) с 5 % от сумарното количество квоти за фаза 3.</w:t>
                      </w:r>
                    </w:p>
                    <w:p>
                      <w:pPr>
                        <w:spacing w:line="240" w:lineRule="auto"/>
                        <w:jc w:val="both"/>
                        <w:rPr>
                          <w:rFonts w:ascii="Times New Roman" w:hAnsi="Times New Roman"/>
                          <w:sz w:val="24"/>
                          <w:szCs w:val="24"/>
                        </w:rPr>
                      </w:pPr>
                      <w:r>
                        <w:rPr>
                          <w:rFonts w:ascii="Times New Roman" w:hAnsi="Times New Roman"/>
                          <w:sz w:val="24"/>
                        </w:rPr>
                        <w:t>Безплатните квоти се предоставят на промишлени инсталации с цел справяне с потенциалния риск от изместване на въглеродни емисии (ситуация, в която предприятия прехвърлят производството си към трети държави с не толкова стриктни ограничения относно емисиите на парникови газове заради разходите, свързани с политиките на ЕС по отношение на климата, което може да доведе до потенциално увеличаване на общото им количество емисии). Секторите и подсекторите, за които се смята, че са изложени на значителен риск от изместване на въглеродни емисии, са включени в списък за изместване на въглеродни емисии*, който обхваща понастоящем периода 2015—2019 г.</w:t>
                      </w:r>
                    </w:p>
                    <w:p>
                      <w:pPr>
                        <w:spacing w:line="240" w:lineRule="auto"/>
                        <w:rPr>
                          <w:rFonts w:ascii="Times New Roman" w:hAnsi="Times New Roman"/>
                          <w:sz w:val="18"/>
                          <w:szCs w:val="18"/>
                        </w:rPr>
                      </w:pPr>
                      <w:r>
                        <w:rPr>
                          <w:rFonts w:ascii="Times New Roman" w:hAnsi="Times New Roman"/>
                          <w:sz w:val="18"/>
                        </w:rPr>
                        <w:t>* Настоящият списък за изместване на въглеродни емисии може да бъде намерен тук: http://eur-lex.europa.eu/legal-content/BG/TXT/HTML/?uri=CELEX:32014D0746&amp;from=EN</w:t>
                      </w:r>
                    </w:p>
                  </w:txbxContent>
                </v:textbox>
                <w10:anchorlock/>
              </v:shape>
            </w:pict>
          </mc:Fallback>
        </mc:AlternateContent>
      </w:r>
      <w:r>
        <w:rPr>
          <w:noProof/>
        </w:rPr>
        <w:t>частници до 2020 г. Не е възможно да се определи каква част от NER ще се използва през следващите години. Оценката на въздействието за 2015 г., извършена от Комисията</w:t>
      </w:r>
      <w:r>
        <w:rPr>
          <w:rStyle w:val="FootnoteReference"/>
          <w:noProof/>
        </w:rPr>
        <w:footnoteReference w:id="15"/>
      </w:r>
      <w:r>
        <w:rPr>
          <w:noProof/>
        </w:rPr>
        <w:t>, показа обаче, че в съответствие с тенденциите се очаква не повече от 2 % от лимита да бъдат разпределени безплатно от NER. Следователно в рамките на фаза 3 се очаква безплатно разпределените квоти да възлязат на около 41 % от общото количество. Допълнително около 2 % от общия лимит се използват за финансиране на въвеждането на иновационни нисковъглеродни технологии чрез програмата NER300</w:t>
      </w:r>
      <w:r>
        <w:rPr>
          <w:rStyle w:val="FootnoteReference"/>
          <w:noProof/>
        </w:rPr>
        <w:footnoteReference w:id="16"/>
      </w:r>
      <w:r>
        <w:rPr>
          <w:noProof/>
        </w:rPr>
        <w:t>. Следователно делът на тръжно разпределените квоти във фаза 3 възлиза на 57 %.</w:t>
      </w:r>
    </w:p>
    <w:p>
      <w:pPr>
        <w:pStyle w:val="NormalWeb"/>
        <w:spacing w:line="276" w:lineRule="auto"/>
        <w:jc w:val="both"/>
        <w:rPr>
          <w:noProof/>
        </w:rPr>
      </w:pPr>
      <w:r>
        <w:rPr>
          <w:noProof/>
        </w:rPr>
        <w:t>Във фаза 3 новите инсталации и инсталациите, които увеличават значително капацитета си, могат да получават допълнителни безплатни квоти от резерва за нови участници. В първоначалния резерв за нови участници, след изваждането на 300 милиона квоти за програмата NER300, е имало 480,2 милиона квоти. 139,9 милиона квоти са били резервирани за 654 инсталации за целия период на фаза 3</w:t>
      </w:r>
      <w:r>
        <w:rPr>
          <w:rStyle w:val="FootnoteReference"/>
          <w:noProof/>
        </w:rPr>
        <w:footnoteReference w:id="17"/>
      </w:r>
      <w:r>
        <w:rPr>
          <w:noProof/>
        </w:rPr>
        <w:t xml:space="preserve">. Оставащият резерв за нови участници, възлизащ на 340,3 милиона квоти, може да се разпределя в бъдеще. Очаква се значителен брой от тези квоти да останат обаче неразпределени. </w:t>
      </w:r>
    </w:p>
    <w:p>
      <w:pPr>
        <w:pStyle w:val="NormalWeb"/>
        <w:spacing w:line="276" w:lineRule="auto"/>
        <w:jc w:val="both"/>
        <w:rPr>
          <w:noProof/>
        </w:rPr>
      </w:pPr>
      <w:r>
        <w:rPr>
          <w:noProof/>
        </w:rPr>
        <w:t>До юни 2017 г. предоставеното количество е било намалено с около 301,9 милиона квоти поради затваряне на инсталации или съответно намаление на производството или на производствения капацитет в сравнение с първоначалните стойности, използвани при изчислението на предоставените квоти за фаза 3.</w:t>
      </w:r>
    </w:p>
    <w:p>
      <w:pPr>
        <w:pStyle w:val="Caption"/>
        <w:keepNext/>
        <w:rPr>
          <w:rFonts w:ascii="Times New Roman" w:hAnsi="Times New Roman"/>
          <w:noProof/>
          <w:sz w:val="22"/>
          <w:szCs w:val="22"/>
        </w:rPr>
      </w:pPr>
      <w:r>
        <w:rPr>
          <w:rFonts w:ascii="Times New Roman" w:hAnsi="Times New Roman"/>
          <w:noProof/>
          <w:sz w:val="22"/>
        </w:rPr>
        <w:t>Таблица 3: Брой квоти (в милиони), които са разпределени безплатно на промишлени предприятия през периода 2013—2017 г.</w:t>
      </w:r>
      <w:r>
        <w:rPr>
          <w:rStyle w:val="FootnoteReference"/>
          <w:rFonts w:ascii="Times New Roman" w:hAnsi="Times New Roman"/>
          <w:b w:val="0"/>
          <w:noProof/>
          <w:sz w:val="22"/>
        </w:rPr>
        <w:footnoteReference w:id="18"/>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25"/>
        <w:gridCol w:w="1159"/>
        <w:gridCol w:w="1167"/>
        <w:gridCol w:w="1167"/>
        <w:gridCol w:w="1167"/>
        <w:gridCol w:w="1415"/>
      </w:tblGrid>
      <w:tr>
        <w:trPr>
          <w:trHeight w:val="606"/>
        </w:trPr>
        <w:tc>
          <w:tcPr>
            <w:tcW w:w="2925" w:type="dxa"/>
            <w:shd w:val="clear" w:color="auto" w:fill="auto"/>
          </w:tcPr>
          <w:p>
            <w:pPr>
              <w:jc w:val="both"/>
              <w:rPr>
                <w:rFonts w:ascii="Times New Roman" w:hAnsi="Times New Roman"/>
                <w:b/>
                <w:noProof/>
                <w:sz w:val="20"/>
                <w:szCs w:val="20"/>
              </w:rPr>
            </w:pPr>
          </w:p>
        </w:tc>
        <w:tc>
          <w:tcPr>
            <w:tcW w:w="1159"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2013 г.</w:t>
            </w:r>
          </w:p>
        </w:tc>
        <w:tc>
          <w:tcPr>
            <w:tcW w:w="1167"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2014 г.</w:t>
            </w:r>
          </w:p>
        </w:tc>
        <w:tc>
          <w:tcPr>
            <w:tcW w:w="1167" w:type="dxa"/>
            <w:vAlign w:val="center"/>
          </w:tcPr>
          <w:p>
            <w:pPr>
              <w:jc w:val="center"/>
              <w:rPr>
                <w:rFonts w:ascii="Times New Roman" w:hAnsi="Times New Roman"/>
                <w:b/>
                <w:noProof/>
                <w:sz w:val="20"/>
                <w:szCs w:val="20"/>
              </w:rPr>
            </w:pPr>
            <w:r>
              <w:rPr>
                <w:rFonts w:ascii="Times New Roman" w:hAnsi="Times New Roman"/>
                <w:b/>
                <w:noProof/>
                <w:sz w:val="20"/>
              </w:rPr>
              <w:t>2015 г.</w:t>
            </w:r>
          </w:p>
        </w:tc>
        <w:tc>
          <w:tcPr>
            <w:tcW w:w="1167" w:type="dxa"/>
            <w:vAlign w:val="center"/>
          </w:tcPr>
          <w:p>
            <w:pPr>
              <w:jc w:val="center"/>
              <w:rPr>
                <w:rFonts w:ascii="Times New Roman" w:hAnsi="Times New Roman"/>
                <w:b/>
                <w:noProof/>
                <w:sz w:val="20"/>
                <w:szCs w:val="20"/>
              </w:rPr>
            </w:pPr>
            <w:r>
              <w:rPr>
                <w:rFonts w:ascii="Times New Roman" w:hAnsi="Times New Roman"/>
                <w:b/>
                <w:noProof/>
                <w:sz w:val="20"/>
              </w:rPr>
              <w:t>2016 г.</w:t>
            </w:r>
          </w:p>
        </w:tc>
        <w:tc>
          <w:tcPr>
            <w:tcW w:w="1415" w:type="dxa"/>
            <w:vAlign w:val="center"/>
          </w:tcPr>
          <w:p>
            <w:pPr>
              <w:jc w:val="center"/>
              <w:rPr>
                <w:rFonts w:ascii="Times New Roman" w:hAnsi="Times New Roman"/>
                <w:b/>
                <w:noProof/>
                <w:sz w:val="20"/>
                <w:szCs w:val="20"/>
              </w:rPr>
            </w:pPr>
            <w:r>
              <w:rPr>
                <w:rFonts w:ascii="Times New Roman" w:hAnsi="Times New Roman"/>
                <w:b/>
                <w:noProof/>
                <w:sz w:val="20"/>
              </w:rPr>
              <w:t>2017 г.</w:t>
            </w:r>
          </w:p>
        </w:tc>
      </w:tr>
      <w:tr>
        <w:trPr>
          <w:trHeight w:val="716"/>
        </w:trPr>
        <w:tc>
          <w:tcPr>
            <w:tcW w:w="2925" w:type="dxa"/>
            <w:shd w:val="clear" w:color="auto" w:fill="auto"/>
          </w:tcPr>
          <w:p>
            <w:pPr>
              <w:rPr>
                <w:rFonts w:ascii="Times New Roman" w:hAnsi="Times New Roman"/>
                <w:b/>
                <w:noProof/>
                <w:sz w:val="20"/>
                <w:szCs w:val="20"/>
              </w:rPr>
            </w:pPr>
            <w:r>
              <w:rPr>
                <w:rFonts w:ascii="Times New Roman" w:hAnsi="Times New Roman"/>
                <w:b/>
                <w:noProof/>
                <w:sz w:val="20"/>
              </w:rPr>
              <w:t>Безплатно разпределение</w:t>
            </w:r>
            <w:r>
              <w:rPr>
                <w:rFonts w:ascii="Times New Roman" w:hAnsi="Times New Roman"/>
                <w:b/>
                <w:noProof/>
                <w:sz w:val="20"/>
                <w:vertAlign w:val="superscript"/>
              </w:rPr>
              <w:footnoteReference w:id="19"/>
            </w:r>
            <w:r>
              <w:rPr>
                <w:rFonts w:ascii="Times New Roman" w:hAnsi="Times New Roman"/>
                <w:b/>
                <w:noProof/>
                <w:sz w:val="20"/>
              </w:rPr>
              <w:t xml:space="preserve"> </w:t>
            </w:r>
            <w:r>
              <w:rPr>
                <w:rFonts w:ascii="Times New Roman" w:hAnsi="Times New Roman"/>
                <w:b/>
                <w:noProof/>
                <w:sz w:val="20"/>
                <w:szCs w:val="20"/>
              </w:rPr>
              <w:br/>
            </w:r>
            <w:r>
              <w:rPr>
                <w:rFonts w:ascii="Times New Roman" w:hAnsi="Times New Roman"/>
                <w:b/>
                <w:noProof/>
                <w:sz w:val="20"/>
              </w:rPr>
              <w:t xml:space="preserve">(Държавите от ЕС-28 + държавите от ЕАСТ, участващи в ЕИП) </w:t>
            </w:r>
          </w:p>
        </w:tc>
        <w:tc>
          <w:tcPr>
            <w:tcW w:w="1159"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903,0</w:t>
            </w:r>
          </w:p>
        </w:tc>
        <w:tc>
          <w:tcPr>
            <w:tcW w:w="1167"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874,8</w:t>
            </w:r>
          </w:p>
        </w:tc>
        <w:tc>
          <w:tcPr>
            <w:tcW w:w="1167" w:type="dxa"/>
            <w:vAlign w:val="center"/>
          </w:tcPr>
          <w:p>
            <w:pPr>
              <w:jc w:val="center"/>
              <w:rPr>
                <w:rFonts w:ascii="Times New Roman" w:hAnsi="Times New Roman"/>
                <w:noProof/>
                <w:sz w:val="20"/>
                <w:szCs w:val="20"/>
              </w:rPr>
            </w:pPr>
            <w:r>
              <w:rPr>
                <w:rFonts w:ascii="Times New Roman" w:hAnsi="Times New Roman"/>
                <w:noProof/>
                <w:sz w:val="20"/>
              </w:rPr>
              <w:t>847,6</w:t>
            </w:r>
          </w:p>
        </w:tc>
        <w:tc>
          <w:tcPr>
            <w:tcW w:w="1167" w:type="dxa"/>
            <w:vAlign w:val="center"/>
          </w:tcPr>
          <w:p>
            <w:pPr>
              <w:jc w:val="center"/>
              <w:rPr>
                <w:rFonts w:ascii="Times New Roman" w:hAnsi="Times New Roman"/>
                <w:noProof/>
                <w:sz w:val="20"/>
                <w:szCs w:val="20"/>
              </w:rPr>
            </w:pPr>
            <w:r>
              <w:rPr>
                <w:rFonts w:ascii="Times New Roman" w:hAnsi="Times New Roman"/>
                <w:noProof/>
                <w:sz w:val="20"/>
              </w:rPr>
              <w:t>821,3</w:t>
            </w:r>
          </w:p>
        </w:tc>
        <w:tc>
          <w:tcPr>
            <w:tcW w:w="1415" w:type="dxa"/>
            <w:vAlign w:val="center"/>
          </w:tcPr>
          <w:p>
            <w:pPr>
              <w:jc w:val="center"/>
              <w:rPr>
                <w:rFonts w:ascii="Times New Roman" w:hAnsi="Times New Roman"/>
                <w:noProof/>
                <w:sz w:val="20"/>
                <w:szCs w:val="20"/>
              </w:rPr>
            </w:pPr>
            <w:r>
              <w:rPr>
                <w:rFonts w:ascii="Times New Roman" w:hAnsi="Times New Roman"/>
                <w:noProof/>
                <w:sz w:val="20"/>
              </w:rPr>
              <w:t>796,2</w:t>
            </w:r>
          </w:p>
        </w:tc>
      </w:tr>
      <w:tr>
        <w:trPr>
          <w:trHeight w:val="1396"/>
        </w:trPr>
        <w:tc>
          <w:tcPr>
            <w:tcW w:w="2925" w:type="dxa"/>
            <w:shd w:val="clear" w:color="auto" w:fill="auto"/>
          </w:tcPr>
          <w:p>
            <w:pPr>
              <w:rPr>
                <w:rFonts w:ascii="Times New Roman" w:hAnsi="Times New Roman"/>
                <w:b/>
                <w:noProof/>
                <w:sz w:val="20"/>
                <w:szCs w:val="20"/>
              </w:rPr>
            </w:pPr>
            <w:r>
              <w:rPr>
                <w:rFonts w:ascii="Times New Roman" w:hAnsi="Times New Roman"/>
                <w:b/>
                <w:noProof/>
                <w:sz w:val="20"/>
              </w:rPr>
              <w:t xml:space="preserve">Квоти, разпределени от резерва за нови участници (за инвестиции на зелено и за увеличения на капацитета) </w:t>
            </w:r>
          </w:p>
        </w:tc>
        <w:tc>
          <w:tcPr>
            <w:tcW w:w="1159"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11,2</w:t>
            </w:r>
          </w:p>
        </w:tc>
        <w:tc>
          <w:tcPr>
            <w:tcW w:w="1167"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14,6</w:t>
            </w:r>
          </w:p>
        </w:tc>
        <w:tc>
          <w:tcPr>
            <w:tcW w:w="1167" w:type="dxa"/>
            <w:vAlign w:val="center"/>
          </w:tcPr>
          <w:p>
            <w:pPr>
              <w:jc w:val="center"/>
              <w:rPr>
                <w:rFonts w:ascii="Times New Roman" w:hAnsi="Times New Roman"/>
                <w:noProof/>
                <w:sz w:val="20"/>
                <w:szCs w:val="20"/>
              </w:rPr>
            </w:pPr>
            <w:r>
              <w:rPr>
                <w:rFonts w:ascii="Times New Roman" w:hAnsi="Times New Roman"/>
                <w:noProof/>
                <w:sz w:val="20"/>
              </w:rPr>
              <w:t>17,3</w:t>
            </w:r>
          </w:p>
        </w:tc>
        <w:tc>
          <w:tcPr>
            <w:tcW w:w="1167" w:type="dxa"/>
            <w:vAlign w:val="center"/>
          </w:tcPr>
          <w:p>
            <w:pPr>
              <w:jc w:val="center"/>
              <w:rPr>
                <w:rFonts w:ascii="Times New Roman" w:hAnsi="Times New Roman"/>
                <w:noProof/>
                <w:sz w:val="20"/>
                <w:szCs w:val="20"/>
              </w:rPr>
            </w:pPr>
            <w:r>
              <w:rPr>
                <w:rFonts w:ascii="Times New Roman" w:hAnsi="Times New Roman"/>
                <w:noProof/>
                <w:sz w:val="20"/>
              </w:rPr>
              <w:t>18,3</w:t>
            </w:r>
          </w:p>
        </w:tc>
        <w:tc>
          <w:tcPr>
            <w:tcW w:w="1415" w:type="dxa"/>
            <w:vAlign w:val="center"/>
          </w:tcPr>
          <w:p>
            <w:pPr>
              <w:jc w:val="center"/>
              <w:rPr>
                <w:rFonts w:ascii="Times New Roman" w:hAnsi="Times New Roman"/>
                <w:noProof/>
                <w:sz w:val="20"/>
                <w:szCs w:val="20"/>
              </w:rPr>
            </w:pPr>
            <w:r>
              <w:rPr>
                <w:rFonts w:ascii="Times New Roman" w:hAnsi="Times New Roman"/>
                <w:noProof/>
                <w:sz w:val="20"/>
              </w:rPr>
              <w:t>17,6</w:t>
            </w:r>
          </w:p>
        </w:tc>
      </w:tr>
      <w:tr>
        <w:trPr>
          <w:trHeight w:val="1110"/>
        </w:trPr>
        <w:tc>
          <w:tcPr>
            <w:tcW w:w="2925" w:type="dxa"/>
            <w:shd w:val="clear" w:color="auto" w:fill="auto"/>
          </w:tcPr>
          <w:p>
            <w:pPr>
              <w:rPr>
                <w:rFonts w:ascii="Times New Roman" w:hAnsi="Times New Roman"/>
                <w:b/>
                <w:noProof/>
                <w:sz w:val="20"/>
                <w:szCs w:val="20"/>
              </w:rPr>
            </w:pPr>
            <w:r>
              <w:rPr>
                <w:rFonts w:ascii="Times New Roman" w:hAnsi="Times New Roman"/>
                <w:b/>
                <w:noProof/>
                <w:sz w:val="20"/>
              </w:rPr>
              <w:t>Безплатни квоти, останали неразпределени поради затваряне на инсталации или поради промени в производството или производствения капацитет</w:t>
            </w:r>
          </w:p>
        </w:tc>
        <w:tc>
          <w:tcPr>
            <w:tcW w:w="1159" w:type="dxa"/>
            <w:shd w:val="clear" w:color="auto" w:fill="auto"/>
            <w:vAlign w:val="center"/>
          </w:tcPr>
          <w:p>
            <w:pPr>
              <w:jc w:val="center"/>
              <w:rPr>
                <w:rFonts w:ascii="Times New Roman" w:hAnsi="Times New Roman"/>
                <w:noProof/>
                <w:sz w:val="20"/>
                <w:szCs w:val="20"/>
                <w:highlight w:val="yellow"/>
              </w:rPr>
            </w:pPr>
            <w:r>
              <w:rPr>
                <w:rFonts w:ascii="Times New Roman" w:hAnsi="Times New Roman"/>
                <w:noProof/>
                <w:sz w:val="20"/>
              </w:rPr>
              <w:t>40,2</w:t>
            </w:r>
          </w:p>
        </w:tc>
        <w:tc>
          <w:tcPr>
            <w:tcW w:w="1167"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58,6</w:t>
            </w:r>
          </w:p>
        </w:tc>
        <w:tc>
          <w:tcPr>
            <w:tcW w:w="1167" w:type="dxa"/>
            <w:vAlign w:val="center"/>
          </w:tcPr>
          <w:p>
            <w:pPr>
              <w:jc w:val="center"/>
              <w:rPr>
                <w:rFonts w:ascii="Times New Roman" w:hAnsi="Times New Roman"/>
                <w:noProof/>
                <w:sz w:val="20"/>
                <w:szCs w:val="20"/>
              </w:rPr>
            </w:pPr>
            <w:r>
              <w:rPr>
                <w:rFonts w:ascii="Times New Roman" w:hAnsi="Times New Roman"/>
                <w:noProof/>
                <w:sz w:val="20"/>
              </w:rPr>
              <w:t>69,9</w:t>
            </w:r>
          </w:p>
        </w:tc>
        <w:tc>
          <w:tcPr>
            <w:tcW w:w="1167" w:type="dxa"/>
            <w:vAlign w:val="center"/>
          </w:tcPr>
          <w:p>
            <w:pPr>
              <w:jc w:val="center"/>
              <w:rPr>
                <w:rFonts w:ascii="Times New Roman" w:hAnsi="Times New Roman"/>
                <w:noProof/>
                <w:sz w:val="20"/>
                <w:szCs w:val="20"/>
              </w:rPr>
            </w:pPr>
            <w:r>
              <w:rPr>
                <w:rFonts w:ascii="Times New Roman" w:hAnsi="Times New Roman"/>
                <w:noProof/>
                <w:sz w:val="20"/>
              </w:rPr>
              <w:t>65,5</w:t>
            </w:r>
          </w:p>
        </w:tc>
        <w:tc>
          <w:tcPr>
            <w:tcW w:w="1415" w:type="dxa"/>
            <w:vAlign w:val="center"/>
          </w:tcPr>
          <w:p>
            <w:pPr>
              <w:jc w:val="center"/>
              <w:rPr>
                <w:rFonts w:ascii="Times New Roman" w:hAnsi="Times New Roman"/>
                <w:noProof/>
                <w:sz w:val="20"/>
                <w:szCs w:val="20"/>
              </w:rPr>
            </w:pPr>
            <w:r>
              <w:rPr>
                <w:rFonts w:ascii="Times New Roman" w:hAnsi="Times New Roman"/>
                <w:noProof/>
                <w:sz w:val="20"/>
              </w:rPr>
              <w:t>67,5</w:t>
            </w:r>
          </w:p>
        </w:tc>
      </w:tr>
    </w:tbl>
    <w:p>
      <w:pPr>
        <w:pStyle w:val="NormalWeb"/>
        <w:spacing w:line="276" w:lineRule="auto"/>
        <w:jc w:val="both"/>
        <w:rPr>
          <w:noProof/>
        </w:rPr>
      </w:pPr>
      <w:r>
        <w:rPr>
          <w:noProof/>
        </w:rPr>
        <w:t xml:space="preserve">Тъй като търсенето на безплатни квоти е надхвърлило наличните количества, разпределението за всички инсталации в обхвата на СТЕ на ЕС е намалено със същия процент чрез прилагането на „междуотраслов корекционен коефициент“ (в съответствие с Директивата за СТЕ). Корекционният коефициент е изчислен като намаление на безплатните квоти с около 6 % през 2013 г., като този процент нараства всяка година, за да достигне приблизително 18 % през 2020 г. </w:t>
      </w:r>
    </w:p>
    <w:p>
      <w:pPr>
        <w:pStyle w:val="NormalWeb"/>
        <w:spacing w:line="276" w:lineRule="auto"/>
        <w:jc w:val="both"/>
        <w:rPr>
          <w:noProof/>
        </w:rPr>
      </w:pPr>
      <w:r>
        <w:rPr>
          <w:noProof/>
        </w:rPr>
        <w:t>На 28 април 2016 г. Съдът на Европейския съюз</w:t>
      </w:r>
      <w:r>
        <w:rPr>
          <w:rStyle w:val="FootnoteReference"/>
          <w:noProof/>
        </w:rPr>
        <w:footnoteReference w:id="20"/>
      </w:r>
      <w:r>
        <w:rPr>
          <w:noProof/>
        </w:rPr>
        <w:t xml:space="preserve"> отмени, считано от 1 март 2017 г., стойностите на междуотрасловия корекционен коефициент, установени в Решение 2013/448/ЕС на Комисията (вж. допълнение 5 към приложението). Поради това на 24 януари 2017 г. Комисията преразгледа стойностите, определени в това решение</w:t>
      </w:r>
      <w:r>
        <w:rPr>
          <w:rStyle w:val="FootnoteReference"/>
          <w:noProof/>
        </w:rPr>
        <w:footnoteReference w:id="21"/>
      </w:r>
      <w:r>
        <w:rPr>
          <w:rStyle w:val="FootnoteReference"/>
          <w:noProof/>
        </w:rPr>
        <w:t xml:space="preserve"> </w:t>
      </w:r>
      <w:r>
        <w:rPr>
          <w:noProof/>
        </w:rPr>
        <w:t>, за да ги приведе в съответствие с решението на Съда на ЕС.</w:t>
      </w:r>
      <w:r>
        <w:rPr>
          <w:noProof/>
        </w:rPr>
        <w:br w:type="page"/>
      </w:r>
    </w:p>
    <w:p>
      <w:pPr>
        <w:pStyle w:val="Heading4"/>
        <w:numPr>
          <w:ilvl w:val="3"/>
          <w:numId w:val="1"/>
        </w:numPr>
        <w:rPr>
          <w:noProof/>
        </w:rPr>
      </w:pPr>
      <w:bookmarkStart w:id="31" w:name="_Toc490850427"/>
      <w:r>
        <w:rPr>
          <w:noProof/>
        </w:rPr>
        <w:t>Програма NER300</w:t>
      </w:r>
      <w:bookmarkEnd w:id="31"/>
    </w:p>
    <w:p>
      <w:pPr>
        <w:rPr>
          <w:noProof/>
        </w:rPr>
      </w:pPr>
    </w:p>
    <w:p>
      <w:pPr>
        <w:pStyle w:val="a3520normalp11"/>
        <w:spacing w:line="276" w:lineRule="auto"/>
        <w:rPr>
          <w:noProof/>
        </w:rPr>
      </w:pPr>
      <w:r>
        <w:rPr>
          <w:noProof/>
          <w:lang w:val="en-US" w:eastAsia="en-US" w:bidi="ar-SA"/>
        </w:rPr>
        <mc:AlternateContent>
          <mc:Choice Requires="wps">
            <w:drawing>
              <wp:inline distT="0" distB="0" distL="0" distR="0">
                <wp:extent cx="5720486" cy="2096219"/>
                <wp:effectExtent l="0" t="0" r="13970" b="1841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2096219"/>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NER300 е широкомащабна програма за финансиране на иновационни нисковъглеродни демонстрационни проекти в областта на енергетиката. Целта на програмата е в рамките на ЕС да се демонстрират начини за улавяне и съхранение на СО</w:t>
                            </w:r>
                            <w:r>
                              <w:rPr>
                                <w:rFonts w:ascii="Times New Roman" w:hAnsi="Times New Roman"/>
                                <w:sz w:val="24"/>
                                <w:vertAlign w:val="subscript"/>
                              </w:rPr>
                              <w:t>2</w:t>
                            </w:r>
                            <w:r>
                              <w:rPr>
                                <w:rFonts w:ascii="Times New Roman" w:hAnsi="Times New Roman"/>
                                <w:sz w:val="24"/>
                              </w:rPr>
                              <w:t xml:space="preserve"> (CCS), което е безопасно за околната среда, и иновативни технологии за възобновяеми енергийни източници (ВЕИ) в мащаб на стопанска реализация. </w:t>
                            </w:r>
                          </w:p>
                          <w:p>
                            <w:pPr>
                              <w:jc w:val="both"/>
                              <w:rPr>
                                <w:rFonts w:ascii="Times New Roman" w:hAnsi="Times New Roman"/>
                                <w:sz w:val="24"/>
                                <w:szCs w:val="24"/>
                              </w:rPr>
                            </w:pPr>
                            <w:r>
                              <w:rPr>
                                <w:rFonts w:ascii="Times New Roman" w:hAnsi="Times New Roman"/>
                                <w:sz w:val="24"/>
                              </w:rPr>
                              <w:t xml:space="preserve">NER300 се финансира от осребряването на 300 милиона квоти за емисии от резерва за нови участници, създаден за фаза 3 на СТЕ на ЕС.  Средствата от осребряването са предоставени на проекти, избрани чрез два кръга от покани за представяне на предложения през декември 2012 г. и през юли 2014 г. </w:t>
                            </w:r>
                          </w:p>
                        </w:txbxContent>
                      </wps:txbx>
                      <wps:bodyPr rot="0" vert="horz" wrap="square" lIns="91440" tIns="45720" rIns="91440" bIns="45720" anchor="t" anchorCtr="0">
                        <a:noAutofit/>
                      </wps:bodyPr>
                    </wps:wsp>
                  </a:graphicData>
                </a:graphic>
              </wp:inline>
            </w:drawing>
          </mc:Choice>
          <mc:Fallback>
            <w:pict>
              <v:shape id="_x0000_s1030" type="#_x0000_t202" style="width:450.45pt;height:1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rPr>
                        <w:t>NER300 е широкомащабна програма за финансиране на иновационни нисковъглеродни демонстрационни проекти в областта на енергетиката. Целта на програмата е в рамките на ЕС да се демонстрират начини за улавяне и съхранение на СО</w:t>
                      </w:r>
                      <w:r>
                        <w:rPr>
                          <w:rFonts w:ascii="Times New Roman" w:hAnsi="Times New Roman"/>
                          <w:sz w:val="24"/>
                          <w:vertAlign w:val="subscript"/>
                        </w:rPr>
                        <w:t>2</w:t>
                      </w:r>
                      <w:r>
                        <w:rPr>
                          <w:rFonts w:ascii="Times New Roman" w:hAnsi="Times New Roman"/>
                          <w:sz w:val="24"/>
                        </w:rPr>
                        <w:t xml:space="preserve"> (CCS), което е безопасно за околната среда, и иновативни технологии за възобновяеми енергийни източници (ВЕИ) в мащаб на стопанска реализация. </w:t>
                      </w:r>
                    </w:p>
                    <w:p>
                      <w:pPr>
                        <w:jc w:val="both"/>
                        <w:rPr>
                          <w:rFonts w:ascii="Times New Roman" w:hAnsi="Times New Roman"/>
                          <w:sz w:val="24"/>
                          <w:szCs w:val="24"/>
                        </w:rPr>
                      </w:pPr>
                      <w:r>
                        <w:rPr>
                          <w:rFonts w:ascii="Times New Roman" w:hAnsi="Times New Roman"/>
                          <w:sz w:val="24"/>
                        </w:rPr>
                        <w:t xml:space="preserve">NER300 се финансира от осребряването на 300 милиона квоти за емисии от резерва за нови участници, създаден за фаза 3 на СТЕ на ЕС.  Средствата от осребряването са предоставени на проекти, избрани чрез два кръга от покани за представяне на предложения през декември 2012 г. и през юли 2014 г. </w:t>
                      </w:r>
                    </w:p>
                  </w:txbxContent>
                </v:textbox>
                <w10:anchorlock/>
              </v:shape>
            </w:pict>
          </mc:Fallback>
        </mc:AlternateContent>
      </w:r>
    </w:p>
    <w:p>
      <w:pPr>
        <w:pStyle w:val="a3520normalp11"/>
        <w:spacing w:line="276" w:lineRule="auto"/>
        <w:rPr>
          <w:noProof/>
        </w:rPr>
      </w:pPr>
      <w:r>
        <w:rPr>
          <w:noProof/>
        </w:rPr>
        <w:t xml:space="preserve">В резултат на двете покани за предложения, финансиране получиха общо 38 проекта за ВЕИ и 1 проект за CCS, обхващащи 20 държави — членки на ЕС, на обща сума 2,1 млрд. евро. Четири от тях са вече в процес на изпълнение: проектът BEST за енергия от биомаса в Италия, проектът Verbiostraw за енергия от биомаса в Германия, проектът Windpark Blaiken в Швеция и, от 1 юли 2017 г., морският вятърен парк Veja Mate в германската акватория на Северно море. </w:t>
      </w:r>
    </w:p>
    <w:p>
      <w:pPr>
        <w:pStyle w:val="a3520normalp11"/>
        <w:spacing w:line="276" w:lineRule="auto"/>
        <w:rPr>
          <w:noProof/>
          <w:highlight w:val="yellow"/>
        </w:rPr>
      </w:pPr>
      <w:r>
        <w:rPr>
          <w:noProof/>
        </w:rPr>
        <w:t>По общо тринадесет проекта бяха взети окончателни инвестиционни решения, а четири проекта бяха отменени. Комисията предложи повторно инвестиране на неизразходваните средства от отменените проекти, които възлизат на минимум 436 млн. EUR, в съществуващите финансови инструменти, т.е. InnovFin енергийни проекти за демонстрация (EDP) и дълговия инструмент на Механизма за свързване на Европа, управлявани от Европейската инвестиционна банка (ЕИБ). За тази цел през май 2017 г. държавите членки одобриха в Комитета по изменение на климата съответното изменение</w:t>
      </w:r>
      <w:r>
        <w:rPr>
          <w:rStyle w:val="FootnoteReference"/>
          <w:noProof/>
        </w:rPr>
        <w:footnoteReference w:id="22"/>
      </w:r>
      <w:r>
        <w:rPr>
          <w:noProof/>
        </w:rPr>
        <w:t xml:space="preserve"> на Решението за NER300</w:t>
      </w:r>
      <w:r>
        <w:rPr>
          <w:rStyle w:val="FootnoteReference"/>
          <w:noProof/>
        </w:rPr>
        <w:footnoteReference w:id="23"/>
      </w:r>
      <w:r>
        <w:rPr>
          <w:noProof/>
        </w:rPr>
        <w:t xml:space="preserve">. </w:t>
      </w:r>
    </w:p>
    <w:p>
      <w:pPr>
        <w:pStyle w:val="a3520normalp11"/>
        <w:spacing w:line="276" w:lineRule="auto"/>
        <w:rPr>
          <w:noProof/>
          <w:sz w:val="22"/>
          <w:szCs w:val="22"/>
        </w:rPr>
      </w:pPr>
      <w:r>
        <w:rPr>
          <w:b/>
          <w:noProof/>
          <w:sz w:val="22"/>
        </w:rPr>
        <w:t>Таблица 4: Проекти по програма NER300, получили финансиране по първата и втората покана за представяне на предложения</w:t>
      </w:r>
      <w:r>
        <w:rPr>
          <w:rStyle w:val="FootnoteReference"/>
          <w:b/>
          <w:noProof/>
          <w:sz w:val="22"/>
        </w:rPr>
        <w:footnoteReference w:id="24"/>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2"/>
        <w:gridCol w:w="3081"/>
        <w:gridCol w:w="3081"/>
      </w:tblGrid>
      <w:tr>
        <w:trPr>
          <w:trHeight w:val="481"/>
          <w:jc w:val="center"/>
        </w:trPr>
        <w:tc>
          <w:tcPr>
            <w:tcW w:w="2972" w:type="dxa"/>
            <w:shd w:val="clear" w:color="auto" w:fill="auto"/>
            <w:vAlign w:val="center"/>
          </w:tcPr>
          <w:p>
            <w:pPr>
              <w:spacing w:after="0"/>
              <w:jc w:val="center"/>
              <w:rPr>
                <w:rFonts w:ascii="Times New Roman" w:hAnsi="Times New Roman"/>
                <w:noProof/>
                <w:sz w:val="20"/>
                <w:szCs w:val="20"/>
              </w:rPr>
            </w:pPr>
          </w:p>
        </w:tc>
        <w:tc>
          <w:tcPr>
            <w:tcW w:w="3081" w:type="dxa"/>
            <w:shd w:val="clear" w:color="auto" w:fill="auto"/>
          </w:tcPr>
          <w:p>
            <w:pPr>
              <w:spacing w:after="0"/>
              <w:jc w:val="center"/>
              <w:rPr>
                <w:rFonts w:ascii="Times New Roman" w:hAnsi="Times New Roman"/>
                <w:b/>
                <w:noProof/>
                <w:sz w:val="20"/>
                <w:szCs w:val="20"/>
              </w:rPr>
            </w:pPr>
            <w:r>
              <w:rPr>
                <w:rFonts w:ascii="Times New Roman" w:hAnsi="Times New Roman"/>
                <w:b/>
                <w:noProof/>
                <w:sz w:val="20"/>
              </w:rPr>
              <w:t xml:space="preserve">І покана за представяне на предложения </w:t>
            </w:r>
          </w:p>
        </w:tc>
        <w:tc>
          <w:tcPr>
            <w:tcW w:w="3081" w:type="dxa"/>
          </w:tcPr>
          <w:p>
            <w:pPr>
              <w:spacing w:after="0"/>
              <w:jc w:val="center"/>
              <w:rPr>
                <w:rFonts w:ascii="Times New Roman" w:hAnsi="Times New Roman"/>
                <w:b/>
                <w:noProof/>
                <w:sz w:val="20"/>
                <w:szCs w:val="20"/>
              </w:rPr>
            </w:pPr>
            <w:r>
              <w:rPr>
                <w:rFonts w:ascii="Times New Roman" w:hAnsi="Times New Roman"/>
                <w:b/>
                <w:noProof/>
                <w:sz w:val="20"/>
              </w:rPr>
              <w:t>ІІ покана за представяне на предложения</w:t>
            </w:r>
          </w:p>
        </w:tc>
      </w:tr>
      <w:tr>
        <w:trPr>
          <w:trHeight w:val="481"/>
          <w:jc w:val="center"/>
        </w:trPr>
        <w:tc>
          <w:tcPr>
            <w:tcW w:w="2972"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rPr>
              <w:t>Проекти на етап планиране</w:t>
            </w:r>
          </w:p>
        </w:tc>
        <w:tc>
          <w:tcPr>
            <w:tcW w:w="3081" w:type="dxa"/>
            <w:shd w:val="clear" w:color="auto" w:fill="auto"/>
          </w:tcPr>
          <w:p>
            <w:pPr>
              <w:spacing w:after="0"/>
              <w:jc w:val="center"/>
              <w:rPr>
                <w:rFonts w:ascii="Times New Roman" w:eastAsia="Times New Roman" w:hAnsi="Times New Roman"/>
                <w:noProof/>
                <w:sz w:val="20"/>
                <w:szCs w:val="20"/>
              </w:rPr>
            </w:pPr>
            <w:r>
              <w:rPr>
                <w:rFonts w:ascii="Times New Roman" w:hAnsi="Times New Roman"/>
                <w:noProof/>
                <w:sz w:val="20"/>
              </w:rPr>
              <w:t>1</w:t>
            </w:r>
          </w:p>
        </w:tc>
        <w:tc>
          <w:tcPr>
            <w:tcW w:w="3081" w:type="dxa"/>
          </w:tcPr>
          <w:p>
            <w:pPr>
              <w:spacing w:after="0"/>
              <w:jc w:val="center"/>
              <w:rPr>
                <w:rFonts w:ascii="Times New Roman" w:hAnsi="Times New Roman"/>
                <w:noProof/>
                <w:sz w:val="20"/>
                <w:szCs w:val="20"/>
              </w:rPr>
            </w:pPr>
            <w:r>
              <w:rPr>
                <w:rFonts w:ascii="Times New Roman" w:hAnsi="Times New Roman"/>
                <w:noProof/>
                <w:sz w:val="20"/>
              </w:rPr>
              <w:t>17</w:t>
            </w:r>
          </w:p>
        </w:tc>
      </w:tr>
      <w:tr>
        <w:trPr>
          <w:trHeight w:val="481"/>
          <w:jc w:val="center"/>
        </w:trPr>
        <w:tc>
          <w:tcPr>
            <w:tcW w:w="2972"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rPr>
              <w:t>Проекти с взето окончателно инвестиционно решение</w:t>
            </w:r>
          </w:p>
        </w:tc>
        <w:tc>
          <w:tcPr>
            <w:tcW w:w="3081" w:type="dxa"/>
            <w:shd w:val="clear" w:color="auto" w:fill="auto"/>
          </w:tcPr>
          <w:p>
            <w:pPr>
              <w:spacing w:after="0"/>
              <w:jc w:val="center"/>
              <w:rPr>
                <w:rFonts w:ascii="Times New Roman" w:hAnsi="Times New Roman"/>
                <w:noProof/>
                <w:sz w:val="20"/>
                <w:szCs w:val="20"/>
              </w:rPr>
            </w:pPr>
            <w:r>
              <w:rPr>
                <w:rFonts w:ascii="Times New Roman" w:hAnsi="Times New Roman"/>
                <w:noProof/>
                <w:sz w:val="20"/>
              </w:rPr>
              <w:t>11</w:t>
            </w:r>
          </w:p>
        </w:tc>
        <w:tc>
          <w:tcPr>
            <w:tcW w:w="3081" w:type="dxa"/>
          </w:tcPr>
          <w:p>
            <w:pPr>
              <w:spacing w:after="0"/>
              <w:jc w:val="center"/>
              <w:rPr>
                <w:rFonts w:ascii="Times New Roman" w:hAnsi="Times New Roman"/>
                <w:noProof/>
                <w:sz w:val="20"/>
                <w:szCs w:val="20"/>
              </w:rPr>
            </w:pPr>
            <w:r>
              <w:rPr>
                <w:rFonts w:ascii="Times New Roman" w:hAnsi="Times New Roman"/>
                <w:noProof/>
                <w:sz w:val="20"/>
              </w:rPr>
              <w:t>2</w:t>
            </w:r>
          </w:p>
        </w:tc>
      </w:tr>
      <w:tr>
        <w:trPr>
          <w:trHeight w:val="403"/>
          <w:jc w:val="center"/>
        </w:trPr>
        <w:tc>
          <w:tcPr>
            <w:tcW w:w="2972"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rPr>
              <w:t>Проекти в процес на изпълнение</w:t>
            </w:r>
          </w:p>
        </w:tc>
        <w:tc>
          <w:tcPr>
            <w:tcW w:w="3081" w:type="dxa"/>
            <w:shd w:val="clear" w:color="auto" w:fill="auto"/>
          </w:tcPr>
          <w:p>
            <w:pPr>
              <w:spacing w:after="0"/>
              <w:jc w:val="center"/>
              <w:rPr>
                <w:rFonts w:ascii="Times New Roman" w:eastAsia="Times New Roman" w:hAnsi="Times New Roman"/>
                <w:noProof/>
                <w:sz w:val="20"/>
                <w:szCs w:val="20"/>
              </w:rPr>
            </w:pPr>
            <w:r>
              <w:rPr>
                <w:rFonts w:ascii="Times New Roman" w:hAnsi="Times New Roman"/>
                <w:noProof/>
                <w:sz w:val="20"/>
              </w:rPr>
              <w:t>4</w:t>
            </w:r>
          </w:p>
        </w:tc>
        <w:tc>
          <w:tcPr>
            <w:tcW w:w="3081" w:type="dxa"/>
          </w:tcPr>
          <w:p>
            <w:pPr>
              <w:spacing w:after="0"/>
              <w:jc w:val="center"/>
              <w:rPr>
                <w:rFonts w:ascii="Times New Roman" w:hAnsi="Times New Roman"/>
                <w:noProof/>
                <w:sz w:val="20"/>
                <w:szCs w:val="20"/>
              </w:rPr>
            </w:pPr>
            <w:r>
              <w:rPr>
                <w:rFonts w:ascii="Times New Roman" w:hAnsi="Times New Roman"/>
                <w:noProof/>
                <w:sz w:val="20"/>
              </w:rPr>
              <w:t>0</w:t>
            </w:r>
          </w:p>
        </w:tc>
      </w:tr>
      <w:tr>
        <w:trPr>
          <w:trHeight w:val="422"/>
          <w:jc w:val="center"/>
        </w:trPr>
        <w:tc>
          <w:tcPr>
            <w:tcW w:w="2972"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rPr>
              <w:t>Оттеглени проекти</w:t>
            </w:r>
          </w:p>
        </w:tc>
        <w:tc>
          <w:tcPr>
            <w:tcW w:w="3081" w:type="dxa"/>
            <w:shd w:val="clear" w:color="auto" w:fill="auto"/>
          </w:tcPr>
          <w:p>
            <w:pPr>
              <w:spacing w:after="0"/>
              <w:jc w:val="center"/>
              <w:rPr>
                <w:rFonts w:ascii="Times New Roman" w:eastAsia="Times New Roman" w:hAnsi="Times New Roman"/>
                <w:noProof/>
                <w:sz w:val="20"/>
                <w:szCs w:val="20"/>
              </w:rPr>
            </w:pPr>
            <w:r>
              <w:rPr>
                <w:rFonts w:ascii="Times New Roman" w:hAnsi="Times New Roman"/>
                <w:noProof/>
                <w:sz w:val="20"/>
              </w:rPr>
              <w:t>4</w:t>
            </w:r>
          </w:p>
        </w:tc>
        <w:tc>
          <w:tcPr>
            <w:tcW w:w="3081" w:type="dxa"/>
          </w:tcPr>
          <w:p>
            <w:pPr>
              <w:spacing w:after="0"/>
              <w:jc w:val="center"/>
              <w:rPr>
                <w:rFonts w:ascii="Times New Roman" w:hAnsi="Times New Roman"/>
                <w:noProof/>
                <w:sz w:val="20"/>
                <w:szCs w:val="20"/>
              </w:rPr>
            </w:pPr>
            <w:r>
              <w:rPr>
                <w:rFonts w:ascii="Times New Roman" w:hAnsi="Times New Roman"/>
                <w:noProof/>
                <w:sz w:val="20"/>
              </w:rPr>
              <w:t>0</w:t>
            </w:r>
          </w:p>
        </w:tc>
      </w:tr>
      <w:tr>
        <w:trPr>
          <w:trHeight w:val="415"/>
          <w:jc w:val="center"/>
        </w:trPr>
        <w:tc>
          <w:tcPr>
            <w:tcW w:w="2972"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i/>
                <w:noProof/>
                <w:sz w:val="20"/>
              </w:rPr>
              <w:t>Общо</w:t>
            </w:r>
          </w:p>
        </w:tc>
        <w:tc>
          <w:tcPr>
            <w:tcW w:w="3081" w:type="dxa"/>
            <w:shd w:val="clear" w:color="auto" w:fill="auto"/>
          </w:tcPr>
          <w:p>
            <w:pPr>
              <w:spacing w:after="0"/>
              <w:jc w:val="center"/>
              <w:rPr>
                <w:rFonts w:ascii="Times New Roman" w:eastAsia="Times New Roman" w:hAnsi="Times New Roman"/>
                <w:noProof/>
                <w:sz w:val="20"/>
                <w:szCs w:val="20"/>
              </w:rPr>
            </w:pPr>
            <w:r>
              <w:rPr>
                <w:rFonts w:ascii="Times New Roman" w:hAnsi="Times New Roman"/>
                <w:i/>
                <w:noProof/>
                <w:sz w:val="20"/>
              </w:rPr>
              <w:t>20</w:t>
            </w:r>
          </w:p>
        </w:tc>
        <w:tc>
          <w:tcPr>
            <w:tcW w:w="3081" w:type="dxa"/>
          </w:tcPr>
          <w:p>
            <w:pPr>
              <w:spacing w:after="0"/>
              <w:jc w:val="center"/>
              <w:rPr>
                <w:rFonts w:ascii="Times New Roman" w:hAnsi="Times New Roman"/>
                <w:i/>
                <w:iCs/>
                <w:noProof/>
                <w:sz w:val="20"/>
                <w:szCs w:val="20"/>
              </w:rPr>
            </w:pPr>
            <w:r>
              <w:rPr>
                <w:rFonts w:ascii="Times New Roman" w:hAnsi="Times New Roman"/>
                <w:i/>
                <w:noProof/>
                <w:sz w:val="20"/>
              </w:rPr>
              <w:t>19</w:t>
            </w:r>
          </w:p>
        </w:tc>
      </w:tr>
    </w:tbl>
    <w:p>
      <w:pPr>
        <w:pStyle w:val="a3520normalp11"/>
        <w:spacing w:line="276" w:lineRule="auto"/>
        <w:rPr>
          <w:noProof/>
          <w:sz w:val="20"/>
          <w:szCs w:val="20"/>
        </w:rPr>
      </w:pPr>
    </w:p>
    <w:p>
      <w:pPr>
        <w:rPr>
          <w:rFonts w:ascii="Times New Roman" w:hAnsi="Times New Roman"/>
          <w:noProof/>
          <w:sz w:val="24"/>
          <w:szCs w:val="24"/>
        </w:rPr>
      </w:pPr>
      <w:r>
        <w:rPr>
          <w:rFonts w:ascii="Times New Roman" w:hAnsi="Times New Roman"/>
          <w:noProof/>
          <w:sz w:val="24"/>
        </w:rPr>
        <w:t>Не се предвижда публикуване на допълнителни покани за предложения по програма NER300. Сега Комисията поставя акцента върху изпълнението</w:t>
      </w:r>
      <w:r>
        <w:rPr>
          <w:rStyle w:val="FootnoteReference"/>
          <w:rFonts w:ascii="Times New Roman" w:hAnsi="Times New Roman"/>
          <w:noProof/>
          <w:sz w:val="24"/>
        </w:rPr>
        <w:footnoteReference w:id="25"/>
      </w:r>
      <w:r>
        <w:rPr>
          <w:rFonts w:ascii="Times New Roman" w:hAnsi="Times New Roman"/>
          <w:noProof/>
          <w:sz w:val="24"/>
        </w:rPr>
        <w:t xml:space="preserve"> на проектите, избрани за финансиране, и бързото повторно инвестиране на неизразходваните средства.</w:t>
      </w:r>
    </w:p>
    <w:p>
      <w:pPr>
        <w:pStyle w:val="Heading4"/>
        <w:numPr>
          <w:ilvl w:val="3"/>
          <w:numId w:val="1"/>
        </w:numPr>
        <w:rPr>
          <w:noProof/>
        </w:rPr>
      </w:pPr>
      <w:bookmarkStart w:id="32" w:name="_Toc490850428"/>
      <w:r>
        <w:rPr>
          <w:noProof/>
        </w:rPr>
        <w:t>Компенсиране на непреките разходи за ограничаване на въглеродните емисии</w:t>
      </w:r>
      <w:bookmarkEnd w:id="32"/>
    </w:p>
    <w:p>
      <w:pPr>
        <w:rPr>
          <w:noProof/>
          <w:highlight w:val="yellow"/>
        </w:rPr>
      </w:pPr>
    </w:p>
    <w:p>
      <w:pPr>
        <w:rPr>
          <w:rFonts w:ascii="Times New Roman" w:hAnsi="Times New Roman"/>
          <w:noProof/>
          <w:sz w:val="24"/>
          <w:szCs w:val="24"/>
        </w:rPr>
      </w:pPr>
      <w:r>
        <w:rPr>
          <w:rFonts w:ascii="Times New Roman" w:hAnsi="Times New Roman"/>
          <w:noProof/>
          <w:sz w:val="24"/>
          <w:szCs w:val="24"/>
          <w:lang w:val="en-US" w:eastAsia="en-US" w:bidi="ar-SA"/>
        </w:rPr>
        <mc:AlternateContent>
          <mc:Choice Requires="wps">
            <w:drawing>
              <wp:inline distT="0" distB="0" distL="0" distR="0">
                <wp:extent cx="5720486" cy="4502989"/>
                <wp:effectExtent l="0" t="0" r="1397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4502989"/>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Както е обяснено в раздел 3.1.2.1, енергоемките сектори, за които се смята, че са изложени на значителен риск от изместване на въглеродни емисии, могат да получат безплатни квоти за покриване на преките си разходи за ограничаване на въглеродните емисии. Освен това държавите — членки на ЕС, могат да предоставят държавна помощ за компенсиране на енергоемките сектори за непреките разходи за ограничаване на въглеродните емисии, т.е. за увеличенията на цените на електроенергията, въведени от електрическите генератори поради СТЕ на ЕС. </w:t>
                            </w:r>
                          </w:p>
                          <w:p>
                            <w:pPr>
                              <w:jc w:val="both"/>
                              <w:rPr>
                                <w:rFonts w:ascii="Times New Roman" w:hAnsi="Times New Roman"/>
                                <w:sz w:val="24"/>
                                <w:szCs w:val="24"/>
                              </w:rPr>
                            </w:pPr>
                            <w:r>
                              <w:rPr>
                                <w:rFonts w:ascii="Times New Roman" w:hAnsi="Times New Roman"/>
                                <w:sz w:val="24"/>
                              </w:rPr>
                              <w:t xml:space="preserve">За да се гарантира хармонизирано прилагане на компенсирането на непреките разходи за ограничаване на въглеродните емисии във всички държави членки и да се сведат до минимум нарушенията на конкуренцията на вътрешния пазар, Комисията прие Насоките за държавни помощи в контекста на СТЕ на ЕС* за периода 2013—2020 г. В насоките се определят, наред с другото, допустимите сектори и максималните суми за компенсиране на непреките разходи за ограничаване на въглеродните емисии. Държавната помощ, предоставяна за тази цел, е частична и намалява с течение на времето**, поради което се запазват стимулите за ефективност на производството на електроенергия и преминаване към „зелена“ електроенергия в съответствие с целите на СТЕ на ЕС. </w:t>
                            </w:r>
                          </w:p>
                          <w:p>
                            <w:pPr>
                              <w:jc w:val="both"/>
                              <w:rPr>
                                <w:rFonts w:ascii="Times New Roman" w:hAnsi="Times New Roman"/>
                                <w:sz w:val="18"/>
                                <w:szCs w:val="18"/>
                              </w:rPr>
                            </w:pPr>
                            <w:r>
                              <w:rPr>
                                <w:rFonts w:ascii="Times New Roman" w:hAnsi="Times New Roman"/>
                                <w:sz w:val="18"/>
                              </w:rPr>
                              <w:t>* Насоки относно определени мерки за държавна помощ в контекста на схемата за търговия с квоти за емисии на парников газ след 2012 година, ОВ C 158, 5.6.2012 г., стр. 4</w:t>
                            </w:r>
                          </w:p>
                          <w:p>
                            <w:pPr>
                              <w:jc w:val="both"/>
                              <w:rPr>
                                <w:rFonts w:ascii="Times New Roman" w:hAnsi="Times New Roman"/>
                                <w:sz w:val="24"/>
                                <w:szCs w:val="24"/>
                              </w:rPr>
                            </w:pPr>
                            <w:r>
                              <w:rPr>
                                <w:rFonts w:ascii="Times New Roman" w:hAnsi="Times New Roman"/>
                                <w:sz w:val="18"/>
                              </w:rPr>
                              <w:t>** Максималният дял от допустимите разходи намалява от 85 % за периода 2013—2015 г. до 75 % за периода 2019—2020 г.</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1" type="#_x0000_t202" style="width:450.45pt;height:3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" fillcolor="#d9d9d9" strokeweight="1pt">
                <v:textbox>
                  <w:txbxContent>
                    <w:p>
                      <w:pPr>
                        <w:jc w:val="both"/>
                        <w:rPr>
                          <w:rFonts w:ascii="Times New Roman" w:hAnsi="Times New Roman"/>
                          <w:sz w:val="24"/>
                          <w:szCs w:val="24"/>
                        </w:rPr>
                      </w:pPr>
                      <w:r>
                        <w:rPr>
                          <w:rFonts w:ascii="Times New Roman" w:hAnsi="Times New Roman"/>
                          <w:sz w:val="24"/>
                        </w:rPr>
                        <w:t xml:space="preserve">Както е обяснено в раздел 3.1.2.1, енергоемките сектори, за които се смята, че са изложени на значителен риск от изместване на въглеродни емисии, могат да получат безплатни квоти за покриване на преките си разходи за ограничаване на въглеродните емисии. Освен това държавите — членки на ЕС, могат да предоставят държавна помощ за компенсиране на енергоемките сектори за непреките разходи за ограничаване на въглеродните емисии, т.е. за увеличенията на цените на електроенергията, въведени от електрическите генератори поради СТЕ на ЕС. </w:t>
                      </w:r>
                    </w:p>
                    <w:p>
                      <w:pPr>
                        <w:jc w:val="both"/>
                        <w:rPr>
                          <w:rFonts w:ascii="Times New Roman" w:hAnsi="Times New Roman"/>
                          <w:sz w:val="24"/>
                          <w:szCs w:val="24"/>
                        </w:rPr>
                      </w:pPr>
                      <w:r>
                        <w:rPr>
                          <w:rFonts w:ascii="Times New Roman" w:hAnsi="Times New Roman"/>
                          <w:sz w:val="24"/>
                        </w:rPr>
                        <w:t xml:space="preserve">За да се гарантира хармонизирано прилагане на компенсирането на непреките разходи за ограничаване на въглеродните емисии във всички държави членки и да се сведат до минимум нарушенията на конкуренцията на вътрешния пазар, Комисията прие Насоките за държавни помощи в контекста на СТЕ на ЕС* за периода 2013—2020 г. В насоките се определят, наред с другото, допустимите сектори и максималните суми за компенсиране на непреките разходи за ограничаване на въглеродните емисии. Държавната помощ, предоставяна за тази цел, е частична и намалява с течение на времето**, поради което се запазват стимулите за ефективност на производството на електроенергия и преминаване към „зелена“ електроенергия в съответствие с целите на СТЕ на ЕС. </w:t>
                      </w:r>
                    </w:p>
                    <w:p>
                      <w:pPr>
                        <w:jc w:val="both"/>
                        <w:rPr>
                          <w:rFonts w:ascii="Times New Roman" w:hAnsi="Times New Roman"/>
                          <w:sz w:val="18"/>
                          <w:szCs w:val="18"/>
                        </w:rPr>
                      </w:pPr>
                      <w:r>
                        <w:rPr>
                          <w:rFonts w:ascii="Times New Roman" w:hAnsi="Times New Roman"/>
                          <w:sz w:val="18"/>
                        </w:rPr>
                        <w:t>* Насоки относно определени мерки за държавна помощ в контекста на схемата за търговия с квоти за емисии на парников газ след 2012 година, ОВ C 158, 5.6.2012 г., стр. 4</w:t>
                      </w:r>
                    </w:p>
                    <w:p>
                      <w:pPr>
                        <w:jc w:val="both"/>
                        <w:rPr>
                          <w:rFonts w:ascii="Times New Roman" w:hAnsi="Times New Roman"/>
                          <w:sz w:val="24"/>
                          <w:szCs w:val="24"/>
                        </w:rPr>
                      </w:pPr>
                      <w:r>
                        <w:rPr>
                          <w:rFonts w:ascii="Times New Roman" w:hAnsi="Times New Roman"/>
                          <w:sz w:val="18"/>
                        </w:rPr>
                        <w:t>** Максималният дял от допустимите разходи намалява от 85 % за периода 2013—2015 г. до 75 % за периода 2019—2020 г.</w:t>
                      </w:r>
                    </w:p>
                    <w:p>
                      <w:pPr>
                        <w:rPr>
                          <w:rFonts w:ascii="Times New Roman" w:hAnsi="Times New Roman"/>
                          <w:sz w:val="24"/>
                          <w:szCs w:val="24"/>
                        </w:rPr>
                      </w:pPr>
                    </w:p>
                  </w:txbxContent>
                </v:textbox>
                <w10:anchorlock/>
              </v:shape>
            </w:pict>
          </mc:Fallback>
        </mc:AlternateContent>
      </w:r>
    </w:p>
    <w:p>
      <w:pPr>
        <w:jc w:val="both"/>
        <w:rPr>
          <w:rFonts w:ascii="Times New Roman" w:hAnsi="Times New Roman"/>
          <w:bCs/>
          <w:iCs/>
          <w:noProof/>
          <w:sz w:val="24"/>
          <w:szCs w:val="24"/>
        </w:rPr>
      </w:pPr>
      <w:r>
        <w:rPr>
          <w:rFonts w:ascii="Times New Roman" w:hAnsi="Times New Roman"/>
          <w:noProof/>
          <w:sz w:val="24"/>
        </w:rPr>
        <w:t xml:space="preserve">Към днешна дата Комисията е одобрила 10 схеми на държавна помощ за компенсиране на непреки разходи за ограничаване на въглеродните емисии. В таблица 5 е представено обобщение на схемите за компенсиране на непреки разходи за ограничаване на въглеродните емисии, одобрени от 2013 г. насам. </w:t>
      </w:r>
    </w:p>
    <w:p>
      <w:pPr>
        <w:jc w:val="both"/>
        <w:rPr>
          <w:rFonts w:ascii="Times New Roman" w:hAnsi="Times New Roman"/>
          <w:b/>
          <w:bCs/>
          <w:iCs/>
          <w:noProof/>
          <w:color w:val="FF0000"/>
        </w:rPr>
      </w:pPr>
      <w:r>
        <w:rPr>
          <w:rFonts w:ascii="Times New Roman" w:hAnsi="Times New Roman"/>
          <w:b/>
          <w:noProof/>
        </w:rPr>
        <w:t>Таблица 5:</w:t>
      </w:r>
      <w:r>
        <w:rPr>
          <w:rFonts w:ascii="Times New Roman" w:hAnsi="Times New Roman"/>
          <w:noProof/>
        </w:rPr>
        <w:t xml:space="preserve"> </w:t>
      </w:r>
      <w:r>
        <w:rPr>
          <w:rFonts w:ascii="Times New Roman" w:hAnsi="Times New Roman"/>
          <w:b/>
          <w:noProof/>
        </w:rPr>
        <w:t>Схеми за компенсиране на непреки разходи за ограничаване на въглеродните емисии, одобрени в рамките на Насоките в контекста на СТЕ от 2012 г.</w:t>
      </w:r>
      <w:r>
        <w:rPr>
          <w:rFonts w:ascii="Times New Roman" w:hAnsi="Times New Roman"/>
          <w:noProof/>
          <w:vertAlign w:val="superscript"/>
        </w:rPr>
        <w:footnoteReference w:id="26"/>
      </w:r>
    </w:p>
    <w:tbl>
      <w:tblPr>
        <w:tblW w:w="8855" w:type="dxa"/>
        <w:jc w:val="center"/>
        <w:tblInd w:w="-619" w:type="dxa"/>
        <w:tblLook w:val="04A0" w:firstRow="1" w:lastRow="0" w:firstColumn="1" w:lastColumn="0" w:noHBand="0" w:noVBand="1"/>
      </w:tblPr>
      <w:tblGrid>
        <w:gridCol w:w="1569"/>
        <w:gridCol w:w="3154"/>
        <w:gridCol w:w="1875"/>
        <w:gridCol w:w="2257"/>
      </w:tblGrid>
      <w:tr>
        <w:trPr>
          <w:trHeight w:val="236"/>
          <w:jc w:val="center"/>
        </w:trPr>
        <w:tc>
          <w:tcPr>
            <w:tcW w:w="1569" w:type="dxa"/>
            <w:tcBorders>
              <w:top w:val="double" w:sz="4" w:space="0" w:color="auto"/>
              <w:left w:val="double" w:sz="4" w:space="0" w:color="auto"/>
              <w:bottom w:val="double" w:sz="4" w:space="0" w:color="auto"/>
              <w:right w:val="single" w:sz="4" w:space="0" w:color="auto"/>
            </w:tcBorders>
            <w:shd w:val="clear" w:color="000000" w:fill="D9D9D9"/>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Държава членка</w:t>
            </w:r>
          </w:p>
        </w:tc>
        <w:tc>
          <w:tcPr>
            <w:tcW w:w="3154" w:type="dxa"/>
            <w:tcBorders>
              <w:top w:val="double" w:sz="4" w:space="0" w:color="auto"/>
              <w:left w:val="nil"/>
              <w:bottom w:val="double" w:sz="4" w:space="0" w:color="auto"/>
              <w:right w:val="single" w:sz="4" w:space="0" w:color="auto"/>
            </w:tcBorders>
            <w:shd w:val="clear" w:color="000000" w:fill="D9D9D9"/>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Одобрен таван на схемите за компенсиране на непреките разходи за ограничаване на въглеродните емисии /</w:t>
            </w:r>
            <w:r>
              <w:rPr>
                <w:rFonts w:ascii="Times New Roman" w:hAnsi="Times New Roman"/>
                <w:b/>
                <w:i/>
                <w:noProof/>
                <w:color w:val="000000"/>
                <w:sz w:val="20"/>
              </w:rPr>
              <w:t>(средна годишна стойност на одобрения таван)</w:t>
            </w:r>
            <w:r>
              <w:rPr>
                <w:rFonts w:ascii="Times New Roman" w:hAnsi="Times New Roman"/>
                <w:b/>
                <w:noProof/>
                <w:color w:val="000000"/>
                <w:sz w:val="20"/>
              </w:rPr>
              <w:t xml:space="preserve"> в млн. евро (за Обединеното кралство — в млн. британски лири) </w:t>
            </w:r>
          </w:p>
        </w:tc>
        <w:tc>
          <w:tcPr>
            <w:tcW w:w="1526" w:type="dxa"/>
            <w:tcBorders>
              <w:top w:val="double" w:sz="4" w:space="0" w:color="auto"/>
              <w:left w:val="nil"/>
              <w:bottom w:val="double" w:sz="4" w:space="0" w:color="auto"/>
              <w:right w:val="double" w:sz="4" w:space="0" w:color="auto"/>
            </w:tcBorders>
            <w:shd w:val="clear" w:color="000000" w:fill="D9D9D9"/>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Продължителност на схемата</w:t>
            </w:r>
          </w:p>
        </w:tc>
        <w:tc>
          <w:tcPr>
            <w:tcW w:w="2606" w:type="dxa"/>
            <w:tcBorders>
              <w:top w:val="double" w:sz="4" w:space="0" w:color="auto"/>
              <w:left w:val="nil"/>
              <w:bottom w:val="double" w:sz="4" w:space="0" w:color="auto"/>
              <w:right w:val="double" w:sz="4" w:space="0" w:color="auto"/>
            </w:tcBorders>
            <w:shd w:val="clear" w:color="000000" w:fill="D9D9D9"/>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 xml:space="preserve">Приходи на държавите членки от тръжни продажби за 2016 г. (без квотите за авиационни емисии)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Обединено кралство</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113 </w:t>
            </w:r>
            <w:r>
              <w:rPr>
                <w:rStyle w:val="FootnoteReference"/>
                <w:rFonts w:ascii="Times New Roman" w:hAnsi="Times New Roman"/>
                <w:noProof/>
                <w:color w:val="000000"/>
                <w:sz w:val="20"/>
              </w:rPr>
              <w:footnoteReference w:id="27"/>
            </w:r>
            <w:r>
              <w:rPr>
                <w:rFonts w:ascii="Times New Roman" w:hAnsi="Times New Roman"/>
                <w:noProof/>
                <w:color w:val="000000"/>
                <w:sz w:val="20"/>
              </w:rPr>
              <w:t>/</w:t>
            </w:r>
            <w:r>
              <w:rPr>
                <w:rFonts w:ascii="Times New Roman" w:hAnsi="Times New Roman"/>
                <w:i/>
                <w:noProof/>
                <w:color w:val="000000"/>
                <w:sz w:val="20"/>
              </w:rPr>
              <w:t>(13—50)</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419 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Германия</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756 </w:t>
            </w:r>
            <w:r>
              <w:rPr>
                <w:rStyle w:val="FootnoteReference"/>
                <w:rFonts w:ascii="Times New Roman" w:hAnsi="Times New Roman"/>
                <w:noProof/>
                <w:color w:val="000000"/>
                <w:sz w:val="20"/>
              </w:rPr>
              <w:footnoteReference w:id="28"/>
            </w:r>
            <w:r>
              <w:rPr>
                <w:rFonts w:ascii="Times New Roman" w:hAnsi="Times New Roman"/>
                <w:noProof/>
                <w:color w:val="000000"/>
                <w:sz w:val="20"/>
              </w:rPr>
              <w:t>/</w:t>
            </w:r>
            <w:r>
              <w:rPr>
                <w:rFonts w:ascii="Times New Roman" w:hAnsi="Times New Roman"/>
                <w:i/>
                <w:noProof/>
                <w:color w:val="000000"/>
                <w:sz w:val="20"/>
              </w:rPr>
              <w:t>(203—350)</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846 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Белгия</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113 </w:t>
            </w:r>
            <w:r>
              <w:rPr>
                <w:rStyle w:val="FootnoteReference"/>
                <w:rFonts w:ascii="Times New Roman" w:hAnsi="Times New Roman"/>
                <w:noProof/>
                <w:color w:val="000000"/>
                <w:sz w:val="20"/>
              </w:rPr>
              <w:footnoteReference w:id="29"/>
            </w:r>
            <w:r>
              <w:rPr>
                <w:rFonts w:ascii="Times New Roman" w:hAnsi="Times New Roman"/>
                <w:noProof/>
                <w:color w:val="000000"/>
                <w:sz w:val="20"/>
              </w:rPr>
              <w:t xml:space="preserve">/ </w:t>
            </w:r>
            <w:r>
              <w:rPr>
                <w:rFonts w:ascii="Times New Roman" w:hAnsi="Times New Roman"/>
                <w:i/>
                <w:noProof/>
                <w:color w:val="000000"/>
                <w:sz w:val="20"/>
              </w:rPr>
              <w:t>(38)</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107 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Нидерландия</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156 </w:t>
            </w:r>
            <w:r>
              <w:rPr>
                <w:rStyle w:val="FootnoteReference"/>
                <w:rFonts w:ascii="Times New Roman" w:hAnsi="Times New Roman"/>
                <w:noProof/>
                <w:color w:val="000000"/>
                <w:sz w:val="20"/>
              </w:rPr>
              <w:footnoteReference w:id="30"/>
            </w:r>
            <w:r>
              <w:rPr>
                <w:rFonts w:ascii="Times New Roman" w:hAnsi="Times New Roman"/>
                <w:noProof/>
                <w:color w:val="000000"/>
                <w:sz w:val="20"/>
              </w:rPr>
              <w:t xml:space="preserve">/ </w:t>
            </w:r>
            <w:r>
              <w:rPr>
                <w:rFonts w:ascii="Times New Roman" w:hAnsi="Times New Roman"/>
                <w:i/>
                <w:noProof/>
                <w:color w:val="000000"/>
                <w:sz w:val="20"/>
              </w:rPr>
              <w:t>(78)</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 xml:space="preserve">142 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Гърция</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160 </w:t>
            </w:r>
            <w:r>
              <w:rPr>
                <w:rStyle w:val="FootnoteReference"/>
                <w:rFonts w:ascii="Times New Roman" w:hAnsi="Times New Roman"/>
                <w:noProof/>
                <w:color w:val="000000"/>
                <w:sz w:val="20"/>
              </w:rPr>
              <w:footnoteReference w:id="31"/>
            </w:r>
            <w:r>
              <w:rPr>
                <w:rFonts w:ascii="Times New Roman" w:hAnsi="Times New Roman"/>
                <w:noProof/>
                <w:color w:val="000000"/>
                <w:sz w:val="20"/>
              </w:rPr>
              <w:t xml:space="preserve">/ </w:t>
            </w:r>
            <w:r>
              <w:rPr>
                <w:rFonts w:ascii="Times New Roman" w:hAnsi="Times New Roman"/>
                <w:i/>
                <w:noProof/>
                <w:color w:val="000000"/>
                <w:sz w:val="20"/>
              </w:rPr>
              <w:t>(40)</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147 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Литва</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13 / (1—3)</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2014—2020 г.</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 xml:space="preserve">21 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Словашка република</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 xml:space="preserve">250 / </w:t>
            </w:r>
            <w:r>
              <w:rPr>
                <w:rFonts w:ascii="Times New Roman" w:hAnsi="Times New Roman"/>
                <w:i/>
                <w:noProof/>
                <w:color w:val="000000"/>
                <w:sz w:val="20"/>
              </w:rPr>
              <w:t>(—3)</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2014—2020 г.</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65 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Франция</w:t>
            </w:r>
          </w:p>
        </w:tc>
        <w:tc>
          <w:tcPr>
            <w:tcW w:w="3154" w:type="dxa"/>
            <w:tcBorders>
              <w:top w:val="double" w:sz="4" w:space="0" w:color="auto"/>
              <w:left w:val="nil"/>
              <w:bottom w:val="double" w:sz="4" w:space="0" w:color="auto"/>
              <w:right w:val="nil"/>
            </w:tcBorders>
            <w:shd w:val="clear" w:color="000000" w:fill="FFFFFF"/>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 xml:space="preserve">364 / </w:t>
            </w:r>
            <w:r>
              <w:rPr>
                <w:rFonts w:ascii="Times New Roman" w:hAnsi="Times New Roman"/>
                <w:i/>
                <w:noProof/>
                <w:color w:val="000000"/>
                <w:sz w:val="20"/>
              </w:rPr>
              <w:t>(61)</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2015—2020 г.</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231 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Финландия</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 xml:space="preserve">149 / </w:t>
            </w:r>
            <w:r>
              <w:rPr>
                <w:rFonts w:ascii="Times New Roman" w:hAnsi="Times New Roman"/>
                <w:i/>
                <w:noProof/>
                <w:color w:val="000000"/>
                <w:sz w:val="20"/>
              </w:rPr>
              <w:t>(30)</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2016—2020 г.</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 xml:space="preserve">71  </w:t>
            </w:r>
          </w:p>
        </w:tc>
      </w:tr>
      <w:tr>
        <w:trPr>
          <w:trHeight w:val="162"/>
          <w:jc w:val="center"/>
        </w:trPr>
        <w:tc>
          <w:tcPr>
            <w:tcW w:w="1569" w:type="dxa"/>
            <w:vMerge w:val="restart"/>
            <w:tcBorders>
              <w:top w:val="double" w:sz="4" w:space="0" w:color="auto"/>
              <w:left w:val="double" w:sz="4" w:space="0" w:color="auto"/>
              <w:bottom w:val="double" w:sz="4" w:space="0" w:color="auto"/>
              <w:right w:val="single" w:sz="4" w:space="0" w:color="auto"/>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Испания</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 xml:space="preserve">5 / </w:t>
            </w:r>
            <w:r>
              <w:rPr>
                <w:rFonts w:ascii="Times New Roman" w:hAnsi="Times New Roman"/>
                <w:i/>
                <w:noProof/>
                <w:color w:val="000000"/>
                <w:sz w:val="20"/>
              </w:rPr>
              <w:t>(1—3)</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2013—2015 г.</w:t>
            </w:r>
          </w:p>
        </w:tc>
        <w:tc>
          <w:tcPr>
            <w:tcW w:w="2606" w:type="dxa"/>
            <w:vMerge w:val="restart"/>
            <w:tcBorders>
              <w:top w:val="double" w:sz="4" w:space="0" w:color="auto"/>
              <w:left w:val="sing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365 </w:t>
            </w:r>
          </w:p>
        </w:tc>
      </w:tr>
      <w:tr>
        <w:trPr>
          <w:trHeight w:val="75"/>
          <w:jc w:val="center"/>
        </w:trPr>
        <w:tc>
          <w:tcPr>
            <w:tcW w:w="1569" w:type="dxa"/>
            <w:vMerge/>
            <w:tcBorders>
              <w:top w:val="double" w:sz="4" w:space="0" w:color="auto"/>
              <w:left w:val="double" w:sz="4" w:space="0" w:color="auto"/>
              <w:bottom w:val="double" w:sz="4" w:space="0" w:color="auto"/>
              <w:right w:val="single" w:sz="4" w:space="0" w:color="auto"/>
            </w:tcBorders>
            <w:vAlign w:val="center"/>
            <w:hideMark/>
          </w:tcPr>
          <w:p>
            <w:pPr>
              <w:spacing w:after="0" w:line="240" w:lineRule="auto"/>
              <w:rPr>
                <w:rFonts w:ascii="Times New Roman" w:eastAsia="Times New Roman" w:hAnsi="Times New Roman"/>
                <w:noProof/>
                <w:color w:val="000000"/>
                <w:sz w:val="20"/>
                <w:szCs w:val="20"/>
              </w:rPr>
            </w:pP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 xml:space="preserve">106 / </w:t>
            </w:r>
            <w:r>
              <w:rPr>
                <w:rFonts w:ascii="Times New Roman" w:hAnsi="Times New Roman"/>
                <w:i/>
                <w:noProof/>
                <w:color w:val="000000"/>
                <w:sz w:val="20"/>
              </w:rPr>
              <w:t>(6—25)</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2016—2020 г.</w:t>
            </w:r>
          </w:p>
        </w:tc>
        <w:tc>
          <w:tcPr>
            <w:tcW w:w="2606" w:type="dxa"/>
            <w:vMerge/>
            <w:tcBorders>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rPr>
            </w:pPr>
          </w:p>
        </w:tc>
      </w:tr>
    </w:tbl>
    <w:p>
      <w:pPr>
        <w:jc w:val="both"/>
        <w:rPr>
          <w:rFonts w:ascii="Times New Roman" w:eastAsia="Times New Roman" w:hAnsi="Times New Roman"/>
          <w:noProof/>
          <w:color w:val="000000" w:themeColor="text1"/>
          <w:sz w:val="20"/>
          <w:szCs w:val="20"/>
        </w:rPr>
      </w:pPr>
      <w:r>
        <w:rPr>
          <w:rFonts w:ascii="Times New Roman" w:hAnsi="Times New Roman"/>
          <w:noProof/>
          <w:sz w:val="20"/>
        </w:rPr>
        <w:t xml:space="preserve"> </w:t>
      </w:r>
    </w:p>
    <w:p>
      <w:pPr>
        <w:keepNext/>
        <w:numPr>
          <w:ilvl w:val="3"/>
          <w:numId w:val="1"/>
        </w:numPr>
        <w:spacing w:before="240" w:after="60"/>
        <w:outlineLvl w:val="3"/>
        <w:rPr>
          <w:rFonts w:ascii="Times New Roman" w:eastAsia="Times New Roman" w:hAnsi="Times New Roman"/>
          <w:bCs/>
          <w:i/>
          <w:noProof/>
          <w:sz w:val="24"/>
          <w:szCs w:val="28"/>
        </w:rPr>
      </w:pPr>
      <w:bookmarkStart w:id="33" w:name="_Toc463015542"/>
      <w:bookmarkStart w:id="34" w:name="_Toc490850429"/>
      <w:r>
        <w:rPr>
          <w:rFonts w:ascii="Times New Roman" w:hAnsi="Times New Roman"/>
          <w:i/>
          <w:noProof/>
          <w:sz w:val="24"/>
        </w:rPr>
        <w:t>Тръжна продажба на квоти</w:t>
      </w:r>
      <w:bookmarkEnd w:id="33"/>
      <w:bookmarkEnd w:id="34"/>
    </w:p>
    <w:p>
      <w:pPr>
        <w:jc w:val="both"/>
        <w:rPr>
          <w:rFonts w:ascii="Times New Roman" w:eastAsia="Times New Roman" w:hAnsi="Times New Roman"/>
          <w:noProof/>
          <w:color w:val="000000" w:themeColor="text1"/>
          <w:sz w:val="24"/>
          <w:szCs w:val="24"/>
        </w:rPr>
      </w:pPr>
    </w:p>
    <w:p>
      <w:pPr>
        <w:pStyle w:val="a3520normalp11"/>
        <w:spacing w:line="276" w:lineRule="auto"/>
        <w:rPr>
          <w:noProof/>
        </w:rPr>
      </w:pPr>
      <w:r>
        <w:rPr>
          <w:noProof/>
          <w:lang w:val="en-US" w:eastAsia="en-US" w:bidi="ar-SA"/>
        </w:rPr>
        <mc:AlternateContent>
          <mc:Choice Requires="wps">
            <w:drawing>
              <wp:inline distT="0" distB="0" distL="0" distR="0">
                <wp:extent cx="5719648" cy="2423440"/>
                <wp:effectExtent l="0" t="0" r="14605" b="1524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648" cy="2423440"/>
                        </a:xfrm>
                        <a:prstGeom prst="rect">
                          <a:avLst/>
                        </a:prstGeom>
                        <a:solidFill>
                          <a:schemeClr val="bg1">
                            <a:lumMod val="85000"/>
                          </a:schemeClr>
                        </a:solidFill>
                        <a:ln w="12700">
                          <a:solidFill>
                            <a:srgbClr val="000000"/>
                          </a:solidFill>
                          <a:miter lim="800000"/>
                          <a:headEnd/>
                          <a:tailEnd/>
                        </a:ln>
                      </wps:spPr>
                      <wps:txbx>
                        <w:txbxContent>
                          <w:p>
                            <w:pPr>
                              <w:pStyle w:val="a3520normalp11"/>
                              <w:spacing w:line="276" w:lineRule="auto"/>
                            </w:pPr>
                            <w:r>
                              <w:t>От началото на фаза 3 на СТЕ на ЕС тръжната продажба на квоти на първичния пазар е основният начин за предоставяне на квоти. Повече от половината от квотите подлежат на тръжна продажба през тази фаза, като този дял нараства непрекъснато през целия период на търгуване. Търговете се уреждат от Регламента за тръжната продажба*, който определя графика, управлението и други аспекти, свързани с провеждането на търговете, с цел да се гарантира открит, прозрачен, хармонизиран и недискриминационен процес.</w:t>
                            </w:r>
                          </w:p>
                          <w:p>
                            <w:pPr>
                              <w:pStyle w:val="a3520normalp11"/>
                              <w:spacing w:line="276" w:lineRule="auto"/>
                              <w:rPr>
                                <w:sz w:val="18"/>
                                <w:szCs w:val="18"/>
                              </w:rPr>
                            </w:pPr>
                            <w:r>
                              <w:rPr>
                                <w:sz w:val="18"/>
                              </w:rPr>
                              <w:t>* Регламент (ЕС) №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схема за търговия с квоти за емисии на парникови газове в рамките на Общността (ОВ L 302, 18.11.2010 г., стр. 1).</w:t>
                            </w:r>
                          </w:p>
                          <w:p>
                            <w:pPr>
                              <w:ind w:left="-142" w:firstLine="142"/>
                            </w:pPr>
                          </w:p>
                        </w:txbxContent>
                      </wps:txbx>
                      <wps:bodyPr rot="0" vert="horz" wrap="square" lIns="91440" tIns="45720" rIns="91440" bIns="45720" anchor="t" anchorCtr="0">
                        <a:noAutofit/>
                      </wps:bodyPr>
                    </wps:wsp>
                  </a:graphicData>
                </a:graphic>
              </wp:inline>
            </w:drawing>
          </mc:Choice>
          <mc:Fallback>
            <w:pict>
              <v:shape id="_x0000_s1032" type="#_x0000_t202" style="width:450.3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" fillcolor="#d8d8d8 [2732]" strokeweight="1pt">
                <v:textbox>
                  <w:txbxContent>
                    <w:p>
                      <w:pPr>
                        <w:pStyle w:val="a3520normalp11"/>
                        <w:spacing w:line="276" w:lineRule="auto"/>
                      </w:pPr>
                      <w:r>
                        <w:t>От началото на фаза 3 на СТЕ на ЕС тръжната продажба на квоти на първичния пазар е основният начин за предоставяне на квоти. Повече от половината от квотите подлежат на тръжна продажба през тази фаза, като този дял нараства непрекъснато през целия период на търгуване. Търговете се уреждат от Регламента за тръжната продажба*, който определя графика, управлението и други аспекти, свързани с провеждането на търговете, с цел да се гарантира открит, прозрачен, хармонизиран и недискриминационен процес.</w:t>
                      </w:r>
                    </w:p>
                    <w:p>
                      <w:pPr>
                        <w:pStyle w:val="a3520normalp11"/>
                        <w:spacing w:line="276" w:lineRule="auto"/>
                        <w:rPr>
                          <w:sz w:val="18"/>
                          <w:szCs w:val="18"/>
                        </w:rPr>
                      </w:pPr>
                      <w:r>
                        <w:rPr>
                          <w:sz w:val="18"/>
                        </w:rPr>
                        <w:t>* Регламент (ЕС) №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схема за търговия с квоти за емисии на парникови газове в рамките на Общността (ОВ L 302, 18.11.2010 г., стр. 1).</w:t>
                      </w:r>
                    </w:p>
                    <w:p>
                      <w:pPr>
                        <w:ind w:left="-142" w:firstLine="142"/>
                      </w:pPr>
                    </w:p>
                  </w:txbxContent>
                </v:textbox>
                <w10:anchorlock/>
              </v:shape>
            </w:pict>
          </mc:Fallback>
        </mc:AlternateContent>
      </w:r>
    </w:p>
    <w:p>
      <w:pPr>
        <w:spacing w:after="120"/>
        <w:ind w:right="57"/>
        <w:jc w:val="both"/>
        <w:rPr>
          <w:rFonts w:ascii="Times New Roman" w:eastAsia="Times New Roman" w:hAnsi="Times New Roman"/>
          <w:noProof/>
          <w:sz w:val="24"/>
          <w:szCs w:val="24"/>
        </w:rPr>
      </w:pPr>
      <w:r>
        <w:rPr>
          <w:rFonts w:ascii="Times New Roman" w:hAnsi="Times New Roman"/>
          <w:noProof/>
          <w:sz w:val="24"/>
        </w:rPr>
        <w:t>Търговете през отчетния период са провеждани посредством следните тръжни платформи:</w:t>
      </w:r>
    </w:p>
    <w:p>
      <w:pPr>
        <w:numPr>
          <w:ilvl w:val="0"/>
          <w:numId w:val="2"/>
        </w:numPr>
        <w:spacing w:after="120"/>
        <w:ind w:right="57"/>
        <w:jc w:val="both"/>
        <w:rPr>
          <w:rFonts w:ascii="Times New Roman" w:eastAsia="Times New Roman" w:hAnsi="Times New Roman"/>
          <w:noProof/>
          <w:sz w:val="24"/>
          <w:szCs w:val="24"/>
        </w:rPr>
      </w:pPr>
      <w:r>
        <w:rPr>
          <w:rFonts w:ascii="Times New Roman" w:hAnsi="Times New Roman"/>
          <w:noProof/>
          <w:sz w:val="24"/>
        </w:rPr>
        <w:t xml:space="preserve">European Energy Exchange AG (EEX), действаща като обща тръжна платформа за 25-те държави членки, които участват в процедура за съвместно възлагане, и Полша, която се възползва от възможността да не участва в процедурата за съвместно възлагане, но все още не е избрала своя собствена тръжна платформа. Считано от 5 септември 2016 г., EEX провежда търговете в качеството си на втората обща тръжна платформа, определена на 13 юли 2016 г.; </w:t>
      </w:r>
    </w:p>
    <w:p>
      <w:pPr>
        <w:numPr>
          <w:ilvl w:val="0"/>
          <w:numId w:val="2"/>
        </w:numPr>
        <w:spacing w:after="120"/>
        <w:ind w:right="57"/>
        <w:jc w:val="both"/>
        <w:rPr>
          <w:rFonts w:ascii="Times New Roman" w:eastAsia="Times New Roman" w:hAnsi="Times New Roman"/>
          <w:noProof/>
          <w:sz w:val="24"/>
          <w:szCs w:val="24"/>
        </w:rPr>
      </w:pPr>
      <w:r>
        <w:rPr>
          <w:rFonts w:ascii="Times New Roman" w:hAnsi="Times New Roman"/>
          <w:noProof/>
          <w:sz w:val="24"/>
        </w:rPr>
        <w:t>EEX, действаща като алтернативна тръжна платформа за Германия;</w:t>
      </w:r>
    </w:p>
    <w:p>
      <w:pPr>
        <w:numPr>
          <w:ilvl w:val="0"/>
          <w:numId w:val="2"/>
        </w:numPr>
        <w:spacing w:after="120"/>
        <w:ind w:right="57"/>
        <w:jc w:val="both"/>
        <w:rPr>
          <w:rFonts w:ascii="Times New Roman" w:eastAsia="Times New Roman" w:hAnsi="Times New Roman"/>
          <w:noProof/>
          <w:sz w:val="24"/>
          <w:szCs w:val="24"/>
        </w:rPr>
      </w:pPr>
      <w:r>
        <w:rPr>
          <w:rFonts w:ascii="Times New Roman" w:hAnsi="Times New Roman"/>
          <w:noProof/>
          <w:sz w:val="24"/>
        </w:rPr>
        <w:t>ICE Future Europe (ICE), действаща като алтернативна тръжна платформа за Обединеното кралство.</w:t>
      </w:r>
    </w:p>
    <w:p>
      <w:pPr>
        <w:spacing w:after="120"/>
        <w:ind w:right="57"/>
        <w:jc w:val="both"/>
        <w:rPr>
          <w:rFonts w:ascii="Times New Roman" w:eastAsia="Times New Roman" w:hAnsi="Times New Roman"/>
          <w:noProof/>
          <w:sz w:val="24"/>
          <w:szCs w:val="24"/>
        </w:rPr>
      </w:pPr>
      <w:r>
        <w:rPr>
          <w:rFonts w:ascii="Times New Roman" w:hAnsi="Times New Roman"/>
          <w:noProof/>
          <w:sz w:val="24"/>
        </w:rPr>
        <w:t>Исландия, Лихтенщайн и Норвегия все още не са започнали да продават квоти.</w:t>
      </w:r>
    </w:p>
    <w:p>
      <w:pPr>
        <w:spacing w:after="120"/>
        <w:ind w:right="57"/>
        <w:jc w:val="both"/>
        <w:rPr>
          <w:rFonts w:ascii="Times New Roman" w:eastAsia="Times New Roman" w:hAnsi="Times New Roman"/>
          <w:noProof/>
          <w:sz w:val="24"/>
          <w:szCs w:val="24"/>
        </w:rPr>
      </w:pPr>
      <w:r>
        <w:rPr>
          <w:rFonts w:ascii="Times New Roman" w:hAnsi="Times New Roman"/>
          <w:noProof/>
          <w:sz w:val="24"/>
        </w:rPr>
        <w:t>През 2016 г. EEX, действаща от името на 27 държави членки (25-те държави членки, които си сътрудничат в рамките на обща тръжна платформа, Германия и Полша), е продала 89 % от общото количество квоти, а ICE е продала 11 % от общото количество от името на Обединеното кралство.</w:t>
      </w:r>
    </w:p>
    <w:p>
      <w:pPr>
        <w:spacing w:after="120"/>
        <w:ind w:right="57"/>
        <w:jc w:val="both"/>
        <w:rPr>
          <w:rFonts w:ascii="Times New Roman" w:eastAsia="Times New Roman" w:hAnsi="Times New Roman"/>
          <w:noProof/>
          <w:sz w:val="24"/>
          <w:szCs w:val="24"/>
        </w:rPr>
      </w:pPr>
      <w:r>
        <w:rPr>
          <w:rFonts w:ascii="Times New Roman" w:hAnsi="Times New Roman"/>
          <w:noProof/>
          <w:sz w:val="24"/>
        </w:rPr>
        <w:t xml:space="preserve">На 4 май 2017 г. се проведе търг под номер 1000 във всички платформи съгласно Регламента за тръжната продажба на квоти за емисии. Към 30 юни 2017 г. броят на търговете достигна до 1036. </w:t>
      </w:r>
    </w:p>
    <w:p>
      <w:pPr>
        <w:spacing w:after="120"/>
        <w:ind w:right="57"/>
        <w:jc w:val="both"/>
        <w:rPr>
          <w:noProof/>
        </w:rPr>
      </w:pPr>
      <w:r>
        <w:rPr>
          <w:rFonts w:ascii="Times New Roman" w:hAnsi="Times New Roman"/>
          <w:noProof/>
          <w:sz w:val="24"/>
        </w:rPr>
        <w:t>В таблица 6 е даден преглед на обемите на квотите, предназначени за тръжна продажба от EEX и ІСЕ, до 30 юни 2017 г., включително ранните търгове</w:t>
      </w:r>
      <w:r>
        <w:rPr>
          <w:rFonts w:ascii="Times New Roman" w:hAnsi="Times New Roman"/>
          <w:noProof/>
          <w:sz w:val="24"/>
          <w:vertAlign w:val="superscript"/>
        </w:rPr>
        <w:footnoteReference w:id="32"/>
      </w:r>
      <w:r>
        <w:rPr>
          <w:rFonts w:ascii="Times New Roman" w:hAnsi="Times New Roman"/>
          <w:noProof/>
          <w:sz w:val="24"/>
        </w:rPr>
        <w:t xml:space="preserve"> на общите квоти. Обемите на общите квоти бяха определени, като се вземе под внимание Решение 1359/2013/ЕС за отлагане на продажбата на 900 милиона квоти от 2014, 2015 и 2016 г. Обемите на квотите за авиационни емисии бяха определени, като се вземат под внимание временните дерогации за сектора на въздухоплаването, установени в Решение № 377/2013/ЕС и Регламент (ЕС) № 421/2014. </w:t>
      </w:r>
    </w:p>
    <w:p>
      <w:pPr>
        <w:pStyle w:val="Caption"/>
        <w:keepNext/>
        <w:rPr>
          <w:rFonts w:ascii="Times New Roman" w:hAnsi="Times New Roman"/>
          <w:noProof/>
          <w:sz w:val="22"/>
          <w:szCs w:val="22"/>
        </w:rPr>
      </w:pPr>
      <w:r>
        <w:rPr>
          <w:rFonts w:ascii="Times New Roman" w:hAnsi="Times New Roman"/>
          <w:noProof/>
          <w:sz w:val="22"/>
        </w:rPr>
        <w:t>Таблица 6: Общо количество квоти по фаза 3, продадени през периода 2012—2017 г.</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2"/>
        <w:gridCol w:w="3081"/>
        <w:gridCol w:w="3019"/>
      </w:tblGrid>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Година</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br/>
            </w:r>
            <w:r>
              <w:rPr>
                <w:rFonts w:ascii="Times New Roman" w:hAnsi="Times New Roman"/>
                <w:noProof/>
                <w:sz w:val="20"/>
              </w:rPr>
              <w:t xml:space="preserve">Общи квоти </w:t>
            </w:r>
          </w:p>
          <w:p>
            <w:pPr>
              <w:spacing w:after="0"/>
              <w:jc w:val="center"/>
              <w:rPr>
                <w:rFonts w:ascii="Times New Roman" w:eastAsia="Times New Roman" w:hAnsi="Times New Roman"/>
                <w:noProof/>
                <w:sz w:val="20"/>
                <w:szCs w:val="20"/>
              </w:rPr>
            </w:pP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 xml:space="preserve">Квоти за авиационни емисии </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2012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89 701 500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2 500 000</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2013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808 146 500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 xml:space="preserve">0 </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2014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528 399 500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9 278 000</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2015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632 725 500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16 390 500</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2016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715 289 500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5 997 500</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2017 г. (до 1 април)</w:t>
            </w:r>
            <w:r>
              <w:rPr>
                <w:rStyle w:val="FootnoteReference"/>
                <w:rFonts w:ascii="Times New Roman" w:hAnsi="Times New Roman"/>
                <w:noProof/>
                <w:sz w:val="20"/>
              </w:rPr>
              <w:footnoteReference w:id="33"/>
            </w:r>
            <w:r>
              <w:rPr>
                <w:rFonts w:ascii="Times New Roman" w:hAnsi="Times New Roman"/>
                <w:noProof/>
                <w:sz w:val="20"/>
              </w:rPr>
              <w:t xml:space="preserve"> </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241 935 000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0</w:t>
            </w:r>
          </w:p>
        </w:tc>
      </w:tr>
    </w:tbl>
    <w:p>
      <w:pPr>
        <w:pStyle w:val="a3520normalp11"/>
        <w:rPr>
          <w:noProof/>
        </w:rPr>
      </w:pPr>
    </w:p>
    <w:p>
      <w:pPr>
        <w:jc w:val="both"/>
        <w:rPr>
          <w:rFonts w:ascii="Times New Roman" w:hAnsi="Times New Roman"/>
          <w:noProof/>
          <w:sz w:val="24"/>
          <w:szCs w:val="24"/>
        </w:rPr>
      </w:pPr>
      <w:r>
        <w:rPr>
          <w:rFonts w:ascii="Times New Roman" w:hAnsi="Times New Roman"/>
          <w:noProof/>
          <w:sz w:val="24"/>
        </w:rPr>
        <w:t xml:space="preserve">Търговете обикновено са протичали гладко и тръжните клирингови цени са били общо взето в съответствие с цените на вторичния пазар без значителни проблеми или инциденти. Поради преминаването от преходната тръжна платформа към следващата обща тръжна платформа, в течение на около една седмица през август 2016 г. не бяха извършвани продажби между 25-те участващи държави членки. </w:t>
      </w:r>
    </w:p>
    <w:p>
      <w:pPr>
        <w:jc w:val="both"/>
        <w:rPr>
          <w:rFonts w:ascii="Times New Roman" w:hAnsi="Times New Roman"/>
          <w:noProof/>
          <w:sz w:val="24"/>
          <w:szCs w:val="24"/>
        </w:rPr>
      </w:pPr>
      <w:r>
        <w:rPr>
          <w:rFonts w:ascii="Times New Roman" w:hAnsi="Times New Roman"/>
          <w:noProof/>
          <w:sz w:val="24"/>
        </w:rPr>
        <w:t>Търгът на 25 май 2016 г., проведен от ЕЕХ за Полша, както и търгът на 14 декември 2016 г., проведен от ІСЕ за Обединеното кралство, бяха отменени в съответствие с разпоредбите на Регламента за тръжната продажба на квоти за емисии. При полския търг това се дължеше на недостигане на цената, определена от резерва, докато при търга за Обединеното кралство общият предлаган обем остана под обема, обявен за продажба. Заедно с тях, от над хиляда търга, проведени съгласно Регламента за тръжната продажба на квоти за емисии от 2012 г. насетне, бяха отменени общо пет. В допълнение 2 към приложението е даден преглед на тръжните клирингови цени, броя на участниците и коефициента на покритие за продадените</w:t>
      </w:r>
      <w:r>
        <w:rPr>
          <w:rFonts w:ascii="Times New Roman" w:hAnsi="Times New Roman"/>
          <w:noProof/>
          <w:color w:val="FF0000"/>
          <w:sz w:val="24"/>
        </w:rPr>
        <w:t xml:space="preserve"> </w:t>
      </w:r>
      <w:r>
        <w:rPr>
          <w:rFonts w:ascii="Times New Roman" w:hAnsi="Times New Roman"/>
          <w:noProof/>
          <w:sz w:val="24"/>
        </w:rPr>
        <w:t xml:space="preserve">общи квоти за периода от 2013 г. до 30 юни 2016 г. </w:t>
      </w:r>
    </w:p>
    <w:p>
      <w:pPr>
        <w:jc w:val="both"/>
        <w:rPr>
          <w:rFonts w:ascii="Times New Roman" w:hAnsi="Times New Roman"/>
          <w:noProof/>
          <w:sz w:val="24"/>
          <w:szCs w:val="24"/>
        </w:rPr>
      </w:pPr>
      <w:r>
        <w:rPr>
          <w:rFonts w:ascii="Times New Roman" w:hAnsi="Times New Roman"/>
          <w:noProof/>
          <w:sz w:val="24"/>
        </w:rPr>
        <w:t>Тръжните платформи публикуват подробни резултати от всеки търг в специално предназначени за целта уебсайтове. Допълнителна информация за изпълнението на търговете, включително относно участието, коефициента на покритие и цените, могат да бъдат намерени в докладите на държавите членки, публикувани от Комисията</w:t>
      </w:r>
      <w:r>
        <w:rPr>
          <w:rFonts w:ascii="Times New Roman" w:hAnsi="Times New Roman"/>
          <w:noProof/>
          <w:sz w:val="24"/>
          <w:vertAlign w:val="superscript"/>
        </w:rPr>
        <w:footnoteReference w:id="34"/>
      </w:r>
      <w:r>
        <w:rPr>
          <w:rFonts w:ascii="Times New Roman" w:hAnsi="Times New Roman"/>
          <w:noProof/>
          <w:sz w:val="24"/>
        </w:rPr>
        <w:t>.</w:t>
      </w:r>
    </w:p>
    <w:p>
      <w:pPr>
        <w:jc w:val="both"/>
        <w:rPr>
          <w:noProof/>
        </w:rPr>
      </w:pPr>
      <w:r>
        <w:rPr>
          <w:rFonts w:ascii="Times New Roman" w:hAnsi="Times New Roman"/>
          <w:noProof/>
          <w:sz w:val="24"/>
        </w:rPr>
        <w:t>Общите приходи от търговете, проведени от 2012 г. до 30 юни 2017 г., надхвърлиха 18,4 млрд. евро (само през 2016 г. генерираните общи приходи бяха 3,79 млрд. евро). В Директивата за СТЕ на ЕС е посочено, че поне 50 % от приходите от тръжните продажби на квоти за емисии, включително всички приходи, генерирани от разпределянето на квоти за целите на солидарността и растежа, следва да бъдат използвани от държавите членки за цели, свързани с климата и енергетиката. През 2016 г. от тръжните продажби на квоти за емисии в рамките на СТЕ са генерирани приходи за държавите членки в размер на 3,79 млрд. евро. Според информацията, предоставена на Комисията, държавите членки са изразходвали или са планирали да изразходват през 2016 г. около 80 % от тези приходи за определени цели, свързани с климата и енергетиката</w:t>
      </w:r>
      <w:r>
        <w:rPr>
          <w:rFonts w:ascii="Times New Roman" w:hAnsi="Times New Roman"/>
          <w:noProof/>
          <w:sz w:val="24"/>
          <w:vertAlign w:val="superscript"/>
        </w:rPr>
        <w:footnoteReference w:id="35"/>
      </w:r>
      <w:r>
        <w:rPr>
          <w:rFonts w:ascii="Times New Roman" w:hAnsi="Times New Roman"/>
          <w:noProof/>
          <w:sz w:val="24"/>
        </w:rPr>
        <w:t>, но има различия между отделните държави</w:t>
      </w:r>
      <w:r>
        <w:rPr>
          <w:rStyle w:val="FootnoteReference"/>
          <w:rFonts w:ascii="Times New Roman" w:hAnsi="Times New Roman"/>
          <w:noProof/>
          <w:sz w:val="24"/>
        </w:rPr>
        <w:footnoteReference w:id="36"/>
      </w:r>
      <w:r>
        <w:rPr>
          <w:rFonts w:ascii="Times New Roman" w:hAnsi="Times New Roman"/>
          <w:noProof/>
          <w:sz w:val="24"/>
        </w:rPr>
        <w:t>.</w:t>
      </w:r>
    </w:p>
    <w:p>
      <w:pPr>
        <w:pStyle w:val="Heading4"/>
        <w:numPr>
          <w:ilvl w:val="3"/>
          <w:numId w:val="1"/>
        </w:numPr>
        <w:rPr>
          <w:noProof/>
        </w:rPr>
      </w:pPr>
      <w:bookmarkStart w:id="35" w:name="_Toc490850430"/>
      <w:r>
        <w:rPr>
          <w:noProof/>
        </w:rPr>
        <w:t>Дерогация от задължението за предоставяне на квоти на електроенергийния сектор само чрез продажба</w:t>
      </w:r>
      <w:bookmarkEnd w:id="35"/>
    </w:p>
    <w:p>
      <w:pPr>
        <w:rPr>
          <w:noProof/>
        </w:rPr>
      </w:pPr>
    </w:p>
    <w:p>
      <w:pPr>
        <w:jc w:val="both"/>
        <w:rPr>
          <w:noProof/>
        </w:rPr>
      </w:pPr>
      <w:r>
        <w:rPr>
          <w:rFonts w:ascii="Times New Roman" w:hAnsi="Times New Roman"/>
          <w:noProof/>
          <w:sz w:val="24"/>
          <w:szCs w:val="24"/>
          <w:lang w:val="en-US" w:eastAsia="en-US" w:bidi="ar-SA"/>
        </w:rPr>
        <mc:AlternateContent>
          <mc:Choice Requires="wps">
            <w:drawing>
              <wp:inline distT="0" distB="0" distL="0" distR="0">
                <wp:extent cx="5720487" cy="3253693"/>
                <wp:effectExtent l="0" t="0" r="13970" b="2349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7" cy="3253693"/>
                        </a:xfrm>
                        <a:prstGeom prst="rect">
                          <a:avLst/>
                        </a:prstGeom>
                        <a:solidFill>
                          <a:sysClr val="window" lastClr="FFFFFF">
                            <a:lumMod val="85000"/>
                          </a:sysClr>
                        </a:solidFill>
                        <a:ln w="12700">
                          <a:solidFill>
                            <a:srgbClr val="000000">
                              <a:alpha val="70000"/>
                            </a:srgbClr>
                          </a:solidFill>
                          <a:miter lim="800000"/>
                          <a:headEnd/>
                          <a:tailEnd/>
                        </a:ln>
                      </wps:spPr>
                      <wps:txbx>
                        <w:txbxContent>
                          <w:p>
                            <w:pPr>
                              <w:pStyle w:val="FootnoteText"/>
                              <w:rPr>
                                <w:sz w:val="24"/>
                                <w:szCs w:val="24"/>
                              </w:rPr>
                            </w:pPr>
                            <w:r>
                              <w:rPr>
                                <w:sz w:val="24"/>
                              </w:rPr>
                              <w:t xml:space="preserve">В член 10в от Директивата за СТЕ на ЕС е предвидена дерогация от общото правило за тръжна продажба, за да се подкрепят инвестициите в модернизацията на електроенергийния сектор в някои държави — членки на ЕС. Тази дерогация се използва от осем от десетте държави членки*, отговарящи на съответните условия, като те предоставят известен брой безплатни квоти на производители на електроенергия в замяна на осъществяването на съответни инвестиции. </w:t>
                            </w:r>
                          </w:p>
                          <w:p>
                            <w:pPr>
                              <w:pStyle w:val="FootnoteText"/>
                              <w:rPr>
                                <w:sz w:val="24"/>
                                <w:szCs w:val="24"/>
                              </w:rPr>
                            </w:pPr>
                          </w:p>
                          <w:p>
                            <w:pPr>
                              <w:pStyle w:val="FootnoteText"/>
                              <w:rPr>
                                <w:sz w:val="24"/>
                                <w:szCs w:val="24"/>
                              </w:rPr>
                            </w:pPr>
                            <w:r>
                              <w:rPr>
                                <w:sz w:val="24"/>
                              </w:rPr>
                              <w:t>Безплатните квоти по член 10в се изваждат от количеството квоти, които съответната държава членка би предоставила иначе чрез тръжна продажба. В зависимост от националните разпоредби за прилагане на дерогацията, производителите на електроенергия могат да получават безплатни квоти на еквивалентна стойност на инвестициите, които правят от своите национални инвестиционни планове, или на еквивалентна стойност на плащанията им в национален фонд, служещ за финансиране на такива инвестиции.</w:t>
                            </w:r>
                          </w:p>
                          <w:p>
                            <w:pPr>
                              <w:pStyle w:val="FootnoteText"/>
                            </w:pPr>
                          </w:p>
                          <w:p>
                            <w:pPr>
                              <w:pStyle w:val="FootnoteText"/>
                            </w:pPr>
                            <w:r>
                              <w:t>*На условията за ползване на дерогацията отговарят България, Кипър, Чешката република, Естония, Унгария, Латвия, Литва, Малта, Полша и Румъния. Малта и Латвия са взели решение да не ползват тази дерогация.</w:t>
                            </w:r>
                          </w:p>
                        </w:txbxContent>
                      </wps:txbx>
                      <wps:bodyPr rot="0" vert="horz" wrap="square" lIns="91440" tIns="45720" rIns="91440" bIns="45720" anchor="t" anchorCtr="0">
                        <a:noAutofit/>
                      </wps:bodyPr>
                    </wps:wsp>
                  </a:graphicData>
                </a:graphic>
              </wp:inline>
            </w:drawing>
          </mc:Choice>
          <mc:Fallback>
            <w:pict>
              <v:shape id="_x0000_s1033" type="#_x0000_t202" style="width:450.45pt;height:2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" fillcolor="#d9d9d9" strokeweight="1pt">
                <v:stroke opacity="46003f"/>
                <v:textbox>
                  <w:txbxContent>
                    <w:p>
                      <w:pPr>
                        <w:pStyle w:val="FootnoteText"/>
                        <w:rPr>
                          <w:sz w:val="24"/>
                          <w:szCs w:val="24"/>
                        </w:rPr>
                      </w:pPr>
                      <w:r>
                        <w:rPr>
                          <w:sz w:val="24"/>
                        </w:rPr>
                        <w:t xml:space="preserve">В член 10в от Директивата за СТЕ на ЕС е предвидена дерогация от общото правило за тръжна продажба, за да се подкрепят инвестициите в модернизацията на електроенергийния сектор в някои държави — членки на ЕС. Тази дерогация се използва от осем от десетте държави членки*, отговарящи на съответните условия, като те предоставят известен брой безплатни квоти на производители на електроенергия в замяна на осъществяването на съответни инвестиции. </w:t>
                      </w:r>
                    </w:p>
                    <w:p>
                      <w:pPr>
                        <w:pStyle w:val="FootnoteText"/>
                        <w:rPr>
                          <w:sz w:val="24"/>
                          <w:szCs w:val="24"/>
                        </w:rPr>
                      </w:pPr>
                    </w:p>
                    <w:p>
                      <w:pPr>
                        <w:pStyle w:val="FootnoteText"/>
                        <w:rPr>
                          <w:sz w:val="24"/>
                          <w:szCs w:val="24"/>
                        </w:rPr>
                      </w:pPr>
                      <w:r>
                        <w:rPr>
                          <w:sz w:val="24"/>
                        </w:rPr>
                        <w:t>Безплатните квоти по член 10в се изваждат от количеството квоти, които съответната държава членка би предоставила иначе чрез тръжна продажба. В зависимост от националните разпоредби за прилагане на дерогацията, производителите на електроенергия могат да получават безплатни квоти на еквивалентна стойност на инвестициите, които правят от своите национални инвестиционни планове, или на еквивалентна стойност на плащанията им в национален фонд, служещ за финансиране на такива инвестиции.</w:t>
                      </w:r>
                    </w:p>
                    <w:p>
                      <w:pPr>
                        <w:pStyle w:val="FootnoteText"/>
                      </w:pPr>
                    </w:p>
                    <w:p>
                      <w:pPr>
                        <w:pStyle w:val="FootnoteText"/>
                      </w:pPr>
                      <w:r>
                        <w:t>*На условията за ползване на дерогацията отговарят България, Кипър, Чешката република, Естония, Унгария, Латвия, Литва, Малта, Полша и Румъния. Малта и Латвия са взели решение да не ползват тази дерогация.</w:t>
                      </w:r>
                    </w:p>
                  </w:txbxContent>
                </v:textbox>
                <w10:anchorlock/>
              </v:shape>
            </w:pict>
          </mc:Fallback>
        </mc:AlternateContent>
      </w:r>
    </w:p>
    <w:p>
      <w:pPr>
        <w:spacing w:after="160" w:line="259" w:lineRule="auto"/>
        <w:contextualSpacing/>
        <w:jc w:val="both"/>
        <w:rPr>
          <w:rFonts w:ascii="Times New Roman" w:hAnsi="Times New Roman"/>
          <w:noProof/>
          <w:sz w:val="24"/>
          <w:szCs w:val="24"/>
        </w:rPr>
      </w:pPr>
      <w:r>
        <w:rPr>
          <w:rFonts w:ascii="Times New Roman" w:hAnsi="Times New Roman"/>
          <w:noProof/>
          <w:sz w:val="24"/>
        </w:rPr>
        <w:t>Броят на квотите, предоставени безплатно на производители на електроенергия през 2016 г., е посочен в таблица 1, допълнение 1 към приложението, докато максималният брой квоти по години е посочен в таблица 2 от приложение 1.</w:t>
      </w:r>
    </w:p>
    <w:p>
      <w:pPr>
        <w:spacing w:after="160" w:line="259" w:lineRule="auto"/>
        <w:contextualSpacing/>
        <w:jc w:val="both"/>
        <w:rPr>
          <w:rFonts w:ascii="Times New Roman" w:hAnsi="Times New Roman"/>
          <w:noProof/>
          <w:sz w:val="24"/>
          <w:szCs w:val="24"/>
        </w:rPr>
      </w:pPr>
    </w:p>
    <w:p>
      <w:pPr>
        <w:jc w:val="both"/>
        <w:rPr>
          <w:rFonts w:ascii="Times New Roman" w:hAnsi="Times New Roman"/>
          <w:b/>
          <w:bCs/>
          <w:noProof/>
          <w:sz w:val="20"/>
          <w:szCs w:val="20"/>
        </w:rPr>
      </w:pPr>
      <w:r>
        <w:rPr>
          <w:rFonts w:ascii="Times New Roman" w:hAnsi="Times New Roman"/>
          <w:noProof/>
          <w:sz w:val="24"/>
        </w:rPr>
        <w:t>Общата стойност на отчетената за периода 2009—2016 г. инвестиционна подкрепа възлиза приблизително на 11 млрд. евро. Около 80 % от тези разходи са били предназначени за подобряване и реконструиране на инфраструктурата, а останалите са в чисти технологии или в диверсифициране на предлагането. Някои примери на инвестициите включват намаляване на потреблението на енергия за производство на електричество в Литва, подмяна на изолацията на съществуващите линии за разпределение на пара в Чешката република и изграждане на инсталация за комбинирано производство на енергия, захранвана предимно с природен газ в България.</w:t>
      </w:r>
    </w:p>
    <w:p>
      <w:pPr>
        <w:jc w:val="both"/>
        <w:rPr>
          <w:rFonts w:ascii="Times New Roman" w:hAnsi="Times New Roman"/>
          <w:b/>
          <w:noProof/>
          <w:sz w:val="20"/>
          <w:szCs w:val="20"/>
        </w:rPr>
      </w:pPr>
      <w:r>
        <w:rPr>
          <w:rFonts w:ascii="Times New Roman" w:hAnsi="Times New Roman"/>
          <w:noProof/>
          <w:sz w:val="24"/>
        </w:rPr>
        <w:t>Квотите, които не са предоставени безплатно, се продават на търг. На фигура 1 е показан броят на квотите, заявени през периода 2013—2016 г. от държавите членки, които отговарят на съответните условия.</w:t>
      </w:r>
    </w:p>
    <w:p>
      <w:pPr>
        <w:jc w:val="both"/>
        <w:rPr>
          <w:rFonts w:ascii="Times New Roman" w:hAnsi="Times New Roman"/>
          <w:b/>
          <w:noProof/>
        </w:rPr>
      </w:pPr>
      <w:r>
        <w:rPr>
          <w:rFonts w:ascii="Times New Roman" w:hAnsi="Times New Roman"/>
          <w:b/>
          <w:noProof/>
        </w:rPr>
        <w:t>Фигура 1: Квоти, предоставени безплатно съгласно член 10в</w:t>
      </w:r>
    </w:p>
    <w:p>
      <w:pPr>
        <w:spacing w:after="160" w:line="259" w:lineRule="auto"/>
        <w:ind w:left="360"/>
        <w:contextualSpacing/>
        <w:jc w:val="center"/>
        <w:rPr>
          <w:rFonts w:ascii="Times New Roman" w:hAnsi="Times New Roman"/>
          <w:noProof/>
          <w:sz w:val="24"/>
          <w:szCs w:val="24"/>
        </w:rPr>
      </w:pPr>
      <w:r>
        <w:rPr>
          <w:rFonts w:ascii="Times New Roman" w:hAnsi="Times New Roman"/>
          <w:noProof/>
          <w:sz w:val="24"/>
          <w:szCs w:val="24"/>
          <w:lang w:val="en-US" w:eastAsia="en-US" w:bidi="ar-SA"/>
        </w:rPr>
        <w:drawing>
          <wp:inline distT="0" distB="0" distL="0" distR="0">
            <wp:extent cx="5279353"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9385" cy="2819417"/>
                    </a:xfrm>
                    <a:prstGeom prst="rect">
                      <a:avLst/>
                    </a:prstGeom>
                    <a:noFill/>
                  </pic:spPr>
                </pic:pic>
              </a:graphicData>
            </a:graphic>
          </wp:inline>
        </w:drawing>
      </w:r>
    </w:p>
    <w:p>
      <w:pPr>
        <w:spacing w:after="160" w:line="259" w:lineRule="auto"/>
        <w:ind w:left="360"/>
        <w:contextualSpacing/>
        <w:jc w:val="both"/>
        <w:rPr>
          <w:rFonts w:ascii="Times New Roman" w:hAnsi="Times New Roman"/>
          <w:noProof/>
          <w:sz w:val="24"/>
          <w:szCs w:val="24"/>
        </w:rPr>
      </w:pPr>
    </w:p>
    <w:p>
      <w:pPr>
        <w:jc w:val="both"/>
        <w:rPr>
          <w:rFonts w:ascii="Times New Roman" w:hAnsi="Times New Roman"/>
          <w:b/>
          <w:noProof/>
          <w:sz w:val="20"/>
          <w:szCs w:val="20"/>
        </w:rPr>
      </w:pPr>
      <w:r>
        <w:rPr>
          <w:rFonts w:ascii="Times New Roman" w:hAnsi="Times New Roman"/>
          <w:noProof/>
          <w:sz w:val="24"/>
        </w:rPr>
        <w:t xml:space="preserve">На фигура 2 за квоти съгласно член 10в е показан обемът, в който те са били предоставени, продадени или остават неизползвани. Така например 82 милиона неизползвани квоти са приспаднати от дела на Полша за квоти, предназначени за тръжна продажба през периода 2013—2016 г., но все още не са предоставени безплатно, нито са добавени към квотите за тръжна продажба. </w:t>
      </w:r>
    </w:p>
    <w:p>
      <w:pPr>
        <w:jc w:val="both"/>
        <w:rPr>
          <w:rFonts w:ascii="Times New Roman" w:hAnsi="Times New Roman"/>
          <w:b/>
          <w:noProof/>
        </w:rPr>
      </w:pPr>
      <w:r>
        <w:rPr>
          <w:rFonts w:ascii="Times New Roman" w:hAnsi="Times New Roman"/>
          <w:b/>
          <w:noProof/>
        </w:rPr>
        <w:t xml:space="preserve">Фигура 2: Разпределение на квотите (разпределени, продадени на търг, останали неизползвани) </w:t>
      </w:r>
    </w:p>
    <w:p>
      <w:pPr>
        <w:spacing w:after="160" w:line="259" w:lineRule="auto"/>
        <w:ind w:left="360"/>
        <w:contextualSpacing/>
        <w:jc w:val="center"/>
        <w:rPr>
          <w:noProof/>
        </w:rPr>
      </w:pPr>
      <w:r>
        <w:rPr>
          <w:noProof/>
          <w:lang w:val="en-US" w:eastAsia="en-US" w:bidi="ar-SA"/>
        </w:rPr>
        <w:drawing>
          <wp:inline distT="0" distB="0" distL="0" distR="0">
            <wp:extent cx="5230649" cy="2810777"/>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2785" cy="2811925"/>
                    </a:xfrm>
                    <a:prstGeom prst="rect">
                      <a:avLst/>
                    </a:prstGeom>
                    <a:noFill/>
                  </pic:spPr>
                </pic:pic>
              </a:graphicData>
            </a:graphic>
          </wp:inline>
        </w:drawing>
      </w:r>
    </w:p>
    <w:p>
      <w:pPr>
        <w:spacing w:after="160" w:line="259" w:lineRule="auto"/>
        <w:ind w:left="360"/>
        <w:contextualSpacing/>
        <w:rPr>
          <w:noProof/>
        </w:rPr>
      </w:pPr>
    </w:p>
    <w:p>
      <w:pPr>
        <w:spacing w:after="160" w:line="259" w:lineRule="auto"/>
        <w:ind w:left="360"/>
        <w:contextualSpacing/>
        <w:rPr>
          <w:noProof/>
        </w:rPr>
      </w:pPr>
    </w:p>
    <w:tbl>
      <w:tblPr>
        <w:tblStyle w:val="TableGrid"/>
        <w:tblpPr w:leftFromText="180" w:rightFromText="180" w:vertAnchor="text" w:horzAnchor="margin" w:tblpXSpec="right" w:tblpY="182"/>
        <w:tblW w:w="1297" w:type="pct"/>
        <w:tblLook w:val="04A0" w:firstRow="1" w:lastRow="0" w:firstColumn="1" w:lastColumn="0" w:noHBand="0" w:noVBand="1"/>
      </w:tblPr>
      <w:tblGrid>
        <w:gridCol w:w="602"/>
        <w:gridCol w:w="1795"/>
      </w:tblGrid>
      <w:tr>
        <w:trPr>
          <w:trHeight w:val="467"/>
        </w:trPr>
        <w:tc>
          <w:tcPr>
            <w:tcW w:w="1256" w:type="pct"/>
            <w:shd w:val="clear" w:color="auto" w:fill="4F81BD"/>
          </w:tcPr>
          <w:p>
            <w:pPr>
              <w:rPr>
                <w:noProof/>
                <w:highlight w:val="yellow"/>
              </w:rPr>
            </w:pPr>
          </w:p>
        </w:tc>
        <w:tc>
          <w:tcPr>
            <w:tcW w:w="3744" w:type="pct"/>
          </w:tcPr>
          <w:p>
            <w:pPr>
              <w:rPr>
                <w:rFonts w:ascii="Times New Roman" w:hAnsi="Times New Roman"/>
                <w:noProof/>
              </w:rPr>
            </w:pPr>
            <w:r>
              <w:rPr>
                <w:rFonts w:ascii="Times New Roman" w:hAnsi="Times New Roman"/>
                <w:noProof/>
              </w:rPr>
              <w:t>Разпределени квоти</w:t>
            </w:r>
          </w:p>
        </w:tc>
      </w:tr>
      <w:tr>
        <w:trPr>
          <w:trHeight w:val="467"/>
        </w:trPr>
        <w:tc>
          <w:tcPr>
            <w:tcW w:w="1256" w:type="pct"/>
            <w:shd w:val="clear" w:color="auto" w:fill="C00000"/>
          </w:tcPr>
          <w:p>
            <w:pPr>
              <w:jc w:val="both"/>
              <w:rPr>
                <w:noProof/>
                <w:highlight w:val="yellow"/>
              </w:rPr>
            </w:pPr>
          </w:p>
        </w:tc>
        <w:tc>
          <w:tcPr>
            <w:tcW w:w="3744" w:type="pct"/>
          </w:tcPr>
          <w:p>
            <w:pPr>
              <w:rPr>
                <w:rFonts w:ascii="Times New Roman" w:hAnsi="Times New Roman"/>
                <w:noProof/>
              </w:rPr>
            </w:pPr>
            <w:r>
              <w:rPr>
                <w:rFonts w:ascii="Times New Roman" w:hAnsi="Times New Roman"/>
                <w:noProof/>
              </w:rPr>
              <w:t>Продадени квоти</w:t>
            </w:r>
          </w:p>
        </w:tc>
      </w:tr>
      <w:tr>
        <w:trPr>
          <w:trHeight w:val="467"/>
        </w:trPr>
        <w:tc>
          <w:tcPr>
            <w:tcW w:w="1256" w:type="pct"/>
            <w:shd w:val="clear" w:color="auto" w:fill="9BBB59"/>
          </w:tcPr>
          <w:p>
            <w:pPr>
              <w:rPr>
                <w:noProof/>
                <w:highlight w:val="yellow"/>
              </w:rPr>
            </w:pPr>
          </w:p>
        </w:tc>
        <w:tc>
          <w:tcPr>
            <w:tcW w:w="3744" w:type="pct"/>
          </w:tcPr>
          <w:p>
            <w:pPr>
              <w:rPr>
                <w:rFonts w:ascii="Times New Roman" w:hAnsi="Times New Roman"/>
                <w:noProof/>
              </w:rPr>
            </w:pPr>
            <w:r>
              <w:rPr>
                <w:rFonts w:ascii="Times New Roman" w:hAnsi="Times New Roman"/>
                <w:noProof/>
              </w:rPr>
              <w:t>Останали неизползвани квоти</w:t>
            </w:r>
          </w:p>
        </w:tc>
      </w:tr>
    </w:tbl>
    <w:p>
      <w:pPr>
        <w:keepNext/>
        <w:spacing w:line="240" w:lineRule="auto"/>
        <w:rPr>
          <w:rFonts w:ascii="Times New Roman" w:hAnsi="Times New Roman"/>
          <w:noProof/>
          <w:sz w:val="24"/>
          <w:szCs w:val="24"/>
        </w:rPr>
      </w:pPr>
    </w:p>
    <w:p>
      <w:pPr>
        <w:keepNext/>
        <w:spacing w:line="240" w:lineRule="auto"/>
        <w:rPr>
          <w:rFonts w:ascii="Times New Roman" w:hAnsi="Times New Roman"/>
          <w:noProof/>
          <w:sz w:val="24"/>
          <w:szCs w:val="24"/>
        </w:rPr>
      </w:pPr>
    </w:p>
    <w:p>
      <w:pPr>
        <w:keepNext/>
        <w:spacing w:line="240" w:lineRule="auto"/>
        <w:rPr>
          <w:rFonts w:ascii="Times New Roman" w:hAnsi="Times New Roman"/>
          <w:noProof/>
          <w:sz w:val="24"/>
          <w:szCs w:val="24"/>
        </w:rPr>
      </w:pPr>
    </w:p>
    <w:p>
      <w:pPr>
        <w:keepNext/>
        <w:spacing w:line="240" w:lineRule="auto"/>
        <w:rPr>
          <w:rFonts w:ascii="Times New Roman" w:hAnsi="Times New Roman"/>
          <w:noProof/>
          <w:sz w:val="24"/>
          <w:szCs w:val="24"/>
        </w:rPr>
      </w:pPr>
    </w:p>
    <w:p>
      <w:pPr>
        <w:keepNext/>
        <w:spacing w:line="240" w:lineRule="auto"/>
        <w:jc w:val="both"/>
        <w:rPr>
          <w:rFonts w:ascii="Times New Roman" w:hAnsi="Times New Roman"/>
          <w:b/>
          <w:bCs/>
          <w:noProof/>
          <w:sz w:val="24"/>
          <w:szCs w:val="24"/>
        </w:rPr>
      </w:pPr>
      <w:r>
        <w:rPr>
          <w:rFonts w:ascii="Times New Roman" w:hAnsi="Times New Roman"/>
          <w:noProof/>
          <w:sz w:val="24"/>
        </w:rPr>
        <w:t>В таблица 7 е даден броят на неизползваните квоти, изваден за годините до 2016 г., които са били продадени на търг през периода 2013—2016 г., както и броят на останалите неизползвани квоти.</w:t>
      </w:r>
    </w:p>
    <w:p>
      <w:pPr>
        <w:keepNext/>
        <w:spacing w:line="240" w:lineRule="auto"/>
        <w:rPr>
          <w:rFonts w:ascii="Times New Roman" w:eastAsia="Times New Roman" w:hAnsi="Times New Roman"/>
          <w:b/>
          <w:bCs/>
          <w:noProof/>
          <w:color w:val="000000"/>
        </w:rPr>
      </w:pPr>
      <w:r>
        <w:rPr>
          <w:rFonts w:ascii="Times New Roman" w:hAnsi="Times New Roman"/>
          <w:b/>
          <w:noProof/>
        </w:rPr>
        <w:t>Таблица 7: Третиране на неизползваните квоти по член 10в през периода 2013—2016 г.</w:t>
      </w:r>
    </w:p>
    <w:p>
      <w:pPr>
        <w:spacing w:after="0" w:line="240" w:lineRule="auto"/>
        <w:rPr>
          <w:rFonts w:ascii="Times New Roman" w:hAnsi="Times New Roman"/>
          <w:noProof/>
          <w:color w:val="1F497D"/>
          <w:sz w:val="20"/>
          <w:szCs w:val="20"/>
        </w:rPr>
      </w:pPr>
    </w:p>
    <w:tbl>
      <w:tblPr>
        <w:tblW w:w="8854" w:type="dxa"/>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805"/>
        <w:gridCol w:w="3561"/>
        <w:gridCol w:w="3488"/>
      </w:tblGrid>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Държава членка</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 xml:space="preserve">Брой на продадените на търг  </w:t>
            </w:r>
          </w:p>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неизползвани квоти по член 10в (в милиони)</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Брой на останалите неизползвани квоти</w:t>
            </w:r>
            <w:r>
              <w:rPr>
                <w:rStyle w:val="FootnoteReference"/>
                <w:rFonts w:ascii="Times New Roman" w:hAnsi="Times New Roman"/>
                <w:b/>
                <w:noProof/>
                <w:color w:val="000000"/>
                <w:sz w:val="20"/>
              </w:rPr>
              <w:footnoteReference w:id="37"/>
            </w:r>
            <w:r>
              <w:rPr>
                <w:rFonts w:ascii="Times New Roman" w:hAnsi="Times New Roman"/>
                <w:b/>
                <w:noProof/>
                <w:color w:val="000000"/>
                <w:sz w:val="20"/>
              </w:rPr>
              <w:t xml:space="preserve"> (в милиони)</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България</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6,9</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Кипър</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Чешка република</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0,1</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0,2</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Естония</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0,2</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0,3</w:t>
            </w:r>
          </w:p>
        </w:tc>
      </w:tr>
      <w:tr>
        <w:trPr>
          <w:trHeight w:val="298"/>
        </w:trPr>
        <w:tc>
          <w:tcPr>
            <w:tcW w:w="1805" w:type="dxa"/>
            <w:noWrap/>
            <w:tcMar>
              <w:top w:w="0" w:type="dxa"/>
              <w:left w:w="108" w:type="dxa"/>
              <w:bottom w:w="0" w:type="dxa"/>
              <w:right w:w="108" w:type="dxa"/>
            </w:tcMar>
            <w:vAlign w:val="bottom"/>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Унгария</w:t>
            </w:r>
          </w:p>
        </w:tc>
        <w:tc>
          <w:tcPr>
            <w:tcW w:w="3561"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w:t>
            </w:r>
          </w:p>
        </w:tc>
        <w:tc>
          <w:tcPr>
            <w:tcW w:w="3488"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0,9</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Литва</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0,3</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0,6</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Полша</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82,8</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Румъния</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8,8</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6,6</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rPr>
            </w:pPr>
            <w:r>
              <w:rPr>
                <w:rFonts w:ascii="Times New Roman" w:hAnsi="Times New Roman"/>
                <w:b/>
                <w:noProof/>
                <w:color w:val="000000"/>
                <w:sz w:val="20"/>
              </w:rPr>
              <w:t>Общо</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16,3</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90,5</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Heading3"/>
        <w:numPr>
          <w:ilvl w:val="2"/>
          <w:numId w:val="1"/>
        </w:numPr>
        <w:rPr>
          <w:noProof/>
        </w:rPr>
      </w:pPr>
      <w:bookmarkStart w:id="36" w:name="_Toc490850431"/>
      <w:bookmarkStart w:id="37" w:name="_Toc495312129"/>
      <w:bookmarkStart w:id="38" w:name="_Toc499041544"/>
      <w:r>
        <w:rPr>
          <w:noProof/>
        </w:rPr>
        <w:t>Международни кредити</w:t>
      </w:r>
      <w:bookmarkEnd w:id="36"/>
      <w:bookmarkEnd w:id="37"/>
      <w:bookmarkEnd w:id="38"/>
    </w:p>
    <w:p>
      <w:pPr>
        <w:rPr>
          <w:noProof/>
        </w:rPr>
      </w:pPr>
    </w:p>
    <w:p>
      <w:pPr>
        <w:jc w:val="both"/>
        <w:rPr>
          <w:rFonts w:ascii="Times New Roman" w:hAnsi="Times New Roman"/>
          <w:noProof/>
          <w:sz w:val="24"/>
          <w:szCs w:val="24"/>
        </w:rPr>
      </w:pPr>
      <w:r>
        <w:rPr>
          <w:rFonts w:ascii="Times New Roman" w:hAnsi="Times New Roman"/>
          <w:noProof/>
          <w:sz w:val="24"/>
          <w:szCs w:val="24"/>
          <w:lang w:val="en-US" w:eastAsia="en-US" w:bidi="ar-SA"/>
        </w:rPr>
        <mc:AlternateContent>
          <mc:Choice Requires="wps">
            <w:drawing>
              <wp:inline distT="0" distB="0" distL="0" distR="0">
                <wp:extent cx="5742432" cy="4835661"/>
                <wp:effectExtent l="0" t="0" r="10795" b="2222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4835661"/>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Участниците в СТЕ на ЕС могат да използват международни кредити от Механизма за чисто развитие (МЧР) и Съвместното изпълнение (JI) на Протокола от Киото за изпълнение на част от техните задължения съгласно СТЕ на ЕС до 2020 г.</w:t>
                            </w:r>
                            <w:r>
                              <w:rPr>
                                <w:rStyle w:val="FootnoteReference"/>
                                <w:rFonts w:ascii="Times New Roman" w:hAnsi="Times New Roman"/>
                                <w:sz w:val="24"/>
                              </w:rPr>
                              <w:t>*</w:t>
                            </w:r>
                            <w:r>
                              <w:rPr>
                                <w:rFonts w:ascii="Times New Roman" w:hAnsi="Times New Roman"/>
                                <w:sz w:val="24"/>
                              </w:rPr>
                              <w:t xml:space="preserve"> Тези кредити са финансови инструменти, които представляват един тон СО</w:t>
                            </w:r>
                            <w:r>
                              <w:rPr>
                                <w:rFonts w:ascii="Times New Roman" w:hAnsi="Times New Roman"/>
                                <w:sz w:val="24"/>
                                <w:vertAlign w:val="subscript"/>
                              </w:rPr>
                              <w:t>2</w:t>
                            </w:r>
                            <w:r>
                              <w:rPr>
                                <w:rFonts w:ascii="Times New Roman" w:hAnsi="Times New Roman"/>
                                <w:sz w:val="24"/>
                              </w:rPr>
                              <w:t>, който е отстранен от атмосферата или чието изпускане е избегнато в резултат на проект за намаляване на емисиите. Във фаза 3 кредитите вече не се връщат пряко, а вместо това могат да бъдат заменени срещу квоти за емисии по всяко време в рамките на календарната година.</w:t>
                            </w:r>
                            <w:r>
                              <w:t xml:space="preserve"> </w:t>
                            </w:r>
                          </w:p>
                          <w:p>
                            <w:pPr>
                              <w:jc w:val="both"/>
                              <w:rPr>
                                <w:rFonts w:ascii="Times New Roman" w:hAnsi="Times New Roman"/>
                                <w:sz w:val="24"/>
                                <w:szCs w:val="24"/>
                              </w:rPr>
                            </w:pPr>
                            <w:r>
                              <w:rPr>
                                <w:rFonts w:ascii="Times New Roman" w:hAnsi="Times New Roman"/>
                                <w:sz w:val="24"/>
                              </w:rPr>
                              <w:t>Редица качествени стандарти се прилагат за използването на кредити от участници в СТЕ на ЕС: кредити не се приемат от проекти за ядрена енергия и проекти за залесяване и възстановяване на гори, а новите проекти, регистрирани след 2012 г., трябва да бъдат в най-слабо развитите държави.  Предвидени са и максимално допустими кредитни равнища, които могат да се използват от оператори на стационарни инсталации и на въздухоплавателни средства</w:t>
                            </w:r>
                            <w:r>
                              <w:rPr>
                                <w:rStyle w:val="FootnoteReference"/>
                                <w:rFonts w:ascii="Times New Roman" w:hAnsi="Times New Roman"/>
                                <w:sz w:val="24"/>
                              </w:rPr>
                              <w:t>**</w:t>
                            </w:r>
                            <w:r>
                              <w:rPr>
                                <w:rFonts w:ascii="Times New Roman" w:hAnsi="Times New Roman"/>
                                <w:sz w:val="24"/>
                              </w:rPr>
                              <w:t>.</w:t>
                            </w:r>
                          </w:p>
                          <w:p>
                            <w:pPr>
                              <w:rPr>
                                <w:rFonts w:ascii="Times New Roman" w:hAnsi="Times New Roman"/>
                                <w:sz w:val="18"/>
                                <w:szCs w:val="18"/>
                              </w:rPr>
                            </w:pPr>
                            <w:r>
                              <w:rPr>
                                <w:rFonts w:ascii="Times New Roman" w:hAnsi="Times New Roman"/>
                                <w:sz w:val="18"/>
                              </w:rPr>
                              <w:t>* Проектите СDM и проектите JI генерират кредити за намалени емисии по Протокола от Киото: съответно сертифицирани единици редуцирани емисии (СЕРЕ) и единици редуцирани емисии (ЕРЕ). Регламент (ЕС) № 389/2013 на Комисията определя, че ЕРЕ, издадени от трети държави, които нямат правно обвързващи количествени цели по отношение на емисиите за периода 2013—2020 г., определени в рамките на Изменението от Доха на Протокола от Киото, или които не са депозирали документ за ратификация на такова изменение, следва да се водят в Регистъра на ЕС, само ако са сертифицирани, че се отнасят до намаления на емисии, верифицирани като осъществени преди 2013 г.</w:t>
                            </w:r>
                            <w:r>
                              <w:rPr>
                                <w:rFonts w:ascii="Times New Roman" w:hAnsi="Times New Roman"/>
                                <w:sz w:val="18"/>
                                <w:szCs w:val="18"/>
                              </w:rPr>
                              <w:br/>
                            </w:r>
                            <w:r>
                              <w:rPr>
                                <w:rFonts w:ascii="Times New Roman" w:hAnsi="Times New Roman"/>
                                <w:sz w:val="18"/>
                              </w:rPr>
                              <w:t>**Регламент (ЕС) № 1123/2013 на Комисията от 8 ноември 2013 г. за определяне на права за международни кредити съгласно Директива 2003/87/ЕО на Европейския парламент и на Съвета, ОВ L 299, 9.11.2013 г., стр. 32.</w:t>
                            </w:r>
                          </w:p>
                        </w:txbxContent>
                      </wps:txbx>
                      <wps:bodyPr rot="0" vert="horz" wrap="square" lIns="91440" tIns="45720" rIns="91440" bIns="45720" anchor="t" anchorCtr="0">
                        <a:noAutofit/>
                      </wps:bodyPr>
                    </wps:wsp>
                  </a:graphicData>
                </a:graphic>
              </wp:inline>
            </w:drawing>
          </mc:Choice>
          <mc:Fallback>
            <w:pict>
              <v:shape id="_x0000_s1034" type="#_x0000_t202" style="width:452.15pt;height:3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" fillcolor="#d8d8d8 [2732]" strokeweight="1pt">
                <v:textbox>
                  <w:txbxContent>
                    <w:p>
                      <w:pPr>
                        <w:jc w:val="both"/>
                        <w:rPr>
                          <w:rFonts w:ascii="Times New Roman" w:hAnsi="Times New Roman"/>
                          <w:sz w:val="24"/>
                          <w:szCs w:val="24"/>
                        </w:rPr>
                      </w:pPr>
                      <w:r>
                        <w:rPr>
                          <w:rFonts w:ascii="Times New Roman" w:hAnsi="Times New Roman"/>
                          <w:sz w:val="24"/>
                        </w:rPr>
                        <w:t>Участниците в СТЕ на ЕС могат да използват международни кредити от Механизма за чисто развитие (МЧР) и Съвместното изпълнение (JI) на Протокола от Киото за изпълнение на част от техните задължения съгласно СТЕ на ЕС до 2020 г.</w:t>
                      </w:r>
                      <w:r>
                        <w:rPr>
                          <w:rStyle w:val="FootnoteReference"/>
                          <w:rFonts w:ascii="Times New Roman" w:hAnsi="Times New Roman"/>
                          <w:sz w:val="24"/>
                        </w:rPr>
                        <w:t>*</w:t>
                      </w:r>
                      <w:r>
                        <w:rPr>
                          <w:rFonts w:ascii="Times New Roman" w:hAnsi="Times New Roman"/>
                          <w:sz w:val="24"/>
                        </w:rPr>
                        <w:t xml:space="preserve"> Тези кредити са финансови инструменти, които представляват един тон СО</w:t>
                      </w:r>
                      <w:r>
                        <w:rPr>
                          <w:rFonts w:ascii="Times New Roman" w:hAnsi="Times New Roman"/>
                          <w:sz w:val="24"/>
                          <w:vertAlign w:val="subscript"/>
                        </w:rPr>
                        <w:t>2</w:t>
                      </w:r>
                      <w:r>
                        <w:rPr>
                          <w:rFonts w:ascii="Times New Roman" w:hAnsi="Times New Roman"/>
                          <w:sz w:val="24"/>
                        </w:rPr>
                        <w:t>, който е отстранен от атмосферата или чието изпускане е избегнато в резултат на проект за намаляване на емисиите. Във фаза 3 кредитите вече не се връщат пряко, а вместо това могат да бъдат заменени срещу квоти за емисии по всяко време в рамките на календарната година.</w:t>
                      </w:r>
                      <w:r>
                        <w:t xml:space="preserve"> </w:t>
                      </w:r>
                    </w:p>
                    <w:p>
                      <w:pPr>
                        <w:jc w:val="both"/>
                        <w:rPr>
                          <w:rFonts w:ascii="Times New Roman" w:hAnsi="Times New Roman"/>
                          <w:sz w:val="24"/>
                          <w:szCs w:val="24"/>
                        </w:rPr>
                      </w:pPr>
                      <w:r>
                        <w:rPr>
                          <w:rFonts w:ascii="Times New Roman" w:hAnsi="Times New Roman"/>
                          <w:sz w:val="24"/>
                        </w:rPr>
                        <w:t>Редица качествени стандарти се прилагат за използването на кредити от участници в СТЕ на ЕС: кредити не се приемат от проекти за ядрена енергия и проекти за залесяване и възстановяване на гори, а новите проекти, регистрирани след 2012 г., трябва да бъдат в най-слабо развитите държави.  Предвидени са и максимално допустими кредитни равнища, които могат да се използват от оператори на стационарни инсталации и на въздухоплавателни средства</w:t>
                      </w:r>
                      <w:r>
                        <w:rPr>
                          <w:rStyle w:val="FootnoteReference"/>
                          <w:rFonts w:ascii="Times New Roman" w:hAnsi="Times New Roman"/>
                          <w:sz w:val="24"/>
                        </w:rPr>
                        <w:t>**</w:t>
                      </w:r>
                      <w:r>
                        <w:rPr>
                          <w:rFonts w:ascii="Times New Roman" w:hAnsi="Times New Roman"/>
                          <w:sz w:val="24"/>
                        </w:rPr>
                        <w:t>.</w:t>
                      </w:r>
                    </w:p>
                    <w:p>
                      <w:pPr>
                        <w:rPr>
                          <w:rFonts w:ascii="Times New Roman" w:hAnsi="Times New Roman"/>
                          <w:sz w:val="18"/>
                          <w:szCs w:val="18"/>
                        </w:rPr>
                      </w:pPr>
                      <w:r>
                        <w:rPr>
                          <w:rFonts w:ascii="Times New Roman" w:hAnsi="Times New Roman"/>
                          <w:sz w:val="18"/>
                        </w:rPr>
                        <w:t>* Проектите СDM и проектите JI генерират кредити за намалени емисии по Протокола от Киото: съответно сертифицирани единици редуцирани емисии (СЕРЕ) и единици редуцирани емисии (ЕРЕ). Регламент (ЕС) № 389/2013 на Комисията определя, че ЕРЕ, издадени от трети държави, които нямат правно обвързващи количествени цели по отношение на емисиите за периода 2013—2020 г., определени в рамките на Изменението от Доха на Протокола от Киото, или които не са депозирали документ за ратификация на такова изменение, следва да се водят в Регистъра на ЕС, само ако са сертифицирани, че се отнасят до намаления на емисии, верифицирани като осъществени преди 2013 г.</w:t>
                      </w:r>
                      <w:r>
                        <w:rPr>
                          <w:rFonts w:ascii="Times New Roman" w:hAnsi="Times New Roman"/>
                          <w:sz w:val="18"/>
                          <w:szCs w:val="18"/>
                        </w:rPr>
                        <w:br/>
                      </w:r>
                      <w:r>
                        <w:rPr>
                          <w:rFonts w:ascii="Times New Roman" w:hAnsi="Times New Roman"/>
                          <w:sz w:val="18"/>
                        </w:rPr>
                        <w:t>**Регламент (ЕС) № 1123/2013 на Комисията от 8 ноември 2013 г. за определяне на права за международни кредити съгласно Директива 2003/87/ЕО на Европейския парламент и на Съвета, ОВ L 299, 9.11.2013 г., стр. 32.</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 xml:space="preserve">Въпреки че точното количество на правата за кредити през фаза 2 и фаза 3 (2008—2020 г.) ще зависи отчасти от количествата на бъдещите верифицирани емисии, пазарните анализатори прогнозират, че то ще възлезе на около 1,6 милиарда кредита. Към 30 юни 2017 г. общият брой на използваните или обменените международни кредити възлиза на 1,48 милиарда, което представлява над 90 % от прогнозната стойност на допустимия максимум. </w:t>
      </w:r>
    </w:p>
    <w:p>
      <w:pPr>
        <w:spacing w:after="0"/>
        <w:jc w:val="both"/>
        <w:rPr>
          <w:rFonts w:ascii="Times New Roman" w:hAnsi="Times New Roman"/>
          <w:noProof/>
          <w:sz w:val="24"/>
          <w:szCs w:val="24"/>
        </w:rPr>
      </w:pPr>
      <w:r>
        <w:rPr>
          <w:rFonts w:ascii="Times New Roman" w:hAnsi="Times New Roman"/>
          <w:noProof/>
          <w:sz w:val="24"/>
        </w:rPr>
        <w:t>На фигура 3 е илюстриран международният обмен на кредити. За пълен преглед , вж. допълнение 3 към приложението.</w:t>
      </w:r>
    </w:p>
    <w:p>
      <w:pPr>
        <w:spacing w:after="0"/>
        <w:jc w:val="both"/>
        <w:rPr>
          <w:rFonts w:ascii="Times New Roman" w:hAnsi="Times New Roman"/>
          <w:noProof/>
          <w:sz w:val="24"/>
          <w:szCs w:val="24"/>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lang w:val="en-GB"/>
        </w:rPr>
      </w:pPr>
    </w:p>
    <w:p>
      <w:pPr>
        <w:spacing w:after="0"/>
        <w:jc w:val="both"/>
        <w:rPr>
          <w:rFonts w:ascii="Times New Roman" w:hAnsi="Times New Roman"/>
          <w:noProof/>
          <w:sz w:val="24"/>
          <w:szCs w:val="24"/>
        </w:rPr>
      </w:pPr>
    </w:p>
    <w:p>
      <w:pPr>
        <w:spacing w:after="0"/>
        <w:jc w:val="both"/>
        <w:rPr>
          <w:rFonts w:ascii="Times New Roman" w:hAnsi="Times New Roman"/>
          <w:b/>
          <w:noProof/>
        </w:rPr>
      </w:pPr>
      <w:r>
        <w:rPr>
          <w:rFonts w:ascii="Times New Roman" w:hAnsi="Times New Roman"/>
          <w:b/>
          <w:noProof/>
        </w:rPr>
        <w:t>Фигура 3: Обобщени данни за международните кредити, обменени до 30 юни 2017 г.</w:t>
      </w:r>
    </w:p>
    <w:p>
      <w:pPr>
        <w:spacing w:after="0"/>
        <w:jc w:val="both"/>
        <w:rPr>
          <w:noProof/>
          <w:highlight w:val="yellow"/>
        </w:rPr>
      </w:pPr>
    </w:p>
    <w:p>
      <w:pPr>
        <w:rPr>
          <w:noProof/>
        </w:rPr>
      </w:pPr>
      <w:r>
        <w:rPr>
          <w:noProof/>
          <w:lang w:val="en-US" w:eastAsia="en-US" w:bidi="ar-SA"/>
        </w:rPr>
        <w:drawing>
          <wp:inline distT="0" distB="0" distL="0" distR="0">
            <wp:extent cx="5257800" cy="433264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0706" cy="4335042"/>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Heading2"/>
        <w:numPr>
          <w:ilvl w:val="1"/>
          <w:numId w:val="1"/>
        </w:numPr>
        <w:rPr>
          <w:i w:val="0"/>
          <w:noProof/>
        </w:rPr>
      </w:pPr>
      <w:bookmarkStart w:id="39" w:name="_Toc490850432"/>
      <w:bookmarkStart w:id="40" w:name="_Toc495312130"/>
      <w:bookmarkStart w:id="41" w:name="_Toc499041545"/>
      <w:r>
        <w:rPr>
          <w:i w:val="0"/>
          <w:noProof/>
        </w:rPr>
        <w:t>Търсене: извадени от обращение квоти</w:t>
      </w:r>
      <w:bookmarkEnd w:id="39"/>
      <w:bookmarkEnd w:id="40"/>
      <w:bookmarkEnd w:id="41"/>
    </w:p>
    <w:p>
      <w:pPr>
        <w:jc w:val="both"/>
        <w:rPr>
          <w:noProof/>
        </w:rPr>
      </w:pPr>
      <w:r>
        <w:rPr>
          <w:rFonts w:ascii="Times New Roman" w:hAnsi="Times New Roman"/>
          <w:noProof/>
          <w:sz w:val="24"/>
        </w:rPr>
        <w:t>През 2016 г. емисиите на парникови газове от инсталации, участващи в СТЕ на ЕС, са намалели с 2,9 % спрямо 2015 г. съгласно вписаната в регистъра на ЕС информация. Това бележи намаляваща тенденция в емисиите от началото на фаза 3 от системата през 2013 г.</w:t>
      </w:r>
    </w:p>
    <w:p>
      <w:pPr>
        <w:pStyle w:val="Caption"/>
        <w:keepNext/>
        <w:rPr>
          <w:rFonts w:ascii="Times New Roman" w:hAnsi="Times New Roman"/>
          <w:noProof/>
          <w:sz w:val="22"/>
          <w:szCs w:val="22"/>
        </w:rPr>
      </w:pPr>
      <w:r>
        <w:rPr>
          <w:rFonts w:ascii="Times New Roman" w:hAnsi="Times New Roman"/>
          <w:noProof/>
          <w:sz w:val="22"/>
        </w:rPr>
        <w:t xml:space="preserve">Таблица 8: Верифицирани емисии </w:t>
      </w:r>
      <w:r>
        <w:rPr>
          <w:rFonts w:ascii="Times New Roman" w:hAnsi="Times New Roman"/>
          <w:noProof/>
          <w:color w:val="000000"/>
          <w:sz w:val="22"/>
        </w:rPr>
        <w:t xml:space="preserve">(в милиони тонове </w:t>
      </w:r>
      <w:r>
        <w:rPr>
          <w:rFonts w:ascii="Times New Roman" w:hAnsi="Times New Roman"/>
          <w:b w:val="0"/>
          <w:noProof/>
          <w:sz w:val="22"/>
        </w:rPr>
        <w:t>CO</w:t>
      </w:r>
      <w:r>
        <w:rPr>
          <w:rFonts w:ascii="Times New Roman" w:hAnsi="Times New Roman"/>
          <w:b w:val="0"/>
          <w:noProof/>
          <w:sz w:val="22"/>
          <w:vertAlign w:val="subscript"/>
        </w:rPr>
        <w:t>2</w:t>
      </w:r>
      <w:r>
        <w:rPr>
          <w:rFonts w:ascii="Times New Roman" w:hAnsi="Times New Roman"/>
          <w:b w:val="0"/>
          <w:noProof/>
          <w:sz w:val="22"/>
        </w:rPr>
        <w:t xml:space="preserve"> </w:t>
      </w:r>
      <w:r>
        <w:rPr>
          <w:rFonts w:ascii="Times New Roman" w:hAnsi="Times New Roman"/>
          <w:noProof/>
          <w:color w:val="000000"/>
          <w:sz w:val="22"/>
        </w:rPr>
        <w:t>еквивалент)</w:t>
      </w:r>
    </w:p>
    <w:tbl>
      <w:tblPr>
        <w:tblW w:w="486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95"/>
        <w:gridCol w:w="958"/>
        <w:gridCol w:w="956"/>
        <w:gridCol w:w="956"/>
        <w:gridCol w:w="956"/>
        <w:gridCol w:w="956"/>
        <w:gridCol w:w="1523"/>
      </w:tblGrid>
      <w:tr>
        <w:tc>
          <w:tcPr>
            <w:tcW w:w="1498"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r>
            <w:r>
              <w:rPr>
                <w:rFonts w:ascii="Times New Roman" w:hAnsi="Times New Roman"/>
                <w:b/>
                <w:noProof/>
                <w:sz w:val="20"/>
              </w:rPr>
              <w:t>Година</w:t>
            </w:r>
          </w:p>
        </w:tc>
        <w:tc>
          <w:tcPr>
            <w:tcW w:w="532"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r>
            <w:r>
              <w:rPr>
                <w:rFonts w:ascii="Times New Roman" w:hAnsi="Times New Roman"/>
                <w:b/>
                <w:noProof/>
                <w:sz w:val="20"/>
              </w:rPr>
              <w:t>2011 г.</w:t>
            </w:r>
          </w:p>
        </w:tc>
        <w:tc>
          <w:tcPr>
            <w:tcW w:w="531"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r>
            <w:r>
              <w:rPr>
                <w:rFonts w:ascii="Times New Roman" w:hAnsi="Times New Roman"/>
                <w:b/>
                <w:noProof/>
                <w:sz w:val="20"/>
              </w:rPr>
              <w:t>2012 г.</w:t>
            </w:r>
          </w:p>
        </w:tc>
        <w:tc>
          <w:tcPr>
            <w:tcW w:w="531"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r>
            <w:r>
              <w:rPr>
                <w:rFonts w:ascii="Times New Roman" w:hAnsi="Times New Roman"/>
                <w:b/>
                <w:noProof/>
                <w:sz w:val="20"/>
              </w:rPr>
              <w:t>2013 г.</w:t>
            </w:r>
          </w:p>
        </w:tc>
        <w:tc>
          <w:tcPr>
            <w:tcW w:w="531" w:type="pct"/>
          </w:tcPr>
          <w:p>
            <w:pPr>
              <w:jc w:val="center"/>
              <w:rPr>
                <w:rFonts w:ascii="Times New Roman" w:hAnsi="Times New Roman"/>
                <w:b/>
                <w:noProof/>
                <w:sz w:val="20"/>
                <w:szCs w:val="20"/>
              </w:rPr>
            </w:pPr>
            <w:r>
              <w:rPr>
                <w:rFonts w:ascii="Times New Roman" w:hAnsi="Times New Roman"/>
                <w:b/>
                <w:noProof/>
                <w:sz w:val="20"/>
                <w:szCs w:val="20"/>
              </w:rPr>
              <w:br/>
            </w:r>
            <w:r>
              <w:rPr>
                <w:rFonts w:ascii="Times New Roman" w:hAnsi="Times New Roman"/>
                <w:b/>
                <w:noProof/>
                <w:sz w:val="20"/>
              </w:rPr>
              <w:t>2014 г.</w:t>
            </w:r>
          </w:p>
        </w:tc>
        <w:tc>
          <w:tcPr>
            <w:tcW w:w="531" w:type="pct"/>
          </w:tcPr>
          <w:p>
            <w:pPr>
              <w:jc w:val="center"/>
              <w:rPr>
                <w:rFonts w:ascii="Times New Roman" w:hAnsi="Times New Roman"/>
                <w:b/>
                <w:noProof/>
                <w:sz w:val="20"/>
                <w:szCs w:val="20"/>
              </w:rPr>
            </w:pPr>
            <w:r>
              <w:rPr>
                <w:rFonts w:ascii="Times New Roman" w:hAnsi="Times New Roman"/>
                <w:b/>
                <w:noProof/>
                <w:sz w:val="20"/>
                <w:szCs w:val="20"/>
              </w:rPr>
              <w:br/>
            </w:r>
            <w:r>
              <w:rPr>
                <w:rFonts w:ascii="Times New Roman" w:hAnsi="Times New Roman"/>
                <w:b/>
                <w:noProof/>
                <w:sz w:val="20"/>
              </w:rPr>
              <w:t>2015 г.</w:t>
            </w:r>
          </w:p>
        </w:tc>
        <w:tc>
          <w:tcPr>
            <w:tcW w:w="846" w:type="pct"/>
          </w:tcPr>
          <w:p>
            <w:pPr>
              <w:jc w:val="center"/>
              <w:rPr>
                <w:rFonts w:ascii="Times New Roman" w:hAnsi="Times New Roman"/>
                <w:b/>
                <w:noProof/>
                <w:sz w:val="20"/>
                <w:szCs w:val="20"/>
              </w:rPr>
            </w:pPr>
            <w:r>
              <w:rPr>
                <w:rFonts w:ascii="Times New Roman" w:hAnsi="Times New Roman"/>
                <w:b/>
                <w:noProof/>
                <w:sz w:val="20"/>
                <w:szCs w:val="20"/>
              </w:rPr>
              <w:br/>
            </w:r>
            <w:r>
              <w:rPr>
                <w:rFonts w:ascii="Times New Roman" w:hAnsi="Times New Roman"/>
                <w:b/>
                <w:noProof/>
                <w:sz w:val="20"/>
              </w:rPr>
              <w:t>2016 г.</w:t>
            </w:r>
          </w:p>
        </w:tc>
      </w:tr>
      <w:tr>
        <w:trPr>
          <w:trHeight w:val="474"/>
        </w:trPr>
        <w:tc>
          <w:tcPr>
            <w:tcW w:w="1498" w:type="pct"/>
            <w:shd w:val="clear" w:color="auto" w:fill="auto"/>
          </w:tcPr>
          <w:p>
            <w:pPr>
              <w:jc w:val="center"/>
              <w:rPr>
                <w:rFonts w:ascii="Times New Roman" w:hAnsi="Times New Roman"/>
                <w:noProof/>
                <w:color w:val="FF0000"/>
                <w:sz w:val="20"/>
                <w:szCs w:val="20"/>
              </w:rPr>
            </w:pPr>
            <w:r>
              <w:rPr>
                <w:rFonts w:ascii="Times New Roman" w:hAnsi="Times New Roman"/>
                <w:b/>
                <w:noProof/>
                <w:color w:val="000000"/>
                <w:sz w:val="20"/>
              </w:rPr>
              <w:t xml:space="preserve">Верифицирани общи емисии </w:t>
            </w:r>
          </w:p>
        </w:tc>
        <w:tc>
          <w:tcPr>
            <w:tcW w:w="532" w:type="pct"/>
            <w:shd w:val="clear" w:color="auto" w:fill="auto"/>
          </w:tcPr>
          <w:p>
            <w:pPr>
              <w:jc w:val="center"/>
              <w:rPr>
                <w:rFonts w:ascii="Times New Roman" w:hAnsi="Times New Roman"/>
                <w:noProof/>
                <w:sz w:val="20"/>
                <w:szCs w:val="20"/>
              </w:rPr>
            </w:pPr>
            <w:r>
              <w:rPr>
                <w:rFonts w:ascii="Times New Roman" w:hAnsi="Times New Roman"/>
                <w:noProof/>
                <w:sz w:val="20"/>
              </w:rPr>
              <w:t>1904</w:t>
            </w:r>
          </w:p>
        </w:tc>
        <w:tc>
          <w:tcPr>
            <w:tcW w:w="531" w:type="pct"/>
            <w:shd w:val="clear" w:color="auto" w:fill="auto"/>
          </w:tcPr>
          <w:p>
            <w:pPr>
              <w:jc w:val="center"/>
              <w:rPr>
                <w:rFonts w:ascii="Times New Roman" w:hAnsi="Times New Roman"/>
                <w:noProof/>
                <w:sz w:val="20"/>
                <w:szCs w:val="20"/>
              </w:rPr>
            </w:pPr>
            <w:r>
              <w:rPr>
                <w:rFonts w:ascii="Times New Roman" w:hAnsi="Times New Roman"/>
                <w:noProof/>
                <w:sz w:val="20"/>
              </w:rPr>
              <w:t>1867</w:t>
            </w:r>
          </w:p>
        </w:tc>
        <w:tc>
          <w:tcPr>
            <w:tcW w:w="531" w:type="pct"/>
            <w:shd w:val="clear" w:color="auto" w:fill="auto"/>
          </w:tcPr>
          <w:p>
            <w:pPr>
              <w:jc w:val="center"/>
              <w:rPr>
                <w:rFonts w:ascii="Times New Roman" w:hAnsi="Times New Roman"/>
                <w:noProof/>
                <w:sz w:val="20"/>
                <w:szCs w:val="20"/>
              </w:rPr>
            </w:pPr>
            <w:r>
              <w:rPr>
                <w:rFonts w:ascii="Times New Roman" w:hAnsi="Times New Roman"/>
                <w:noProof/>
                <w:sz w:val="20"/>
              </w:rPr>
              <w:t>1908</w:t>
            </w:r>
          </w:p>
        </w:tc>
        <w:tc>
          <w:tcPr>
            <w:tcW w:w="531" w:type="pct"/>
          </w:tcPr>
          <w:p>
            <w:pPr>
              <w:jc w:val="center"/>
              <w:rPr>
                <w:rFonts w:ascii="Times New Roman" w:hAnsi="Times New Roman"/>
                <w:noProof/>
                <w:sz w:val="20"/>
                <w:szCs w:val="20"/>
              </w:rPr>
            </w:pPr>
            <w:r>
              <w:rPr>
                <w:rFonts w:ascii="Times New Roman" w:hAnsi="Times New Roman"/>
                <w:noProof/>
                <w:sz w:val="20"/>
              </w:rPr>
              <w:t>1814</w:t>
            </w:r>
          </w:p>
        </w:tc>
        <w:tc>
          <w:tcPr>
            <w:tcW w:w="531" w:type="pct"/>
          </w:tcPr>
          <w:p>
            <w:pPr>
              <w:jc w:val="center"/>
              <w:rPr>
                <w:rFonts w:ascii="Times New Roman" w:hAnsi="Times New Roman"/>
                <w:noProof/>
                <w:sz w:val="20"/>
                <w:szCs w:val="20"/>
              </w:rPr>
            </w:pPr>
            <w:r>
              <w:rPr>
                <w:rFonts w:ascii="Times New Roman" w:hAnsi="Times New Roman"/>
                <w:noProof/>
                <w:sz w:val="20"/>
              </w:rPr>
              <w:t>1803</w:t>
            </w:r>
          </w:p>
        </w:tc>
        <w:tc>
          <w:tcPr>
            <w:tcW w:w="846" w:type="pct"/>
          </w:tcPr>
          <w:p>
            <w:pPr>
              <w:jc w:val="center"/>
              <w:rPr>
                <w:rFonts w:ascii="Times New Roman" w:hAnsi="Times New Roman"/>
                <w:noProof/>
                <w:sz w:val="20"/>
                <w:szCs w:val="20"/>
              </w:rPr>
            </w:pPr>
            <w:r>
              <w:rPr>
                <w:rFonts w:ascii="Times New Roman" w:hAnsi="Times New Roman"/>
                <w:noProof/>
                <w:sz w:val="20"/>
              </w:rPr>
              <w:t>1750</w:t>
            </w:r>
          </w:p>
        </w:tc>
      </w:tr>
      <w:tr>
        <w:tc>
          <w:tcPr>
            <w:tcW w:w="1498" w:type="pct"/>
            <w:shd w:val="clear" w:color="auto" w:fill="auto"/>
          </w:tcPr>
          <w:p>
            <w:pPr>
              <w:jc w:val="center"/>
              <w:rPr>
                <w:rFonts w:ascii="Times New Roman" w:hAnsi="Times New Roman"/>
                <w:b/>
                <w:bCs/>
                <w:noProof/>
                <w:color w:val="000000"/>
                <w:sz w:val="20"/>
                <w:szCs w:val="20"/>
              </w:rPr>
            </w:pPr>
            <w:r>
              <w:rPr>
                <w:rFonts w:ascii="Times New Roman" w:hAnsi="Times New Roman"/>
                <w:b/>
                <w:noProof/>
                <w:color w:val="000000"/>
                <w:sz w:val="20"/>
              </w:rPr>
              <w:t>Изменение спрямо година x-1</w:t>
            </w:r>
          </w:p>
        </w:tc>
        <w:tc>
          <w:tcPr>
            <w:tcW w:w="532"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rPr>
              <w:t>-1,8 %</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rPr>
              <w:t>-2 %</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rPr>
              <w:t>2,2 %</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rPr>
              <w:t>-4,9 %</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rPr>
              <w:t>-0,6 %</w:t>
            </w:r>
          </w:p>
        </w:tc>
        <w:tc>
          <w:tcPr>
            <w:tcW w:w="846" w:type="pct"/>
          </w:tcPr>
          <w:p>
            <w:pPr>
              <w:jc w:val="center"/>
              <w:rPr>
                <w:rFonts w:ascii="Times New Roman" w:hAnsi="Times New Roman"/>
                <w:noProof/>
                <w:color w:val="000000"/>
                <w:sz w:val="20"/>
                <w:szCs w:val="20"/>
              </w:rPr>
            </w:pPr>
            <w:r>
              <w:rPr>
                <w:rFonts w:ascii="Times New Roman" w:hAnsi="Times New Roman"/>
                <w:noProof/>
                <w:color w:val="000000"/>
                <w:sz w:val="20"/>
              </w:rPr>
              <w:t>-2,9 %</w:t>
            </w:r>
          </w:p>
        </w:tc>
      </w:tr>
      <w:tr>
        <w:trPr>
          <w:trHeight w:val="558"/>
        </w:trPr>
        <w:tc>
          <w:tcPr>
            <w:tcW w:w="1498" w:type="pct"/>
            <w:shd w:val="clear" w:color="auto" w:fill="auto"/>
          </w:tcPr>
          <w:p>
            <w:pPr>
              <w:jc w:val="center"/>
              <w:rPr>
                <w:rFonts w:ascii="Times New Roman" w:hAnsi="Times New Roman"/>
                <w:b/>
                <w:bCs/>
                <w:noProof/>
                <w:color w:val="000000"/>
                <w:sz w:val="20"/>
                <w:szCs w:val="20"/>
              </w:rPr>
            </w:pPr>
            <w:r>
              <w:rPr>
                <w:rFonts w:ascii="Times New Roman" w:hAnsi="Times New Roman"/>
                <w:b/>
                <w:noProof/>
                <w:color w:val="000000"/>
                <w:sz w:val="20"/>
              </w:rPr>
              <w:t xml:space="preserve">Верифицирани емисии от електроенергийния сектор </w:t>
            </w:r>
          </w:p>
        </w:tc>
        <w:tc>
          <w:tcPr>
            <w:tcW w:w="532" w:type="pct"/>
            <w:shd w:val="clear" w:color="auto" w:fill="auto"/>
          </w:tcPr>
          <w:p>
            <w:pPr>
              <w:jc w:val="center"/>
              <w:rPr>
                <w:rFonts w:ascii="Times New Roman" w:hAnsi="Times New Roman"/>
                <w:noProof/>
                <w:color w:val="000000"/>
                <w:sz w:val="20"/>
                <w:szCs w:val="20"/>
              </w:rPr>
            </w:pPr>
            <w:r>
              <w:rPr>
                <w:rFonts w:ascii="Times New Roman" w:hAnsi="Times New Roman"/>
                <w:noProof/>
                <w:color w:val="000000"/>
                <w:sz w:val="20"/>
              </w:rPr>
              <w:t>1,185</w:t>
            </w:r>
          </w:p>
        </w:tc>
        <w:tc>
          <w:tcPr>
            <w:tcW w:w="531" w:type="pct"/>
            <w:shd w:val="clear" w:color="auto" w:fill="auto"/>
          </w:tcPr>
          <w:p>
            <w:pPr>
              <w:jc w:val="center"/>
              <w:rPr>
                <w:rFonts w:ascii="Times New Roman" w:hAnsi="Times New Roman"/>
                <w:noProof/>
                <w:color w:val="000000"/>
                <w:sz w:val="20"/>
                <w:szCs w:val="20"/>
              </w:rPr>
            </w:pPr>
            <w:r>
              <w:rPr>
                <w:rFonts w:ascii="Times New Roman" w:hAnsi="Times New Roman"/>
                <w:noProof/>
                <w:color w:val="000000"/>
                <w:sz w:val="20"/>
              </w:rPr>
              <w:t>1,181</w:t>
            </w:r>
          </w:p>
        </w:tc>
        <w:tc>
          <w:tcPr>
            <w:tcW w:w="531" w:type="pct"/>
            <w:shd w:val="clear" w:color="auto" w:fill="auto"/>
          </w:tcPr>
          <w:p>
            <w:pPr>
              <w:jc w:val="center"/>
              <w:rPr>
                <w:rFonts w:ascii="Times New Roman" w:hAnsi="Times New Roman"/>
                <w:noProof/>
                <w:color w:val="000000"/>
                <w:sz w:val="20"/>
                <w:szCs w:val="20"/>
              </w:rPr>
            </w:pPr>
            <w:r>
              <w:rPr>
                <w:rFonts w:ascii="Times New Roman" w:hAnsi="Times New Roman"/>
                <w:noProof/>
                <w:color w:val="000000"/>
                <w:sz w:val="20"/>
              </w:rPr>
              <w:t>1,128</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rPr>
              <w:t>1,039</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rPr>
              <w:t>1,031</w:t>
            </w:r>
          </w:p>
        </w:tc>
        <w:tc>
          <w:tcPr>
            <w:tcW w:w="846" w:type="pct"/>
          </w:tcPr>
          <w:p>
            <w:pPr>
              <w:jc w:val="center"/>
              <w:rPr>
                <w:rFonts w:ascii="Times New Roman" w:hAnsi="Times New Roman"/>
                <w:noProof/>
                <w:color w:val="000000"/>
                <w:sz w:val="20"/>
                <w:szCs w:val="20"/>
              </w:rPr>
            </w:pPr>
            <w:r>
              <w:rPr>
                <w:rFonts w:ascii="Times New Roman" w:hAnsi="Times New Roman"/>
                <w:noProof/>
                <w:color w:val="000000"/>
                <w:sz w:val="20"/>
              </w:rPr>
              <w:t>982</w:t>
            </w:r>
          </w:p>
        </w:tc>
      </w:tr>
      <w:tr>
        <w:tc>
          <w:tcPr>
            <w:tcW w:w="1498" w:type="pct"/>
            <w:shd w:val="clear" w:color="auto" w:fill="auto"/>
            <w:vAlign w:val="center"/>
          </w:tcPr>
          <w:p>
            <w:pPr>
              <w:jc w:val="center"/>
              <w:rPr>
                <w:rFonts w:ascii="Times New Roman" w:hAnsi="Times New Roman"/>
                <w:b/>
                <w:bCs/>
                <w:noProof/>
                <w:color w:val="000000"/>
                <w:sz w:val="20"/>
                <w:szCs w:val="20"/>
              </w:rPr>
            </w:pPr>
            <w:r>
              <w:rPr>
                <w:rFonts w:ascii="Times New Roman" w:hAnsi="Times New Roman"/>
                <w:b/>
                <w:noProof/>
                <w:color w:val="000000"/>
                <w:sz w:val="20"/>
              </w:rPr>
              <w:t>Изменение спрямо година x-1</w:t>
            </w:r>
          </w:p>
        </w:tc>
        <w:tc>
          <w:tcPr>
            <w:tcW w:w="532" w:type="pct"/>
            <w:shd w:val="clear" w:color="auto" w:fill="auto"/>
            <w:vAlign w:val="center"/>
          </w:tcPr>
          <w:p>
            <w:pPr>
              <w:jc w:val="center"/>
              <w:rPr>
                <w:rFonts w:ascii="Times New Roman" w:hAnsi="Times New Roman"/>
                <w:noProof/>
                <w:color w:val="000000"/>
                <w:sz w:val="20"/>
                <w:szCs w:val="20"/>
              </w:rPr>
            </w:pPr>
          </w:p>
        </w:tc>
        <w:tc>
          <w:tcPr>
            <w:tcW w:w="531" w:type="pct"/>
            <w:shd w:val="clear" w:color="auto" w:fill="auto"/>
            <w:vAlign w:val="center"/>
          </w:tcPr>
          <w:p>
            <w:pPr>
              <w:jc w:val="center"/>
              <w:rPr>
                <w:rFonts w:ascii="Times New Roman" w:hAnsi="Times New Roman"/>
                <w:noProof/>
                <w:color w:val="000000"/>
                <w:sz w:val="20"/>
                <w:szCs w:val="20"/>
              </w:rPr>
            </w:pPr>
            <w:r>
              <w:rPr>
                <w:rFonts w:ascii="Times New Roman" w:hAnsi="Times New Roman"/>
                <w:noProof/>
                <w:color w:val="000000"/>
                <w:sz w:val="20"/>
              </w:rPr>
              <w:t>-0,3 %</w:t>
            </w:r>
          </w:p>
        </w:tc>
        <w:tc>
          <w:tcPr>
            <w:tcW w:w="531" w:type="pct"/>
            <w:shd w:val="clear" w:color="auto" w:fill="auto"/>
            <w:vAlign w:val="center"/>
          </w:tcPr>
          <w:p>
            <w:pPr>
              <w:jc w:val="center"/>
              <w:rPr>
                <w:rFonts w:ascii="Times New Roman" w:hAnsi="Times New Roman"/>
                <w:noProof/>
                <w:color w:val="000000"/>
                <w:sz w:val="20"/>
                <w:szCs w:val="20"/>
              </w:rPr>
            </w:pPr>
            <w:r>
              <w:rPr>
                <w:rFonts w:ascii="Times New Roman" w:hAnsi="Times New Roman"/>
                <w:noProof/>
                <w:color w:val="000000"/>
                <w:sz w:val="20"/>
              </w:rPr>
              <w:t>-4,4 %</w:t>
            </w:r>
          </w:p>
        </w:tc>
        <w:tc>
          <w:tcPr>
            <w:tcW w:w="531"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-7,9 %</w:t>
            </w:r>
          </w:p>
        </w:tc>
        <w:tc>
          <w:tcPr>
            <w:tcW w:w="531"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-0,8 %</w:t>
            </w:r>
          </w:p>
        </w:tc>
        <w:tc>
          <w:tcPr>
            <w:tcW w:w="846"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-4,8 %</w:t>
            </w:r>
          </w:p>
        </w:tc>
      </w:tr>
      <w:tr>
        <w:tc>
          <w:tcPr>
            <w:tcW w:w="1498" w:type="pct"/>
            <w:shd w:val="clear" w:color="auto" w:fill="auto"/>
          </w:tcPr>
          <w:p>
            <w:pPr>
              <w:jc w:val="center"/>
              <w:rPr>
                <w:rFonts w:ascii="Times New Roman" w:hAnsi="Times New Roman"/>
                <w:b/>
                <w:bCs/>
                <w:noProof/>
                <w:color w:val="000000"/>
                <w:sz w:val="20"/>
                <w:szCs w:val="20"/>
              </w:rPr>
            </w:pPr>
            <w:r>
              <w:rPr>
                <w:rFonts w:ascii="Times New Roman" w:hAnsi="Times New Roman"/>
                <w:b/>
                <w:noProof/>
                <w:color w:val="000000"/>
                <w:sz w:val="20"/>
              </w:rPr>
              <w:t xml:space="preserve">Верифицирани емисии от промишлени инсталации </w:t>
            </w:r>
          </w:p>
        </w:tc>
        <w:tc>
          <w:tcPr>
            <w:tcW w:w="532" w:type="pct"/>
            <w:shd w:val="clear" w:color="auto" w:fill="auto"/>
          </w:tcPr>
          <w:p>
            <w:pPr>
              <w:jc w:val="center"/>
              <w:rPr>
                <w:rFonts w:ascii="Times New Roman" w:hAnsi="Times New Roman"/>
                <w:noProof/>
                <w:color w:val="000000"/>
                <w:sz w:val="20"/>
                <w:szCs w:val="20"/>
              </w:rPr>
            </w:pPr>
            <w:r>
              <w:rPr>
                <w:rFonts w:ascii="Times New Roman" w:hAnsi="Times New Roman"/>
                <w:noProof/>
                <w:color w:val="000000"/>
                <w:sz w:val="20"/>
              </w:rPr>
              <w:t>720</w:t>
            </w:r>
          </w:p>
        </w:tc>
        <w:tc>
          <w:tcPr>
            <w:tcW w:w="531" w:type="pct"/>
            <w:shd w:val="clear" w:color="auto" w:fill="auto"/>
          </w:tcPr>
          <w:p>
            <w:pPr>
              <w:jc w:val="center"/>
              <w:rPr>
                <w:rFonts w:ascii="Times New Roman" w:hAnsi="Times New Roman"/>
                <w:noProof/>
                <w:color w:val="000000"/>
                <w:sz w:val="20"/>
                <w:szCs w:val="20"/>
              </w:rPr>
            </w:pPr>
            <w:r>
              <w:rPr>
                <w:rFonts w:ascii="Times New Roman" w:hAnsi="Times New Roman"/>
                <w:noProof/>
                <w:color w:val="000000"/>
                <w:sz w:val="20"/>
              </w:rPr>
              <w:t>686</w:t>
            </w:r>
          </w:p>
        </w:tc>
        <w:tc>
          <w:tcPr>
            <w:tcW w:w="531" w:type="pct"/>
            <w:shd w:val="clear" w:color="auto" w:fill="auto"/>
          </w:tcPr>
          <w:p>
            <w:pPr>
              <w:jc w:val="center"/>
              <w:rPr>
                <w:rFonts w:ascii="Times New Roman" w:hAnsi="Times New Roman"/>
                <w:noProof/>
                <w:color w:val="000000"/>
                <w:sz w:val="20"/>
                <w:szCs w:val="20"/>
              </w:rPr>
            </w:pPr>
            <w:r>
              <w:rPr>
                <w:rFonts w:ascii="Times New Roman" w:hAnsi="Times New Roman"/>
                <w:noProof/>
                <w:color w:val="000000"/>
                <w:sz w:val="20"/>
              </w:rPr>
              <w:t>780</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rPr>
              <w:t>775</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rPr>
              <w:t>772</w:t>
            </w:r>
          </w:p>
        </w:tc>
        <w:tc>
          <w:tcPr>
            <w:tcW w:w="846" w:type="pct"/>
          </w:tcPr>
          <w:p>
            <w:pPr>
              <w:jc w:val="center"/>
              <w:rPr>
                <w:rFonts w:ascii="Times New Roman" w:hAnsi="Times New Roman"/>
                <w:noProof/>
                <w:color w:val="000000"/>
                <w:sz w:val="20"/>
                <w:szCs w:val="20"/>
              </w:rPr>
            </w:pPr>
            <w:r>
              <w:rPr>
                <w:rFonts w:ascii="Times New Roman" w:hAnsi="Times New Roman"/>
                <w:noProof/>
                <w:color w:val="000000"/>
                <w:sz w:val="20"/>
              </w:rPr>
              <w:t>768</w:t>
            </w:r>
          </w:p>
        </w:tc>
      </w:tr>
      <w:tr>
        <w:tc>
          <w:tcPr>
            <w:tcW w:w="1498" w:type="pct"/>
            <w:shd w:val="clear" w:color="auto" w:fill="auto"/>
          </w:tcPr>
          <w:p>
            <w:pPr>
              <w:jc w:val="center"/>
              <w:rPr>
                <w:rFonts w:ascii="Times New Roman" w:hAnsi="Times New Roman"/>
                <w:b/>
                <w:bCs/>
                <w:noProof/>
                <w:color w:val="000000"/>
                <w:sz w:val="20"/>
                <w:szCs w:val="20"/>
              </w:rPr>
            </w:pPr>
            <w:r>
              <w:rPr>
                <w:rFonts w:ascii="Times New Roman" w:hAnsi="Times New Roman"/>
                <w:b/>
                <w:noProof/>
                <w:color w:val="000000"/>
                <w:sz w:val="20"/>
              </w:rPr>
              <w:t>Изменение спрямо година x-1</w:t>
            </w:r>
          </w:p>
        </w:tc>
        <w:tc>
          <w:tcPr>
            <w:tcW w:w="532" w:type="pct"/>
            <w:shd w:val="clear" w:color="auto" w:fill="auto"/>
          </w:tcPr>
          <w:p>
            <w:pPr>
              <w:jc w:val="center"/>
              <w:rPr>
                <w:rFonts w:ascii="Times New Roman" w:hAnsi="Times New Roman"/>
                <w:noProof/>
                <w:color w:val="000000"/>
                <w:sz w:val="20"/>
                <w:szCs w:val="20"/>
              </w:rPr>
            </w:pPr>
          </w:p>
        </w:tc>
        <w:tc>
          <w:tcPr>
            <w:tcW w:w="531" w:type="pct"/>
            <w:shd w:val="clear" w:color="auto" w:fill="auto"/>
          </w:tcPr>
          <w:p>
            <w:pPr>
              <w:jc w:val="center"/>
              <w:rPr>
                <w:rFonts w:ascii="Times New Roman" w:hAnsi="Times New Roman"/>
                <w:noProof/>
                <w:color w:val="000000"/>
                <w:sz w:val="20"/>
                <w:szCs w:val="20"/>
              </w:rPr>
            </w:pPr>
            <w:r>
              <w:rPr>
                <w:rFonts w:ascii="Times New Roman" w:hAnsi="Times New Roman"/>
                <w:noProof/>
                <w:color w:val="000000"/>
                <w:sz w:val="20"/>
              </w:rPr>
              <w:t>-4,6 %</w:t>
            </w:r>
          </w:p>
        </w:tc>
        <w:tc>
          <w:tcPr>
            <w:tcW w:w="531" w:type="pct"/>
            <w:shd w:val="clear" w:color="auto" w:fill="auto"/>
          </w:tcPr>
          <w:p>
            <w:pPr>
              <w:jc w:val="center"/>
              <w:rPr>
                <w:rFonts w:ascii="Times New Roman" w:hAnsi="Times New Roman"/>
                <w:noProof/>
                <w:color w:val="000000"/>
                <w:sz w:val="20"/>
                <w:szCs w:val="20"/>
              </w:rPr>
            </w:pPr>
            <w:r>
              <w:rPr>
                <w:rFonts w:ascii="Times New Roman" w:hAnsi="Times New Roman"/>
                <w:noProof/>
                <w:color w:val="000000"/>
                <w:sz w:val="20"/>
              </w:rPr>
              <w:t>13,7 %</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rPr>
              <w:t>-0,7 %</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rPr>
              <w:t>-0,4 %</w:t>
            </w:r>
          </w:p>
        </w:tc>
        <w:tc>
          <w:tcPr>
            <w:tcW w:w="846" w:type="pct"/>
          </w:tcPr>
          <w:p>
            <w:pPr>
              <w:jc w:val="center"/>
              <w:rPr>
                <w:rFonts w:ascii="Times New Roman" w:hAnsi="Times New Roman"/>
                <w:noProof/>
                <w:color w:val="000000"/>
                <w:sz w:val="20"/>
                <w:szCs w:val="20"/>
              </w:rPr>
            </w:pPr>
            <w:r>
              <w:rPr>
                <w:rFonts w:ascii="Times New Roman" w:hAnsi="Times New Roman"/>
                <w:noProof/>
                <w:color w:val="000000"/>
                <w:sz w:val="20"/>
              </w:rPr>
              <w:t>-0,5 %</w:t>
            </w:r>
          </w:p>
        </w:tc>
      </w:tr>
      <w:tr>
        <w:trPr>
          <w:trHeight w:val="38"/>
        </w:trPr>
        <w:tc>
          <w:tcPr>
            <w:tcW w:w="1498" w:type="pct"/>
            <w:shd w:val="clear" w:color="auto" w:fill="auto"/>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br/>
            </w:r>
            <w:r>
              <w:rPr>
                <w:rFonts w:ascii="Times New Roman" w:hAnsi="Times New Roman"/>
                <w:b/>
                <w:noProof/>
                <w:color w:val="000000"/>
                <w:sz w:val="20"/>
              </w:rPr>
              <w:t>Реален темп на растеж на БВП за ЕС-28</w:t>
            </w:r>
          </w:p>
        </w:tc>
        <w:tc>
          <w:tcPr>
            <w:tcW w:w="532"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rPr>
              <w:br/>
            </w:r>
            <w:r>
              <w:rPr>
                <w:rFonts w:ascii="Times New Roman" w:hAnsi="Times New Roman"/>
                <w:noProof/>
                <w:color w:val="000000"/>
                <w:sz w:val="20"/>
              </w:rPr>
              <w:t>1,7 %</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rPr>
              <w:br/>
            </w:r>
            <w:r>
              <w:rPr>
                <w:rFonts w:ascii="Times New Roman" w:hAnsi="Times New Roman"/>
                <w:noProof/>
                <w:color w:val="000000"/>
                <w:sz w:val="20"/>
              </w:rPr>
              <w:t>-0,5 %</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rPr>
              <w:br/>
            </w:r>
            <w:r>
              <w:rPr>
                <w:rFonts w:ascii="Times New Roman" w:hAnsi="Times New Roman"/>
                <w:noProof/>
                <w:color w:val="000000"/>
                <w:sz w:val="20"/>
              </w:rPr>
              <w:t>0,2 %</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szCs w:val="20"/>
              </w:rPr>
              <w:br/>
            </w:r>
            <w:r>
              <w:rPr>
                <w:rFonts w:ascii="Times New Roman" w:hAnsi="Times New Roman"/>
                <w:noProof/>
                <w:color w:val="000000"/>
                <w:sz w:val="20"/>
              </w:rPr>
              <w:t>1,7 %</w:t>
            </w:r>
          </w:p>
        </w:tc>
        <w:tc>
          <w:tcPr>
            <w:tcW w:w="531" w:type="pct"/>
          </w:tcPr>
          <w:p>
            <w:pPr>
              <w:jc w:val="center"/>
              <w:rPr>
                <w:rFonts w:ascii="Times New Roman" w:hAnsi="Times New Roman"/>
                <w:noProof/>
                <w:color w:val="000000"/>
                <w:sz w:val="20"/>
                <w:szCs w:val="20"/>
              </w:rPr>
            </w:pPr>
            <w:r>
              <w:rPr>
                <w:rFonts w:ascii="Times New Roman" w:hAnsi="Times New Roman"/>
                <w:noProof/>
                <w:color w:val="000000"/>
                <w:sz w:val="20"/>
                <w:szCs w:val="20"/>
              </w:rPr>
              <w:br/>
            </w:r>
            <w:r>
              <w:rPr>
                <w:rFonts w:ascii="Times New Roman" w:hAnsi="Times New Roman"/>
                <w:noProof/>
                <w:color w:val="000000"/>
                <w:sz w:val="20"/>
              </w:rPr>
              <w:t>2,2 %</w:t>
            </w:r>
          </w:p>
        </w:tc>
        <w:tc>
          <w:tcPr>
            <w:tcW w:w="846" w:type="pct"/>
          </w:tcPr>
          <w:p>
            <w:pPr>
              <w:jc w:val="center"/>
              <w:rPr>
                <w:rFonts w:ascii="Times New Roman" w:hAnsi="Times New Roman"/>
                <w:noProof/>
                <w:color w:val="000000"/>
                <w:sz w:val="20"/>
                <w:szCs w:val="20"/>
              </w:rPr>
            </w:pPr>
            <w:r>
              <w:rPr>
                <w:rFonts w:ascii="Times New Roman" w:hAnsi="Times New Roman"/>
                <w:noProof/>
                <w:color w:val="000000"/>
                <w:sz w:val="20"/>
                <w:szCs w:val="20"/>
              </w:rPr>
              <w:br/>
            </w:r>
            <w:r>
              <w:rPr>
                <w:rFonts w:ascii="Times New Roman" w:hAnsi="Times New Roman"/>
                <w:noProof/>
                <w:color w:val="000000"/>
                <w:sz w:val="20"/>
              </w:rPr>
              <w:t>1,9 %</w:t>
            </w:r>
          </w:p>
        </w:tc>
      </w:tr>
    </w:tbl>
    <w:p>
      <w:pPr>
        <w:autoSpaceDE w:val="0"/>
        <w:autoSpaceDN w:val="0"/>
        <w:adjustRightInd w:val="0"/>
        <w:spacing w:after="0"/>
        <w:rPr>
          <w:rStyle w:val="Hyperlink"/>
          <w:rFonts w:ascii="Times New Roman" w:hAnsi="Times New Roman"/>
          <w:bCs/>
          <w:noProof/>
          <w:color w:val="auto"/>
          <w:sz w:val="18"/>
          <w:szCs w:val="18"/>
        </w:rPr>
      </w:pPr>
      <w:r>
        <w:rPr>
          <w:rFonts w:ascii="Times New Roman" w:hAnsi="Times New Roman"/>
          <w:noProof/>
          <w:sz w:val="18"/>
        </w:rPr>
        <w:t xml:space="preserve">Данни за БВП, както са докладвани, на следния адрес: </w:t>
      </w:r>
      <w:hyperlink r:id="rId19">
        <w:r>
          <w:rPr>
            <w:rStyle w:val="Hyperlink"/>
            <w:rFonts w:ascii="Times New Roman" w:hAnsi="Times New Roman"/>
            <w:noProof/>
            <w:color w:val="auto"/>
            <w:sz w:val="18"/>
          </w:rPr>
          <w:t>http://epp.eurostat.ec.europa.eu/tgm/table.do?tab=table&amp;init=1&amp;plugin=1&amp;language=en&amp;pcode=tec00115</w:t>
        </w:r>
      </w:hyperlink>
      <w:r>
        <w:rPr>
          <w:rStyle w:val="Hyperlink"/>
          <w:rFonts w:ascii="Times New Roman" w:hAnsi="Times New Roman"/>
          <w:noProof/>
          <w:color w:val="auto"/>
          <w:sz w:val="18"/>
        </w:rPr>
        <w:t xml:space="preserve"> </w:t>
      </w:r>
    </w:p>
    <w:p>
      <w:pPr>
        <w:autoSpaceDE w:val="0"/>
        <w:autoSpaceDN w:val="0"/>
        <w:adjustRightInd w:val="0"/>
        <w:spacing w:after="0"/>
        <w:rPr>
          <w:rStyle w:val="Hyperlink"/>
          <w:rFonts w:ascii="Times New Roman" w:hAnsi="Times New Roman"/>
          <w:bCs/>
          <w:noProof/>
          <w:color w:val="auto"/>
          <w:sz w:val="18"/>
          <w:szCs w:val="18"/>
        </w:rPr>
      </w:pPr>
      <w:r>
        <w:rPr>
          <w:rStyle w:val="Hyperlink"/>
          <w:rFonts w:ascii="Times New Roman" w:hAnsi="Times New Roman"/>
          <w:noProof/>
          <w:color w:val="auto"/>
          <w:sz w:val="18"/>
        </w:rPr>
        <w:t xml:space="preserve">(според справка от юли 2017 г.) </w:t>
      </w:r>
      <w:r>
        <w:rPr>
          <w:rStyle w:val="Hyperlink"/>
          <w:rFonts w:ascii="Times New Roman" w:hAnsi="Times New Roman"/>
          <w:noProof/>
          <w:color w:val="auto"/>
          <w:sz w:val="18"/>
          <w:u w:val="none"/>
        </w:rPr>
        <w:t>Верифицираните авиационни емисии са докладвани отделно в точка 4.</w:t>
      </w:r>
    </w:p>
    <w:p>
      <w:pPr>
        <w:autoSpaceDE w:val="0"/>
        <w:autoSpaceDN w:val="0"/>
        <w:adjustRightInd w:val="0"/>
        <w:spacing w:after="0"/>
        <w:rPr>
          <w:noProof/>
        </w:rPr>
      </w:pPr>
    </w:p>
    <w:p>
      <w:pPr>
        <w:jc w:val="both"/>
        <w:rPr>
          <w:rFonts w:ascii="Times New Roman" w:hAnsi="Times New Roman"/>
          <w:noProof/>
          <w:sz w:val="24"/>
          <w:szCs w:val="24"/>
        </w:rPr>
      </w:pPr>
      <w:r>
        <w:rPr>
          <w:rFonts w:ascii="Times New Roman" w:hAnsi="Times New Roman"/>
          <w:noProof/>
          <w:sz w:val="24"/>
        </w:rPr>
        <w:t>Както се вижда от таблицата, горивните процеси са били основният движещ фактор за намаленията на верифицираните емисии.</w:t>
      </w:r>
    </w:p>
    <w:p>
      <w:pPr>
        <w:jc w:val="both"/>
        <w:rPr>
          <w:rFonts w:ascii="Times New Roman" w:hAnsi="Times New Roman"/>
          <w:noProof/>
          <w:sz w:val="24"/>
          <w:szCs w:val="24"/>
        </w:rPr>
      </w:pPr>
      <w:r>
        <w:rPr>
          <w:rFonts w:ascii="Times New Roman" w:hAnsi="Times New Roman"/>
          <w:noProof/>
          <w:sz w:val="24"/>
        </w:rPr>
        <w:t>През 2016 г. броят на доброволно отменените квоти възлиза на 63 573. Досега е регистрирана доброволната отмяна на общо 267 933 квоти.</w:t>
      </w:r>
    </w:p>
    <w:p>
      <w:pPr>
        <w:pStyle w:val="Heading2"/>
        <w:numPr>
          <w:ilvl w:val="1"/>
          <w:numId w:val="1"/>
        </w:numPr>
        <w:rPr>
          <w:i w:val="0"/>
          <w:noProof/>
        </w:rPr>
      </w:pPr>
      <w:bookmarkStart w:id="42" w:name="_Toc490850433"/>
      <w:bookmarkStart w:id="43" w:name="_Toc495312131"/>
      <w:bookmarkStart w:id="44" w:name="_Toc499041546"/>
      <w:r>
        <w:rPr>
          <w:i w:val="0"/>
          <w:noProof/>
        </w:rPr>
        <w:t>Постигане на баланс между предлагането и търсенето</w:t>
      </w:r>
      <w:bookmarkEnd w:id="42"/>
      <w:bookmarkEnd w:id="43"/>
      <w:bookmarkEnd w:id="44"/>
      <w:r>
        <w:rPr>
          <w:i w:val="0"/>
          <w:noProof/>
        </w:rPr>
        <w:t xml:space="preserve"> </w:t>
      </w:r>
    </w:p>
    <w:p>
      <w:pPr>
        <w:jc w:val="both"/>
        <w:rPr>
          <w:rFonts w:ascii="Times New Roman" w:hAnsi="Times New Roman"/>
          <w:noProof/>
          <w:sz w:val="24"/>
          <w:szCs w:val="24"/>
        </w:rPr>
      </w:pPr>
      <w:r>
        <w:rPr>
          <w:rFonts w:ascii="Times New Roman" w:hAnsi="Times New Roman"/>
          <w:noProof/>
          <w:sz w:val="24"/>
        </w:rPr>
        <w:t>В началото на фаза 3 СТЕ на ЕС се е характеризирала с голям дисбаланс между търсенето и предлагането на квоти, което е довело до излишък от около 2,1 милиарда квоти през 2013 г. Излишъкът е бил намален малко през 2014 г., след което е спаднал значително до 1,78 милиарда квоти през 2015 г. и до 1,69 милиарда квоти през 2016 г.  Това отразява въздействието на допълнителното намаляване на предлаганите квоти през 2016 г. — последната година на мярката за отлагане, с 200 милиона. Тъй като емисиите са намалели с около 2,9 % през 2016 г., по-слабото търсене балансира отчасти въздействието на намаленото предлагане върху излишъка.</w:t>
      </w:r>
    </w:p>
    <w:p>
      <w:pPr>
        <w:jc w:val="both"/>
        <w:rPr>
          <w:rFonts w:ascii="Times New Roman" w:hAnsi="Times New Roman"/>
          <w:noProof/>
          <w:sz w:val="24"/>
          <w:szCs w:val="24"/>
        </w:rPr>
      </w:pPr>
      <w:r>
        <w:rPr>
          <w:rFonts w:ascii="Times New Roman" w:hAnsi="Times New Roman"/>
          <w:noProof/>
          <w:sz w:val="24"/>
        </w:rPr>
        <w:t>С цел справяне със структурния дисбаланс между предлагането и търсенето на квоти, през 2015 г. бе постигнато споразумение да се създаде резерв за стабилност на пазара (МSR) и да се направи по-гъвкаво тръжното предлагане на квоти за емисии. В крайна сметка отложените квоти ще бъдат прехвърлени в резерва, който ще влезе в действие, считано от януари 2019 г.</w:t>
      </w:r>
    </w:p>
    <w:p>
      <w:pPr>
        <w:rPr>
          <w:noProof/>
        </w:rPr>
      </w:pPr>
      <w:r>
        <w:rPr>
          <w:rFonts w:ascii="Times New Roman" w:hAnsi="Times New Roman"/>
          <w:noProof/>
          <w:sz w:val="24"/>
          <w:szCs w:val="24"/>
          <w:lang w:val="en-US" w:eastAsia="en-US" w:bidi="ar-SA"/>
        </w:rPr>
        <mc:AlternateContent>
          <mc:Choice Requires="wps">
            <w:drawing>
              <wp:inline distT="0" distB="0" distL="0" distR="0">
                <wp:extent cx="5731510" cy="3753135"/>
                <wp:effectExtent l="0" t="0" r="21590" b="1905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75313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Ключово понятие във връзка с функционирането на МSR е общият брой квоти в обращение (ОБКО). В резерва се добавят квоти, ако ОБКО е над предварително определен горен праг (833 милиона квоти), и съответно от резерва се освобождават квоти, ако този брой е под предварително определен долен праг (под 400 милиона квоти)*</w:t>
                            </w:r>
                            <w:r>
                              <w:rPr>
                                <w:rFonts w:ascii="Times New Roman" w:hAnsi="Times New Roman"/>
                                <w:sz w:val="20"/>
                              </w:rPr>
                              <w:t>.</w:t>
                            </w:r>
                            <w:r>
                              <w:rPr>
                                <w:rFonts w:ascii="Times New Roman" w:hAnsi="Times New Roman"/>
                                <w:sz w:val="24"/>
                              </w:rPr>
                              <w:t xml:space="preserve"> По този начин МSR поема или освобождава квоти, когато общият брой на квотите в обращение е извън предварително определени граници. Резервът поема също така отложените и т.нар. неразпределени** квоти.</w:t>
                            </w:r>
                          </w:p>
                          <w:p>
                            <w:pPr>
                              <w:jc w:val="both"/>
                              <w:rPr>
                                <w:rFonts w:ascii="Times New Roman" w:hAnsi="Times New Roman"/>
                                <w:sz w:val="18"/>
                                <w:szCs w:val="18"/>
                              </w:rPr>
                            </w:pPr>
                            <w:r>
                              <w:rPr>
                                <w:rFonts w:ascii="Times New Roman" w:hAnsi="Times New Roman"/>
                                <w:sz w:val="18"/>
                              </w:rPr>
                              <w:t>*Или когато мерките се приемат съгласно член 29а от Директивата за СТЕ на ЕС.</w:t>
                            </w:r>
                          </w:p>
                          <w:p>
                            <w:pPr>
                              <w:jc w:val="both"/>
                              <w:rPr>
                                <w:rFonts w:ascii="Times New Roman" w:hAnsi="Times New Roman"/>
                                <w:sz w:val="18"/>
                                <w:szCs w:val="18"/>
                              </w:rPr>
                            </w:pPr>
                            <w:r>
                              <w:rPr>
                                <w:rFonts w:ascii="Times New Roman" w:hAnsi="Times New Roman"/>
                                <w:sz w:val="18"/>
                              </w:rPr>
                              <w:t>** Неразпределени са квотите, които не са разпределени съгласно член 10а, параграф 7 от Директивата за СТЕ на ЕС, т.е. квоти, които остават в резерва за нови участници, и такива, които произтичат от прилагането на член 10а, параграфи 19 и 20, т.е. квоти, предвидени за безплатно предоставяне на инсталации, но останали неразпределени поради (частично) прекратяване на работата или значително намаляване на капацитета. На практика „неразпределените“ квоти, получени от прилагането на съответния коефициент за изместване на въглеродни емисии към сектори, които не са включени в списъка във връзка с риска от изместване на въглеродни емисии през текущия период, както и всички квоти, които не са разпределени съгласно член 10в от Директивата за СТЕ, не са предвидени да бъдат въведени в резерва за стабилност на пазара по член 1, параграф 3 от Решение (ЕС) 2015/1814. Поради това тези квоти не са обхванати (вж. стр. 225 от Оценката на въздействието (SWD(2015) 135 final), придружаваща предложението за преразглеждане на схемата за търговия с емисии).</w:t>
                            </w:r>
                          </w:p>
                        </w:txbxContent>
                      </wps:txbx>
                      <wps:bodyPr rot="0" vert="horz" wrap="square" lIns="91440" tIns="45720" rIns="91440" bIns="45720" anchor="t" anchorCtr="0">
                        <a:noAutofit/>
                      </wps:bodyPr>
                    </wps:wsp>
                  </a:graphicData>
                </a:graphic>
              </wp:inline>
            </w:drawing>
          </mc:Choice>
          <mc:Fallback>
            <w:pict>
              <v:shape id="_x0000_s1035" type="#_x0000_t202" style="width:451.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" fillcolor="#d9d9d9" strokeweight="1pt">
                <v:textbox>
                  <w:txbxContent>
                    <w:p>
                      <w:pPr>
                        <w:jc w:val="both"/>
                        <w:rPr>
                          <w:rFonts w:ascii="Times New Roman" w:hAnsi="Times New Roman"/>
                          <w:sz w:val="24"/>
                          <w:szCs w:val="24"/>
                        </w:rPr>
                      </w:pPr>
                      <w:r>
                        <w:rPr>
                          <w:rFonts w:ascii="Times New Roman" w:hAnsi="Times New Roman"/>
                          <w:sz w:val="24"/>
                        </w:rPr>
                        <w:t>Ключово понятие във връзка с функционирането на МSR е общият брой квоти в обращение (ОБКО). В резерва се добавят квоти, ако ОБКО е над предварително определен горен праг (833 милиона квоти), и съответно от резерва се освобождават квоти, ако този брой е под предварително определен долен праг (под 400 милиона квоти)*</w:t>
                      </w:r>
                      <w:r>
                        <w:rPr>
                          <w:rFonts w:ascii="Times New Roman" w:hAnsi="Times New Roman"/>
                          <w:sz w:val="20"/>
                        </w:rPr>
                        <w:t>.</w:t>
                      </w:r>
                      <w:r>
                        <w:rPr>
                          <w:rFonts w:ascii="Times New Roman" w:hAnsi="Times New Roman"/>
                          <w:sz w:val="24"/>
                        </w:rPr>
                        <w:t xml:space="preserve"> По този начин МSR поема или освобождава квоти, когато общият брой на квотите в обращение е извън предварително определени граници. Резервът поема също така отложените и т.нар. неразпределени** квоти.</w:t>
                      </w:r>
                    </w:p>
                    <w:p>
                      <w:pPr>
                        <w:jc w:val="both"/>
                        <w:rPr>
                          <w:rFonts w:ascii="Times New Roman" w:hAnsi="Times New Roman"/>
                          <w:sz w:val="18"/>
                          <w:szCs w:val="18"/>
                        </w:rPr>
                      </w:pPr>
                      <w:r>
                        <w:rPr>
                          <w:rFonts w:ascii="Times New Roman" w:hAnsi="Times New Roman"/>
                          <w:sz w:val="18"/>
                        </w:rPr>
                        <w:t>*Или когато мерките се приемат съгласно член 29а от Директивата за СТЕ на ЕС.</w:t>
                      </w:r>
                    </w:p>
                    <w:p>
                      <w:pPr>
                        <w:jc w:val="both"/>
                        <w:rPr>
                          <w:rFonts w:ascii="Times New Roman" w:hAnsi="Times New Roman"/>
                          <w:sz w:val="18"/>
                          <w:szCs w:val="18"/>
                        </w:rPr>
                      </w:pPr>
                      <w:r>
                        <w:rPr>
                          <w:rFonts w:ascii="Times New Roman" w:hAnsi="Times New Roman"/>
                          <w:sz w:val="18"/>
                        </w:rPr>
                        <w:t>** Неразпределени са квотите, които не са разпределени съгласно член 10а, параграф 7 от Директивата за СТЕ на ЕС, т.е. квоти, които остават в резерва за нови участници, и такива, които произтичат от прилагането на член 10а, параграфи 19 и 20, т.е. квоти, предвидени за безплатно предоставяне на инсталации, но останали неразпределени поради (частично) прекратяване на работата или значително намаляване на капацитета. На практика „неразпределените“ квоти, получени от прилагането на съответния коефициент за изместване на въглеродни емисии към сектори, които не са включени в списъка във връзка с риска от изместване на въглеродни емисии през текущия период, както и всички квоти, които не са разпределени съгласно член 10в от Директивата за СТЕ, не са предвидени да бъдат въведени в резерва за стабилност на пазара по член 1, параграф 3 от Решение (ЕС) 2015/1814. Поради това тези квоти не са обхванати (вж. стр. 225 от Оценката на въздействието (SWD(2015) 135 final), придружаваща предложението за преразглеждане на схемата за търговия с емисии).</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Общият брой квоти в обращение (ОБКО), който има значение за определянето на вкарването и изкарването на квоти във и от МSR, се изчислява по следната формула:</w:t>
      </w:r>
    </w:p>
    <w:p>
      <w:pPr>
        <w:jc w:val="both"/>
        <w:rPr>
          <w:rFonts w:ascii="Times New Roman" w:hAnsi="Times New Roman"/>
          <w:noProof/>
          <w:sz w:val="24"/>
          <w:szCs w:val="24"/>
        </w:rPr>
      </w:pPr>
      <w:r>
        <w:rPr>
          <w:rFonts w:ascii="Times New Roman" w:hAnsi="Times New Roman"/>
          <w:noProof/>
          <w:sz w:val="24"/>
        </w:rPr>
        <w:t>ОБКО = предлагане – (търсене</w:t>
      </w:r>
      <w:r>
        <w:rPr>
          <w:rStyle w:val="FootnoteReference"/>
          <w:rFonts w:ascii="Times New Roman" w:hAnsi="Times New Roman"/>
          <w:noProof/>
          <w:sz w:val="24"/>
        </w:rPr>
        <w:footnoteReference w:id="38"/>
      </w:r>
      <w:r>
        <w:rPr>
          <w:rFonts w:ascii="Times New Roman" w:hAnsi="Times New Roman"/>
          <w:noProof/>
          <w:sz w:val="24"/>
        </w:rPr>
        <w:t xml:space="preserve"> + квоти в МSR)</w:t>
      </w:r>
    </w:p>
    <w:p>
      <w:pPr>
        <w:jc w:val="both"/>
        <w:rPr>
          <w:rFonts w:ascii="Times New Roman" w:hAnsi="Times New Roman"/>
          <w:noProof/>
          <w:sz w:val="24"/>
          <w:szCs w:val="24"/>
        </w:rPr>
      </w:pPr>
      <w:r>
        <w:rPr>
          <w:rFonts w:ascii="Times New Roman" w:hAnsi="Times New Roman"/>
          <w:noProof/>
          <w:sz w:val="24"/>
        </w:rPr>
        <w:t>Предлагането на квоти за емисии включва натрупаните през фаза 2 на СТЕ на ЕС (2008—2012 г.) квоти, продадените на търг квоти, безплатно разпределените квоти и квотите в резерва за нови участници (NER); докато търсенето се определя от емисиите на инсталациите и отменените квоти. За повече подробности вж. таблица 1 в допълнение 4 към приложението.</w:t>
      </w:r>
    </w:p>
    <w:p>
      <w:pPr>
        <w:jc w:val="both"/>
        <w:rPr>
          <w:rFonts w:ascii="Times New Roman" w:hAnsi="Times New Roman"/>
          <w:noProof/>
          <w:sz w:val="24"/>
          <w:szCs w:val="24"/>
        </w:rPr>
      </w:pPr>
      <w:r>
        <w:rPr>
          <w:rFonts w:ascii="Times New Roman" w:hAnsi="Times New Roman"/>
          <w:noProof/>
          <w:sz w:val="24"/>
        </w:rPr>
        <w:t>Началната точка за определяне на ОБКО е общият брой на останалите след фаза 2 квоти, които не са върнати или отменени</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По този начин този общ брой от 1 749 540 826 натрупани квоти („banking total“)</w:t>
      </w:r>
      <w:r>
        <w:rPr>
          <w:rStyle w:val="FootnoteReference"/>
          <w:rFonts w:ascii="Times New Roman" w:hAnsi="Times New Roman"/>
          <w:noProof/>
          <w:sz w:val="24"/>
        </w:rPr>
        <w:footnoteReference w:id="40"/>
      </w:r>
      <w:r>
        <w:rPr>
          <w:rFonts w:ascii="Times New Roman" w:hAnsi="Times New Roman"/>
          <w:noProof/>
          <w:sz w:val="24"/>
        </w:rPr>
        <w:t xml:space="preserve"> представлява точният брой на квотите в обращение в началото на третия период на търгуване в СТЕ на ЕС.</w:t>
      </w:r>
    </w:p>
    <w:p>
      <w:pPr>
        <w:jc w:val="both"/>
        <w:rPr>
          <w:rFonts w:ascii="Times New Roman" w:hAnsi="Times New Roman"/>
          <w:b/>
          <w:noProof/>
        </w:rPr>
      </w:pPr>
      <w:r>
        <w:rPr>
          <w:rFonts w:ascii="Times New Roman" w:hAnsi="Times New Roman"/>
          <w:noProof/>
          <w:sz w:val="24"/>
        </w:rPr>
        <w:t>Годишният доклад за пазара на въглеродни емисии дава възможност за консолидиране на данните за предлагането и търсенето, които се публикуват в съответствие с графика на задълженията за докладване, произтичащи от Директивата за СТЕ на ЕС и разпоредбите за нейното прилагане. Този график, съответните данни и техният времеви обхват са представени в таблица 2 в допълнение 4 към приложението. На фигура 4 е представен съставът на предлагането и търсенето през 2016 г. Съответните данни също са публикувани като част от съобщението за общия брой квоти в обращение (ОБКО) за целите на MSR</w:t>
      </w:r>
      <w:r>
        <w:rPr>
          <w:rFonts w:ascii="Times New Roman" w:hAnsi="Times New Roman"/>
          <w:noProof/>
          <w:sz w:val="24"/>
          <w:vertAlign w:val="superscript"/>
        </w:rPr>
        <w:footnoteReference w:id="41"/>
      </w:r>
      <w:r>
        <w:rPr>
          <w:rFonts w:ascii="Times New Roman" w:hAnsi="Times New Roman"/>
          <w:b/>
          <w:noProof/>
        </w:rPr>
        <w:t>.</w:t>
      </w:r>
    </w:p>
    <w:p>
      <w:pPr>
        <w:rPr>
          <w:rFonts w:ascii="Times New Roman" w:hAnsi="Times New Roman"/>
          <w:b/>
          <w:noProof/>
        </w:rPr>
      </w:pPr>
      <w:r>
        <w:rPr>
          <w:rFonts w:ascii="Times New Roman" w:hAnsi="Times New Roman"/>
          <w:b/>
          <w:noProof/>
        </w:rPr>
        <w:t>Фигура 4: Състав на кумулативното предлагане и търсене до края на 2016 г.</w:t>
      </w:r>
    </w:p>
    <w:p>
      <w:pPr>
        <w:rPr>
          <w:noProof/>
          <w:sz w:val="20"/>
          <w:szCs w:val="20"/>
        </w:rPr>
      </w:pPr>
      <w:r>
        <w:rPr>
          <w:rFonts w:ascii="Times New Roman" w:hAnsi="Times New Roman"/>
          <w:b/>
          <w:noProof/>
          <w:color w:val="000000"/>
          <w:sz w:val="20"/>
        </w:rPr>
        <w:t xml:space="preserve">Предлагане </w:t>
      </w:r>
      <w:r>
        <w:rPr>
          <w:rFonts w:ascii="Times New Roman" w:hAnsi="Times New Roman"/>
          <w:noProof/>
          <w:color w:val="000000"/>
          <w:sz w:val="20"/>
        </w:rPr>
        <w:t>(кумулативно, млн. квоти)</w:t>
      </w:r>
      <w:r>
        <w:rPr>
          <w:noProof/>
        </w:rPr>
        <w:tab/>
      </w:r>
      <w:r>
        <w:rPr>
          <w:rFonts w:ascii="Times New Roman" w:hAnsi="Times New Roman"/>
          <w:noProof/>
          <w:color w:val="000000"/>
          <w:sz w:val="20"/>
        </w:rPr>
        <w:t xml:space="preserve">                          </w:t>
      </w:r>
      <w:r>
        <w:rPr>
          <w:rFonts w:ascii="Times New Roman" w:hAnsi="Times New Roman"/>
          <w:b/>
          <w:noProof/>
          <w:color w:val="000000"/>
          <w:sz w:val="20"/>
        </w:rPr>
        <w:t xml:space="preserve">Търсене </w:t>
      </w:r>
      <w:r>
        <w:rPr>
          <w:rFonts w:ascii="Times New Roman" w:hAnsi="Times New Roman"/>
          <w:noProof/>
          <w:color w:val="000000"/>
          <w:sz w:val="20"/>
        </w:rPr>
        <w:t>(кумулативно, млн. квоти)</w:t>
      </w:r>
    </w:p>
    <w:p>
      <w:pPr>
        <w:rPr>
          <w:noProof/>
        </w:rPr>
      </w:pPr>
      <w:r>
        <w:rPr>
          <w:noProof/>
          <w:lang w:val="en-US" w:eastAsia="en-US" w:bidi="ar-SA"/>
        </w:rPr>
        <w:drawing>
          <wp:inline distT="0" distB="0" distL="0" distR="0">
            <wp:extent cx="4919110" cy="3411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24803" cy="3415889"/>
                    </a:xfrm>
                    <a:prstGeom prst="rect">
                      <a:avLst/>
                    </a:prstGeom>
                    <a:noFill/>
                  </pic:spPr>
                </pic:pic>
              </a:graphicData>
            </a:graphic>
          </wp:inline>
        </w:drawing>
      </w:r>
    </w:p>
    <w:tbl>
      <w:tblPr>
        <w:tblW w:w="6260" w:type="dxa"/>
        <w:tblInd w:w="1391" w:type="dxa"/>
        <w:tblLook w:val="04A0" w:firstRow="1" w:lastRow="0" w:firstColumn="1" w:lastColumn="0" w:noHBand="0" w:noVBand="1"/>
      </w:tblPr>
      <w:tblGrid>
        <w:gridCol w:w="460"/>
        <w:gridCol w:w="2920"/>
        <w:gridCol w:w="540"/>
        <w:gridCol w:w="460"/>
        <w:gridCol w:w="1880"/>
      </w:tblGrid>
      <w:tr>
        <w:trPr>
          <w:trHeight w:val="342"/>
        </w:trPr>
        <w:tc>
          <w:tcPr>
            <w:tcW w:w="460" w:type="dxa"/>
            <w:tcBorders>
              <w:top w:val="nil"/>
              <w:left w:val="nil"/>
              <w:bottom w:val="nil"/>
              <w:right w:val="nil"/>
            </w:tcBorders>
            <w:shd w:val="clear" w:color="000000" w:fill="1F497D"/>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Безплатно разпределение</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460" w:type="dxa"/>
            <w:tcBorders>
              <w:top w:val="nil"/>
              <w:left w:val="nil"/>
              <w:bottom w:val="nil"/>
              <w:right w:val="nil"/>
            </w:tcBorders>
            <w:shd w:val="clear" w:color="000000" w:fill="9BBB59"/>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 </w:t>
            </w:r>
          </w:p>
        </w:tc>
        <w:tc>
          <w:tcPr>
            <w:tcW w:w="188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Отменени квоти</w:t>
            </w:r>
          </w:p>
        </w:tc>
      </w:tr>
      <w:tr>
        <w:trPr>
          <w:trHeight w:val="342"/>
        </w:trPr>
        <w:tc>
          <w:tcPr>
            <w:tcW w:w="460" w:type="dxa"/>
            <w:tcBorders>
              <w:top w:val="nil"/>
              <w:left w:val="nil"/>
              <w:bottom w:val="nil"/>
              <w:right w:val="nil"/>
            </w:tcBorders>
            <w:shd w:val="clear" w:color="000000" w:fill="D8E4BC"/>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Обменени международни кредити</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460" w:type="dxa"/>
            <w:tcBorders>
              <w:top w:val="nil"/>
              <w:left w:val="nil"/>
              <w:bottom w:val="nil"/>
              <w:right w:val="nil"/>
            </w:tcBorders>
            <w:shd w:val="clear" w:color="000000" w:fill="538DD5"/>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 </w:t>
            </w:r>
          </w:p>
        </w:tc>
        <w:tc>
          <w:tcPr>
            <w:tcW w:w="188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Верифицирани емисии</w:t>
            </w:r>
          </w:p>
        </w:tc>
      </w:tr>
      <w:tr>
        <w:trPr>
          <w:trHeight w:val="342"/>
        </w:trPr>
        <w:tc>
          <w:tcPr>
            <w:tcW w:w="460" w:type="dxa"/>
            <w:tcBorders>
              <w:top w:val="nil"/>
              <w:left w:val="nil"/>
              <w:bottom w:val="nil"/>
              <w:right w:val="nil"/>
            </w:tcBorders>
            <w:shd w:val="clear" w:color="000000" w:fill="76933C"/>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Безплатни квоти (NER)</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r>
      <w:tr>
        <w:trPr>
          <w:trHeight w:val="342"/>
        </w:trPr>
        <w:tc>
          <w:tcPr>
            <w:tcW w:w="460" w:type="dxa"/>
            <w:tcBorders>
              <w:top w:val="nil"/>
              <w:left w:val="nil"/>
              <w:bottom w:val="nil"/>
              <w:right w:val="nil"/>
            </w:tcBorders>
            <w:shd w:val="clear" w:color="000000" w:fill="963634"/>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Безплатни квоти (член 10в)</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r>
      <w:tr>
        <w:trPr>
          <w:trHeight w:val="342"/>
        </w:trPr>
        <w:tc>
          <w:tcPr>
            <w:tcW w:w="460" w:type="dxa"/>
            <w:tcBorders>
              <w:top w:val="nil"/>
              <w:left w:val="nil"/>
              <w:bottom w:val="nil"/>
              <w:right w:val="nil"/>
            </w:tcBorders>
            <w:shd w:val="clear" w:color="000000" w:fill="95B3D7"/>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Осребряване на квоти за NER 300 от ЕИБ</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r>
      <w:tr>
        <w:trPr>
          <w:trHeight w:val="342"/>
        </w:trPr>
        <w:tc>
          <w:tcPr>
            <w:tcW w:w="460" w:type="dxa"/>
            <w:tcBorders>
              <w:top w:val="nil"/>
              <w:left w:val="nil"/>
              <w:bottom w:val="nil"/>
              <w:right w:val="nil"/>
            </w:tcBorders>
            <w:shd w:val="clear" w:color="000000" w:fill="F79646"/>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Тръжна продажба</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r>
      <w:tr>
        <w:trPr>
          <w:trHeight w:val="342"/>
        </w:trPr>
        <w:tc>
          <w:tcPr>
            <w:tcW w:w="460" w:type="dxa"/>
            <w:tcBorders>
              <w:top w:val="nil"/>
              <w:left w:val="nil"/>
              <w:bottom w:val="nil"/>
              <w:right w:val="nil"/>
            </w:tcBorders>
            <w:shd w:val="clear" w:color="000000" w:fill="B7DEE8"/>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Ранни търгове</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r>
      <w:tr>
        <w:trPr>
          <w:trHeight w:val="342"/>
        </w:trPr>
        <w:tc>
          <w:tcPr>
            <w:tcW w:w="460" w:type="dxa"/>
            <w:tcBorders>
              <w:top w:val="nil"/>
              <w:left w:val="nil"/>
              <w:bottom w:val="nil"/>
              <w:right w:val="nil"/>
            </w:tcBorders>
            <w:shd w:val="clear" w:color="000000" w:fill="CCC0DA"/>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Натрупване на квоти</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rPr>
            </w:pPr>
            <w:r>
              <w:rPr>
                <w:noProof/>
                <w:color w:val="000000"/>
              </w:rPr>
              <w:t> </w:t>
            </w:r>
          </w:p>
        </w:tc>
      </w:tr>
    </w:tbl>
    <w:p>
      <w:pPr>
        <w:jc w:val="both"/>
        <w:rPr>
          <w:noProof/>
        </w:rPr>
      </w:pPr>
    </w:p>
    <w:p>
      <w:pPr>
        <w:jc w:val="both"/>
        <w:rPr>
          <w:rFonts w:ascii="Times New Roman" w:hAnsi="Times New Roman"/>
          <w:noProof/>
          <w:sz w:val="24"/>
          <w:szCs w:val="24"/>
        </w:rPr>
      </w:pPr>
      <w:r>
        <w:rPr>
          <w:rFonts w:ascii="Times New Roman" w:hAnsi="Times New Roman"/>
          <w:noProof/>
          <w:sz w:val="24"/>
        </w:rPr>
        <w:t>Тъй като МSR започва да функционира през 2019 г., в средата на месец май всяка година Комисията редовно ще публикува ОБКО за предходната година. За пръв път ОБКО бе публикуван през май 2017 г., като размерът му възлизаше на 1 693 904 897 квоти</w:t>
      </w:r>
      <w:r>
        <w:rPr>
          <w:rStyle w:val="FootnoteReference"/>
          <w:rFonts w:ascii="Times New Roman" w:hAnsi="Times New Roman"/>
          <w:noProof/>
          <w:sz w:val="24"/>
        </w:rPr>
        <w:footnoteReference w:id="42"/>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На фигура 5</w:t>
      </w:r>
      <w:r>
        <w:rPr>
          <w:noProof/>
          <w:vertAlign w:val="superscript"/>
        </w:rPr>
        <w:footnoteReference w:id="43"/>
      </w:r>
      <w:r>
        <w:rPr>
          <w:rFonts w:ascii="Times New Roman" w:hAnsi="Times New Roman"/>
          <w:noProof/>
          <w:sz w:val="24"/>
        </w:rPr>
        <w:t xml:space="preserve"> са представени стойностите за изменението на кумулативното предлагане и търсене в рамките на ЕС СТЕ до края на 2016 г. През 2013 г. предлагането е било над 2 милиарда квоти, докато търсенето е намаляло на около 1,9 милиарда квоти. През 2014 г. както общото предлагане, така и общото търсене са спаднали до около 1,8 милиарда квоти. През 2015 г. предлагането е намаляло на 1,5 милиарда квоти, докато търсенето е отбелязало символичен спад. През следващите години, независимо че емисиите са останали стабилни или са намалели, предлагането на квоти е отбелязало по-голям спад в резултат от мярката за отлагане. </w:t>
      </w:r>
    </w:p>
    <w:p>
      <w:pPr>
        <w:jc w:val="both"/>
        <w:rPr>
          <w:rFonts w:ascii="Times New Roman" w:hAnsi="Times New Roman"/>
          <w:noProof/>
        </w:rPr>
      </w:pPr>
      <w:r>
        <w:rPr>
          <w:rFonts w:ascii="Times New Roman" w:hAnsi="Times New Roman"/>
          <w:noProof/>
          <w:sz w:val="24"/>
        </w:rPr>
        <w:t xml:space="preserve">В резултат на това предлагането през 2013 г. е нараснало до над 2 милиарда квоти, останало е стабилно през 2014 г. и впоследствие е спаднало до около 1,8 милиарда квоти през 2015 г. През 2016 г. емисиите са намалели в сравнение с 2015 г., но търсенето е останало по-голямо от предлагането. Така ОБКО, публикуван през май 2017 г., достига най-ниското си равнище от началото на настоящия период на търгуване. </w:t>
      </w:r>
    </w:p>
    <w:p>
      <w:pPr>
        <w:rPr>
          <w:rFonts w:ascii="Times New Roman" w:hAnsi="Times New Roman"/>
          <w:b/>
          <w:noProof/>
        </w:rPr>
      </w:pPr>
      <w:r>
        <w:rPr>
          <w:rFonts w:ascii="Times New Roman" w:hAnsi="Times New Roman"/>
          <w:b/>
          <w:noProof/>
        </w:rPr>
        <w:t>Фигура 5: Развитие на предлагането и търсенето през периода 2013—2016 г.</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6"/>
        <w:gridCol w:w="222"/>
      </w:tblGrid>
      <w:tr>
        <w:tc>
          <w:tcPr>
            <w:tcW w:w="0" w:type="auto"/>
          </w:tcPr>
          <w:p>
            <w:pPr>
              <w:rPr>
                <w:noProof/>
                <w:highlight w:val="yellow"/>
              </w:rPr>
            </w:pPr>
            <w:r>
              <w:rPr>
                <w:noProof/>
                <w:highlight w:val="yellow"/>
                <w:lang w:val="en-US" w:eastAsia="en-US" w:bidi="ar-SA"/>
              </w:rPr>
              <w:drawing>
                <wp:inline distT="0" distB="0" distL="0" distR="0">
                  <wp:extent cx="5390044" cy="2926080"/>
                  <wp:effectExtent l="0" t="0" r="127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9186" cy="2931043"/>
                          </a:xfrm>
                          <a:prstGeom prst="rect">
                            <a:avLst/>
                          </a:prstGeom>
                          <a:noFill/>
                        </pic:spPr>
                      </pic:pic>
                    </a:graphicData>
                  </a:graphic>
                </wp:inline>
              </w:drawing>
            </w:r>
          </w:p>
        </w:tc>
        <w:tc>
          <w:tcPr>
            <w:tcW w:w="0" w:type="auto"/>
          </w:tcPr>
          <w:p>
            <w:pPr>
              <w:rPr>
                <w:noProof/>
                <w:highlight w:val="yellow"/>
              </w:rPr>
            </w:pPr>
          </w:p>
        </w:tc>
      </w:tr>
    </w:tbl>
    <w:p>
      <w:pPr>
        <w:rPr>
          <w:noProof/>
          <w:highlight w:val="yellow"/>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36"/>
      </w:tblGrid>
      <w:tr>
        <w:tc>
          <w:tcPr>
            <w:tcW w:w="0" w:type="auto"/>
          </w:tcPr>
          <w:p>
            <w:pPr>
              <w:rPr>
                <w:noProof/>
                <w:highlight w:val="yellow"/>
              </w:rPr>
            </w:pPr>
          </w:p>
        </w:tc>
        <w:tc>
          <w:tcPr>
            <w:tcW w:w="236" w:type="dxa"/>
          </w:tcPr>
          <w:p>
            <w:pPr>
              <w:rPr>
                <w:noProof/>
                <w:highlight w:val="yellow"/>
              </w:rPr>
            </w:pPr>
          </w:p>
        </w:tc>
      </w:tr>
      <w:tr>
        <w:tc>
          <w:tcPr>
            <w:tcW w:w="0" w:type="auto"/>
          </w:tcPr>
          <w:p>
            <w:pPr>
              <w:rPr>
                <w:noProof/>
                <w:highlight w:val="yellow"/>
              </w:rPr>
            </w:pPr>
          </w:p>
        </w:tc>
        <w:tc>
          <w:tcPr>
            <w:tcW w:w="236" w:type="dxa"/>
          </w:tcPr>
          <w:p>
            <w:pPr>
              <w:rPr>
                <w:noProof/>
                <w:highlight w:val="yellow"/>
              </w:rPr>
            </w:pPr>
          </w:p>
        </w:tc>
      </w:tr>
    </w:tbl>
    <w:tbl>
      <w:tblPr>
        <w:tblStyle w:val="TableGrid"/>
        <w:tblW w:w="0" w:type="auto"/>
        <w:tblLayout w:type="fixed"/>
        <w:tblLook w:val="04A0" w:firstRow="1" w:lastRow="0" w:firstColumn="1" w:lastColumn="0" w:noHBand="0" w:noVBand="1"/>
      </w:tblPr>
      <w:tblGrid>
        <w:gridCol w:w="600"/>
        <w:gridCol w:w="2280"/>
      </w:tblGrid>
      <w:tr>
        <w:trPr>
          <w:trHeight w:val="217"/>
        </w:trPr>
        <w:tc>
          <w:tcPr>
            <w:tcW w:w="600" w:type="dxa"/>
            <w:shd w:val="clear" w:color="auto" w:fill="1F497D" w:themeFill="text2"/>
          </w:tcPr>
          <w:p>
            <w:pPr>
              <w:rPr>
                <w:noProof/>
              </w:rPr>
            </w:pPr>
          </w:p>
        </w:tc>
        <w:tc>
          <w:tcPr>
            <w:tcW w:w="2280" w:type="dxa"/>
          </w:tcPr>
          <w:p>
            <w:pPr>
              <w:rPr>
                <w:noProof/>
                <w:sz w:val="18"/>
                <w:szCs w:val="18"/>
              </w:rPr>
            </w:pPr>
            <w:r>
              <w:rPr>
                <w:noProof/>
                <w:sz w:val="18"/>
              </w:rPr>
              <w:t>търсене</w:t>
            </w:r>
          </w:p>
        </w:tc>
      </w:tr>
      <w:tr>
        <w:trPr>
          <w:trHeight w:val="205"/>
        </w:trPr>
        <w:tc>
          <w:tcPr>
            <w:tcW w:w="600" w:type="dxa"/>
            <w:shd w:val="clear" w:color="auto" w:fill="C00000"/>
          </w:tcPr>
          <w:p>
            <w:pPr>
              <w:rPr>
                <w:noProof/>
              </w:rPr>
            </w:pPr>
          </w:p>
        </w:tc>
        <w:tc>
          <w:tcPr>
            <w:tcW w:w="2280" w:type="dxa"/>
          </w:tcPr>
          <w:p>
            <w:pPr>
              <w:rPr>
                <w:noProof/>
                <w:sz w:val="18"/>
                <w:szCs w:val="18"/>
              </w:rPr>
            </w:pPr>
            <w:r>
              <w:rPr>
                <w:noProof/>
                <w:sz w:val="18"/>
              </w:rPr>
              <w:t>предлагане</w:t>
            </w:r>
          </w:p>
        </w:tc>
      </w:tr>
      <w:tr>
        <w:trPr>
          <w:trHeight w:val="193"/>
        </w:trPr>
        <w:tc>
          <w:tcPr>
            <w:tcW w:w="600" w:type="dxa"/>
            <w:shd w:val="clear" w:color="auto" w:fill="7030A0"/>
          </w:tcPr>
          <w:p>
            <w:pPr>
              <w:rPr>
                <w:noProof/>
              </w:rPr>
            </w:pPr>
          </w:p>
        </w:tc>
        <w:tc>
          <w:tcPr>
            <w:tcW w:w="2280" w:type="dxa"/>
          </w:tcPr>
          <w:p>
            <w:pPr>
              <w:rPr>
                <w:noProof/>
                <w:sz w:val="18"/>
                <w:szCs w:val="18"/>
              </w:rPr>
            </w:pPr>
            <w:r>
              <w:rPr>
                <w:noProof/>
                <w:sz w:val="18"/>
              </w:rPr>
              <w:t>общо натрупване за фаза 2</w:t>
            </w:r>
          </w:p>
        </w:tc>
      </w:tr>
      <w:tr>
        <w:trPr>
          <w:trHeight w:val="181"/>
        </w:trPr>
        <w:tc>
          <w:tcPr>
            <w:tcW w:w="600" w:type="dxa"/>
          </w:tcPr>
          <w:p>
            <w:pPr>
              <w:rPr>
                <w:noProof/>
              </w:rPr>
            </w:pPr>
            <w:r>
              <w:rPr>
                <w:noProof/>
                <w:lang w:val="en-US" w:eastAsia="en-US" w:bidi="ar-SA"/>
              </w:rPr>
              <w:drawing>
                <wp:inline distT="0" distB="0" distL="0" distR="0">
                  <wp:extent cx="316706" cy="200025"/>
                  <wp:effectExtent l="0" t="0" r="7620" b="0"/>
                  <wp:docPr id="7" name="Picture 7" descr="cid:image002.png@01D20D9B.50F5B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0D9B.50F5BE60"/>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l="59891" t="14708" r="29810" b="77448"/>
                          <a:stretch/>
                        </pic:blipFill>
                        <pic:spPr bwMode="auto">
                          <a:xfrm>
                            <a:off x="0" y="0"/>
                            <a:ext cx="324084" cy="204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80" w:type="dxa"/>
          </w:tcPr>
          <w:p>
            <w:pPr>
              <w:rPr>
                <w:noProof/>
                <w:sz w:val="18"/>
                <w:szCs w:val="18"/>
              </w:rPr>
            </w:pPr>
            <w:r>
              <w:rPr>
                <w:noProof/>
                <w:sz w:val="18"/>
              </w:rPr>
              <w:t>излишък</w: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tc>
          <w:tcPr>
            <w:tcW w:w="0" w:type="auto"/>
          </w:tcPr>
          <w:p>
            <w:pPr>
              <w:rPr>
                <w:noProof/>
                <w:highlight w:val="yellow"/>
              </w:rPr>
            </w:pPr>
          </w:p>
        </w:tc>
        <w:tc>
          <w:tcPr>
            <w:tcW w:w="0" w:type="auto"/>
          </w:tcPr>
          <w:p>
            <w:pPr>
              <w:rPr>
                <w:noProof/>
                <w:highlight w:val="yellow"/>
              </w:rPr>
            </w:pPr>
          </w:p>
        </w:tc>
      </w:tr>
      <w:tr>
        <w:tc>
          <w:tcPr>
            <w:tcW w:w="0" w:type="auto"/>
          </w:tcPr>
          <w:p>
            <w:pPr>
              <w:rPr>
                <w:b/>
                <w:noProof/>
                <w:color w:val="76923C"/>
                <w:sz w:val="32"/>
                <w:szCs w:val="32"/>
                <w:highlight w:val="yellow"/>
              </w:rPr>
            </w:pPr>
          </w:p>
        </w:tc>
        <w:tc>
          <w:tcPr>
            <w:tcW w:w="0" w:type="auto"/>
          </w:tcPr>
          <w:p>
            <w:pPr>
              <w:rPr>
                <w:rFonts w:ascii="Times New Roman" w:eastAsia="Times New Roman" w:hAnsi="Times New Roman"/>
                <w:noProof/>
                <w:color w:val="000000"/>
              </w:rPr>
            </w:pPr>
          </w:p>
        </w:tc>
      </w:tr>
    </w:tbl>
    <w:p>
      <w:pPr>
        <w:rPr>
          <w:noProof/>
        </w:rPr>
      </w:pPr>
    </w:p>
    <w:p>
      <w:pPr>
        <w:pStyle w:val="Heading1"/>
        <w:numPr>
          <w:ilvl w:val="0"/>
          <w:numId w:val="1"/>
        </w:numPr>
        <w:rPr>
          <w:noProof/>
        </w:rPr>
      </w:pPr>
      <w:bookmarkStart w:id="45" w:name="_Toc490850434"/>
      <w:bookmarkStart w:id="46" w:name="_Toc495312132"/>
      <w:bookmarkStart w:id="47" w:name="_Toc499041547"/>
      <w:r>
        <w:rPr>
          <w:noProof/>
        </w:rPr>
        <w:t>ВЪЗДУХОПЛАВАНЕ</w:t>
      </w:r>
      <w:bookmarkEnd w:id="45"/>
      <w:bookmarkEnd w:id="46"/>
      <w:bookmarkEnd w:id="47"/>
    </w:p>
    <w:p>
      <w:pPr>
        <w:jc w:val="both"/>
        <w:rPr>
          <w:noProof/>
        </w:rPr>
      </w:pPr>
      <w:r>
        <w:rPr>
          <w:noProof/>
          <w:lang w:val="en-US" w:eastAsia="en-US" w:bidi="ar-SA"/>
        </w:rPr>
        <mc:AlternateContent>
          <mc:Choice Requires="wps">
            <w:drawing>
              <wp:inline distT="0" distB="0" distL="0" distR="0">
                <wp:extent cx="5727802" cy="2586251"/>
                <wp:effectExtent l="0" t="0" r="25400" b="2413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2586251"/>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Секторът на въздухоплаването е част от СТЕ на ЕС от 2012 г. насам. Първоначалното законодателство е обхващало всички полети до Европейското икономическо пространство (ЕИП) и от него. ЕС взе обаче решение да ограничи задълженията за периода 2012—2016 г. до полети в рамките на ЕИП в подкрепа на разработването от ИКАО на глобална мярка за намаляване на авиационните емисии. </w:t>
                            </w:r>
                          </w:p>
                          <w:p>
                            <w:pPr>
                              <w:jc w:val="both"/>
                              <w:rPr>
                                <w:rFonts w:ascii="Times New Roman" w:hAnsi="Times New Roman"/>
                                <w:sz w:val="24"/>
                                <w:szCs w:val="24"/>
                              </w:rPr>
                            </w:pPr>
                            <w:r>
                              <w:rPr>
                                <w:rFonts w:ascii="Times New Roman" w:hAnsi="Times New Roman"/>
                                <w:sz w:val="24"/>
                              </w:rPr>
                              <w:t>През октомври 2016 г. събранието на ИКАО одобри резолюция за схема за компенсиране и намаляване на емисиите на въглероден диоксид в международното въздухоплаване (CORSIA), която да започне да се изпълнява през 2021 г. СОRSIA е замислена като схема за компенсиране и намаляване на емисиите на въглероден диоксид, имаща за цел стабилизиране на емисиите от международното въздухоплаване на равнищата от 2020 г.</w:t>
                            </w:r>
                          </w:p>
                        </w:txbxContent>
                      </wps:txbx>
                      <wps:bodyPr rot="0" vert="horz" wrap="square" lIns="91440" tIns="45720" rIns="91440" bIns="45720" anchor="t" anchorCtr="0">
                        <a:noAutofit/>
                      </wps:bodyPr>
                    </wps:wsp>
                  </a:graphicData>
                </a:graphic>
              </wp:inline>
            </w:drawing>
          </mc:Choice>
          <mc:Fallback>
            <w:pict>
              <v:shape id="_x0000_s1036" type="#_x0000_t202" style="width:451pt;height:20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" fillcolor="#d9d9d9" strokeweight="1pt">
                <v:textbox>
                  <w:txbxContent>
                    <w:p>
                      <w:pPr>
                        <w:jc w:val="both"/>
                        <w:rPr>
                          <w:rFonts w:ascii="Times New Roman" w:hAnsi="Times New Roman"/>
                          <w:sz w:val="24"/>
                          <w:szCs w:val="24"/>
                        </w:rPr>
                      </w:pPr>
                      <w:r>
                        <w:rPr>
                          <w:rFonts w:ascii="Times New Roman" w:hAnsi="Times New Roman"/>
                          <w:sz w:val="24"/>
                        </w:rPr>
                        <w:t xml:space="preserve">Секторът на въздухоплаването е част от СТЕ на ЕС от 2012 г. насам. Първоначалното законодателство е обхващало всички полети до Европейското икономическо пространство (ЕИП) и от него. ЕС взе обаче решение да ограничи задълженията за периода 2012—2016 г. до полети в рамките на ЕИП в подкрепа на разработването от ИКАО на глобална мярка за намаляване на авиационните емисии. </w:t>
                      </w:r>
                    </w:p>
                    <w:p>
                      <w:pPr>
                        <w:jc w:val="both"/>
                        <w:rPr>
                          <w:rFonts w:ascii="Times New Roman" w:hAnsi="Times New Roman"/>
                          <w:sz w:val="24"/>
                          <w:szCs w:val="24"/>
                        </w:rPr>
                      </w:pPr>
                      <w:r>
                        <w:rPr>
                          <w:rFonts w:ascii="Times New Roman" w:hAnsi="Times New Roman"/>
                          <w:sz w:val="24"/>
                        </w:rPr>
                        <w:t>През октомври 2016 г. събранието на ИКАО одобри резолюция за схема за компенсиране и намаляване на емисиите на въглероден диоксид в международното въздухоплаване (CORSIA), която да започне да се изпълнява през 2021 г. СОRSIA е замислена като схема за компенсиране и намаляване на емисиите на въглероден диоксид, имаща за цел стабилизиране на емисиите от международното въздухоплаване на равнищата от 2020 г.</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Държавите — членки на ЕС са засвидетелствали</w:t>
      </w:r>
      <w:r>
        <w:rPr>
          <w:rStyle w:val="FootnoteReference"/>
          <w:rFonts w:ascii="Times New Roman" w:hAnsi="Times New Roman"/>
          <w:noProof/>
          <w:sz w:val="24"/>
        </w:rPr>
        <w:footnoteReference w:id="44"/>
      </w:r>
      <w:r>
        <w:rPr>
          <w:rFonts w:ascii="Times New Roman" w:hAnsi="Times New Roman"/>
          <w:noProof/>
          <w:sz w:val="24"/>
        </w:rPr>
        <w:t xml:space="preserve"> намерението си да се присъединят към глобалната схема на ИКАО</w:t>
      </w:r>
      <w:r>
        <w:rPr>
          <w:rStyle w:val="FootnoteReference"/>
          <w:rFonts w:ascii="Times New Roman" w:hAnsi="Times New Roman"/>
          <w:noProof/>
          <w:sz w:val="24"/>
        </w:rPr>
        <w:footnoteReference w:id="45"/>
      </w:r>
      <w:r>
        <w:rPr>
          <w:rFonts w:ascii="Times New Roman" w:hAnsi="Times New Roman"/>
          <w:noProof/>
          <w:sz w:val="24"/>
        </w:rPr>
        <w:t xml:space="preserve"> от самото начало, при условие, че са спазени определени условия. До приемането на глобалната мярка, Комисията предложи</w:t>
      </w:r>
      <w:r>
        <w:rPr>
          <w:rStyle w:val="FootnoteReference"/>
          <w:rFonts w:ascii="Times New Roman" w:hAnsi="Times New Roman"/>
          <w:noProof/>
          <w:sz w:val="24"/>
        </w:rPr>
        <w:footnoteReference w:id="46"/>
      </w:r>
      <w:r>
        <w:rPr>
          <w:rFonts w:ascii="Times New Roman" w:hAnsi="Times New Roman"/>
          <w:noProof/>
          <w:sz w:val="24"/>
        </w:rPr>
        <w:t xml:space="preserve"> да се продължи прилагането на текущата СТЕ на ЕС за въздухоплаването след 2016 г., по-специално да се запази географският обхват в рамките на ЕИП. В предложението също така се запазват същите освобождавания и същият подход към разпределението на квоти на авиокомпаниите, за които линейният коефициент на намаление ще се прилага от 2021 г. нататък, и се предвижда нов преглед с цел да се обмислят начини за въвеждане на CORSIA в правото на ЕС посредством преразглеждане на Директивата за СТЕ на ЕС. Политическо споразумение по предложението бе достигнато през през октомври 2017 г.</w:t>
      </w:r>
    </w:p>
    <w:p>
      <w:pPr>
        <w:jc w:val="both"/>
        <w:rPr>
          <w:rFonts w:ascii="Times New Roman" w:hAnsi="Times New Roman"/>
          <w:noProof/>
          <w:sz w:val="24"/>
          <w:szCs w:val="24"/>
        </w:rPr>
      </w:pPr>
      <w:r>
        <w:rPr>
          <w:rFonts w:ascii="Times New Roman" w:hAnsi="Times New Roman"/>
          <w:noProof/>
          <w:sz w:val="24"/>
        </w:rPr>
        <w:t>Що се отнася до измененията на авиационните емисии в рамките на СТЕ на ЕС, през 2016 г. верифицираните емисии продължиха да се увеличават и възлязоха на 61 милиона тона CO</w:t>
      </w:r>
      <w:r>
        <w:rPr>
          <w:rFonts w:ascii="Times New Roman" w:hAnsi="Times New Roman"/>
          <w:noProof/>
          <w:sz w:val="24"/>
          <w:vertAlign w:val="subscript"/>
        </w:rPr>
        <w:t>2</w:t>
      </w:r>
      <w:r>
        <w:rPr>
          <w:rFonts w:ascii="Times New Roman" w:hAnsi="Times New Roman"/>
          <w:noProof/>
          <w:sz w:val="24"/>
        </w:rPr>
        <w:t xml:space="preserve"> — ръст от 7,9 % спрямо 2015 г.  </w:t>
      </w:r>
    </w:p>
    <w:p>
      <w:pPr>
        <w:jc w:val="both"/>
        <w:rPr>
          <w:rFonts w:ascii="Times New Roman" w:hAnsi="Times New Roman"/>
          <w:noProof/>
          <w:sz w:val="24"/>
          <w:szCs w:val="24"/>
        </w:rPr>
      </w:pPr>
      <w:r>
        <w:rPr>
          <w:rFonts w:ascii="Times New Roman" w:hAnsi="Times New Roman"/>
          <w:noProof/>
          <w:sz w:val="24"/>
        </w:rPr>
        <w:t>През 2016 г. количеството на безплатните квоти възлезе на малко повече от 32,0 милиона квоти</w:t>
      </w:r>
      <w:r>
        <w:rPr>
          <w:rStyle w:val="FootnoteReference"/>
          <w:rFonts w:ascii="Times New Roman" w:hAnsi="Times New Roman"/>
          <w:noProof/>
          <w:sz w:val="24"/>
        </w:rPr>
        <w:footnoteReference w:id="47"/>
      </w:r>
      <w:r>
        <w:rPr>
          <w:rFonts w:ascii="Times New Roman" w:hAnsi="Times New Roman"/>
          <w:noProof/>
          <w:sz w:val="24"/>
        </w:rPr>
        <w:t xml:space="preserve">. Количеството на квотите, продадени на търг от януари до декември 2016 г., беше около 6,0 милиона. </w:t>
      </w:r>
    </w:p>
    <w:p>
      <w:pPr>
        <w:jc w:val="both"/>
        <w:rPr>
          <w:rFonts w:ascii="Times New Roman" w:hAnsi="Times New Roman"/>
          <w:noProof/>
          <w:sz w:val="24"/>
          <w:szCs w:val="24"/>
        </w:rPr>
      </w:pPr>
      <w:r>
        <w:rPr>
          <w:rFonts w:ascii="Times New Roman" w:hAnsi="Times New Roman"/>
          <w:noProof/>
          <w:sz w:val="24"/>
        </w:rPr>
        <w:t>През 2017 г., в очакване на одобрението на законодателното предложение относно СТЕ на ЕС за въздухоплаването, бяха издадени квоти в съответствие с обхвата в рамките на ЕИП. През 2017 г. коригираното количество на безплатните квоти възлезе на малко повече от 32,0 милиона квоти</w:t>
      </w:r>
      <w:r>
        <w:rPr>
          <w:rStyle w:val="FootnoteReference"/>
          <w:rFonts w:ascii="Times New Roman" w:hAnsi="Times New Roman"/>
          <w:noProof/>
          <w:sz w:val="24"/>
        </w:rPr>
        <w:footnoteReference w:id="48"/>
      </w:r>
      <w:r>
        <w:rPr>
          <w:rFonts w:ascii="Times New Roman" w:hAnsi="Times New Roman"/>
          <w:noProof/>
          <w:sz w:val="24"/>
        </w:rPr>
        <w:t xml:space="preserve">. Освен това почти 1,1 милиона безплатни квоти бяха разпределени от специалния резерв за нови участници и бързо развиващи се оператори. Това е първото издаване на квоти от четири ежегодни такива, отговарящи на периода 2013—2020 г. Количеството на квотите, предназначени за тръжна продажба през 2017 г., ще е пропорционално на общия брой издадени квоти. В таблица 9 е дадено обобщение на верифицираните емисии, безплатното предоставяне и обема на тръжните продажби за сектора на въздухоплаването от началото на фаза 3 на СТЕ на ЕС. </w:t>
      </w:r>
    </w:p>
    <w:p>
      <w:pPr>
        <w:jc w:val="both"/>
        <w:rPr>
          <w:rFonts w:ascii="Times New Roman" w:hAnsi="Times New Roman"/>
          <w:noProof/>
          <w:sz w:val="24"/>
          <w:szCs w:val="24"/>
        </w:rPr>
      </w:pPr>
      <w:r>
        <w:rPr>
          <w:rFonts w:ascii="Times New Roman" w:hAnsi="Times New Roman"/>
          <w:b/>
          <w:noProof/>
        </w:rPr>
        <w:t>Таблица 9: Верифицирани емисии и разпределение в сектора на въздухоплаването</w:t>
      </w:r>
    </w:p>
    <w:tbl>
      <w:tblPr>
        <w:tblW w:w="4870" w:type="pct"/>
        <w:tblInd w:w="108" w:type="dxa"/>
        <w:tblCellMar>
          <w:left w:w="0" w:type="dxa"/>
          <w:right w:w="0" w:type="dxa"/>
        </w:tblCellMar>
        <w:tblLook w:val="04A0" w:firstRow="1" w:lastRow="0" w:firstColumn="1" w:lastColumn="0" w:noHBand="0" w:noVBand="1"/>
      </w:tblPr>
      <w:tblGrid>
        <w:gridCol w:w="2876"/>
        <w:gridCol w:w="1117"/>
        <w:gridCol w:w="1233"/>
        <w:gridCol w:w="1233"/>
        <w:gridCol w:w="1228"/>
        <w:gridCol w:w="1224"/>
      </w:tblGrid>
      <w:tr>
        <w:trPr>
          <w:trHeight w:val="594"/>
        </w:trPr>
        <w:tc>
          <w:tcPr>
            <w:tcW w:w="1613"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r>
            <w:r>
              <w:rPr>
                <w:rFonts w:ascii="Times New Roman" w:hAnsi="Times New Roman"/>
                <w:b/>
                <w:noProof/>
                <w:sz w:val="20"/>
              </w:rPr>
              <w:t>Година</w:t>
            </w:r>
          </w:p>
        </w:tc>
        <w:tc>
          <w:tcPr>
            <w:tcW w:w="627"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r>
            <w:r>
              <w:rPr>
                <w:rFonts w:ascii="Times New Roman" w:hAnsi="Times New Roman"/>
                <w:b/>
                <w:noProof/>
                <w:sz w:val="20"/>
              </w:rPr>
              <w:t>2013 г.</w:t>
            </w:r>
          </w:p>
        </w:tc>
        <w:tc>
          <w:tcPr>
            <w:tcW w:w="69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r>
            <w:r>
              <w:rPr>
                <w:rFonts w:ascii="Times New Roman" w:hAnsi="Times New Roman"/>
                <w:b/>
                <w:noProof/>
                <w:sz w:val="20"/>
              </w:rPr>
              <w:t>2014 г.</w:t>
            </w:r>
          </w:p>
        </w:tc>
        <w:tc>
          <w:tcPr>
            <w:tcW w:w="69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r>
            <w:r>
              <w:rPr>
                <w:rFonts w:ascii="Times New Roman" w:hAnsi="Times New Roman"/>
                <w:b/>
                <w:noProof/>
                <w:sz w:val="20"/>
              </w:rPr>
              <w:t>2015 г.</w:t>
            </w:r>
          </w:p>
        </w:tc>
        <w:tc>
          <w:tcPr>
            <w:tcW w:w="689"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r>
            <w:r>
              <w:rPr>
                <w:rFonts w:ascii="Times New Roman" w:hAnsi="Times New Roman"/>
                <w:b/>
                <w:noProof/>
                <w:sz w:val="20"/>
              </w:rPr>
              <w:t>2016 г.</w:t>
            </w:r>
          </w:p>
        </w:tc>
        <w:tc>
          <w:tcPr>
            <w:tcW w:w="688" w:type="pct"/>
            <w:tcBorders>
              <w:top w:val="double" w:sz="4" w:space="0" w:color="auto"/>
              <w:left w:val="nil"/>
              <w:bottom w:val="double" w:sz="4" w:space="0" w:color="auto"/>
              <w:right w:val="double" w:sz="4" w:space="0" w:color="auto"/>
            </w:tcBorders>
            <w:vAlign w:val="bottom"/>
          </w:tcPr>
          <w:p>
            <w:pPr>
              <w:jc w:val="center"/>
              <w:rPr>
                <w:rFonts w:ascii="Times New Roman" w:hAnsi="Times New Roman"/>
                <w:b/>
                <w:bCs/>
                <w:noProof/>
                <w:sz w:val="20"/>
                <w:szCs w:val="20"/>
              </w:rPr>
            </w:pPr>
            <w:r>
              <w:rPr>
                <w:rFonts w:ascii="Times New Roman" w:hAnsi="Times New Roman"/>
                <w:b/>
                <w:noProof/>
                <w:sz w:val="20"/>
              </w:rPr>
              <w:t>2017 г.</w:t>
            </w:r>
          </w:p>
        </w:tc>
      </w:tr>
      <w:tr>
        <w:trPr>
          <w:trHeight w:val="748"/>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rPr>
              <w:br/>
            </w:r>
            <w:r>
              <w:rPr>
                <w:rFonts w:ascii="Times New Roman" w:hAnsi="Times New Roman"/>
                <w:b/>
                <w:noProof/>
                <w:color w:val="000000"/>
                <w:sz w:val="20"/>
              </w:rPr>
              <w:t>Верифицирани емисии (в милиони тонове CO</w:t>
            </w:r>
            <w:r>
              <w:rPr>
                <w:rFonts w:ascii="Times New Roman" w:hAnsi="Times New Roman"/>
                <w:b/>
                <w:noProof/>
                <w:color w:val="000000"/>
                <w:sz w:val="20"/>
                <w:vertAlign w:val="subscript"/>
              </w:rPr>
              <w:t>2</w:t>
            </w:r>
            <w:r>
              <w:rPr>
                <w:rFonts w:ascii="Times New Roman" w:hAnsi="Times New Roman"/>
                <w:b/>
                <w:noProof/>
                <w:color w:val="000000"/>
                <w:sz w:val="20"/>
              </w:rPr>
              <w:t> еквивалент)</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53 495 902</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54 822 754</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57 085 143</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61 124 583</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p>
        </w:tc>
      </w:tr>
      <w:tr>
        <w:trPr>
          <w:trHeight w:val="758"/>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br/>
            </w:r>
            <w:r>
              <w:rPr>
                <w:rFonts w:ascii="Times New Roman" w:hAnsi="Times New Roman"/>
                <w:b/>
                <w:noProof/>
                <w:color w:val="000000"/>
                <w:sz w:val="20"/>
              </w:rPr>
              <w:t>Изменение на верифицираните емисии спрямо година x-1</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1 326 852</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2 262 389</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4 039 440</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p>
        </w:tc>
      </w:tr>
      <w:tr>
        <w:trPr>
          <w:trHeight w:val="758"/>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br/>
            </w:r>
            <w:r>
              <w:rPr>
                <w:rFonts w:ascii="Times New Roman" w:hAnsi="Times New Roman"/>
                <w:b/>
                <w:noProof/>
                <w:color w:val="000000"/>
                <w:sz w:val="20"/>
              </w:rPr>
              <w:t>Безплатни квоти (държавите от ЕС-28 + държавите от ЕАСТ, участващи в ЕИП)</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32 455 312</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32 403 025</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32 152 526</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32 036 975</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rPr>
              <w:t>32 018 239</w:t>
            </w:r>
          </w:p>
        </w:tc>
      </w:tr>
      <w:tr>
        <w:trPr>
          <w:trHeight w:val="750"/>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Безплатни квоти от специалния резерв за нови участници и бързо развиващи се оператори</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rPr>
              <w:t>1 085 080</w:t>
            </w:r>
          </w:p>
        </w:tc>
      </w:tr>
      <w:tr>
        <w:trPr>
          <w:trHeight w:val="38"/>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Обеми на квотите, предназначени за тръжна продажба</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9 278 000</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16 390 500</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5 997 500</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rPr>
              <w:t>4 730 500</w:t>
            </w:r>
            <w:r>
              <w:rPr>
                <w:rStyle w:val="FootnoteReference"/>
                <w:rFonts w:ascii="Times New Roman" w:hAnsi="Times New Roman"/>
                <w:noProof/>
                <w:color w:val="000000"/>
                <w:sz w:val="20"/>
              </w:rPr>
              <w:footnoteReference w:id="49"/>
            </w:r>
          </w:p>
        </w:tc>
      </w:tr>
    </w:tbl>
    <w:p>
      <w:pPr>
        <w:jc w:val="both"/>
        <w:rPr>
          <w:rFonts w:ascii="Times New Roman" w:hAnsi="Times New Roman"/>
          <w:noProof/>
          <w:sz w:val="24"/>
          <w:szCs w:val="24"/>
          <w:highlight w:val="yellow"/>
        </w:rPr>
      </w:pPr>
    </w:p>
    <w:p>
      <w:pPr>
        <w:jc w:val="both"/>
        <w:rPr>
          <w:rFonts w:ascii="Times New Roman" w:hAnsi="Times New Roman"/>
          <w:noProof/>
          <w:sz w:val="24"/>
          <w:szCs w:val="24"/>
        </w:rPr>
      </w:pPr>
      <w:r>
        <w:rPr>
          <w:rFonts w:ascii="Times New Roman" w:hAnsi="Times New Roman"/>
          <w:noProof/>
          <w:sz w:val="24"/>
        </w:rPr>
        <w:t>Обемите на авиационните квоти, предназначени за тръжна продажба през периода 2013—2015 г., отразяват решението на съзаконодателя от 2013 г. за „спиране на часовника“</w:t>
      </w:r>
      <w:r>
        <w:rPr>
          <w:rStyle w:val="FootnoteReference"/>
          <w:rFonts w:ascii="Times New Roman" w:hAnsi="Times New Roman"/>
          <w:noProof/>
          <w:sz w:val="24"/>
        </w:rPr>
        <w:footnoteReference w:id="50"/>
      </w:r>
      <w:r>
        <w:rPr>
          <w:rFonts w:ascii="Times New Roman" w:hAnsi="Times New Roman"/>
          <w:noProof/>
          <w:sz w:val="24"/>
        </w:rPr>
        <w:t xml:space="preserve"> и ограничаване на задълженията във връзка с изменението на климата само до полети в рамките на ЕИП в подкрепа на разработването от ИКАО на глобална мярка. Спазването на тези изисквания за сектора на въздухоплаването беше отложено и през 2012 и 2013 г. никакви квоти за авиационни емисии не бяха продадени на търг. Поради това обемите за 2012 г. бяха продадени на търг през 2014 г., а през 2015 г. бяха спазени изискванията за авиационните емисии от 2013 и 2014 г.</w:t>
      </w:r>
    </w:p>
    <w:p>
      <w:pPr>
        <w:jc w:val="both"/>
        <w:rPr>
          <w:noProof/>
        </w:rPr>
      </w:pPr>
    </w:p>
    <w:p>
      <w:pPr>
        <w:pStyle w:val="Heading1"/>
        <w:numPr>
          <w:ilvl w:val="0"/>
          <w:numId w:val="1"/>
        </w:numPr>
        <w:rPr>
          <w:noProof/>
        </w:rPr>
      </w:pPr>
      <w:bookmarkStart w:id="48" w:name="_Toc490850435"/>
      <w:bookmarkStart w:id="49" w:name="_Toc495312133"/>
      <w:bookmarkStart w:id="50" w:name="_Toc499041548"/>
      <w:r>
        <w:rPr>
          <w:noProof/>
        </w:rPr>
        <w:t>НАДЗОР НА ПАЗАРА</w:t>
      </w:r>
      <w:bookmarkEnd w:id="48"/>
      <w:bookmarkEnd w:id="49"/>
      <w:bookmarkEnd w:id="50"/>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lang w:val="en-US" w:eastAsia="en-US" w:bidi="ar-SA"/>
        </w:rPr>
        <mc:AlternateContent>
          <mc:Choice Requires="wps">
            <w:drawing>
              <wp:inline distT="0" distB="0" distL="0" distR="0">
                <wp:extent cx="5771693" cy="6264322"/>
                <wp:effectExtent l="0" t="0" r="19685" b="2222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6264322"/>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Значителна част от дневните трансакции с квоти за емисии се осъществява под формата на деривати (фючърси, форуърди, опции, суапове), които вече са предмет на Регламента на ЕС относно финансовите пазари. Той се заменя от новата Директива за финансовите пазари (пакет MiFID2*), която ще започне да се прилага от януари 2018 г. </w:t>
                            </w:r>
                          </w:p>
                          <w:p>
                            <w:pPr>
                              <w:autoSpaceDE w:val="0"/>
                              <w:autoSpaceDN w:val="0"/>
                              <w:adjustRightInd w:val="0"/>
                              <w:spacing w:before="120" w:after="120"/>
                              <w:jc w:val="both"/>
                              <w:rPr>
                                <w:rFonts w:ascii="Times New Roman" w:hAnsi="Times New Roman"/>
                                <w:sz w:val="24"/>
                                <w:szCs w:val="24"/>
                              </w:rPr>
                            </w:pPr>
                            <w:r>
                              <w:rPr>
                                <w:rFonts w:ascii="Times New Roman" w:hAnsi="Times New Roman"/>
                                <w:sz w:val="24"/>
                              </w:rPr>
                              <w:t>Съгласно тази нова директива квотите за емисии ще се класифицират като финансови инструменти. Това означава, че правилата, които се отнасят за традиционните финансови пазари (включващи търговията с деривати на въглеродни емисии на водещи платформи или извънборсовата търговия), ще се прилагат и за спот сегмента на вторичния пазар на въглеродни емисии, като по този начин квотите за емисии се поставят наравно с пазара на деривати по отношение на изискванията за прозрачност, защита на инвеститорите и почтеност.</w:t>
                            </w:r>
                            <w:r>
                              <w:rPr>
                                <w:rStyle w:val="FootnoteReference"/>
                                <w:rFonts w:ascii="Times New Roman" w:hAnsi="Times New Roman"/>
                                <w:sz w:val="24"/>
                              </w:rPr>
                              <w:t xml:space="preserve"> </w:t>
                            </w:r>
                          </w:p>
                          <w:p>
                            <w:pPr>
                              <w:autoSpaceDE w:val="0"/>
                              <w:autoSpaceDN w:val="0"/>
                              <w:adjustRightInd w:val="0"/>
                              <w:spacing w:before="120" w:after="120"/>
                              <w:jc w:val="both"/>
                              <w:rPr>
                                <w:rFonts w:ascii="Times New Roman" w:hAnsi="Times New Roman"/>
                                <w:sz w:val="24"/>
                                <w:szCs w:val="24"/>
                              </w:rPr>
                            </w:pPr>
                            <w:r>
                              <w:rPr>
                                <w:rFonts w:ascii="Times New Roman" w:hAnsi="Times New Roman"/>
                                <w:sz w:val="24"/>
                              </w:rPr>
                              <w:t>Освен това, по силата на препратки към определенията за финансовите инструменти в MiFID2, ще се прилагат и други части на нормативната уредба в областта на финансовите пазари. Това се отнася по-специално за Регламента относно пазарната злоупотреба (МАR)**, който ще обхваща трансакциите и поведението във връзка с квоти за емисии както на първичния, така и на вторичния пазар. По подобен начин препратка към MiFID2 в Директивата относно борбата с изпирането на пари*** ще задейства задължителното прилагане на комплексни проверки от страна на лицензираните по MiFID2 търговци на въглеродни емисии на техните клиенти на вторичния спот пазар на квоти за емисии.</w:t>
                            </w:r>
                            <w:r>
                              <w:t xml:space="preserve"> </w:t>
                            </w:r>
                            <w:r>
                              <w:rPr>
                                <w:rFonts w:ascii="Times New Roman" w:hAnsi="Times New Roman"/>
                                <w:sz w:val="24"/>
                              </w:rPr>
                              <w:t>****</w:t>
                            </w:r>
                          </w:p>
                          <w:p>
                            <w:pPr>
                              <w:jc w:val="both"/>
                              <w:rPr>
                                <w:rFonts w:ascii="Times New Roman" w:hAnsi="Times New Roman"/>
                                <w:sz w:val="18"/>
                                <w:szCs w:val="18"/>
                              </w:rPr>
                            </w:pPr>
                            <w:r>
                              <w:rPr>
                                <w:rFonts w:ascii="Times New Roman" w:hAnsi="Times New Roman"/>
                                <w:sz w:val="18"/>
                              </w:rPr>
                              <w:t>*</w:t>
                            </w:r>
                            <w:r>
                              <w:t xml:space="preserve"> </w:t>
                            </w:r>
                            <w:r>
                              <w:rPr>
                                <w:rFonts w:ascii="Times New Roman" w:hAnsi="Times New Roman"/>
                                <w:sz w:val="18"/>
                              </w:rPr>
                              <w:t xml:space="preserve">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w:t>
                            </w:r>
                          </w:p>
                          <w:p>
                            <w:pPr>
                              <w:jc w:val="both"/>
                              <w:rPr>
                                <w:rFonts w:ascii="Times New Roman" w:hAnsi="Times New Roman"/>
                                <w:sz w:val="18"/>
                                <w:szCs w:val="18"/>
                              </w:rPr>
                            </w:pPr>
                            <w:r>
                              <w:rPr>
                                <w:rFonts w:ascii="Times New Roman" w:hAnsi="Times New Roman"/>
                                <w:sz w:val="18"/>
                              </w:rPr>
                              <w:t>**</w:t>
                            </w:r>
                            <w:r>
                              <w:t xml:space="preserve"> </w:t>
                            </w:r>
                            <w:r>
                              <w:rPr>
                                <w:rFonts w:ascii="Times New Roman" w:hAnsi="Times New Roman"/>
                                <w:sz w:val="18"/>
                              </w:rPr>
                              <w:t>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w:t>
                            </w:r>
                          </w:p>
                          <w:p>
                            <w:pPr>
                              <w:jc w:val="both"/>
                              <w:rPr>
                                <w:rFonts w:ascii="Times New Roman" w:hAnsi="Times New Roman"/>
                                <w:sz w:val="18"/>
                                <w:szCs w:val="18"/>
                              </w:rPr>
                            </w:pPr>
                            <w:r>
                              <w:rPr>
                                <w:rFonts w:ascii="Times New Roman" w:hAnsi="Times New Roman"/>
                                <w:sz w:val="18"/>
                              </w:rP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w:t>
                            </w:r>
                          </w:p>
                          <w:p>
                            <w:pPr>
                              <w:jc w:val="both"/>
                              <w:rPr>
                                <w:rFonts w:ascii="Times New Roman" w:hAnsi="Times New Roman"/>
                                <w:sz w:val="18"/>
                                <w:szCs w:val="18"/>
                              </w:rPr>
                            </w:pPr>
                            <w:r>
                              <w:rPr>
                                <w:rFonts w:ascii="Times New Roman" w:hAnsi="Times New Roman"/>
                                <w:sz w:val="18"/>
                              </w:rPr>
                              <w:t>**** Комплексните проверки вече са задължителни на първичния пазар и на вторичния пазар на деривати върху квоти за емисии.</w:t>
                            </w:r>
                          </w:p>
                        </w:txbxContent>
                      </wps:txbx>
                      <wps:bodyPr rot="0" vert="horz" wrap="square" lIns="91440" tIns="45720" rIns="91440" bIns="45720" anchor="t" anchorCtr="0">
                        <a:noAutofit/>
                      </wps:bodyPr>
                    </wps:wsp>
                  </a:graphicData>
                </a:graphic>
              </wp:inline>
            </w:drawing>
          </mc:Choice>
          <mc:Fallback>
            <w:pict>
              <v:shape id="_x0000_s1037" type="#_x0000_t202" style="width:454.45pt;height:4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rPr>
                        <w:t xml:space="preserve">Значителна част от дневните трансакции с квоти за емисии се осъществява под формата на деривати (фючърси, форуърди, опции, суапове), които вече са предмет на Регламента на ЕС относно финансовите пазари. Той се заменя от новата Директива за финансовите пазари (пакет MiFID2*), която ще започне да се прилага от януари 2018 г. </w:t>
                      </w:r>
                    </w:p>
                    <w:p>
                      <w:pPr>
                        <w:autoSpaceDE w:val="0"/>
                        <w:autoSpaceDN w:val="0"/>
                        <w:adjustRightInd w:val="0"/>
                        <w:spacing w:before="120" w:after="120"/>
                        <w:jc w:val="both"/>
                        <w:rPr>
                          <w:rFonts w:ascii="Times New Roman" w:hAnsi="Times New Roman"/>
                          <w:sz w:val="24"/>
                          <w:szCs w:val="24"/>
                        </w:rPr>
                      </w:pPr>
                      <w:r>
                        <w:rPr>
                          <w:rFonts w:ascii="Times New Roman" w:hAnsi="Times New Roman"/>
                          <w:sz w:val="24"/>
                        </w:rPr>
                        <w:t>Съгласно тази нова директива квотите за емисии ще се класифицират като финансови инструменти. Това означава, че правилата, които се отнасят за традиционните финансови пазари (включващи търговията с деривати на въглеродни емисии на водещи платформи или извънборсовата търговия), ще се прилагат и за спот сегмента на вторичния пазар на въглеродни емисии, като по този начин квотите за емисии се поставят наравно с пазара на деривати по отношение на изискванията за прозрачност, защита на инвеститорите и почтеност.</w:t>
                      </w:r>
                      <w:r>
                        <w:rPr>
                          <w:rStyle w:val="FootnoteReference"/>
                          <w:rFonts w:ascii="Times New Roman" w:hAnsi="Times New Roman"/>
                          <w:sz w:val="24"/>
                        </w:rPr>
                        <w:t xml:space="preserve"> </w:t>
                      </w:r>
                    </w:p>
                    <w:p>
                      <w:pPr>
                        <w:autoSpaceDE w:val="0"/>
                        <w:autoSpaceDN w:val="0"/>
                        <w:adjustRightInd w:val="0"/>
                        <w:spacing w:before="120" w:after="120"/>
                        <w:jc w:val="both"/>
                        <w:rPr>
                          <w:rFonts w:ascii="Times New Roman" w:hAnsi="Times New Roman"/>
                          <w:sz w:val="24"/>
                          <w:szCs w:val="24"/>
                        </w:rPr>
                      </w:pPr>
                      <w:r>
                        <w:rPr>
                          <w:rFonts w:ascii="Times New Roman" w:hAnsi="Times New Roman"/>
                          <w:sz w:val="24"/>
                        </w:rPr>
                        <w:t>Освен това, по силата на препратки към определенията за финансовите инструменти в MiFID2, ще се прилагат и други части на нормативната уредба в областта на финансовите пазари. Това се отнася по-специално за Регламента относно пазарната злоупотреба (МАR)**, който ще обхваща трансакциите и поведението във връзка с квоти за емисии както на първичния, така и на вторичния пазар. По подобен начин препратка към MiFID2 в Директивата относно борбата с изпирането на пари*** ще задейства задължителното прилагане на комплексни проверки от страна на лицензираните по MiFID2 търговци на въглеродни емисии на техните клиенти на вторичния спот пазар на квоти за емисии.</w:t>
                      </w:r>
                      <w:r>
                        <w:t xml:space="preserve"> </w:t>
                      </w:r>
                      <w:r>
                        <w:rPr>
                          <w:rFonts w:ascii="Times New Roman" w:hAnsi="Times New Roman"/>
                          <w:sz w:val="24"/>
                        </w:rPr>
                        <w:t>****</w:t>
                      </w:r>
                    </w:p>
                    <w:p>
                      <w:pPr>
                        <w:jc w:val="both"/>
                        <w:rPr>
                          <w:rFonts w:ascii="Times New Roman" w:hAnsi="Times New Roman"/>
                          <w:sz w:val="18"/>
                          <w:szCs w:val="18"/>
                        </w:rPr>
                      </w:pPr>
                      <w:r>
                        <w:rPr>
                          <w:rFonts w:ascii="Times New Roman" w:hAnsi="Times New Roman"/>
                          <w:sz w:val="18"/>
                        </w:rPr>
                        <w:t>*</w:t>
                      </w:r>
                      <w:r>
                        <w:t xml:space="preserve"> </w:t>
                      </w:r>
                      <w:r>
                        <w:rPr>
                          <w:rFonts w:ascii="Times New Roman" w:hAnsi="Times New Roman"/>
                          <w:sz w:val="18"/>
                        </w:rPr>
                        <w:t xml:space="preserve">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w:t>
                      </w:r>
                    </w:p>
                    <w:p>
                      <w:pPr>
                        <w:jc w:val="both"/>
                        <w:rPr>
                          <w:rFonts w:ascii="Times New Roman" w:hAnsi="Times New Roman"/>
                          <w:sz w:val="18"/>
                          <w:szCs w:val="18"/>
                        </w:rPr>
                      </w:pPr>
                      <w:r>
                        <w:rPr>
                          <w:rFonts w:ascii="Times New Roman" w:hAnsi="Times New Roman"/>
                          <w:sz w:val="18"/>
                        </w:rPr>
                        <w:t>**</w:t>
                      </w:r>
                      <w:r>
                        <w:t xml:space="preserve"> </w:t>
                      </w:r>
                      <w:r>
                        <w:rPr>
                          <w:rFonts w:ascii="Times New Roman" w:hAnsi="Times New Roman"/>
                          <w:sz w:val="18"/>
                        </w:rPr>
                        <w:t>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w:t>
                      </w:r>
                    </w:p>
                    <w:p>
                      <w:pPr>
                        <w:jc w:val="both"/>
                        <w:rPr>
                          <w:rFonts w:ascii="Times New Roman" w:hAnsi="Times New Roman"/>
                          <w:sz w:val="18"/>
                          <w:szCs w:val="18"/>
                        </w:rPr>
                      </w:pPr>
                      <w:r>
                        <w:rPr>
                          <w:rFonts w:ascii="Times New Roman" w:hAnsi="Times New Roman"/>
                          <w:sz w:val="18"/>
                        </w:rP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w:t>
                      </w:r>
                    </w:p>
                    <w:p>
                      <w:pPr>
                        <w:jc w:val="both"/>
                        <w:rPr>
                          <w:rFonts w:ascii="Times New Roman" w:hAnsi="Times New Roman"/>
                          <w:sz w:val="18"/>
                          <w:szCs w:val="18"/>
                        </w:rPr>
                      </w:pPr>
                      <w:r>
                        <w:rPr>
                          <w:rFonts w:ascii="Times New Roman" w:hAnsi="Times New Roman"/>
                          <w:sz w:val="18"/>
                        </w:rPr>
                        <w:t>**** Комплексните проверки вече са задължителни на първичния пазар и на вторичния пазар на деривати върху квоти за емисии.</w:t>
                      </w:r>
                    </w:p>
                  </w:txbxContent>
                </v:textbox>
                <w10:anchorlock/>
              </v:shape>
            </w:pict>
          </mc:Fallback>
        </mc:AlternateConten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rPr>
        <w:t xml:space="preserve">В приетите през 2014 г. пакет MiFID2 и Регламент относно пазарната злоупотреба се предвижда известно приспособяване на общия режим към спецификата на пазара на въглеродни емисии (вж. доклада за пазара на въглеродни емисии през 2015 г.).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rPr>
        <w:t>През 2016 и 2017 г. бяха приети няколко мерки за регулиране на подробни аспекти на разпоредбите съгласно МiFID2</w:t>
      </w:r>
      <w:r>
        <w:rPr>
          <w:rStyle w:val="FootnoteReference"/>
          <w:rFonts w:ascii="Times New Roman" w:hAnsi="Times New Roman"/>
          <w:noProof/>
          <w:sz w:val="24"/>
        </w:rPr>
        <w:footnoteReference w:id="51"/>
      </w:r>
      <w:r>
        <w:rPr>
          <w:rFonts w:ascii="Times New Roman" w:hAnsi="Times New Roman"/>
          <w:noProof/>
          <w:sz w:val="24"/>
        </w:rPr>
        <w:t xml:space="preserve"> и Регламента относно пазарната злоупотреба</w:t>
      </w:r>
      <w:r>
        <w:rPr>
          <w:rStyle w:val="FootnoteReference"/>
          <w:rFonts w:ascii="Times New Roman" w:hAnsi="Times New Roman"/>
          <w:noProof/>
          <w:sz w:val="24"/>
        </w:rPr>
        <w:footnoteReference w:id="52"/>
      </w:r>
      <w:r>
        <w:rPr>
          <w:rFonts w:ascii="Times New Roman" w:hAnsi="Times New Roman"/>
          <w:noProof/>
          <w:sz w:val="24"/>
        </w:rPr>
        <w:t xml:space="preserve">. </w:t>
      </w:r>
    </w:p>
    <w:p>
      <w:pPr>
        <w:autoSpaceDE w:val="0"/>
        <w:autoSpaceDN w:val="0"/>
        <w:adjustRightInd w:val="0"/>
        <w:spacing w:before="120" w:after="120"/>
        <w:jc w:val="both"/>
        <w:rPr>
          <w:rFonts w:ascii="Times New Roman" w:hAnsi="Times New Roman"/>
          <w:noProof/>
          <w:sz w:val="24"/>
          <w:szCs w:val="24"/>
        </w:rPr>
      </w:pPr>
    </w:p>
    <w:p>
      <w:pPr>
        <w:pStyle w:val="Heading2"/>
        <w:numPr>
          <w:ilvl w:val="1"/>
          <w:numId w:val="1"/>
        </w:numPr>
        <w:rPr>
          <w:i w:val="0"/>
          <w:noProof/>
        </w:rPr>
      </w:pPr>
      <w:bookmarkStart w:id="51" w:name="_Toc490850436"/>
      <w:bookmarkStart w:id="52" w:name="_Toc495312134"/>
      <w:bookmarkStart w:id="53" w:name="_Toc499041549"/>
      <w:r>
        <w:rPr>
          <w:i w:val="0"/>
          <w:noProof/>
        </w:rPr>
        <w:t>Правно естество и данъчно третиране на квотите за емисии</w:t>
      </w:r>
      <w:bookmarkEnd w:id="51"/>
      <w:bookmarkEnd w:id="52"/>
      <w:bookmarkEnd w:id="53"/>
    </w:p>
    <w:p>
      <w:pPr>
        <w:jc w:val="both"/>
        <w:rPr>
          <w:noProof/>
        </w:rPr>
      </w:pPr>
    </w:p>
    <w:p>
      <w:pPr>
        <w:jc w:val="both"/>
        <w:rPr>
          <w:rFonts w:ascii="Times New Roman" w:hAnsi="Times New Roman"/>
          <w:noProof/>
          <w:sz w:val="24"/>
          <w:szCs w:val="24"/>
        </w:rPr>
      </w:pPr>
      <w:r>
        <w:rPr>
          <w:noProof/>
          <w:lang w:val="en-US" w:eastAsia="en-US" w:bidi="ar-SA"/>
        </w:rPr>
        <mc:AlternateContent>
          <mc:Choice Requires="wps">
            <w:drawing>
              <wp:inline distT="0" distB="0" distL="0" distR="0">
                <wp:extent cx="5705856" cy="2094931"/>
                <wp:effectExtent l="0" t="0" r="28575" b="1968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2094931"/>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Правното и данъчното третиране на квотите за емисии е различно в отделните държави, тъй като тези два аспекта не са определени в Директивата за СТЕ. Държавите вместо това се задължават да докладват ежегодно за своите национални режими, свързани с правното естество и данъчното третиране на квотите, като част от докладите си по член 21. При все това и независимо от липсата на хармонизация, през последното десетилетие се разви зрял и високо ликвиден пазар. В настоящата регулаторна рамка са предвидени необходимите правни основи за прозрачен и ликвиден пазар на въглеродни емисии, като същевременно се гарантират стабилността и целостта на пазара.</w:t>
                            </w:r>
                          </w:p>
                        </w:txbxContent>
                      </wps:txbx>
                      <wps:bodyPr rot="0" vert="horz" wrap="square" lIns="91440" tIns="45720" rIns="91440" bIns="45720" anchor="t" anchorCtr="0">
                        <a:noAutofit/>
                      </wps:bodyPr>
                    </wps:wsp>
                  </a:graphicData>
                </a:graphic>
              </wp:inline>
            </w:drawing>
          </mc:Choice>
          <mc:Fallback>
            <w:pict>
              <v:shape id="_x0000_s1038" type="#_x0000_t202" style="width:449.3pt;height:1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" fillcolor="#d8d8d8 [2732]" strokeweight="1pt">
                <v:textbox>
                  <w:txbxContent>
                    <w:p>
                      <w:pPr>
                        <w:jc w:val="both"/>
                        <w:rPr>
                          <w:rFonts w:ascii="Times New Roman" w:hAnsi="Times New Roman"/>
                          <w:sz w:val="24"/>
                          <w:szCs w:val="24"/>
                        </w:rPr>
                      </w:pPr>
                      <w:r>
                        <w:rPr>
                          <w:rFonts w:ascii="Times New Roman" w:hAnsi="Times New Roman"/>
                          <w:sz w:val="24"/>
                        </w:rPr>
                        <w:t>Правното и данъчното третиране на квотите за емисии е различно в отделните държави, тъй като тези два аспекта не са определени в Директивата за СТЕ. Държавите вместо това се задължават да докладват ежегодно за своите национални режими, свързани с правното естество и данъчното третиране на квотите, като част от докладите си по член 21. При все това и независимо от липсата на хармонизация, през последното десетилетие се разви зрял и високо ликвиден пазар. В настоящата регулаторна рамка са предвидени необходимите правни основи за прозрачен и ликвиден пазар на въглеродни емисии, като същевременно се гарантират стабилността и целостта на пазара.</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Националното третиране на квотите варира от финансови инструменти и нематериални активи до права на собственост и стоки. Съгласно докладите по член 21, подадени през 2017 г., поне четири участващи държави са въвели или възнамеряват да въведат промени в националното законодателство, най-вече изменения относно прилагането на MiDIF2.</w:t>
      </w:r>
    </w:p>
    <w:p>
      <w:pPr>
        <w:jc w:val="both"/>
        <w:rPr>
          <w:rFonts w:ascii="Times New Roman" w:hAnsi="Times New Roman"/>
          <w:noProof/>
          <w:sz w:val="24"/>
          <w:szCs w:val="24"/>
        </w:rPr>
      </w:pPr>
      <w:r>
        <w:rPr>
          <w:rFonts w:ascii="Times New Roman" w:hAnsi="Times New Roman"/>
          <w:noProof/>
          <w:sz w:val="24"/>
        </w:rPr>
        <w:t>Що се отнася до данъчното третиране на квотите, само три държави докладват, че квотите за емисии се облагат с данък върху добавената стойност (ДДС). За сметка на това в повечето участващи държави (всички, с изключение на Кипър, Естония, Исландия и Лихтенщайн) ДДС се дължи върху трансакциите с квоти за емисии на вторичния пазар. Повечето държави съобщават, че прилагат механизма за обратно начисляване</w:t>
      </w:r>
      <w:r>
        <w:rPr>
          <w:rStyle w:val="FootnoteReference"/>
          <w:rFonts w:ascii="Times New Roman" w:hAnsi="Times New Roman"/>
          <w:noProof/>
          <w:sz w:val="24"/>
        </w:rPr>
        <w:footnoteReference w:id="53"/>
      </w:r>
      <w:r>
        <w:rPr>
          <w:rFonts w:ascii="Times New Roman" w:hAnsi="Times New Roman"/>
          <w:noProof/>
          <w:sz w:val="24"/>
        </w:rPr>
        <w:t xml:space="preserve"> по отношение на вътрешните трансакции с квоти за емисии. Квотите за емисии за корпорации могат да се облагат допълнително (напр. чрез прилагане на корпоративен данък или данък върху дохода). Петнадесет държави съобщават, че не прилагат такова облагане.</w:t>
      </w:r>
    </w:p>
    <w:p>
      <w:pPr>
        <w:jc w:val="both"/>
        <w:rPr>
          <w:rFonts w:ascii="Times New Roman" w:hAnsi="Times New Roman"/>
          <w:noProof/>
          <w:sz w:val="24"/>
          <w:szCs w:val="24"/>
        </w:rPr>
      </w:pPr>
      <w:r>
        <w:rPr>
          <w:rFonts w:ascii="Times New Roman" w:hAnsi="Times New Roman"/>
          <w:noProof/>
          <w:sz w:val="24"/>
        </w:rPr>
        <w:t>Както е посочено в предходния доклад за пазара на въглеродни емисии, Комисията извършва понастоящем проучване на правното естество на квотите в рамките на СТЕ на ЕС.</w:t>
      </w:r>
    </w:p>
    <w:p>
      <w:pPr>
        <w:jc w:val="both"/>
        <w:rPr>
          <w:rStyle w:val="Heading1Char"/>
          <w:rFonts w:eastAsia="Calibri"/>
          <w:b w:val="0"/>
          <w:bCs w:val="0"/>
          <w:noProof/>
          <w:szCs w:val="24"/>
        </w:rPr>
      </w:pPr>
      <w:r>
        <w:rPr>
          <w:rFonts w:ascii="Times New Roman" w:hAnsi="Times New Roman"/>
          <w:noProof/>
          <w:sz w:val="24"/>
        </w:rPr>
        <w:t>В неотдавнашно преюдициално заключение</w:t>
      </w:r>
      <w:r>
        <w:rPr>
          <w:rStyle w:val="FootnoteReference"/>
          <w:rFonts w:ascii="Times New Roman" w:hAnsi="Times New Roman"/>
          <w:noProof/>
          <w:sz w:val="24"/>
        </w:rPr>
        <w:footnoteReference w:id="54"/>
      </w:r>
      <w:r>
        <w:rPr>
          <w:rFonts w:ascii="Times New Roman" w:hAnsi="Times New Roman"/>
          <w:noProof/>
          <w:sz w:val="24"/>
        </w:rPr>
        <w:t xml:space="preserve"> от 8 март 2017 г. Съдът на ЕС се въздържа от определяне на естеството на квотите (вж. допълнение 5 към приложението).</w:t>
      </w:r>
    </w:p>
    <w:p>
      <w:pPr>
        <w:pStyle w:val="Heading1"/>
        <w:numPr>
          <w:ilvl w:val="0"/>
          <w:numId w:val="1"/>
        </w:numPr>
        <w:rPr>
          <w:noProof/>
        </w:rPr>
      </w:pPr>
      <w:bookmarkStart w:id="54" w:name="_Toc490850437"/>
      <w:bookmarkStart w:id="55" w:name="_Toc495312135"/>
      <w:bookmarkStart w:id="56" w:name="_Toc499041550"/>
      <w:r>
        <w:rPr>
          <w:noProof/>
        </w:rPr>
        <w:t>МОНИТОРИНГ, ДОКЛАДВАНЕ И ВЕРИФИКАЦИЯ НА ЕМИСИИТЕ</w:t>
      </w:r>
      <w:bookmarkEnd w:id="54"/>
      <w:bookmarkEnd w:id="55"/>
      <w:bookmarkEnd w:id="56"/>
    </w:p>
    <w:p>
      <w:pPr>
        <w:jc w:val="both"/>
        <w:rPr>
          <w:noProof/>
        </w:rPr>
      </w:pPr>
      <w:r>
        <w:rPr>
          <w:noProof/>
          <w:lang w:val="en-US" w:eastAsia="en-US" w:bidi="ar-SA"/>
        </w:rPr>
        <mc:AlternateContent>
          <mc:Choice Requires="wps">
            <w:drawing>
              <wp:inline distT="0" distB="0" distL="0" distR="0">
                <wp:extent cx="5731510" cy="6305265"/>
                <wp:effectExtent l="0" t="0" r="21590" b="1968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30526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Мониторингът, докладването и верификацията на емисиите на ПГ трябва да са стабилни, прозрачни, последователни и точни, за да се гарантира ефективното функциониране на СТЕ на ЕС. Те се допълват от надеждна система за акредитиране с цел осигуряване на адекватно качество на верификаторите, действащи като трета страна. Изискванията по отношение на мониторинга, докладването и верификацията са хармонизирани в Регламента относно мониторинга и докладването (РМД) и в Регламента относно акредитацията и верификацията (РАВ).</w:t>
                            </w:r>
                          </w:p>
                          <w:p>
                            <w:pPr>
                              <w:jc w:val="both"/>
                              <w:rPr>
                                <w:rFonts w:ascii="Times New Roman" w:hAnsi="Times New Roman"/>
                                <w:sz w:val="24"/>
                                <w:szCs w:val="24"/>
                              </w:rPr>
                            </w:pPr>
                            <w:r>
                              <w:rPr>
                                <w:rFonts w:ascii="Times New Roman" w:hAnsi="Times New Roman"/>
                                <w:sz w:val="24"/>
                              </w:rPr>
                              <w:t>Системата за мониторинг в СТЕ на ЕС е проектирана като „модулен“ подход, което дава възможност за висока степен на гъвкавост на операторите с цел да се гарантира разходоефективност, като същевременно се постигне висока надеждност на наблюдаваните данни за емисиите. За тази цел се допускат няколко метода за мониторинг („изчислителен“ или „измервателен“, а по изключение и „непряк“). За отделните части на дадена инсталация методите могат да се комбинират. За оператори на въздухоплавателни средства са практически осъществими само изчислителните подходи, като разходът на гориво е основният параметър, който трябва да се определя за полетите, попадащи в обхвата на СТЕ на ЕС. Като предпазна мярка срещу произволен избор на мониторингова методика и временни промени е въведено изискването операторите на инсталации и на въздухоплавателни средства да разполагат с план за мониторинг, одобрен от компетентния орган въз основа на РМД.</w:t>
                            </w:r>
                          </w:p>
                          <w:p>
                            <w:pPr>
                              <w:jc w:val="both"/>
                              <w:rPr>
                                <w:rFonts w:ascii="Times New Roman" w:hAnsi="Times New Roman"/>
                                <w:sz w:val="24"/>
                                <w:szCs w:val="24"/>
                              </w:rPr>
                            </w:pPr>
                            <w:r>
                              <w:rPr>
                                <w:rFonts w:ascii="Times New Roman" w:hAnsi="Times New Roman"/>
                                <w:sz w:val="24"/>
                              </w:rPr>
                              <w:t xml:space="preserve">С РАВ за фаза 3 и периода след нея е въведен хармонизиран подход за целия ЕС по отношение на акредитирането на верификаторите. Верификаторите, които са юридическо лице, трябва да бъдат акредитирани от национален орган по акредитация (НОА), за да могат да извършват верификации в съответствие с РАВ. Новата единна система за акредитация има предимството, че дава възможност на верификаторите да действат при взаимно признаване във всички участващи държави, като по този начин се използват изцяло предимствата на вътрешния пазар и се спомага за осигуряване на достатъчна обща разполагаемост на верификационни услуги. </w:t>
                            </w:r>
                          </w:p>
                        </w:txbxContent>
                      </wps:txbx>
                      <wps:bodyPr rot="0" vert="horz" wrap="square" lIns="91440" tIns="45720" rIns="91440" bIns="45720" anchor="t" anchorCtr="0">
                        <a:noAutofit/>
                      </wps:bodyPr>
                    </wps:wsp>
                  </a:graphicData>
                </a:graphic>
              </wp:inline>
            </w:drawing>
          </mc:Choice>
          <mc:Fallback>
            <w:pict>
              <v:shape id="_x0000_s1039" type="#_x0000_t202" style="width:451.3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" fillcolor="#d9d9d9" strokeweight="1pt">
                <v:textbox>
                  <w:txbxContent>
                    <w:p>
                      <w:pPr>
                        <w:jc w:val="both"/>
                        <w:rPr>
                          <w:rFonts w:ascii="Times New Roman" w:hAnsi="Times New Roman"/>
                          <w:sz w:val="24"/>
                          <w:szCs w:val="24"/>
                        </w:rPr>
                      </w:pPr>
                      <w:r>
                        <w:rPr>
                          <w:rFonts w:ascii="Times New Roman" w:hAnsi="Times New Roman"/>
                          <w:sz w:val="24"/>
                        </w:rPr>
                        <w:t>Мониторингът, докладването и верификацията на емисиите на ПГ трябва да са стабилни, прозрачни, последователни и точни, за да се гарантира ефективното функциониране на СТЕ на ЕС. Те се допълват от надеждна система за акредитиране с цел осигуряване на адекватно качество на верификаторите, действащи като трета страна. Изискванията по отношение на мониторинга, докладването и верификацията са хармонизирани в Регламента относно мониторинга и докладването (РМД) и в Регламента относно акредитацията и верификацията (РАВ).</w:t>
                      </w:r>
                    </w:p>
                    <w:p>
                      <w:pPr>
                        <w:jc w:val="both"/>
                        <w:rPr>
                          <w:rFonts w:ascii="Times New Roman" w:hAnsi="Times New Roman"/>
                          <w:sz w:val="24"/>
                          <w:szCs w:val="24"/>
                        </w:rPr>
                      </w:pPr>
                      <w:r>
                        <w:rPr>
                          <w:rFonts w:ascii="Times New Roman" w:hAnsi="Times New Roman"/>
                          <w:sz w:val="24"/>
                        </w:rPr>
                        <w:t>Системата за мониторинг в СТЕ на ЕС е проектирана като „модулен“ подход, което дава възможност за висока степен на гъвкавост на операторите с цел да се гарантира разходоефективност, като същевременно се постигне висока надеждност на наблюдаваните данни за емисиите. За тази цел се допускат няколко метода за мониторинг („изчислителен“ или „измервателен“, а по изключение и „непряк“). За отделните части на дадена инсталация методите могат да се комбинират. За оператори на въздухоплавателни средства са практически осъществими само изчислителните подходи, като разходът на гориво е основният параметър, който трябва да се определя за полетите, попадащи в обхвата на СТЕ на ЕС. Като предпазна мярка срещу произволен избор на мониторингова методика и временни промени е въведено изискването операторите на инсталации и на въздухоплавателни средства да разполагат с план за мониторинг, одобрен от компетентния орган въз основа на РМД.</w:t>
                      </w:r>
                    </w:p>
                    <w:p>
                      <w:pPr>
                        <w:jc w:val="both"/>
                        <w:rPr>
                          <w:rFonts w:ascii="Times New Roman" w:hAnsi="Times New Roman"/>
                          <w:sz w:val="24"/>
                          <w:szCs w:val="24"/>
                        </w:rPr>
                      </w:pPr>
                      <w:r>
                        <w:rPr>
                          <w:rFonts w:ascii="Times New Roman" w:hAnsi="Times New Roman"/>
                          <w:sz w:val="24"/>
                        </w:rPr>
                        <w:t xml:space="preserve">С РАВ за фаза 3 и периода след нея е въведен хармонизиран подход за целия ЕС по отношение на акредитирането на верификаторите. Верификаторите, които са юридическо лице, трябва да бъдат акредитирани от национален орган по акредитация (НОА), за да могат да извършват верификации в съответствие с РАВ. Новата единна система за акредитация има предимството, че дава възможност на верификаторите да действат при взаимно признаване във всички участващи държави, като по този начин се използват изцяло предимствата на вътрешния пазар и се спомага за осигуряване на достатъчна обща разполагаемост на верификационни услуги. </w:t>
                      </w:r>
                    </w:p>
                  </w:txbxContent>
                </v:textbox>
                <w10:anchorlock/>
              </v:shape>
            </w:pict>
          </mc:Fallback>
        </mc:AlternateContent>
      </w:r>
    </w:p>
    <w:p>
      <w:pPr>
        <w:rPr>
          <w:rFonts w:ascii="Times New Roman" w:hAnsi="Times New Roman"/>
          <w:b/>
          <w:bCs/>
          <w:iCs/>
          <w:noProof/>
          <w:sz w:val="24"/>
          <w:szCs w:val="24"/>
        </w:rPr>
      </w:pPr>
      <w:r>
        <w:rPr>
          <w:rFonts w:ascii="Times New Roman" w:hAnsi="Times New Roman"/>
          <w:b/>
          <w:noProof/>
          <w:sz w:val="24"/>
        </w:rPr>
        <w:t>6.1 Общо развитие</w:t>
      </w:r>
    </w:p>
    <w:p>
      <w:pPr>
        <w:jc w:val="both"/>
        <w:rPr>
          <w:rFonts w:ascii="Times New Roman" w:hAnsi="Times New Roman"/>
          <w:noProof/>
          <w:sz w:val="24"/>
          <w:szCs w:val="24"/>
        </w:rPr>
      </w:pPr>
      <w:r>
        <w:rPr>
          <w:rFonts w:ascii="Times New Roman" w:hAnsi="Times New Roman"/>
          <w:noProof/>
          <w:sz w:val="24"/>
        </w:rPr>
        <w:t>Комисията продължава да се стреми към подобряване на насоките и образците, които предоставя с цел да улесни последователното изпълнение на изискванията на РМД</w:t>
      </w:r>
      <w:r>
        <w:rPr>
          <w:rStyle w:val="FootnoteReference"/>
          <w:rFonts w:ascii="Times New Roman" w:hAnsi="Times New Roman"/>
          <w:noProof/>
          <w:sz w:val="24"/>
        </w:rPr>
        <w:footnoteReference w:id="55"/>
      </w:r>
      <w:r>
        <w:rPr>
          <w:rFonts w:ascii="Times New Roman" w:hAnsi="Times New Roman"/>
          <w:noProof/>
          <w:sz w:val="24"/>
        </w:rPr>
        <w:t xml:space="preserve"> и РАВ</w:t>
      </w:r>
      <w:r>
        <w:rPr>
          <w:rStyle w:val="FootnoteReference"/>
          <w:rFonts w:ascii="Times New Roman" w:hAnsi="Times New Roman"/>
          <w:noProof/>
          <w:sz w:val="24"/>
        </w:rPr>
        <w:footnoteReference w:id="56"/>
      </w:r>
      <w:r>
        <w:rPr>
          <w:rFonts w:ascii="Times New Roman" w:hAnsi="Times New Roman"/>
          <w:noProof/>
          <w:sz w:val="24"/>
        </w:rPr>
        <w:t xml:space="preserve">. Във връзка с това са изготвени нови насоки за провеждането на инспекции във връзка със СТЕ на ЕС, които да помогнат на държавите да координират своя отговор на отправена към тях препоръка от Европейската сметна палата за прилагане на по-съгласувани и ефективни рамки за контрол на изпълнението на СТЕ на ЕС, включващи провеждането на инспекции.  </w:t>
      </w:r>
    </w:p>
    <w:p>
      <w:pPr>
        <w:jc w:val="both"/>
        <w:rPr>
          <w:rFonts w:ascii="Times New Roman" w:hAnsi="Times New Roman"/>
          <w:noProof/>
          <w:sz w:val="24"/>
          <w:szCs w:val="24"/>
        </w:rPr>
      </w:pPr>
      <w:r>
        <w:rPr>
          <w:rFonts w:ascii="Times New Roman" w:hAnsi="Times New Roman"/>
          <w:noProof/>
          <w:sz w:val="24"/>
        </w:rPr>
        <w:t>Комисията продължава също така да насърчава подобрения в изпълнението от държавите на МДВА в рамките на СТЕ на ЕС. При необходимост насоките са разяснени и са организирани обучения за решаване на някои от най-често срещаните проблеми в плановете за действие, изготвени в помощ на всяка държава</w:t>
      </w:r>
      <w:r>
        <w:rPr>
          <w:rStyle w:val="FootnoteReference"/>
          <w:rFonts w:ascii="Times New Roman" w:hAnsi="Times New Roman"/>
          <w:noProof/>
          <w:sz w:val="24"/>
        </w:rPr>
        <w:footnoteReference w:id="57"/>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Признато е, че ефективността на системата за съответствие се е подобрила, след като с РМД се позволи на държавите да направят електронното докладване задължително. Повечето участващи държави съобщават за използването на образци или системи въз основа на минималните изисквания, определени от Комисията. През 2017 г. четиринадесет държави членки са съобщили, че използват някаква форма на автоматизирана информационна система за докладване по СТЕ на ЕС (в сравнение с 13 държави през 2016 г. и 10 през 2015 г.).  </w:t>
      </w:r>
    </w:p>
    <w:p>
      <w:pPr>
        <w:jc w:val="both"/>
        <w:rPr>
          <w:rFonts w:ascii="Times New Roman" w:hAnsi="Times New Roman"/>
          <w:noProof/>
          <w:sz w:val="24"/>
          <w:szCs w:val="24"/>
        </w:rPr>
      </w:pPr>
      <w:r>
        <w:rPr>
          <w:rFonts w:ascii="Times New Roman" w:hAnsi="Times New Roman"/>
          <w:noProof/>
          <w:sz w:val="24"/>
        </w:rPr>
        <w:t xml:space="preserve">Както беше посочено в предишния доклад относно пазара на въглеродни емисии, Комисията започна DECLARE ETS във връзка с мониторинга, докладването, верификацията и през май 2016 г. — онлайн система, разработена да подкрепи изпълнението на задълженията, свързани с мониторингови планове по СТЕ на ЕС, годишните доклади за емисиите, верификационните доклади и докладите за подобренията от участващите държави. </w:t>
      </w:r>
    </w:p>
    <w:p>
      <w:pPr>
        <w:jc w:val="both"/>
        <w:rPr>
          <w:rFonts w:ascii="Times New Roman" w:hAnsi="Times New Roman"/>
          <w:b/>
          <w:bCs/>
          <w:iCs/>
          <w:noProof/>
          <w:sz w:val="24"/>
          <w:szCs w:val="24"/>
        </w:rPr>
      </w:pPr>
      <w:r>
        <w:rPr>
          <w:rFonts w:ascii="Times New Roman" w:hAnsi="Times New Roman"/>
          <w:b/>
          <w:noProof/>
          <w:sz w:val="24"/>
        </w:rPr>
        <w:t>6.2 Прилаган мониторинг</w:t>
      </w:r>
    </w:p>
    <w:p>
      <w:pPr>
        <w:jc w:val="both"/>
        <w:rPr>
          <w:rFonts w:ascii="Times New Roman" w:hAnsi="Times New Roman"/>
          <w:noProof/>
          <w:sz w:val="24"/>
          <w:szCs w:val="24"/>
        </w:rPr>
      </w:pPr>
      <w:r>
        <w:rPr>
          <w:rFonts w:ascii="Times New Roman" w:hAnsi="Times New Roman"/>
          <w:noProof/>
          <w:sz w:val="24"/>
        </w:rPr>
        <w:t>Съгласно докладите по член 21, представени през 2017 г., повечето инсталации използват изчислителната методика</w:t>
      </w:r>
      <w:r>
        <w:rPr>
          <w:rStyle w:val="FootnoteReference"/>
          <w:rFonts w:ascii="Times New Roman" w:hAnsi="Times New Roman"/>
          <w:noProof/>
          <w:sz w:val="24"/>
        </w:rPr>
        <w:footnoteReference w:id="58"/>
      </w:r>
      <w:r>
        <w:rPr>
          <w:rFonts w:ascii="Times New Roman" w:hAnsi="Times New Roman"/>
          <w:noProof/>
          <w:sz w:val="24"/>
        </w:rPr>
        <w:t>. Само за 150 инсталации (под 1,5 %) в 23 държави се съобщава, че използват системи за непрекъснато измерване на емисиите, най-често в Германия и Чешката република. Държавите са с една повече от миналата година, но инсталациите като общ брой са с една по-малко.</w:t>
      </w:r>
    </w:p>
    <w:p>
      <w:pPr>
        <w:jc w:val="both"/>
        <w:rPr>
          <w:rFonts w:ascii="Times New Roman" w:hAnsi="Times New Roman"/>
          <w:noProof/>
          <w:sz w:val="24"/>
          <w:szCs w:val="24"/>
        </w:rPr>
      </w:pPr>
      <w:r>
        <w:rPr>
          <w:rFonts w:ascii="Times New Roman" w:hAnsi="Times New Roman"/>
          <w:noProof/>
          <w:sz w:val="24"/>
        </w:rPr>
        <w:t>Само 11 държави са докладвали за използване на непряк подход за 36 инсталации, покриващи около 5,1 милиона тона еквивалент  на CO</w:t>
      </w:r>
      <w:r>
        <w:rPr>
          <w:rFonts w:ascii="Times New Roman" w:hAnsi="Times New Roman"/>
          <w:noProof/>
          <w:sz w:val="24"/>
          <w:vertAlign w:val="subscript"/>
        </w:rPr>
        <w:t>2</w:t>
      </w:r>
      <w:r>
        <w:rPr>
          <w:rFonts w:ascii="Times New Roman" w:hAnsi="Times New Roman"/>
          <w:noProof/>
          <w:sz w:val="24"/>
        </w:rPr>
        <w:t xml:space="preserve"> (в сравнение с 6,6 милиона тона еквивалент на CO</w:t>
      </w:r>
      <w:r>
        <w:rPr>
          <w:rFonts w:ascii="Times New Roman" w:hAnsi="Times New Roman"/>
          <w:noProof/>
          <w:sz w:val="24"/>
          <w:vertAlign w:val="subscript"/>
        </w:rPr>
        <w:t>2</w:t>
      </w:r>
      <w:r>
        <w:rPr>
          <w:rFonts w:ascii="Times New Roman" w:hAnsi="Times New Roman"/>
          <w:noProof/>
          <w:sz w:val="24"/>
        </w:rPr>
        <w:t xml:space="preserve">  през предходната година). Нидерландия съобщава за намаляване на броя на инсталациите, прилагащи непряка методология (9 спрямо 12 миналата година) и намаляване наполовина на засегнатите емисии. На две инсталации (една в Обединеното кралство и една в Нидерландия) се падат повече от половината от общото количество емисии, докладвани във връзка с непряката методология.</w:t>
      </w:r>
    </w:p>
    <w:p>
      <w:pPr>
        <w:jc w:val="both"/>
        <w:rPr>
          <w:rFonts w:ascii="Times New Roman" w:hAnsi="Times New Roman"/>
          <w:noProof/>
          <w:sz w:val="24"/>
          <w:szCs w:val="24"/>
        </w:rPr>
      </w:pPr>
      <w:r>
        <w:rPr>
          <w:rFonts w:ascii="Times New Roman" w:hAnsi="Times New Roman"/>
          <w:noProof/>
          <w:sz w:val="24"/>
        </w:rPr>
        <w:t>Огромното мнозинство от инсталациите изпълняват приетите по подразбиране минимални основни изисквания</w:t>
      </w:r>
      <w:r>
        <w:rPr>
          <w:rStyle w:val="FootnoteReference"/>
          <w:rFonts w:ascii="Times New Roman" w:hAnsi="Times New Roman"/>
          <w:noProof/>
          <w:sz w:val="24"/>
        </w:rPr>
        <w:footnoteReference w:id="59"/>
      </w:r>
      <w:r>
        <w:rPr>
          <w:rFonts w:ascii="Times New Roman" w:hAnsi="Times New Roman"/>
          <w:noProof/>
          <w:sz w:val="24"/>
        </w:rPr>
        <w:t xml:space="preserve"> съгласно Регламента за мониторинг и докладване (РМД). Само за 105 инсталации от категория В (спрямо 113 през предходната година и 118 една година по-рано), т.е. 13 % (спрямо 14 % миналата година), се съобщава, че се отклоняват поне по един параметър от задължението за прилагане на най-високото ниво на изисквания за основните потоци, пораждащи емисии. Такива отклонения са допустими, само когато операторът докаже, че най-високото ниво на изисквания е технически неосъществимо или води до неразумно големи разходи. След като тези условия не са вече налице, операторът трябва да направи съответните подобрения в своята система за мониторинг.  През отчетния период за 2013 г. за 137 инсталации от категория В (16 % от общия брой) се съобщава, че не отговарят по един или друг начин на най-високото ниво на изисквания. Следователно през всяка година от фаза 3 на СТЕ на ЕС се наблюдава устойчиво подобрение при спазването на най-високото ниво на изисквания от инсталациите от категория В.  </w:t>
      </w:r>
    </w:p>
    <w:p>
      <w:pPr>
        <w:jc w:val="both"/>
        <w:rPr>
          <w:rFonts w:ascii="Times New Roman" w:hAnsi="Times New Roman"/>
          <w:noProof/>
          <w:sz w:val="24"/>
          <w:szCs w:val="24"/>
        </w:rPr>
      </w:pPr>
      <w:r>
        <w:rPr>
          <w:rFonts w:ascii="Times New Roman" w:hAnsi="Times New Roman"/>
          <w:noProof/>
          <w:sz w:val="24"/>
        </w:rPr>
        <w:t>Също така в докладите на 22 участващи държави (същият брой както през предишните две години) се посочва, че общо 22 % от инсталациите в категория Б имат разрешение за някаква форма на отклонение от приетите по подразбиране изисквания, установени в РМД, в сравнение с 26 % през предходната година и 28 % една година по-рано, което отново потвърждава устойчивото подобрение в спазването на най-високото ниво на изисквания.</w:t>
      </w:r>
    </w:p>
    <w:p>
      <w:pPr>
        <w:jc w:val="both"/>
        <w:rPr>
          <w:rFonts w:ascii="Times New Roman" w:hAnsi="Times New Roman"/>
          <w:b/>
          <w:bCs/>
          <w:iCs/>
          <w:noProof/>
          <w:sz w:val="24"/>
          <w:szCs w:val="24"/>
        </w:rPr>
      </w:pPr>
      <w:r>
        <w:rPr>
          <w:rFonts w:ascii="Times New Roman" w:hAnsi="Times New Roman"/>
          <w:b/>
          <w:noProof/>
          <w:sz w:val="24"/>
        </w:rPr>
        <w:t>6.3 Акредитирана верификация</w:t>
      </w:r>
    </w:p>
    <w:p>
      <w:pPr>
        <w:jc w:val="both"/>
        <w:rPr>
          <w:rFonts w:ascii="Times New Roman" w:hAnsi="Times New Roman"/>
          <w:noProof/>
          <w:sz w:val="24"/>
          <w:szCs w:val="24"/>
        </w:rPr>
      </w:pPr>
      <w:r>
        <w:rPr>
          <w:rFonts w:ascii="Times New Roman" w:hAnsi="Times New Roman"/>
          <w:noProof/>
          <w:sz w:val="24"/>
        </w:rPr>
        <w:t>В докладите на държавите по член 21 общият брой на верификаторите не се съобщава, но разумна оценка, основана на броя на верификаторите, акредитирани в областта на горивните процеси (която е и основният обхват на акредитацията), сочи, че за верификациите през 2016 г. са били акредитирани общо поне 130 отделни верификатори. Докладите по член 21, подадени през 2017 г., показват, че в сектора на въздухоплаването през 2016 г. са били акредитирани 47 отделни верификатори. Европейската организация за акредитация (ЕА) предлага централна връзка към съответните национални органи по акредитация (НОА) и техните списъци с акредитирани верификатори по СТЕ на ЕС</w:t>
      </w:r>
      <w:r>
        <w:rPr>
          <w:rFonts w:ascii="Times New Roman" w:hAnsi="Times New Roman"/>
          <w:noProof/>
          <w:sz w:val="24"/>
          <w:vertAlign w:val="superscript"/>
        </w:rPr>
        <w:footnoteReference w:id="60"/>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Взаимното признаване на верификаторите в участващите държави действа успешно: повечето държави (29 — всички, с изключение на Франция и Латвия) са докладвали, че на територията им действа поне един чуждестранен верификатор.</w:t>
      </w:r>
    </w:p>
    <w:p>
      <w:pPr>
        <w:jc w:val="both"/>
        <w:rPr>
          <w:rFonts w:ascii="Times New Roman" w:hAnsi="Times New Roman"/>
          <w:noProof/>
          <w:sz w:val="24"/>
          <w:szCs w:val="24"/>
        </w:rPr>
      </w:pPr>
      <w:r>
        <w:rPr>
          <w:rFonts w:ascii="Times New Roman" w:hAnsi="Times New Roman"/>
          <w:noProof/>
          <w:sz w:val="24"/>
        </w:rPr>
        <w:t xml:space="preserve">Съответствието на проверяващите с РАВ е определено като високо. Само Полша е съобщила за временно прекратяване и Швеция — за оттегляне на акредитация през 2016 г. (по един верификатор във всеки от двата случая). За сравнение, нямаше съобщения за временни прекратявания или оттегляния през 2015 г., а през 2014 г. имаше едно временно прекратяване и едно оттегляне. Само Полша е съобщила за намаляване на обхвата на акредитацията на един верификатор през 2016 г., в сравнение с четири държави, съобщили за такива намалявания за пет верификатори през 2015 г. и три държави — за шест верификатори през 2014 г. </w:t>
      </w:r>
    </w:p>
    <w:p>
      <w:pPr>
        <w:jc w:val="both"/>
        <w:rPr>
          <w:rFonts w:ascii="Times New Roman" w:hAnsi="Times New Roman"/>
          <w:noProof/>
          <w:sz w:val="24"/>
          <w:szCs w:val="24"/>
        </w:rPr>
      </w:pPr>
      <w:r>
        <w:rPr>
          <w:rFonts w:ascii="Times New Roman" w:hAnsi="Times New Roman"/>
          <w:noProof/>
          <w:sz w:val="24"/>
        </w:rPr>
        <w:t>През тази година по-малко държави са съобщили за получени жалби относно верификатори  (осем в сравнение с девет миналата година). Общият брой на жалбите също е със 17 % по-малък. Съобщава се, че 96 % от получените жалби са били разрешени (същият процент като миналата година). Девет държави са докладвали за констатирано несъответствие на верификатор като част от процеса за обмен на информация между националните органи по акредитация и компетентните органи (в сравнение с единадесет държави през миналата година).</w:t>
      </w:r>
    </w:p>
    <w:p>
      <w:pPr>
        <w:jc w:val="both"/>
        <w:rPr>
          <w:rFonts w:ascii="Times New Roman" w:hAnsi="Times New Roman"/>
          <w:noProof/>
          <w:sz w:val="24"/>
          <w:szCs w:val="24"/>
        </w:rPr>
      </w:pPr>
    </w:p>
    <w:p>
      <w:pPr>
        <w:pStyle w:val="Heading1"/>
        <w:numPr>
          <w:ilvl w:val="0"/>
          <w:numId w:val="1"/>
        </w:numPr>
        <w:rPr>
          <w:noProof/>
        </w:rPr>
      </w:pPr>
      <w:bookmarkStart w:id="57" w:name="_Toc495312136"/>
      <w:bookmarkStart w:id="58" w:name="_Toc499041551"/>
      <w:bookmarkStart w:id="59" w:name="_Toc490850438"/>
      <w:r>
        <w:rPr>
          <w:noProof/>
        </w:rPr>
        <w:t>ПРЕГЛЕД НА АДМИНИСТРАТИВНИТЕ МЕРКИ</w:t>
      </w:r>
      <w:bookmarkEnd w:id="57"/>
      <w:bookmarkEnd w:id="58"/>
      <w:r>
        <w:rPr>
          <w:noProof/>
        </w:rPr>
        <w:t xml:space="preserve"> </w:t>
      </w:r>
      <w:bookmarkEnd w:id="59"/>
    </w:p>
    <w:p>
      <w:pPr>
        <w:rPr>
          <w:noProof/>
        </w:rPr>
      </w:pPr>
      <w:r>
        <w:rPr>
          <w:noProof/>
          <w:lang w:val="en-US" w:eastAsia="en-US" w:bidi="ar-SA"/>
        </w:rPr>
        <mc:AlternateContent>
          <mc:Choice Requires="wps">
            <w:drawing>
              <wp:inline distT="0" distB="0" distL="0" distR="0">
                <wp:extent cx="5731510" cy="1160059"/>
                <wp:effectExtent l="0" t="0" r="21590" b="2159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60059"/>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Държавите, участващи в СТЕ на ЕС, използват различни подходи по отношение на компетентните органи, отговарящи за прилагането на системата. В някои държави са ангажирани няколко местни органа, докато в други се използва много по-централизиран подход. Докладите по член 21 осигуряват висока степен на обзор на организационната структура във всяка участваща държава.</w:t>
                            </w:r>
                          </w:p>
                        </w:txbxContent>
                      </wps:txbx>
                      <wps:bodyPr rot="0" vert="horz" wrap="square" lIns="91440" tIns="45720" rIns="91440" bIns="45720" anchor="t" anchorCtr="0">
                        <a:noAutofit/>
                      </wps:bodyPr>
                    </wps:wsp>
                  </a:graphicData>
                </a:graphic>
              </wp:inline>
            </w:drawing>
          </mc:Choice>
          <mc:Fallback>
            <w:pict>
              <v:shape id="_x0000_s1040" type="#_x0000_t202" style="width:451.3pt;height: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" fillcolor="#d9d9d9" strokeweight="1pt">
                <v:textbox>
                  <w:txbxContent>
                    <w:p>
                      <w:pPr>
                        <w:jc w:val="both"/>
                        <w:rPr>
                          <w:rFonts w:ascii="Times New Roman" w:hAnsi="Times New Roman"/>
                          <w:sz w:val="24"/>
                          <w:szCs w:val="24"/>
                        </w:rPr>
                      </w:pPr>
                      <w:r>
                        <w:rPr>
                          <w:rFonts w:ascii="Times New Roman" w:hAnsi="Times New Roman"/>
                          <w:sz w:val="24"/>
                        </w:rPr>
                        <w:t>Държавите, участващи в СТЕ на ЕС, използват различни подходи по отношение на компетентните органи, отговарящи за прилагането на системата. В някои държави са ангажирани няколко местни органа, докато в други се използва много по-централизиран подход. Докладите по член 21 осигуряват висока степен на обзор на организационната структура във всяка участваща държава.</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Не са установени съществени промени в административните мерки на участващите държави след последния отчетен период. Съгласно докладите по член 21, подадени през 2017 г., средно по 5 компетентни органа за една държава са участвали в прилагането на СТЕ на ЕС</w:t>
      </w:r>
      <w:r>
        <w:rPr>
          <w:rFonts w:ascii="Times New Roman" w:hAnsi="Times New Roman"/>
          <w:noProof/>
          <w:sz w:val="24"/>
          <w:vertAlign w:val="superscript"/>
        </w:rPr>
        <w:footnoteReference w:id="61"/>
      </w:r>
      <w:r>
        <w:rPr>
          <w:rFonts w:ascii="Times New Roman" w:hAnsi="Times New Roman"/>
          <w:noProof/>
          <w:sz w:val="24"/>
        </w:rPr>
        <w:t xml:space="preserve">. Що се отнася до координацията между органите, бе съобщено, наред с другото,за различни инструменти и методи, като законодателни инструменти за централно управление на плановете за мониторинг или доклади за емисии (в 12 държави), предоставяне на задължителни инструкции и насоки от централен компетентен орган на местни органи (в 10 държави), редовни работни групи или срещи между органи (в 15 държави) и използване на съвместна ИТ платформа (в 13 държави).  Седем държави членки (Кипър, Естония, Унгария, Италия, Исландия, Лихтенщайн и Люксембург) са посочили, че не използват нищо от гореизброеното. </w:t>
      </w:r>
    </w:p>
    <w:p>
      <w:pPr>
        <w:jc w:val="both"/>
        <w:rPr>
          <w:rFonts w:ascii="Times New Roman" w:hAnsi="Times New Roman"/>
          <w:noProof/>
          <w:sz w:val="24"/>
          <w:szCs w:val="24"/>
        </w:rPr>
      </w:pPr>
      <w:r>
        <w:rPr>
          <w:rFonts w:ascii="Times New Roman" w:hAnsi="Times New Roman"/>
          <w:noProof/>
          <w:sz w:val="24"/>
        </w:rPr>
        <w:t>Относно административните такси, събирани във връзка с издаването на разрешителни и одобрението на плановете за мониторинг, 14 държави са докладвали през 2017 г., че не начисляват такси на операторите на инсталации (Кипър, Германия, Естония, Франция, Гърция, Ирландия, Лихтенщайн, Литва, Люксембург, Латвия, Малта, Нидерландия, Швеция и Словакия), спрямо 16 миналата година. Операторите на въздухоплавателни средства не плащат такси в 15 държави (Белгия, Кипър, Чешката република, Германия, Естония, Испания, Гърция, Лихтенщайн, Литва, Люксембург, Латвия, Малта, Нидерландия, Швеция и Словакия), спрямо 16 през предходната година. Таксите варират в отделните държави и в зависимост от конкретната услуга.  Така например таксите за разрешително и одобрение на план за мониторинг за инсталации варират от 5 ЕUR до 7 621 EUR, а за сектора на въздухоплаването таксите за план за мониторинг варират от 5 ЕUR до 2 400 EUR.</w:t>
      </w:r>
    </w:p>
    <w:p>
      <w:pPr>
        <w:jc w:val="both"/>
        <w:rPr>
          <w:rFonts w:ascii="Times New Roman" w:hAnsi="Times New Roman"/>
          <w:noProof/>
          <w:sz w:val="24"/>
          <w:szCs w:val="24"/>
        </w:rPr>
      </w:pPr>
      <w:r>
        <w:rPr>
          <w:rFonts w:ascii="Times New Roman" w:hAnsi="Times New Roman"/>
          <w:noProof/>
          <w:sz w:val="24"/>
        </w:rPr>
        <w:t>Като цяло, системите на участващите държави са до голяма степен ефективни и съобразени с административната им организация. Комуникацията между местните органи на държавите и обменът на най-добри практики между компетентните органи, включително чрез дейността на Форума по въпросите на спазването на изискванията по СТЕ на ЕС, следва да продължат да се укрепват и насърчават. Във връзка с това през 2016 г. бе проведена Седмата конференция по въпросите на спазването на изискванията на СТЕ на ЕС</w:t>
      </w:r>
      <w:r>
        <w:rPr>
          <w:rStyle w:val="FootnoteReference"/>
          <w:rFonts w:ascii="Times New Roman" w:hAnsi="Times New Roman"/>
          <w:noProof/>
          <w:sz w:val="24"/>
        </w:rPr>
        <w:footnoteReference w:id="62"/>
      </w:r>
      <w:r>
        <w:rPr>
          <w:rFonts w:ascii="Times New Roman" w:hAnsi="Times New Roman"/>
          <w:noProof/>
          <w:sz w:val="24"/>
        </w:rPr>
        <w:t>, както и две отделни учебни занятия, свързани с Форума по въпросите на спазването на изискванията.</w:t>
      </w:r>
      <w:r>
        <w:rPr>
          <w:noProof/>
        </w:rPr>
        <w:t xml:space="preserve"> </w:t>
      </w:r>
      <w:r>
        <w:rPr>
          <w:rFonts w:ascii="Times New Roman" w:hAnsi="Times New Roman"/>
          <w:noProof/>
          <w:sz w:val="24"/>
        </w:rPr>
        <w:t>Това помага да се гарантира възможно най-широка информираност за дейностите на Форума по въпросите на спазването на изискванията, по-специално по отношение на неговите пет работни групи: за мониторинг и докладване, акредитация и верификация, въздухоплаване, електронно докладване и улавяне и съхранение на въглероден диоксид.</w:t>
      </w:r>
    </w:p>
    <w:p>
      <w:pPr>
        <w:jc w:val="both"/>
        <w:rPr>
          <w:noProof/>
        </w:rPr>
      </w:pPr>
    </w:p>
    <w:p>
      <w:pPr>
        <w:pStyle w:val="Heading1"/>
        <w:numPr>
          <w:ilvl w:val="0"/>
          <w:numId w:val="1"/>
        </w:numPr>
        <w:rPr>
          <w:noProof/>
        </w:rPr>
      </w:pPr>
      <w:bookmarkStart w:id="60" w:name="_Toc490850439"/>
      <w:bookmarkStart w:id="61" w:name="_Toc495312137"/>
      <w:bookmarkStart w:id="62" w:name="_Toc499041552"/>
      <w:r>
        <w:rPr>
          <w:noProof/>
        </w:rPr>
        <w:t>СЪОТВЕТСТВИЕ И ПРИЛАГАНЕ</w:t>
      </w:r>
      <w:bookmarkEnd w:id="60"/>
      <w:bookmarkEnd w:id="61"/>
      <w:bookmarkEnd w:id="62"/>
      <w:r>
        <w:rPr>
          <w:noProof/>
        </w:rPr>
        <w:t xml:space="preserve"> </w:t>
      </w:r>
    </w:p>
    <w:p>
      <w:pPr>
        <w:rPr>
          <w:noProof/>
        </w:rPr>
      </w:pPr>
      <w:r>
        <w:rPr>
          <w:noProof/>
          <w:lang w:val="en-US" w:eastAsia="en-US" w:bidi="ar-SA"/>
        </w:rPr>
        <mc:AlternateContent>
          <mc:Choice Requires="wps">
            <w:drawing>
              <wp:inline distT="0" distB="0" distL="0" distR="0">
                <wp:extent cx="5731510" cy="1160059"/>
                <wp:effectExtent l="0" t="0" r="21590" b="2159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60059"/>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В Директивата за СТЕ на ЕС е предвидена санкция за извънредно количество емисии в размер на 100 EUR (индексирани) за всеки тон емисии на CO</w:t>
                            </w:r>
                            <w:r>
                              <w:rPr>
                                <w:rFonts w:ascii="Times New Roman" w:hAnsi="Times New Roman"/>
                                <w:sz w:val="24"/>
                                <w:vertAlign w:val="subscript"/>
                              </w:rPr>
                              <w:t>2</w:t>
                            </w:r>
                            <w:r>
                              <w:rPr>
                                <w:rFonts w:ascii="Times New Roman" w:hAnsi="Times New Roman"/>
                                <w:sz w:val="24"/>
                              </w:rPr>
                              <w:t>, за който не е своевременно върната квота. Други санкции за нарушения, свързани с прилагането на СТЕ на ЕС, се налагат в съответствие с националните разпоредби, определени от съответната държава</w:t>
                            </w:r>
                          </w:p>
                        </w:txbxContent>
                      </wps:txbx>
                      <wps:bodyPr rot="0" vert="horz" wrap="square" lIns="91440" tIns="45720" rIns="91440" bIns="45720" anchor="t" anchorCtr="0">
                        <a:noAutofit/>
                      </wps:bodyPr>
                    </wps:wsp>
                  </a:graphicData>
                </a:graphic>
              </wp:inline>
            </w:drawing>
          </mc:Choice>
          <mc:Fallback>
            <w:pict>
              <v:shape id="_x0000_s1041" type="#_x0000_t202" style="width:451.3pt;height: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" fillcolor="#d9d9d9" strokeweight="1pt">
                <v:textbox>
                  <w:txbxContent>
                    <w:p>
                      <w:pPr>
                        <w:jc w:val="both"/>
                        <w:rPr>
                          <w:rFonts w:ascii="Times New Roman" w:hAnsi="Times New Roman"/>
                          <w:sz w:val="24"/>
                          <w:szCs w:val="24"/>
                        </w:rPr>
                      </w:pPr>
                      <w:r>
                        <w:rPr>
                          <w:rFonts w:ascii="Times New Roman" w:hAnsi="Times New Roman"/>
                          <w:sz w:val="24"/>
                        </w:rPr>
                        <w:t>В Директивата за СТЕ на ЕС е предвидена санкция за извънредно количество емисии в размер на 100 EUR (индексирани) за всеки тон емисии на CO</w:t>
                      </w:r>
                      <w:r>
                        <w:rPr>
                          <w:rFonts w:ascii="Times New Roman" w:hAnsi="Times New Roman"/>
                          <w:sz w:val="24"/>
                          <w:vertAlign w:val="subscript"/>
                        </w:rPr>
                        <w:t>2</w:t>
                      </w:r>
                      <w:r>
                        <w:rPr>
                          <w:rFonts w:ascii="Times New Roman" w:hAnsi="Times New Roman"/>
                          <w:sz w:val="24"/>
                        </w:rPr>
                        <w:t>, за който не е своевременно върната квота. Други санкции за нарушения, свързани с прилагането на СТЕ на ЕС, се налагат в съответствие с националните разпоредби, определени от съответната държава</w:t>
                      </w:r>
                    </w:p>
                  </w:txbxContent>
                </v:textbox>
                <w10:anchorlock/>
              </v:shape>
            </w:pict>
          </mc:Fallback>
        </mc:AlternateContent>
      </w:r>
    </w:p>
    <w:p>
      <w:pPr>
        <w:pStyle w:val="ECStandard"/>
        <w:spacing w:line="276" w:lineRule="auto"/>
        <w:rPr>
          <w:noProof/>
        </w:rPr>
      </w:pPr>
      <w:r>
        <w:rPr>
          <w:noProof/>
        </w:rPr>
        <w:t xml:space="preserve">В СТЕ на ЕС е постигната много висока степен на съответствие с изискванията: всяка година около 99 % от емисиите се покриват своевременно от изисквания брой квоти. 2016 година не беше изключение. По-малко от 1 % от инсталациите, които са докладвали емисии за 2016 г., не са върнали квоти, покриващи всичките им емисии, преди срока 30 април 2017 г. Тези инсталации бяха като правило малки и отговорни за около 0,4 % от емисиите в рамките на СТЕ на ЕС.  В сектора на въздухоплаването степента на съответствие също е била много висока: операторите на въздухоплавателни средства, отговорни за над 99 % от авиационните емисии в рамките на СТЕ на ЕС, са доказали съответствие. </w:t>
      </w:r>
    </w:p>
    <w:p>
      <w:pPr>
        <w:pStyle w:val="ECStandard"/>
        <w:spacing w:after="200" w:line="276" w:lineRule="auto"/>
        <w:rPr>
          <w:noProof/>
        </w:rPr>
      </w:pPr>
      <w:r>
        <w:rPr>
          <w:noProof/>
        </w:rPr>
        <w:t>Компетентните органи продължават да извършват различни проверки за съответствие на годишните доклади за емисиите. Съгласно докладите по член 21, подадени през 2017 г., всички участващи държави проверяват за пълнота годишните доклади за емисиите (100 % от докладите, с изключение на Франция (77 %), Швеция (3 %) и Обединеното кралство (62 %)). От докладите става освен това ясно, че държавите проверяват средно над 75 % от докладите за съгласуваност с плановете за мониторинг и около 75 % за съгласуваност с данните за разпределение на квотите (всички държави, с изключение на Финландия, Малта и Норвегия). Двадесет и пет държави са докладвали, че осъществяват също така кръстосани проверки с други данни. Само три (Латвия, Словения и Словакия) съобщават, че компетентните органи не извършват подробна проверка на докладите за емисиите.</w:t>
      </w:r>
    </w:p>
    <w:p>
      <w:pPr>
        <w:pStyle w:val="ECStandard"/>
        <w:spacing w:after="200" w:line="276" w:lineRule="auto"/>
        <w:rPr>
          <w:noProof/>
        </w:rPr>
      </w:pPr>
      <w:r>
        <w:rPr>
          <w:noProof/>
        </w:rPr>
        <w:t>Въз основа на докладите по член 21, подадени през 2017 г., компетентните органи в 16 държави (Белгия, България, Дания, Испания, Финландия, Франция, Гърция, Хърватия, Италия, Люксембург, Нидерландия, Норвегия, Полша, Швеция, Словакия и Обединеното кралство) са извършили през 2016 г. консервативни оценки за липсващи данни при 125 инсталации.  68 от тях бяха обаче докладвани от Обединеното кралство за емисии преди 2016 г. въз основа на нотификации на оператори за новооткрити грешки от минали години. След изваждане на данните на Обединеното кралство от общите количества за 2016 г., консервативни оценки бяха съобщени от 15 държави за 57 инсталации (около 0,5 % от общия брой инсталации), в сравнение с 45 инсталации (0,4 %) за 2015 г. и 37 (0,3 %) за 2014 г. Съобщеното количество на засегнатите емисии за 2016 г. беше 1,9 милиона тона CO</w:t>
      </w:r>
      <w:r>
        <w:rPr>
          <w:noProof/>
          <w:vertAlign w:val="subscript"/>
        </w:rPr>
        <w:t>2</w:t>
      </w:r>
      <w:r>
        <w:rPr>
          <w:noProof/>
        </w:rPr>
        <w:t xml:space="preserve"> (в сравнение с 8,3 милиона тона миналата година и 9,1 милиона тона през годината преди нея) — приблизително 0,1 % от общите емисии (в сравнение с почти 0,5 % през предходните две години). Най-честите причини за изготвянето на консервативни оценки са непредставяне на доклад за емисиите до 31 март или непълно съответствие на докладите за емисиите с изискванията на РМД/РАВ.  </w:t>
      </w:r>
    </w:p>
    <w:p>
      <w:pPr>
        <w:pStyle w:val="ECStandard"/>
        <w:spacing w:after="200" w:line="276" w:lineRule="auto"/>
        <w:rPr>
          <w:noProof/>
        </w:rPr>
      </w:pPr>
      <w:r>
        <w:rPr>
          <w:noProof/>
        </w:rPr>
        <w:t>Консервативни оценки за липсващи данни от въздухоплаването бяха докладвани само от четири държави във връзка с 18 оператори на въздухоплавателни средства (приблизително 3,5 % от общия брой), всички от които са били предприятия с много малко емисии (общо под 0,2 % от авиационните емисии). За сравнение миналата година бе докладвано за 103 оператори на въздухоплавателни средства (почти 20 %) от осем държави.</w:t>
      </w:r>
    </w:p>
    <w:p>
      <w:pPr>
        <w:pStyle w:val="ECStandard"/>
        <w:spacing w:after="200" w:line="276" w:lineRule="auto"/>
        <w:rPr>
          <w:noProof/>
        </w:rPr>
      </w:pPr>
      <w:r>
        <w:rPr>
          <w:noProof/>
        </w:rPr>
        <w:t>Проверките на компетентните органи също остават важно допълнение на работата на верификаторите. За 2016 г. всички участващи държави потвърдиха, че извършват допълнителни проверки на инсталации. Повечето държави съобщават за подобен подход по отношение на операторите на въздухоплавателни средства (с изключение на Унгария, Латвия и Словения). Само 17 държави обаче са съобщили, че са извършили инспекции на място на инсталации през 2016 г. (Австрия</w:t>
      </w:r>
      <w:r>
        <w:rPr>
          <w:rStyle w:val="FootnoteReference"/>
          <w:noProof/>
        </w:rPr>
        <w:footnoteReference w:id="63"/>
      </w:r>
      <w:r>
        <w:rPr>
          <w:noProof/>
        </w:rPr>
        <w:t>, Кипър, Чешката република, Германия, Испания, Финландия, Франция, Гърция, Хърватия, Унгария, Ирландия, Исландия, Литва, Латвия, Нидерландия, Норвегия, Обединеното кралство).</w:t>
      </w:r>
    </w:p>
    <w:p>
      <w:pPr>
        <w:pStyle w:val="ECStandard"/>
        <w:spacing w:line="276" w:lineRule="auto"/>
        <w:rPr>
          <w:noProof/>
        </w:rPr>
      </w:pPr>
      <w:r>
        <w:rPr>
          <w:noProof/>
        </w:rPr>
        <w:t xml:space="preserve">За 2016 г. прилагане на санкцията за извънредно количество емисии бе съобщено само за 14 инсталации от четири държави (България — 1, Полша — 1, Румъния — 6 и Обединеното кралство — 6). В сектора на въздухоплаването санкции за извънредно количество емисии са докладвани за 48 оператори на въздухоплавателни средства (Белгия — 1, Германия — 4, Испания — 4 и Обединеното кралство — 39). </w:t>
      </w:r>
    </w:p>
    <w:p>
      <w:pPr>
        <w:pStyle w:val="ECStandard"/>
        <w:spacing w:line="276" w:lineRule="auto"/>
        <w:rPr>
          <w:noProof/>
        </w:rPr>
      </w:pPr>
      <w:r>
        <w:rPr>
          <w:noProof/>
        </w:rPr>
        <w:t xml:space="preserve">През отчетния период на 2016 г. десет държави потвърдиха налагане на санкции (в допълнение на санкциите за извънредно количество емисии). Случаи на лишаване от свобода не са докладвани, но на 56 инсталации и 8 оператори на въздухоплавателни средства са наложени глоби или са изпратени официални уведомителни писма на обща стойност 1 573 389 EUR. Около една шеста от тези случаи се дължат на това, че компетентният орган и търговски сдружения са установили, че 19 инсталации са работили без разрешително в Обединеното кралство. Сега тези оператори имат вече разрешителни и съставляват по-голямата част от увеличения брой инсталации, за които съобщава Обединеното кралство. </w:t>
      </w:r>
    </w:p>
    <w:p>
      <w:pPr>
        <w:pStyle w:val="ECStandard"/>
        <w:spacing w:line="276" w:lineRule="auto"/>
        <w:rPr>
          <w:noProof/>
        </w:rPr>
      </w:pPr>
      <w:r>
        <w:rPr>
          <w:noProof/>
        </w:rPr>
        <w:t>Най-честите нарушения, докладвани за 2016 г., са били експлоатация без разрешително (21 случая), недокладване за промени в капацитета (14 случая), неподаване на верифициран годишен доклад за емисиите до определения краен срок (9 случая), неспазване на условията на разрешителното (6 случая) и неизготвяне на надлежно одобрен план за мониторинг (5 случая). В други случаи годишният доклад за емисиите не отговаря на изискванията на РМД, не е изпълнено изискването за връщане на достатъчен брой квоти до 30 април и не са представени доклади за подобрения.</w:t>
      </w: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Heading1"/>
        <w:numPr>
          <w:ilvl w:val="0"/>
          <w:numId w:val="1"/>
        </w:numPr>
        <w:rPr>
          <w:noProof/>
        </w:rPr>
      </w:pPr>
      <w:bookmarkStart w:id="63" w:name="_Toc490850440"/>
      <w:bookmarkStart w:id="64" w:name="_Toc495312138"/>
      <w:bookmarkStart w:id="65" w:name="_Toc499041553"/>
      <w:r>
        <w:rPr>
          <w:noProof/>
        </w:rPr>
        <w:t>ЗАКЛЮЧЕНИЯ И ПЕРСПЕКТИВИ</w:t>
      </w:r>
      <w:bookmarkEnd w:id="63"/>
      <w:bookmarkEnd w:id="64"/>
      <w:bookmarkEnd w:id="65"/>
      <w:r>
        <w:rPr>
          <w:noProof/>
        </w:rPr>
        <w:t xml:space="preserve"> </w:t>
      </w:r>
    </w:p>
    <w:p>
      <w:pPr>
        <w:jc w:val="both"/>
        <w:rPr>
          <w:rFonts w:ascii="Times New Roman" w:hAnsi="Times New Roman"/>
          <w:noProof/>
          <w:sz w:val="24"/>
          <w:szCs w:val="24"/>
        </w:rPr>
      </w:pPr>
      <w:r>
        <w:rPr>
          <w:rFonts w:ascii="Times New Roman" w:hAnsi="Times New Roman"/>
          <w:noProof/>
          <w:sz w:val="24"/>
        </w:rPr>
        <w:t>През 2016 г. СТЕ на ЕС продължава да бъде водещият инструмент на ЕС за справяне с изменението на климата по икономически ефективен начин. Системата постигна намаления на емисиите в размер на 2,9 % от участващите инсталации, като отбеляза тенденция на спад на емисиите след началото на фаза 3 през 2013 г., докато излишъкът на квоти в пазара на въглеродни емисии спадна до най-ниското си равнище от началото на настоящия период на търгуване. В това отношение първото публикуване на показателя за излишък на резерва за стабилност на пазара през май 2017 г. подготвя почвата за започване през 2019 г. на функционирането на резерва за стабилност на пазара — структурното решение на СТЕ на ЕС за стабилизиране на европейския пазар на въглеродни емисии в средносрочен план.</w:t>
      </w:r>
    </w:p>
    <w:p>
      <w:pPr>
        <w:jc w:val="both"/>
        <w:rPr>
          <w:rFonts w:ascii="Times New Roman" w:hAnsi="Times New Roman"/>
          <w:noProof/>
          <w:sz w:val="24"/>
          <w:szCs w:val="24"/>
        </w:rPr>
      </w:pPr>
      <w:r>
        <w:rPr>
          <w:rFonts w:ascii="Times New Roman" w:hAnsi="Times New Roman"/>
          <w:noProof/>
          <w:sz w:val="24"/>
          <w:szCs w:val="24"/>
        </w:rPr>
        <w:t xml:space="preserve">Важен напредък бе постигнат и в областта на въздухоплаването. В духа на резолюцията на ИКАО от 2016 г. за ограничаване на глобалните авиационни емисии, Комисията предприе стъпки за продължаване на текущите мерки за въздухоплаването в СТЕ на ЕС с оглед на влизането в сила на глобалната схема и като план за нейното бързо прилагане. </w:t>
      </w:r>
    </w:p>
    <w:p>
      <w:pPr>
        <w:jc w:val="both"/>
        <w:rPr>
          <w:rFonts w:ascii="Times New Roman" w:hAnsi="Times New Roman"/>
          <w:noProof/>
          <w:sz w:val="24"/>
          <w:szCs w:val="24"/>
        </w:rPr>
      </w:pPr>
      <w:r>
        <w:rPr>
          <w:rFonts w:ascii="Times New Roman" w:hAnsi="Times New Roman"/>
          <w:noProof/>
          <w:sz w:val="24"/>
        </w:rPr>
        <w:t>Освен това през четвъртата година на фаза 3 архитектурата на СТЕ на ЕС доказа своята устойчивост и стабилност. Степента на съответствие с изискванията оставаше постоянно много висока както за стационарните инсталации, така и за операторите на въздухоплавателни средства, а административната организация в участващите държави доказа своята ефективност.</w:t>
      </w:r>
    </w:p>
    <w:p>
      <w:pPr>
        <w:jc w:val="both"/>
        <w:rPr>
          <w:rFonts w:ascii="Times New Roman" w:hAnsi="Times New Roman"/>
          <w:noProof/>
          <w:sz w:val="24"/>
          <w:szCs w:val="24"/>
        </w:rPr>
      </w:pPr>
      <w:r>
        <w:rPr>
          <w:rFonts w:ascii="Times New Roman" w:hAnsi="Times New Roman"/>
          <w:noProof/>
          <w:sz w:val="24"/>
        </w:rPr>
        <w:t>Търгът под номер 1000 през май 2017 г. беше символичен жалон в безпроблемното функциониране на инфраструктурата, пускаща квоти на пазара.</w:t>
      </w:r>
    </w:p>
    <w:p>
      <w:pPr>
        <w:jc w:val="both"/>
        <w:rPr>
          <w:rFonts w:ascii="Times New Roman" w:hAnsi="Times New Roman"/>
          <w:noProof/>
          <w:sz w:val="24"/>
          <w:szCs w:val="24"/>
        </w:rPr>
      </w:pPr>
      <w:r>
        <w:rPr>
          <w:rFonts w:ascii="Times New Roman" w:hAnsi="Times New Roman"/>
          <w:noProof/>
          <w:sz w:val="24"/>
        </w:rPr>
        <w:t>След повече от 2 години преговори по предложението за реформа на СТЕ на ЕС за четвъртия му период на търгуване, през ноември 2017 г. беше постигнато историческо споразумение, което показва, че Европейският съюз превръща поетия в Париж ангажимент в конкретни действия. Преработената и значително укрепена СТЕ на ЕС ще бъде важна част от приноса на ЕС за изпълнение на Парижкото споразумение за преход към нисковъглеродна икономика в световен мащаб.</w:t>
      </w:r>
    </w:p>
    <w:p>
      <w:pPr>
        <w:rPr>
          <w:noProof/>
        </w:rPr>
      </w:pPr>
      <w:r>
        <w:rPr>
          <w:rFonts w:ascii="Times New Roman" w:hAnsi="Times New Roman"/>
          <w:noProof/>
          <w:sz w:val="24"/>
        </w:rPr>
        <w:t>Комисията ще продължи да наблюдава пазара на европейския пазар на въглеродни емисии и към края на 2018 г. ще представи своя следващ доклад.</w:t>
      </w: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bookmarkStart w:id="66" w:name="_Toc490850441"/>
    </w:p>
    <w:p>
      <w:pPr>
        <w:spacing w:after="0"/>
        <w:rPr>
          <w:rStyle w:val="Heading1Char"/>
          <w:rFonts w:eastAsia="Calibri"/>
          <w:noProof/>
        </w:rPr>
      </w:pPr>
    </w:p>
    <w:p>
      <w:pPr>
        <w:spacing w:after="0"/>
        <w:rPr>
          <w:rStyle w:val="Heading1Char"/>
          <w:rFonts w:eastAsia="Calibri"/>
          <w:noProof/>
        </w:rPr>
      </w:pPr>
      <w:bookmarkStart w:id="67" w:name="_Toc495312139"/>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Fonts w:ascii="Times New Roman" w:hAnsi="Times New Roman"/>
          <w:noProof/>
          <w:sz w:val="24"/>
          <w:szCs w:val="24"/>
        </w:rPr>
      </w:pPr>
      <w:bookmarkStart w:id="68" w:name="_Toc499041554"/>
      <w:r>
        <w:rPr>
          <w:rStyle w:val="Heading1Char"/>
          <w:rFonts w:eastAsia="Calibri"/>
          <w:noProof/>
        </w:rPr>
        <w:t>ПРИЛОЖЕНИЕ</w:t>
      </w:r>
      <w:bookmarkEnd w:id="66"/>
      <w:bookmarkEnd w:id="67"/>
      <w:bookmarkEnd w:id="68"/>
      <w:r>
        <w:rPr>
          <w:rFonts w:ascii="Times New Roman" w:hAnsi="Times New Roman"/>
          <w:noProof/>
          <w:sz w:val="24"/>
        </w:rPr>
        <w:t xml:space="preserve"> </w:t>
      </w:r>
    </w:p>
    <w:p>
      <w:pPr>
        <w:spacing w:after="0"/>
        <w:rPr>
          <w:rFonts w:ascii="Times New Roman" w:hAnsi="Times New Roman"/>
          <w:b/>
          <w:bCs/>
          <w:noProof/>
          <w:kern w:val="32"/>
          <w:sz w:val="24"/>
          <w:szCs w:val="32"/>
        </w:rPr>
      </w:pPr>
    </w:p>
    <w:p>
      <w:pPr>
        <w:rPr>
          <w:rFonts w:ascii="Times New Roman" w:hAnsi="Times New Roman"/>
          <w:b/>
          <w:noProof/>
        </w:rPr>
      </w:pPr>
      <w:r>
        <w:rPr>
          <w:rFonts w:ascii="Times New Roman" w:hAnsi="Times New Roman"/>
          <w:b/>
          <w:noProof/>
        </w:rPr>
        <w:t>Допълнение 1</w:t>
      </w:r>
    </w:p>
    <w:p>
      <w:pPr>
        <w:keepNext/>
        <w:rPr>
          <w:rFonts w:ascii="Times New Roman" w:hAnsi="Times New Roman"/>
          <w:b/>
          <w:bCs/>
          <w:noProof/>
          <w:sz w:val="20"/>
          <w:szCs w:val="20"/>
        </w:rPr>
      </w:pPr>
      <w:r>
        <w:rPr>
          <w:rFonts w:ascii="Times New Roman" w:hAnsi="Times New Roman"/>
          <w:b/>
          <w:noProof/>
          <w:sz w:val="20"/>
        </w:rPr>
        <w:t xml:space="preserve">Таблица 1: Брой на безплатните квоти, поискани за модернизиране на електроенергийния сектор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1252"/>
        <w:gridCol w:w="1740"/>
        <w:gridCol w:w="1640"/>
        <w:gridCol w:w="1640"/>
        <w:gridCol w:w="2429"/>
      </w:tblGrid>
      <w:tr>
        <w:trPr>
          <w:trHeight w:val="597"/>
          <w:jc w:val="center"/>
        </w:trPr>
        <w:tc>
          <w:tcPr>
            <w:tcW w:w="1252" w:type="dxa"/>
            <w:shd w:val="clear" w:color="auto" w:fill="FFFFFF" w:themeFill="background1"/>
            <w:noWrap/>
          </w:tcPr>
          <w:p>
            <w:pPr>
              <w:spacing w:after="0"/>
              <w:jc w:val="center"/>
              <w:rPr>
                <w:rFonts w:ascii="Times New Roman" w:hAnsi="Times New Roman"/>
                <w:b/>
                <w:noProof/>
                <w:sz w:val="20"/>
                <w:szCs w:val="20"/>
              </w:rPr>
            </w:pPr>
          </w:p>
        </w:tc>
        <w:tc>
          <w:tcPr>
            <w:tcW w:w="7449" w:type="dxa"/>
            <w:gridSpan w:val="4"/>
            <w:shd w:val="clear" w:color="auto" w:fill="FFFFFF" w:themeFill="background1"/>
            <w:noWrap/>
          </w:tcPr>
          <w:p>
            <w:pPr>
              <w:spacing w:after="0"/>
              <w:jc w:val="center"/>
              <w:rPr>
                <w:rFonts w:ascii="Times New Roman" w:hAnsi="Times New Roman"/>
                <w:b/>
                <w:noProof/>
                <w:sz w:val="20"/>
                <w:szCs w:val="20"/>
              </w:rPr>
            </w:pPr>
          </w:p>
          <w:p>
            <w:pPr>
              <w:spacing w:after="0"/>
              <w:jc w:val="center"/>
              <w:rPr>
                <w:rFonts w:ascii="Times New Roman" w:hAnsi="Times New Roman"/>
                <w:b/>
                <w:noProof/>
                <w:sz w:val="20"/>
                <w:szCs w:val="20"/>
              </w:rPr>
            </w:pPr>
            <w:r>
              <w:rPr>
                <w:rFonts w:ascii="Times New Roman" w:hAnsi="Times New Roman"/>
                <w:b/>
                <w:noProof/>
                <w:sz w:val="20"/>
              </w:rPr>
              <w:t>Брой на безплатните квоти, поискани от държавите членки съгласно член 10в</w:t>
            </w:r>
          </w:p>
        </w:tc>
      </w:tr>
      <w:tr>
        <w:trPr>
          <w:trHeight w:val="436"/>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ДЧ</w:t>
            </w:r>
          </w:p>
        </w:tc>
        <w:tc>
          <w:tcPr>
            <w:tcW w:w="174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2013 г.</w:t>
            </w:r>
          </w:p>
        </w:tc>
        <w:tc>
          <w:tcPr>
            <w:tcW w:w="164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2014 г.</w:t>
            </w:r>
          </w:p>
        </w:tc>
        <w:tc>
          <w:tcPr>
            <w:tcW w:w="164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2015 г.</w:t>
            </w:r>
          </w:p>
        </w:tc>
        <w:tc>
          <w:tcPr>
            <w:tcW w:w="2429"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2016 г.</w:t>
            </w:r>
          </w:p>
        </w:tc>
      </w:tr>
      <w:tr>
        <w:trPr>
          <w:trHeight w:val="387"/>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България</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11 009 416</w:t>
            </w:r>
          </w:p>
        </w:tc>
        <w:tc>
          <w:tcPr>
            <w:tcW w:w="1640" w:type="dxa"/>
            <w:tcBorders>
              <w:bottom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9 779 243</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8 259 680</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6 593 238</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Кипър</w:t>
            </w:r>
          </w:p>
        </w:tc>
        <w:tc>
          <w:tcPr>
            <w:tcW w:w="1740" w:type="dxa"/>
            <w:tcBorders>
              <w:right w:val="single" w:sz="4" w:space="0" w:color="auto"/>
            </w:tcBorders>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2 519 077</w:t>
            </w:r>
          </w:p>
        </w:tc>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2 195 195</w:t>
            </w:r>
          </w:p>
        </w:tc>
        <w:tc>
          <w:tcPr>
            <w:tcW w:w="1640" w:type="dxa"/>
            <w:tcBorders>
              <w:left w:val="single" w:sz="4" w:space="0" w:color="auto"/>
            </w:tcBorders>
            <w:shd w:val="clear" w:color="auto" w:fill="FFFFFF" w:themeFill="background1"/>
          </w:tcPr>
          <w:p>
            <w:pPr>
              <w:jc w:val="center"/>
              <w:rPr>
                <w:rFonts w:ascii="Times New Roman" w:hAnsi="Times New Roman"/>
                <w:noProof/>
                <w:sz w:val="14"/>
                <w:szCs w:val="14"/>
              </w:rPr>
            </w:pPr>
            <w:r>
              <w:rPr>
                <w:rFonts w:ascii="Times New Roman" w:hAnsi="Times New Roman"/>
                <w:noProof/>
                <w:sz w:val="14"/>
              </w:rPr>
              <w:t>1 907 302</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1 583 420</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Чешка република</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25 285 353</w:t>
            </w:r>
          </w:p>
        </w:tc>
        <w:tc>
          <w:tcPr>
            <w:tcW w:w="1640" w:type="dxa"/>
            <w:tcBorders>
              <w:top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22 383 398</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20 623 005</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15 831 329</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Естония</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5 135 166</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4 401 568</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3 667 975</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2 934 380</w:t>
            </w:r>
          </w:p>
        </w:tc>
      </w:tr>
      <w:tr>
        <w:trPr>
          <w:trHeight w:val="359"/>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Унгария</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7 047 255</w:t>
            </w:r>
            <w:r>
              <w:rPr>
                <w:rFonts w:ascii="Times New Roman" w:hAnsi="Times New Roman"/>
                <w:noProof/>
                <w:sz w:val="14"/>
                <w:vertAlign w:val="superscript"/>
              </w:rPr>
              <w:footnoteReference w:id="64"/>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няма</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няма</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няма</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Литва</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322 449</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297 113</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269 475</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237 230</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Полша</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65 992 703</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52 920 889</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43 594 320</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31 621 148</w:t>
            </w:r>
          </w:p>
        </w:tc>
      </w:tr>
      <w:tr>
        <w:trPr>
          <w:trHeight w:val="4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Румъния</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15 748 011</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8 591 461</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9 210 797</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7 189 961</w:t>
            </w:r>
          </w:p>
        </w:tc>
      </w:tr>
      <w:tr>
        <w:trPr>
          <w:trHeight w:val="412"/>
          <w:jc w:val="center"/>
        </w:trPr>
        <w:tc>
          <w:tcPr>
            <w:tcW w:w="1252" w:type="dxa"/>
            <w:shd w:val="clear" w:color="auto" w:fill="FFFFFF" w:themeFill="background1"/>
            <w:noWrap/>
          </w:tcPr>
          <w:p>
            <w:pPr>
              <w:spacing w:after="0"/>
              <w:jc w:val="center"/>
              <w:rPr>
                <w:rFonts w:ascii="Times New Roman" w:hAnsi="Times New Roman"/>
                <w:b/>
                <w:noProof/>
                <w:sz w:val="14"/>
                <w:szCs w:val="14"/>
              </w:rPr>
            </w:pPr>
            <w:r>
              <w:rPr>
                <w:rFonts w:ascii="Times New Roman" w:hAnsi="Times New Roman"/>
                <w:b/>
                <w:noProof/>
                <w:sz w:val="14"/>
              </w:rPr>
              <w:t>Общо</w:t>
            </w:r>
          </w:p>
        </w:tc>
        <w:tc>
          <w:tcPr>
            <w:tcW w:w="1740" w:type="dxa"/>
            <w:shd w:val="clear" w:color="auto" w:fill="FFFFFF" w:themeFill="background1"/>
            <w:noWrap/>
          </w:tcPr>
          <w:p>
            <w:pPr>
              <w:spacing w:after="0"/>
              <w:jc w:val="center"/>
              <w:rPr>
                <w:rFonts w:ascii="Times New Roman" w:hAnsi="Times New Roman"/>
                <w:noProof/>
                <w:sz w:val="14"/>
                <w:szCs w:val="14"/>
              </w:rPr>
            </w:pPr>
            <w:r>
              <w:rPr>
                <w:rFonts w:ascii="Times New Roman" w:hAnsi="Times New Roman"/>
                <w:noProof/>
                <w:sz w:val="14"/>
              </w:rPr>
              <w:t>133 059 430</w:t>
            </w:r>
          </w:p>
          <w:p>
            <w:pPr>
              <w:spacing w:after="0"/>
              <w:jc w:val="center"/>
              <w:rPr>
                <w:rFonts w:ascii="Times New Roman" w:hAnsi="Times New Roman"/>
                <w:noProof/>
                <w:sz w:val="14"/>
                <w:szCs w:val="14"/>
              </w:rPr>
            </w:pP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100 568 867</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87 532 554</w:t>
            </w:r>
          </w:p>
        </w:tc>
        <w:tc>
          <w:tcPr>
            <w:tcW w:w="2429"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65 990 706</w:t>
            </w:r>
          </w:p>
        </w:tc>
      </w:tr>
    </w:tbl>
    <w:p>
      <w:pPr>
        <w:spacing w:after="160" w:line="259" w:lineRule="auto"/>
        <w:ind w:left="360"/>
        <w:contextualSpacing/>
        <w:jc w:val="both"/>
        <w:rPr>
          <w:rFonts w:ascii="Times New Roman" w:hAnsi="Times New Roman"/>
          <w:noProof/>
          <w:sz w:val="24"/>
          <w:szCs w:val="24"/>
        </w:rPr>
      </w:pPr>
    </w:p>
    <w:p>
      <w:pPr>
        <w:rPr>
          <w:rFonts w:ascii="Times New Roman" w:hAnsi="Times New Roman"/>
          <w:b/>
          <w:noProof/>
          <w:sz w:val="20"/>
          <w:szCs w:val="20"/>
        </w:rPr>
      </w:pPr>
    </w:p>
    <w:p>
      <w:pPr>
        <w:jc w:val="both"/>
        <w:rPr>
          <w:rFonts w:ascii="Times New Roman" w:hAnsi="Times New Roman"/>
          <w:b/>
          <w:noProof/>
          <w:sz w:val="20"/>
          <w:szCs w:val="20"/>
        </w:rPr>
      </w:pPr>
      <w:r>
        <w:rPr>
          <w:rFonts w:ascii="Times New Roman" w:hAnsi="Times New Roman"/>
          <w:b/>
          <w:noProof/>
          <w:sz w:val="20"/>
        </w:rPr>
        <w:t>Таблица 2: Максимален брой безплатни квоти по години по силата на дерогацията от задължението за предоставяне на квоти на електроенергийния сектор само чрез продажба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46"/>
        <w:gridCol w:w="1037"/>
        <w:gridCol w:w="1038"/>
        <w:gridCol w:w="888"/>
        <w:gridCol w:w="889"/>
        <w:gridCol w:w="1026"/>
        <w:gridCol w:w="888"/>
        <w:gridCol w:w="1604"/>
      </w:tblGrid>
      <w:tr>
        <w:trPr>
          <w:trHeight w:val="616"/>
          <w:jc w:val="center"/>
        </w:trPr>
        <w:tc>
          <w:tcPr>
            <w:tcW w:w="8716" w:type="dxa"/>
            <w:gridSpan w:val="8"/>
          </w:tcPr>
          <w:p>
            <w:pPr>
              <w:spacing w:after="0"/>
              <w:jc w:val="center"/>
              <w:rPr>
                <w:rFonts w:ascii="Times New Roman" w:hAnsi="Times New Roman"/>
                <w:b/>
                <w:noProof/>
                <w:sz w:val="20"/>
                <w:szCs w:val="20"/>
              </w:rPr>
            </w:pPr>
            <w:r>
              <w:rPr>
                <w:rFonts w:ascii="Times New Roman" w:hAnsi="Times New Roman"/>
                <w:b/>
                <w:noProof/>
                <w:sz w:val="20"/>
              </w:rPr>
              <w:t>Максимален брой квоти по години</w:t>
            </w:r>
          </w:p>
        </w:tc>
      </w:tr>
      <w:tr>
        <w:trPr>
          <w:trHeight w:val="450"/>
          <w:jc w:val="center"/>
        </w:trPr>
        <w:tc>
          <w:tcPr>
            <w:tcW w:w="1346" w:type="dxa"/>
          </w:tcPr>
          <w:p>
            <w:pPr>
              <w:spacing w:after="0"/>
              <w:jc w:val="center"/>
              <w:rPr>
                <w:rFonts w:ascii="Times New Roman" w:hAnsi="Times New Roman"/>
                <w:b/>
                <w:noProof/>
                <w:sz w:val="14"/>
                <w:szCs w:val="18"/>
              </w:rPr>
            </w:pPr>
            <w:r>
              <w:rPr>
                <w:rFonts w:ascii="Times New Roman" w:hAnsi="Times New Roman"/>
                <w:b/>
                <w:noProof/>
                <w:sz w:val="14"/>
              </w:rPr>
              <w:t>2013 г.</w:t>
            </w:r>
          </w:p>
        </w:tc>
        <w:tc>
          <w:tcPr>
            <w:tcW w:w="1037" w:type="dxa"/>
          </w:tcPr>
          <w:p>
            <w:pPr>
              <w:spacing w:after="0"/>
              <w:jc w:val="center"/>
              <w:rPr>
                <w:rFonts w:ascii="Times New Roman" w:hAnsi="Times New Roman"/>
                <w:b/>
                <w:noProof/>
                <w:sz w:val="14"/>
                <w:szCs w:val="18"/>
              </w:rPr>
            </w:pPr>
            <w:r>
              <w:rPr>
                <w:rFonts w:ascii="Times New Roman" w:hAnsi="Times New Roman"/>
                <w:b/>
                <w:noProof/>
                <w:sz w:val="14"/>
              </w:rPr>
              <w:t>2014 г.</w:t>
            </w:r>
          </w:p>
        </w:tc>
        <w:tc>
          <w:tcPr>
            <w:tcW w:w="1038" w:type="dxa"/>
          </w:tcPr>
          <w:p>
            <w:pPr>
              <w:spacing w:after="0"/>
              <w:jc w:val="center"/>
              <w:rPr>
                <w:rFonts w:ascii="Times New Roman" w:hAnsi="Times New Roman"/>
                <w:b/>
                <w:noProof/>
                <w:sz w:val="14"/>
                <w:szCs w:val="18"/>
              </w:rPr>
            </w:pPr>
            <w:r>
              <w:rPr>
                <w:rFonts w:ascii="Times New Roman" w:hAnsi="Times New Roman"/>
                <w:b/>
                <w:noProof/>
                <w:sz w:val="14"/>
              </w:rPr>
              <w:t>2015 г.</w:t>
            </w:r>
          </w:p>
        </w:tc>
        <w:tc>
          <w:tcPr>
            <w:tcW w:w="888" w:type="dxa"/>
          </w:tcPr>
          <w:p>
            <w:pPr>
              <w:spacing w:after="0"/>
              <w:jc w:val="center"/>
              <w:rPr>
                <w:rFonts w:ascii="Times New Roman" w:hAnsi="Times New Roman"/>
                <w:b/>
                <w:noProof/>
                <w:sz w:val="14"/>
                <w:szCs w:val="18"/>
              </w:rPr>
            </w:pPr>
            <w:r>
              <w:rPr>
                <w:rFonts w:ascii="Times New Roman" w:hAnsi="Times New Roman"/>
                <w:b/>
                <w:noProof/>
                <w:sz w:val="14"/>
              </w:rPr>
              <w:t>2016 г.</w:t>
            </w:r>
          </w:p>
        </w:tc>
        <w:tc>
          <w:tcPr>
            <w:tcW w:w="889" w:type="dxa"/>
          </w:tcPr>
          <w:p>
            <w:pPr>
              <w:spacing w:after="0"/>
              <w:jc w:val="center"/>
              <w:rPr>
                <w:rFonts w:ascii="Times New Roman" w:hAnsi="Times New Roman"/>
                <w:b/>
                <w:noProof/>
                <w:sz w:val="14"/>
                <w:szCs w:val="18"/>
              </w:rPr>
            </w:pPr>
            <w:r>
              <w:rPr>
                <w:rFonts w:ascii="Times New Roman" w:hAnsi="Times New Roman"/>
                <w:b/>
                <w:noProof/>
                <w:sz w:val="14"/>
              </w:rPr>
              <w:t>2017 г.</w:t>
            </w:r>
          </w:p>
        </w:tc>
        <w:tc>
          <w:tcPr>
            <w:tcW w:w="1026" w:type="dxa"/>
          </w:tcPr>
          <w:p>
            <w:pPr>
              <w:spacing w:after="0"/>
              <w:ind w:right="317"/>
              <w:jc w:val="center"/>
              <w:rPr>
                <w:rFonts w:ascii="Times New Roman" w:hAnsi="Times New Roman"/>
                <w:b/>
                <w:noProof/>
                <w:sz w:val="14"/>
                <w:szCs w:val="18"/>
              </w:rPr>
            </w:pPr>
            <w:r>
              <w:rPr>
                <w:rFonts w:ascii="Times New Roman" w:hAnsi="Times New Roman"/>
                <w:b/>
                <w:noProof/>
                <w:sz w:val="14"/>
              </w:rPr>
              <w:t>2018 г.</w:t>
            </w:r>
          </w:p>
        </w:tc>
        <w:tc>
          <w:tcPr>
            <w:tcW w:w="888" w:type="dxa"/>
          </w:tcPr>
          <w:p>
            <w:pPr>
              <w:spacing w:after="0"/>
              <w:jc w:val="center"/>
              <w:rPr>
                <w:rFonts w:ascii="Times New Roman" w:hAnsi="Times New Roman"/>
                <w:b/>
                <w:noProof/>
                <w:sz w:val="14"/>
                <w:szCs w:val="18"/>
              </w:rPr>
            </w:pPr>
            <w:r>
              <w:rPr>
                <w:rFonts w:ascii="Times New Roman" w:hAnsi="Times New Roman"/>
                <w:b/>
                <w:noProof/>
                <w:sz w:val="14"/>
              </w:rPr>
              <w:t>2019 г.</w:t>
            </w:r>
          </w:p>
        </w:tc>
        <w:tc>
          <w:tcPr>
            <w:tcW w:w="1604" w:type="dxa"/>
          </w:tcPr>
          <w:p>
            <w:pPr>
              <w:spacing w:after="0"/>
              <w:jc w:val="center"/>
              <w:rPr>
                <w:rFonts w:ascii="Times New Roman" w:hAnsi="Times New Roman"/>
                <w:b/>
                <w:noProof/>
                <w:sz w:val="14"/>
                <w:szCs w:val="18"/>
              </w:rPr>
            </w:pPr>
            <w:r>
              <w:rPr>
                <w:rFonts w:ascii="Times New Roman" w:hAnsi="Times New Roman"/>
                <w:b/>
                <w:noProof/>
                <w:sz w:val="14"/>
              </w:rPr>
              <w:t>Общо</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rPr>
              <w:t>13 542 000</w:t>
            </w:r>
          </w:p>
        </w:tc>
        <w:tc>
          <w:tcPr>
            <w:tcW w:w="1037" w:type="dxa"/>
          </w:tcPr>
          <w:p>
            <w:pPr>
              <w:spacing w:after="0"/>
              <w:jc w:val="center"/>
              <w:rPr>
                <w:rFonts w:ascii="Times New Roman" w:hAnsi="Times New Roman"/>
                <w:noProof/>
                <w:sz w:val="14"/>
                <w:szCs w:val="18"/>
              </w:rPr>
            </w:pPr>
            <w:r>
              <w:rPr>
                <w:rFonts w:ascii="Times New Roman" w:hAnsi="Times New Roman"/>
                <w:noProof/>
                <w:sz w:val="14"/>
              </w:rPr>
              <w:t>11 607 428</w:t>
            </w:r>
          </w:p>
        </w:tc>
        <w:tc>
          <w:tcPr>
            <w:tcW w:w="1038" w:type="dxa"/>
          </w:tcPr>
          <w:p>
            <w:pPr>
              <w:spacing w:after="0"/>
              <w:jc w:val="center"/>
              <w:rPr>
                <w:rFonts w:ascii="Times New Roman" w:hAnsi="Times New Roman"/>
                <w:noProof/>
                <w:sz w:val="14"/>
                <w:szCs w:val="18"/>
              </w:rPr>
            </w:pPr>
            <w:r>
              <w:rPr>
                <w:rFonts w:ascii="Times New Roman" w:hAnsi="Times New Roman"/>
                <w:noProof/>
                <w:sz w:val="14"/>
              </w:rPr>
              <w:t>9 672 857</w:t>
            </w:r>
          </w:p>
        </w:tc>
        <w:tc>
          <w:tcPr>
            <w:tcW w:w="888" w:type="dxa"/>
          </w:tcPr>
          <w:p>
            <w:pPr>
              <w:spacing w:after="0"/>
              <w:jc w:val="center"/>
              <w:rPr>
                <w:rFonts w:ascii="Times New Roman" w:hAnsi="Times New Roman"/>
                <w:noProof/>
                <w:sz w:val="14"/>
                <w:szCs w:val="18"/>
              </w:rPr>
            </w:pPr>
            <w:r>
              <w:rPr>
                <w:rFonts w:ascii="Times New Roman" w:hAnsi="Times New Roman"/>
                <w:noProof/>
                <w:sz w:val="14"/>
              </w:rPr>
              <w:t>7 738 286</w:t>
            </w:r>
          </w:p>
        </w:tc>
        <w:tc>
          <w:tcPr>
            <w:tcW w:w="889" w:type="dxa"/>
          </w:tcPr>
          <w:p>
            <w:pPr>
              <w:spacing w:after="0"/>
              <w:jc w:val="center"/>
              <w:rPr>
                <w:rFonts w:ascii="Times New Roman" w:hAnsi="Times New Roman"/>
                <w:noProof/>
                <w:sz w:val="14"/>
                <w:szCs w:val="18"/>
              </w:rPr>
            </w:pPr>
            <w:r>
              <w:rPr>
                <w:rFonts w:ascii="Times New Roman" w:hAnsi="Times New Roman"/>
                <w:noProof/>
                <w:sz w:val="14"/>
              </w:rPr>
              <w:t>5 803 714</w:t>
            </w:r>
          </w:p>
        </w:tc>
        <w:tc>
          <w:tcPr>
            <w:tcW w:w="1026" w:type="dxa"/>
          </w:tcPr>
          <w:p>
            <w:pPr>
              <w:spacing w:after="0"/>
              <w:jc w:val="center"/>
              <w:rPr>
                <w:rFonts w:ascii="Times New Roman" w:hAnsi="Times New Roman"/>
                <w:noProof/>
                <w:sz w:val="14"/>
                <w:szCs w:val="18"/>
              </w:rPr>
            </w:pPr>
            <w:r>
              <w:rPr>
                <w:rFonts w:ascii="Times New Roman" w:hAnsi="Times New Roman"/>
                <w:noProof/>
                <w:sz w:val="14"/>
              </w:rPr>
              <w:t>3 869 143</w:t>
            </w:r>
          </w:p>
        </w:tc>
        <w:tc>
          <w:tcPr>
            <w:tcW w:w="888" w:type="dxa"/>
          </w:tcPr>
          <w:p>
            <w:pPr>
              <w:spacing w:after="0"/>
              <w:jc w:val="center"/>
              <w:rPr>
                <w:rFonts w:ascii="Times New Roman" w:hAnsi="Times New Roman"/>
                <w:noProof/>
                <w:sz w:val="14"/>
                <w:szCs w:val="18"/>
              </w:rPr>
            </w:pPr>
            <w:r>
              <w:rPr>
                <w:rFonts w:ascii="Times New Roman" w:hAnsi="Times New Roman"/>
                <w:noProof/>
                <w:sz w:val="14"/>
              </w:rPr>
              <w:t>1 934 571</w:t>
            </w:r>
          </w:p>
        </w:tc>
        <w:tc>
          <w:tcPr>
            <w:tcW w:w="1604" w:type="dxa"/>
          </w:tcPr>
          <w:p>
            <w:pPr>
              <w:spacing w:after="0"/>
              <w:jc w:val="center"/>
              <w:rPr>
                <w:rFonts w:ascii="Times New Roman" w:hAnsi="Times New Roman"/>
                <w:noProof/>
                <w:sz w:val="14"/>
                <w:szCs w:val="18"/>
              </w:rPr>
            </w:pPr>
            <w:r>
              <w:rPr>
                <w:rFonts w:ascii="Times New Roman" w:hAnsi="Times New Roman"/>
                <w:noProof/>
                <w:sz w:val="14"/>
              </w:rPr>
              <w:t>54 167 999</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rPr>
              <w:t>2 519 077</w:t>
            </w:r>
          </w:p>
        </w:tc>
        <w:tc>
          <w:tcPr>
            <w:tcW w:w="1037" w:type="dxa"/>
          </w:tcPr>
          <w:p>
            <w:pPr>
              <w:spacing w:after="0"/>
              <w:jc w:val="center"/>
              <w:rPr>
                <w:rFonts w:ascii="Times New Roman" w:hAnsi="Times New Roman"/>
                <w:noProof/>
                <w:sz w:val="14"/>
                <w:szCs w:val="18"/>
              </w:rPr>
            </w:pPr>
            <w:r>
              <w:rPr>
                <w:rFonts w:ascii="Times New Roman" w:hAnsi="Times New Roman"/>
                <w:noProof/>
                <w:sz w:val="14"/>
              </w:rPr>
              <w:t>2 195 195</w:t>
            </w:r>
          </w:p>
        </w:tc>
        <w:tc>
          <w:tcPr>
            <w:tcW w:w="1038" w:type="dxa"/>
          </w:tcPr>
          <w:p>
            <w:pPr>
              <w:spacing w:after="0"/>
              <w:jc w:val="center"/>
              <w:rPr>
                <w:rFonts w:ascii="Times New Roman" w:hAnsi="Times New Roman"/>
                <w:noProof/>
                <w:sz w:val="14"/>
                <w:szCs w:val="18"/>
              </w:rPr>
            </w:pPr>
            <w:r>
              <w:rPr>
                <w:rFonts w:ascii="Times New Roman" w:hAnsi="Times New Roman"/>
                <w:noProof/>
                <w:sz w:val="14"/>
              </w:rPr>
              <w:t>1 907 302</w:t>
            </w:r>
          </w:p>
        </w:tc>
        <w:tc>
          <w:tcPr>
            <w:tcW w:w="888" w:type="dxa"/>
          </w:tcPr>
          <w:p>
            <w:pPr>
              <w:spacing w:after="0"/>
              <w:jc w:val="center"/>
              <w:rPr>
                <w:rFonts w:ascii="Times New Roman" w:hAnsi="Times New Roman"/>
                <w:noProof/>
                <w:sz w:val="14"/>
                <w:szCs w:val="18"/>
              </w:rPr>
            </w:pPr>
            <w:r>
              <w:rPr>
                <w:rFonts w:ascii="Times New Roman" w:hAnsi="Times New Roman"/>
                <w:noProof/>
                <w:sz w:val="14"/>
              </w:rPr>
              <w:t>1 583 420</w:t>
            </w:r>
          </w:p>
        </w:tc>
        <w:tc>
          <w:tcPr>
            <w:tcW w:w="889" w:type="dxa"/>
          </w:tcPr>
          <w:p>
            <w:pPr>
              <w:spacing w:after="0"/>
              <w:jc w:val="center"/>
              <w:rPr>
                <w:rFonts w:ascii="Times New Roman" w:hAnsi="Times New Roman"/>
                <w:noProof/>
                <w:sz w:val="14"/>
                <w:szCs w:val="18"/>
              </w:rPr>
            </w:pPr>
            <w:r>
              <w:rPr>
                <w:rFonts w:ascii="Times New Roman" w:hAnsi="Times New Roman"/>
                <w:noProof/>
                <w:sz w:val="14"/>
              </w:rPr>
              <w:t>1 259 538</w:t>
            </w:r>
          </w:p>
        </w:tc>
        <w:tc>
          <w:tcPr>
            <w:tcW w:w="1026" w:type="dxa"/>
          </w:tcPr>
          <w:p>
            <w:pPr>
              <w:spacing w:after="0"/>
              <w:jc w:val="center"/>
              <w:rPr>
                <w:rFonts w:ascii="Times New Roman" w:hAnsi="Times New Roman"/>
                <w:noProof/>
                <w:sz w:val="14"/>
                <w:szCs w:val="18"/>
              </w:rPr>
            </w:pPr>
            <w:r>
              <w:rPr>
                <w:rFonts w:ascii="Times New Roman" w:hAnsi="Times New Roman"/>
                <w:noProof/>
                <w:sz w:val="14"/>
              </w:rPr>
              <w:t>935 657</w:t>
            </w:r>
          </w:p>
        </w:tc>
        <w:tc>
          <w:tcPr>
            <w:tcW w:w="888" w:type="dxa"/>
          </w:tcPr>
          <w:p>
            <w:pPr>
              <w:spacing w:after="0"/>
              <w:jc w:val="center"/>
              <w:rPr>
                <w:rFonts w:ascii="Times New Roman" w:hAnsi="Times New Roman"/>
                <w:noProof/>
                <w:sz w:val="14"/>
                <w:szCs w:val="18"/>
              </w:rPr>
            </w:pPr>
            <w:r>
              <w:rPr>
                <w:rFonts w:ascii="Times New Roman" w:hAnsi="Times New Roman"/>
                <w:noProof/>
                <w:sz w:val="14"/>
              </w:rPr>
              <w:t>575 789</w:t>
            </w:r>
          </w:p>
        </w:tc>
        <w:tc>
          <w:tcPr>
            <w:tcW w:w="1604" w:type="dxa"/>
          </w:tcPr>
          <w:p>
            <w:pPr>
              <w:spacing w:after="0"/>
              <w:jc w:val="center"/>
              <w:rPr>
                <w:rFonts w:ascii="Times New Roman" w:hAnsi="Times New Roman"/>
                <w:noProof/>
                <w:sz w:val="14"/>
                <w:szCs w:val="18"/>
              </w:rPr>
            </w:pPr>
            <w:r>
              <w:rPr>
                <w:rFonts w:ascii="Times New Roman" w:hAnsi="Times New Roman"/>
                <w:noProof/>
                <w:sz w:val="14"/>
              </w:rPr>
              <w:t>10 975 978</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rPr>
              <w:t>26 916 667</w:t>
            </w:r>
          </w:p>
        </w:tc>
        <w:tc>
          <w:tcPr>
            <w:tcW w:w="1037" w:type="dxa"/>
          </w:tcPr>
          <w:p>
            <w:pPr>
              <w:spacing w:after="0"/>
              <w:jc w:val="center"/>
              <w:rPr>
                <w:rFonts w:ascii="Times New Roman" w:hAnsi="Times New Roman"/>
                <w:noProof/>
                <w:sz w:val="14"/>
                <w:szCs w:val="18"/>
              </w:rPr>
            </w:pPr>
            <w:r>
              <w:rPr>
                <w:rFonts w:ascii="Times New Roman" w:hAnsi="Times New Roman"/>
                <w:noProof/>
                <w:sz w:val="14"/>
              </w:rPr>
              <w:t>23 071 429</w:t>
            </w:r>
          </w:p>
        </w:tc>
        <w:tc>
          <w:tcPr>
            <w:tcW w:w="1038" w:type="dxa"/>
          </w:tcPr>
          <w:p>
            <w:pPr>
              <w:spacing w:after="0"/>
              <w:jc w:val="center"/>
              <w:rPr>
                <w:rFonts w:ascii="Times New Roman" w:hAnsi="Times New Roman"/>
                <w:noProof/>
                <w:sz w:val="14"/>
                <w:szCs w:val="18"/>
              </w:rPr>
            </w:pPr>
            <w:r>
              <w:rPr>
                <w:rFonts w:ascii="Times New Roman" w:hAnsi="Times New Roman"/>
                <w:noProof/>
                <w:sz w:val="14"/>
              </w:rPr>
              <w:t>19 226 191</w:t>
            </w:r>
          </w:p>
        </w:tc>
        <w:tc>
          <w:tcPr>
            <w:tcW w:w="888" w:type="dxa"/>
          </w:tcPr>
          <w:p>
            <w:pPr>
              <w:spacing w:after="0"/>
              <w:jc w:val="center"/>
              <w:rPr>
                <w:rFonts w:ascii="Times New Roman" w:hAnsi="Times New Roman"/>
                <w:noProof/>
                <w:sz w:val="14"/>
                <w:szCs w:val="18"/>
              </w:rPr>
            </w:pPr>
            <w:r>
              <w:rPr>
                <w:rFonts w:ascii="Times New Roman" w:hAnsi="Times New Roman"/>
                <w:noProof/>
                <w:sz w:val="14"/>
              </w:rPr>
              <w:t>15 380 953</w:t>
            </w:r>
          </w:p>
        </w:tc>
        <w:tc>
          <w:tcPr>
            <w:tcW w:w="889" w:type="dxa"/>
          </w:tcPr>
          <w:p>
            <w:pPr>
              <w:spacing w:after="0"/>
              <w:jc w:val="center"/>
              <w:rPr>
                <w:rFonts w:ascii="Times New Roman" w:hAnsi="Times New Roman"/>
                <w:noProof/>
                <w:sz w:val="14"/>
                <w:szCs w:val="18"/>
              </w:rPr>
            </w:pPr>
            <w:r>
              <w:rPr>
                <w:rFonts w:ascii="Times New Roman" w:hAnsi="Times New Roman"/>
                <w:noProof/>
                <w:sz w:val="14"/>
              </w:rPr>
              <w:t>11 535 714</w:t>
            </w:r>
          </w:p>
        </w:tc>
        <w:tc>
          <w:tcPr>
            <w:tcW w:w="1026" w:type="dxa"/>
          </w:tcPr>
          <w:p>
            <w:pPr>
              <w:spacing w:after="0"/>
              <w:jc w:val="center"/>
              <w:rPr>
                <w:rFonts w:ascii="Times New Roman" w:hAnsi="Times New Roman"/>
                <w:noProof/>
                <w:sz w:val="14"/>
                <w:szCs w:val="18"/>
              </w:rPr>
            </w:pPr>
            <w:r>
              <w:rPr>
                <w:rFonts w:ascii="Times New Roman" w:hAnsi="Times New Roman"/>
                <w:noProof/>
                <w:sz w:val="14"/>
              </w:rPr>
              <w:t>7 690 476</w:t>
            </w:r>
          </w:p>
        </w:tc>
        <w:tc>
          <w:tcPr>
            <w:tcW w:w="888" w:type="dxa"/>
          </w:tcPr>
          <w:p>
            <w:pPr>
              <w:spacing w:after="0"/>
              <w:jc w:val="center"/>
              <w:rPr>
                <w:rFonts w:ascii="Times New Roman" w:hAnsi="Times New Roman"/>
                <w:noProof/>
                <w:sz w:val="14"/>
                <w:szCs w:val="18"/>
              </w:rPr>
            </w:pPr>
            <w:r>
              <w:rPr>
                <w:rFonts w:ascii="Times New Roman" w:hAnsi="Times New Roman"/>
                <w:noProof/>
                <w:sz w:val="14"/>
              </w:rPr>
              <w:t>3 845 238</w:t>
            </w:r>
          </w:p>
        </w:tc>
        <w:tc>
          <w:tcPr>
            <w:tcW w:w="1604" w:type="dxa"/>
          </w:tcPr>
          <w:p>
            <w:pPr>
              <w:spacing w:after="0"/>
              <w:jc w:val="center"/>
              <w:rPr>
                <w:rFonts w:ascii="Times New Roman" w:hAnsi="Times New Roman"/>
                <w:noProof/>
                <w:sz w:val="14"/>
                <w:szCs w:val="18"/>
              </w:rPr>
            </w:pPr>
            <w:r>
              <w:rPr>
                <w:rFonts w:ascii="Times New Roman" w:hAnsi="Times New Roman"/>
                <w:noProof/>
                <w:sz w:val="14"/>
              </w:rPr>
              <w:t>107 666 668</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rPr>
              <w:t>5 288 827</w:t>
            </w:r>
          </w:p>
        </w:tc>
        <w:tc>
          <w:tcPr>
            <w:tcW w:w="1037" w:type="dxa"/>
          </w:tcPr>
          <w:p>
            <w:pPr>
              <w:spacing w:after="0"/>
              <w:jc w:val="center"/>
              <w:rPr>
                <w:rFonts w:ascii="Times New Roman" w:hAnsi="Times New Roman"/>
                <w:noProof/>
                <w:sz w:val="14"/>
                <w:szCs w:val="18"/>
              </w:rPr>
            </w:pPr>
            <w:r>
              <w:rPr>
                <w:rFonts w:ascii="Times New Roman" w:hAnsi="Times New Roman"/>
                <w:noProof/>
                <w:sz w:val="14"/>
              </w:rPr>
              <w:t>4 533 280</w:t>
            </w:r>
          </w:p>
        </w:tc>
        <w:tc>
          <w:tcPr>
            <w:tcW w:w="1038" w:type="dxa"/>
          </w:tcPr>
          <w:p>
            <w:pPr>
              <w:spacing w:after="0"/>
              <w:jc w:val="center"/>
              <w:rPr>
                <w:rFonts w:ascii="Times New Roman" w:hAnsi="Times New Roman"/>
                <w:noProof/>
                <w:sz w:val="14"/>
                <w:szCs w:val="18"/>
              </w:rPr>
            </w:pPr>
            <w:r>
              <w:rPr>
                <w:rFonts w:ascii="Times New Roman" w:hAnsi="Times New Roman"/>
                <w:noProof/>
                <w:sz w:val="14"/>
              </w:rPr>
              <w:t>3 777 733</w:t>
            </w:r>
          </w:p>
        </w:tc>
        <w:tc>
          <w:tcPr>
            <w:tcW w:w="888" w:type="dxa"/>
          </w:tcPr>
          <w:p>
            <w:pPr>
              <w:spacing w:after="0"/>
              <w:jc w:val="center"/>
              <w:rPr>
                <w:rFonts w:ascii="Times New Roman" w:hAnsi="Times New Roman"/>
                <w:noProof/>
                <w:sz w:val="14"/>
                <w:szCs w:val="18"/>
              </w:rPr>
            </w:pPr>
            <w:r>
              <w:rPr>
                <w:rFonts w:ascii="Times New Roman" w:hAnsi="Times New Roman"/>
                <w:noProof/>
                <w:sz w:val="14"/>
              </w:rPr>
              <w:t>3 022 187</w:t>
            </w:r>
          </w:p>
        </w:tc>
        <w:tc>
          <w:tcPr>
            <w:tcW w:w="889" w:type="dxa"/>
          </w:tcPr>
          <w:p>
            <w:pPr>
              <w:spacing w:after="0"/>
              <w:jc w:val="center"/>
              <w:rPr>
                <w:rFonts w:ascii="Times New Roman" w:hAnsi="Times New Roman"/>
                <w:noProof/>
                <w:sz w:val="14"/>
                <w:szCs w:val="18"/>
              </w:rPr>
            </w:pPr>
            <w:r>
              <w:rPr>
                <w:rFonts w:ascii="Times New Roman" w:hAnsi="Times New Roman"/>
                <w:noProof/>
                <w:sz w:val="14"/>
              </w:rPr>
              <w:t>2 266 640</w:t>
            </w:r>
          </w:p>
        </w:tc>
        <w:tc>
          <w:tcPr>
            <w:tcW w:w="1026" w:type="dxa"/>
          </w:tcPr>
          <w:p>
            <w:pPr>
              <w:spacing w:after="0"/>
              <w:jc w:val="center"/>
              <w:rPr>
                <w:rFonts w:ascii="Times New Roman" w:hAnsi="Times New Roman"/>
                <w:noProof/>
                <w:sz w:val="14"/>
                <w:szCs w:val="18"/>
              </w:rPr>
            </w:pPr>
            <w:r>
              <w:rPr>
                <w:rFonts w:ascii="Times New Roman" w:hAnsi="Times New Roman"/>
                <w:noProof/>
                <w:sz w:val="14"/>
              </w:rPr>
              <w:t>1 511 093</w:t>
            </w:r>
          </w:p>
        </w:tc>
        <w:tc>
          <w:tcPr>
            <w:tcW w:w="888" w:type="dxa"/>
          </w:tcPr>
          <w:p>
            <w:pPr>
              <w:spacing w:after="0"/>
              <w:jc w:val="center"/>
              <w:rPr>
                <w:rFonts w:ascii="Times New Roman" w:hAnsi="Times New Roman"/>
                <w:noProof/>
                <w:sz w:val="14"/>
                <w:szCs w:val="18"/>
              </w:rPr>
            </w:pPr>
            <w:r>
              <w:rPr>
                <w:rFonts w:ascii="Times New Roman" w:hAnsi="Times New Roman"/>
                <w:noProof/>
                <w:sz w:val="14"/>
              </w:rPr>
              <w:t>755 547</w:t>
            </w:r>
          </w:p>
        </w:tc>
        <w:tc>
          <w:tcPr>
            <w:tcW w:w="1604" w:type="dxa"/>
          </w:tcPr>
          <w:p>
            <w:pPr>
              <w:spacing w:after="0"/>
              <w:jc w:val="center"/>
              <w:rPr>
                <w:rFonts w:ascii="Times New Roman" w:hAnsi="Times New Roman"/>
                <w:noProof/>
                <w:sz w:val="14"/>
                <w:szCs w:val="18"/>
              </w:rPr>
            </w:pPr>
            <w:r>
              <w:rPr>
                <w:rFonts w:ascii="Times New Roman" w:hAnsi="Times New Roman"/>
                <w:noProof/>
                <w:sz w:val="14"/>
              </w:rPr>
              <w:t>21 155 307</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rPr>
              <w:t>7 047 255</w:t>
            </w:r>
          </w:p>
        </w:tc>
        <w:tc>
          <w:tcPr>
            <w:tcW w:w="1037" w:type="dxa"/>
          </w:tcPr>
          <w:p>
            <w:pPr>
              <w:spacing w:after="0"/>
              <w:jc w:val="center"/>
              <w:rPr>
                <w:rFonts w:ascii="Times New Roman" w:hAnsi="Times New Roman"/>
                <w:noProof/>
                <w:sz w:val="14"/>
                <w:szCs w:val="18"/>
              </w:rPr>
            </w:pPr>
            <w:r>
              <w:rPr>
                <w:rFonts w:ascii="Times New Roman" w:hAnsi="Times New Roman"/>
                <w:noProof/>
                <w:sz w:val="14"/>
              </w:rPr>
              <w:t>0</w:t>
            </w:r>
          </w:p>
        </w:tc>
        <w:tc>
          <w:tcPr>
            <w:tcW w:w="1038" w:type="dxa"/>
          </w:tcPr>
          <w:p>
            <w:pPr>
              <w:spacing w:after="0"/>
              <w:jc w:val="center"/>
              <w:rPr>
                <w:rFonts w:ascii="Times New Roman" w:hAnsi="Times New Roman"/>
                <w:noProof/>
                <w:sz w:val="14"/>
                <w:szCs w:val="18"/>
              </w:rPr>
            </w:pPr>
            <w:r>
              <w:rPr>
                <w:rFonts w:ascii="Times New Roman" w:hAnsi="Times New Roman"/>
                <w:noProof/>
                <w:sz w:val="14"/>
              </w:rPr>
              <w:t>0</w:t>
            </w:r>
          </w:p>
        </w:tc>
        <w:tc>
          <w:tcPr>
            <w:tcW w:w="888" w:type="dxa"/>
          </w:tcPr>
          <w:p>
            <w:pPr>
              <w:spacing w:after="0"/>
              <w:jc w:val="center"/>
              <w:rPr>
                <w:rFonts w:ascii="Times New Roman" w:hAnsi="Times New Roman"/>
                <w:noProof/>
                <w:sz w:val="14"/>
                <w:szCs w:val="18"/>
              </w:rPr>
            </w:pPr>
            <w:r>
              <w:rPr>
                <w:rFonts w:ascii="Times New Roman" w:hAnsi="Times New Roman"/>
                <w:noProof/>
                <w:sz w:val="14"/>
              </w:rPr>
              <w:t>0</w:t>
            </w:r>
          </w:p>
        </w:tc>
        <w:tc>
          <w:tcPr>
            <w:tcW w:w="889" w:type="dxa"/>
          </w:tcPr>
          <w:p>
            <w:pPr>
              <w:spacing w:after="0"/>
              <w:jc w:val="center"/>
              <w:rPr>
                <w:rFonts w:ascii="Times New Roman" w:hAnsi="Times New Roman"/>
                <w:noProof/>
                <w:sz w:val="14"/>
                <w:szCs w:val="18"/>
              </w:rPr>
            </w:pPr>
            <w:r>
              <w:rPr>
                <w:rFonts w:ascii="Times New Roman" w:hAnsi="Times New Roman"/>
                <w:noProof/>
                <w:sz w:val="14"/>
              </w:rPr>
              <w:t>0</w:t>
            </w:r>
          </w:p>
        </w:tc>
        <w:tc>
          <w:tcPr>
            <w:tcW w:w="1026" w:type="dxa"/>
          </w:tcPr>
          <w:p>
            <w:pPr>
              <w:spacing w:after="0"/>
              <w:jc w:val="center"/>
              <w:rPr>
                <w:rFonts w:ascii="Times New Roman" w:hAnsi="Times New Roman"/>
                <w:noProof/>
                <w:sz w:val="14"/>
                <w:szCs w:val="18"/>
              </w:rPr>
            </w:pPr>
            <w:r>
              <w:rPr>
                <w:rFonts w:ascii="Times New Roman" w:hAnsi="Times New Roman"/>
                <w:noProof/>
                <w:sz w:val="14"/>
              </w:rPr>
              <w:t>0</w:t>
            </w:r>
          </w:p>
        </w:tc>
        <w:tc>
          <w:tcPr>
            <w:tcW w:w="888" w:type="dxa"/>
          </w:tcPr>
          <w:p>
            <w:pPr>
              <w:spacing w:after="0"/>
              <w:jc w:val="center"/>
              <w:rPr>
                <w:rFonts w:ascii="Times New Roman" w:hAnsi="Times New Roman"/>
                <w:noProof/>
                <w:sz w:val="14"/>
                <w:szCs w:val="18"/>
              </w:rPr>
            </w:pPr>
            <w:r>
              <w:rPr>
                <w:rFonts w:ascii="Times New Roman" w:hAnsi="Times New Roman"/>
                <w:noProof/>
                <w:sz w:val="14"/>
              </w:rPr>
              <w:t>0</w:t>
            </w:r>
          </w:p>
        </w:tc>
        <w:tc>
          <w:tcPr>
            <w:tcW w:w="1604" w:type="dxa"/>
          </w:tcPr>
          <w:p>
            <w:pPr>
              <w:spacing w:after="0"/>
              <w:jc w:val="center"/>
              <w:rPr>
                <w:rFonts w:ascii="Times New Roman" w:hAnsi="Times New Roman"/>
                <w:noProof/>
                <w:sz w:val="14"/>
                <w:szCs w:val="18"/>
              </w:rPr>
            </w:pPr>
            <w:r>
              <w:rPr>
                <w:rFonts w:ascii="Times New Roman" w:hAnsi="Times New Roman"/>
                <w:noProof/>
                <w:sz w:val="14"/>
              </w:rPr>
              <w:t>7 047 255</w:t>
            </w:r>
          </w:p>
        </w:tc>
      </w:tr>
      <w:tr>
        <w:trPr>
          <w:trHeight w:val="308"/>
          <w:jc w:val="center"/>
        </w:trPr>
        <w:tc>
          <w:tcPr>
            <w:tcW w:w="1346" w:type="dxa"/>
          </w:tcPr>
          <w:p>
            <w:pPr>
              <w:spacing w:after="0"/>
              <w:jc w:val="center"/>
              <w:rPr>
                <w:rFonts w:ascii="Times New Roman" w:hAnsi="Times New Roman"/>
                <w:noProof/>
                <w:sz w:val="14"/>
                <w:szCs w:val="18"/>
                <w:highlight w:val="yellow"/>
              </w:rPr>
            </w:pPr>
            <w:r>
              <w:rPr>
                <w:rFonts w:ascii="Times New Roman" w:hAnsi="Times New Roman"/>
                <w:noProof/>
                <w:sz w:val="14"/>
              </w:rPr>
              <w:t>582 373</w:t>
            </w:r>
          </w:p>
        </w:tc>
        <w:tc>
          <w:tcPr>
            <w:tcW w:w="1037" w:type="dxa"/>
          </w:tcPr>
          <w:p>
            <w:pPr>
              <w:spacing w:after="0"/>
              <w:jc w:val="center"/>
              <w:rPr>
                <w:rFonts w:ascii="Times New Roman" w:hAnsi="Times New Roman"/>
                <w:noProof/>
                <w:sz w:val="14"/>
                <w:szCs w:val="18"/>
                <w:highlight w:val="yellow"/>
              </w:rPr>
            </w:pPr>
            <w:r>
              <w:rPr>
                <w:rFonts w:ascii="Times New Roman" w:hAnsi="Times New Roman"/>
                <w:noProof/>
                <w:sz w:val="14"/>
              </w:rPr>
              <w:t>536 615</w:t>
            </w:r>
          </w:p>
        </w:tc>
        <w:tc>
          <w:tcPr>
            <w:tcW w:w="1038" w:type="dxa"/>
          </w:tcPr>
          <w:p>
            <w:pPr>
              <w:spacing w:after="0"/>
              <w:jc w:val="center"/>
              <w:rPr>
                <w:rFonts w:ascii="Times New Roman" w:hAnsi="Times New Roman"/>
                <w:noProof/>
                <w:sz w:val="14"/>
                <w:szCs w:val="18"/>
                <w:highlight w:val="yellow"/>
              </w:rPr>
            </w:pPr>
            <w:r>
              <w:rPr>
                <w:rFonts w:ascii="Times New Roman" w:hAnsi="Times New Roman"/>
                <w:noProof/>
                <w:sz w:val="14"/>
              </w:rPr>
              <w:t>486 698</w:t>
            </w:r>
          </w:p>
        </w:tc>
        <w:tc>
          <w:tcPr>
            <w:tcW w:w="888" w:type="dxa"/>
          </w:tcPr>
          <w:p>
            <w:pPr>
              <w:spacing w:after="0"/>
              <w:jc w:val="center"/>
              <w:rPr>
                <w:rFonts w:ascii="Times New Roman" w:hAnsi="Times New Roman"/>
                <w:noProof/>
                <w:sz w:val="14"/>
                <w:szCs w:val="18"/>
                <w:highlight w:val="yellow"/>
              </w:rPr>
            </w:pPr>
            <w:r>
              <w:rPr>
                <w:rFonts w:ascii="Times New Roman" w:hAnsi="Times New Roman"/>
                <w:noProof/>
                <w:sz w:val="14"/>
              </w:rPr>
              <w:t>428 460</w:t>
            </w:r>
          </w:p>
        </w:tc>
        <w:tc>
          <w:tcPr>
            <w:tcW w:w="889" w:type="dxa"/>
          </w:tcPr>
          <w:p>
            <w:pPr>
              <w:spacing w:after="0"/>
              <w:jc w:val="center"/>
              <w:rPr>
                <w:rFonts w:ascii="Times New Roman" w:hAnsi="Times New Roman"/>
                <w:noProof/>
                <w:sz w:val="14"/>
                <w:szCs w:val="18"/>
                <w:highlight w:val="yellow"/>
              </w:rPr>
            </w:pPr>
            <w:r>
              <w:rPr>
                <w:rFonts w:ascii="Times New Roman" w:hAnsi="Times New Roman"/>
                <w:noProof/>
                <w:sz w:val="14"/>
              </w:rPr>
              <w:t>361 903</w:t>
            </w:r>
          </w:p>
        </w:tc>
        <w:tc>
          <w:tcPr>
            <w:tcW w:w="1026" w:type="dxa"/>
          </w:tcPr>
          <w:p>
            <w:pPr>
              <w:spacing w:after="0"/>
              <w:jc w:val="center"/>
              <w:rPr>
                <w:rFonts w:ascii="Times New Roman" w:hAnsi="Times New Roman"/>
                <w:noProof/>
                <w:sz w:val="14"/>
                <w:szCs w:val="18"/>
                <w:highlight w:val="yellow"/>
              </w:rPr>
            </w:pPr>
            <w:r>
              <w:rPr>
                <w:rFonts w:ascii="Times New Roman" w:hAnsi="Times New Roman"/>
                <w:noProof/>
                <w:sz w:val="14"/>
              </w:rPr>
              <w:t>287 027</w:t>
            </w:r>
          </w:p>
        </w:tc>
        <w:tc>
          <w:tcPr>
            <w:tcW w:w="888" w:type="dxa"/>
          </w:tcPr>
          <w:p>
            <w:pPr>
              <w:spacing w:after="0"/>
              <w:jc w:val="center"/>
              <w:rPr>
                <w:rFonts w:ascii="Times New Roman" w:hAnsi="Times New Roman"/>
                <w:noProof/>
                <w:sz w:val="14"/>
                <w:szCs w:val="18"/>
                <w:highlight w:val="yellow"/>
              </w:rPr>
            </w:pPr>
            <w:r>
              <w:rPr>
                <w:rFonts w:ascii="Times New Roman" w:hAnsi="Times New Roman"/>
                <w:noProof/>
                <w:sz w:val="14"/>
              </w:rPr>
              <w:t>170 552</w:t>
            </w:r>
          </w:p>
        </w:tc>
        <w:tc>
          <w:tcPr>
            <w:tcW w:w="1604" w:type="dxa"/>
          </w:tcPr>
          <w:p>
            <w:pPr>
              <w:spacing w:after="0"/>
              <w:jc w:val="center"/>
              <w:rPr>
                <w:rFonts w:ascii="Times New Roman" w:hAnsi="Times New Roman"/>
                <w:noProof/>
                <w:sz w:val="14"/>
                <w:szCs w:val="18"/>
                <w:highlight w:val="yellow"/>
              </w:rPr>
            </w:pPr>
            <w:r>
              <w:rPr>
                <w:rFonts w:ascii="Times New Roman" w:hAnsi="Times New Roman"/>
                <w:noProof/>
                <w:sz w:val="14"/>
              </w:rPr>
              <w:t>2 853 628</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rPr>
              <w:t>77 816 756</w:t>
            </w:r>
          </w:p>
        </w:tc>
        <w:tc>
          <w:tcPr>
            <w:tcW w:w="1037" w:type="dxa"/>
          </w:tcPr>
          <w:p>
            <w:pPr>
              <w:spacing w:after="0"/>
              <w:jc w:val="center"/>
              <w:rPr>
                <w:rFonts w:ascii="Times New Roman" w:hAnsi="Times New Roman"/>
                <w:noProof/>
                <w:sz w:val="14"/>
                <w:szCs w:val="18"/>
              </w:rPr>
            </w:pPr>
            <w:r>
              <w:rPr>
                <w:rFonts w:ascii="Times New Roman" w:hAnsi="Times New Roman"/>
                <w:noProof/>
                <w:sz w:val="14"/>
              </w:rPr>
              <w:t>72 258 416</w:t>
            </w:r>
          </w:p>
        </w:tc>
        <w:tc>
          <w:tcPr>
            <w:tcW w:w="1038" w:type="dxa"/>
          </w:tcPr>
          <w:p>
            <w:pPr>
              <w:spacing w:after="0"/>
              <w:jc w:val="center"/>
              <w:rPr>
                <w:rFonts w:ascii="Times New Roman" w:hAnsi="Times New Roman"/>
                <w:noProof/>
                <w:sz w:val="14"/>
                <w:szCs w:val="18"/>
              </w:rPr>
            </w:pPr>
            <w:r>
              <w:rPr>
                <w:rFonts w:ascii="Times New Roman" w:hAnsi="Times New Roman"/>
                <w:noProof/>
                <w:sz w:val="14"/>
              </w:rPr>
              <w:t>66 700 076</w:t>
            </w:r>
          </w:p>
        </w:tc>
        <w:tc>
          <w:tcPr>
            <w:tcW w:w="888" w:type="dxa"/>
          </w:tcPr>
          <w:p>
            <w:pPr>
              <w:spacing w:after="0"/>
              <w:jc w:val="center"/>
              <w:rPr>
                <w:rFonts w:ascii="Times New Roman" w:hAnsi="Times New Roman"/>
                <w:noProof/>
                <w:sz w:val="14"/>
                <w:szCs w:val="18"/>
              </w:rPr>
            </w:pPr>
            <w:r>
              <w:rPr>
                <w:rFonts w:ascii="Times New Roman" w:hAnsi="Times New Roman"/>
                <w:noProof/>
                <w:sz w:val="14"/>
              </w:rPr>
              <w:t>60 030 069</w:t>
            </w:r>
          </w:p>
        </w:tc>
        <w:tc>
          <w:tcPr>
            <w:tcW w:w="889" w:type="dxa"/>
          </w:tcPr>
          <w:p>
            <w:pPr>
              <w:spacing w:after="0"/>
              <w:jc w:val="center"/>
              <w:rPr>
                <w:rFonts w:ascii="Times New Roman" w:hAnsi="Times New Roman"/>
                <w:noProof/>
                <w:sz w:val="14"/>
                <w:szCs w:val="18"/>
              </w:rPr>
            </w:pPr>
            <w:r>
              <w:rPr>
                <w:rFonts w:ascii="Times New Roman" w:hAnsi="Times New Roman"/>
                <w:noProof/>
                <w:sz w:val="14"/>
              </w:rPr>
              <w:t>52 248 393</w:t>
            </w:r>
          </w:p>
        </w:tc>
        <w:tc>
          <w:tcPr>
            <w:tcW w:w="1026" w:type="dxa"/>
          </w:tcPr>
          <w:p>
            <w:pPr>
              <w:spacing w:after="0"/>
              <w:jc w:val="center"/>
              <w:rPr>
                <w:rFonts w:ascii="Times New Roman" w:hAnsi="Times New Roman"/>
                <w:noProof/>
                <w:sz w:val="14"/>
                <w:szCs w:val="18"/>
              </w:rPr>
            </w:pPr>
            <w:r>
              <w:rPr>
                <w:rFonts w:ascii="Times New Roman" w:hAnsi="Times New Roman"/>
                <w:noProof/>
                <w:sz w:val="14"/>
              </w:rPr>
              <w:t>43 355 049</w:t>
            </w:r>
          </w:p>
        </w:tc>
        <w:tc>
          <w:tcPr>
            <w:tcW w:w="888" w:type="dxa"/>
          </w:tcPr>
          <w:p>
            <w:pPr>
              <w:spacing w:after="0"/>
              <w:jc w:val="center"/>
              <w:rPr>
                <w:rFonts w:ascii="Times New Roman" w:hAnsi="Times New Roman"/>
                <w:noProof/>
                <w:sz w:val="14"/>
                <w:szCs w:val="18"/>
              </w:rPr>
            </w:pPr>
            <w:r>
              <w:rPr>
                <w:rFonts w:ascii="Times New Roman" w:hAnsi="Times New Roman"/>
                <w:noProof/>
                <w:sz w:val="14"/>
              </w:rPr>
              <w:t>32 238 370</w:t>
            </w:r>
          </w:p>
        </w:tc>
        <w:tc>
          <w:tcPr>
            <w:tcW w:w="1604" w:type="dxa"/>
          </w:tcPr>
          <w:p>
            <w:pPr>
              <w:spacing w:after="0"/>
              <w:jc w:val="center"/>
              <w:rPr>
                <w:rFonts w:ascii="Times New Roman" w:hAnsi="Times New Roman"/>
                <w:noProof/>
                <w:sz w:val="14"/>
                <w:szCs w:val="18"/>
              </w:rPr>
            </w:pPr>
            <w:r>
              <w:rPr>
                <w:rFonts w:ascii="Times New Roman" w:hAnsi="Times New Roman"/>
                <w:noProof/>
                <w:sz w:val="14"/>
              </w:rPr>
              <w:t>404 647 129</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rPr>
              <w:t>17 852 479</w:t>
            </w:r>
          </w:p>
        </w:tc>
        <w:tc>
          <w:tcPr>
            <w:tcW w:w="1037" w:type="dxa"/>
          </w:tcPr>
          <w:p>
            <w:pPr>
              <w:spacing w:after="0"/>
              <w:jc w:val="center"/>
              <w:rPr>
                <w:rFonts w:ascii="Times New Roman" w:hAnsi="Times New Roman"/>
                <w:noProof/>
                <w:sz w:val="14"/>
                <w:szCs w:val="18"/>
              </w:rPr>
            </w:pPr>
            <w:r>
              <w:rPr>
                <w:rFonts w:ascii="Times New Roman" w:hAnsi="Times New Roman"/>
                <w:noProof/>
                <w:sz w:val="14"/>
              </w:rPr>
              <w:t>15 302 125</w:t>
            </w:r>
          </w:p>
        </w:tc>
        <w:tc>
          <w:tcPr>
            <w:tcW w:w="1038" w:type="dxa"/>
          </w:tcPr>
          <w:p>
            <w:pPr>
              <w:spacing w:after="0"/>
              <w:jc w:val="center"/>
              <w:rPr>
                <w:rFonts w:ascii="Times New Roman" w:hAnsi="Times New Roman"/>
                <w:noProof/>
                <w:sz w:val="14"/>
                <w:szCs w:val="18"/>
              </w:rPr>
            </w:pPr>
            <w:r>
              <w:rPr>
                <w:rFonts w:ascii="Times New Roman" w:hAnsi="Times New Roman"/>
                <w:noProof/>
                <w:sz w:val="14"/>
              </w:rPr>
              <w:t>12 751 771</w:t>
            </w:r>
          </w:p>
        </w:tc>
        <w:tc>
          <w:tcPr>
            <w:tcW w:w="888" w:type="dxa"/>
          </w:tcPr>
          <w:p>
            <w:pPr>
              <w:spacing w:after="0"/>
              <w:jc w:val="center"/>
              <w:rPr>
                <w:rFonts w:ascii="Times New Roman" w:hAnsi="Times New Roman"/>
                <w:noProof/>
                <w:sz w:val="14"/>
                <w:szCs w:val="18"/>
              </w:rPr>
            </w:pPr>
            <w:r>
              <w:rPr>
                <w:rFonts w:ascii="Times New Roman" w:hAnsi="Times New Roman"/>
                <w:noProof/>
                <w:sz w:val="14"/>
              </w:rPr>
              <w:t>10 201 417</w:t>
            </w:r>
          </w:p>
        </w:tc>
        <w:tc>
          <w:tcPr>
            <w:tcW w:w="889" w:type="dxa"/>
          </w:tcPr>
          <w:p>
            <w:pPr>
              <w:spacing w:after="0"/>
              <w:jc w:val="center"/>
              <w:rPr>
                <w:rFonts w:ascii="Times New Roman" w:hAnsi="Times New Roman"/>
                <w:noProof/>
                <w:sz w:val="14"/>
                <w:szCs w:val="18"/>
              </w:rPr>
            </w:pPr>
            <w:r>
              <w:rPr>
                <w:rFonts w:ascii="Times New Roman" w:hAnsi="Times New Roman"/>
                <w:noProof/>
                <w:sz w:val="14"/>
              </w:rPr>
              <w:t>7 651 063</w:t>
            </w:r>
          </w:p>
        </w:tc>
        <w:tc>
          <w:tcPr>
            <w:tcW w:w="1026" w:type="dxa"/>
          </w:tcPr>
          <w:p>
            <w:pPr>
              <w:spacing w:after="0"/>
              <w:jc w:val="center"/>
              <w:rPr>
                <w:rFonts w:ascii="Times New Roman" w:hAnsi="Times New Roman"/>
                <w:noProof/>
                <w:sz w:val="14"/>
                <w:szCs w:val="18"/>
              </w:rPr>
            </w:pPr>
            <w:r>
              <w:rPr>
                <w:rFonts w:ascii="Times New Roman" w:hAnsi="Times New Roman"/>
                <w:noProof/>
                <w:sz w:val="14"/>
              </w:rPr>
              <w:t>5 100 708</w:t>
            </w:r>
          </w:p>
        </w:tc>
        <w:tc>
          <w:tcPr>
            <w:tcW w:w="888" w:type="dxa"/>
          </w:tcPr>
          <w:p>
            <w:pPr>
              <w:spacing w:after="0"/>
              <w:jc w:val="center"/>
              <w:rPr>
                <w:rFonts w:ascii="Times New Roman" w:hAnsi="Times New Roman"/>
                <w:noProof/>
                <w:sz w:val="14"/>
                <w:szCs w:val="18"/>
              </w:rPr>
            </w:pPr>
            <w:r>
              <w:rPr>
                <w:rFonts w:ascii="Times New Roman" w:hAnsi="Times New Roman"/>
                <w:noProof/>
                <w:sz w:val="14"/>
              </w:rPr>
              <w:t>2 550 354</w:t>
            </w:r>
          </w:p>
        </w:tc>
        <w:tc>
          <w:tcPr>
            <w:tcW w:w="1604" w:type="dxa"/>
          </w:tcPr>
          <w:p>
            <w:pPr>
              <w:spacing w:after="0"/>
              <w:jc w:val="center"/>
              <w:rPr>
                <w:rFonts w:ascii="Times New Roman" w:hAnsi="Times New Roman"/>
                <w:noProof/>
                <w:sz w:val="14"/>
                <w:szCs w:val="18"/>
              </w:rPr>
            </w:pPr>
            <w:r>
              <w:rPr>
                <w:rFonts w:ascii="Times New Roman" w:hAnsi="Times New Roman"/>
                <w:noProof/>
                <w:sz w:val="14"/>
              </w:rPr>
              <w:t>71 409 917</w:t>
            </w:r>
          </w:p>
        </w:tc>
      </w:tr>
      <w:tr>
        <w:trPr>
          <w:trHeight w:val="437"/>
          <w:jc w:val="center"/>
        </w:trPr>
        <w:tc>
          <w:tcPr>
            <w:tcW w:w="1346" w:type="dxa"/>
          </w:tcPr>
          <w:p>
            <w:pPr>
              <w:spacing w:after="0"/>
              <w:jc w:val="center"/>
              <w:rPr>
                <w:rFonts w:ascii="Times New Roman" w:hAnsi="Times New Roman"/>
                <w:noProof/>
                <w:sz w:val="14"/>
                <w:szCs w:val="18"/>
                <w:highlight w:val="yellow"/>
              </w:rPr>
            </w:pPr>
            <w:r>
              <w:rPr>
                <w:rFonts w:ascii="Times New Roman" w:hAnsi="Times New Roman"/>
                <w:noProof/>
                <w:sz w:val="14"/>
              </w:rPr>
              <w:t>151 565 434</w:t>
            </w:r>
          </w:p>
        </w:tc>
        <w:tc>
          <w:tcPr>
            <w:tcW w:w="1037" w:type="dxa"/>
          </w:tcPr>
          <w:p>
            <w:pPr>
              <w:spacing w:after="0"/>
              <w:jc w:val="center"/>
              <w:rPr>
                <w:rFonts w:ascii="Times New Roman" w:hAnsi="Times New Roman"/>
                <w:noProof/>
                <w:sz w:val="14"/>
                <w:szCs w:val="18"/>
                <w:highlight w:val="yellow"/>
              </w:rPr>
            </w:pPr>
            <w:r>
              <w:rPr>
                <w:rFonts w:ascii="Times New Roman" w:hAnsi="Times New Roman"/>
                <w:noProof/>
                <w:sz w:val="14"/>
              </w:rPr>
              <w:t>129 504 488</w:t>
            </w:r>
          </w:p>
        </w:tc>
        <w:tc>
          <w:tcPr>
            <w:tcW w:w="1038" w:type="dxa"/>
          </w:tcPr>
          <w:p>
            <w:pPr>
              <w:spacing w:after="0"/>
              <w:jc w:val="center"/>
              <w:rPr>
                <w:rFonts w:ascii="Times New Roman" w:hAnsi="Times New Roman"/>
                <w:noProof/>
                <w:sz w:val="14"/>
                <w:szCs w:val="18"/>
                <w:highlight w:val="yellow"/>
              </w:rPr>
            </w:pPr>
            <w:r>
              <w:rPr>
                <w:rFonts w:ascii="Times New Roman" w:hAnsi="Times New Roman"/>
                <w:noProof/>
                <w:sz w:val="14"/>
              </w:rPr>
              <w:t>114 522 628</w:t>
            </w:r>
          </w:p>
        </w:tc>
        <w:tc>
          <w:tcPr>
            <w:tcW w:w="888" w:type="dxa"/>
          </w:tcPr>
          <w:p>
            <w:pPr>
              <w:spacing w:after="0"/>
              <w:jc w:val="center"/>
              <w:rPr>
                <w:rFonts w:ascii="Times New Roman" w:hAnsi="Times New Roman"/>
                <w:noProof/>
                <w:sz w:val="14"/>
                <w:szCs w:val="18"/>
                <w:highlight w:val="yellow"/>
              </w:rPr>
            </w:pPr>
            <w:r>
              <w:rPr>
                <w:rFonts w:ascii="Times New Roman" w:hAnsi="Times New Roman"/>
                <w:noProof/>
                <w:sz w:val="14"/>
              </w:rPr>
              <w:t>98 384 792</w:t>
            </w:r>
          </w:p>
        </w:tc>
        <w:tc>
          <w:tcPr>
            <w:tcW w:w="889" w:type="dxa"/>
          </w:tcPr>
          <w:p>
            <w:pPr>
              <w:spacing w:after="0"/>
              <w:jc w:val="center"/>
              <w:rPr>
                <w:rFonts w:ascii="Times New Roman" w:hAnsi="Times New Roman"/>
                <w:noProof/>
                <w:sz w:val="14"/>
                <w:szCs w:val="18"/>
                <w:highlight w:val="yellow"/>
              </w:rPr>
            </w:pPr>
            <w:r>
              <w:rPr>
                <w:rFonts w:ascii="Times New Roman" w:hAnsi="Times New Roman"/>
                <w:noProof/>
                <w:sz w:val="14"/>
              </w:rPr>
              <w:t>81 126 965</w:t>
            </w:r>
          </w:p>
        </w:tc>
        <w:tc>
          <w:tcPr>
            <w:tcW w:w="1026" w:type="dxa"/>
          </w:tcPr>
          <w:p>
            <w:pPr>
              <w:spacing w:after="0"/>
              <w:jc w:val="center"/>
              <w:rPr>
                <w:rFonts w:ascii="Times New Roman" w:hAnsi="Times New Roman"/>
                <w:noProof/>
                <w:sz w:val="14"/>
                <w:szCs w:val="18"/>
                <w:highlight w:val="yellow"/>
              </w:rPr>
            </w:pPr>
            <w:r>
              <w:rPr>
                <w:rFonts w:ascii="Times New Roman" w:hAnsi="Times New Roman"/>
                <w:noProof/>
                <w:sz w:val="14"/>
              </w:rPr>
              <w:t>62 749 153</w:t>
            </w:r>
          </w:p>
        </w:tc>
        <w:tc>
          <w:tcPr>
            <w:tcW w:w="888" w:type="dxa"/>
          </w:tcPr>
          <w:p>
            <w:pPr>
              <w:spacing w:after="0"/>
              <w:jc w:val="center"/>
              <w:rPr>
                <w:rFonts w:ascii="Times New Roman" w:hAnsi="Times New Roman"/>
                <w:noProof/>
                <w:sz w:val="14"/>
                <w:szCs w:val="18"/>
                <w:highlight w:val="yellow"/>
              </w:rPr>
            </w:pPr>
            <w:r>
              <w:rPr>
                <w:rFonts w:ascii="Times New Roman" w:hAnsi="Times New Roman"/>
                <w:noProof/>
                <w:sz w:val="14"/>
              </w:rPr>
              <w:t>42 070 421</w:t>
            </w:r>
          </w:p>
        </w:tc>
        <w:tc>
          <w:tcPr>
            <w:tcW w:w="1604" w:type="dxa"/>
          </w:tcPr>
          <w:p>
            <w:pPr>
              <w:spacing w:after="0"/>
              <w:jc w:val="center"/>
              <w:rPr>
                <w:rFonts w:ascii="Times New Roman" w:hAnsi="Times New Roman"/>
                <w:noProof/>
                <w:sz w:val="14"/>
                <w:szCs w:val="18"/>
                <w:highlight w:val="yellow"/>
              </w:rPr>
            </w:pPr>
            <w:r>
              <w:rPr>
                <w:rFonts w:ascii="Times New Roman" w:hAnsi="Times New Roman"/>
                <w:noProof/>
                <w:sz w:val="14"/>
              </w:rPr>
              <w:t>679 923 881</w:t>
            </w:r>
          </w:p>
        </w:tc>
      </w:tr>
    </w:tbl>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Допълнение 2</w:t>
      </w:r>
    </w:p>
    <w:p>
      <w:pPr>
        <w:rPr>
          <w:rFonts w:ascii="Times New Roman" w:hAnsi="Times New Roman"/>
          <w:b/>
          <w:noProof/>
          <w:sz w:val="20"/>
          <w:szCs w:val="20"/>
        </w:rPr>
      </w:pPr>
      <w:r>
        <w:rPr>
          <w:rFonts w:ascii="Times New Roman" w:hAnsi="Times New Roman"/>
          <w:b/>
          <w:noProof/>
          <w:sz w:val="20"/>
        </w:rPr>
        <w:t>Фигура 1: Фигура: Преглед на общите квоти, продавани на търг от 2013 г. до 30 юни 2017 г.</w:t>
      </w:r>
    </w:p>
    <w:p>
      <w:pPr>
        <w:rPr>
          <w:noProof/>
        </w:rPr>
      </w:pPr>
      <w:r>
        <w:rPr>
          <w:noProof/>
          <w:lang w:val="en-US" w:eastAsia="en-US" w:bidi="ar-SA"/>
        </w:rPr>
        <w:drawing>
          <wp:inline distT="0" distB="0" distL="0" distR="0">
            <wp:extent cx="5676900" cy="28860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79794" cy="2887538"/>
                    </a:xfrm>
                    <a:prstGeom prst="rect">
                      <a:avLst/>
                    </a:prstGeom>
                    <a:noFill/>
                  </pic:spPr>
                </pic:pic>
              </a:graphicData>
            </a:graphic>
          </wp:inline>
        </w:drawing>
      </w:r>
    </w:p>
    <w:p>
      <w:pPr>
        <w:spacing w:after="0"/>
        <w:rPr>
          <w:noProof/>
        </w:rPr>
      </w:pPr>
      <w:r>
        <w:rPr>
          <w:b/>
          <w:noProof/>
          <w:color w:val="00B050"/>
          <w:sz w:val="24"/>
        </w:rPr>
        <w:t>___</w:t>
      </w:r>
      <w:r>
        <w:rPr>
          <w:noProof/>
        </w:rPr>
        <w:t xml:space="preserve"> Тръжна клирингова цена</w:t>
      </w:r>
    </w:p>
    <w:p>
      <w:pPr>
        <w:rPr>
          <w:noProof/>
          <w:sz w:val="20"/>
          <w:szCs w:val="20"/>
        </w:rPr>
      </w:pPr>
      <w:r>
        <w:rPr>
          <w:noProof/>
          <w:sz w:val="18"/>
        </w:rPr>
        <w:t xml:space="preserve">   </w:t>
      </w:r>
      <w:r>
        <w:rPr>
          <w:b/>
          <w:noProof/>
          <w:color w:val="C00000"/>
          <w:sz w:val="28"/>
        </w:rPr>
        <w:t>.</w:t>
      </w:r>
      <w:r>
        <w:rPr>
          <w:noProof/>
          <w:sz w:val="18"/>
        </w:rPr>
        <w:t xml:space="preserve">        </w:t>
      </w:r>
      <w:r>
        <w:rPr>
          <w:noProof/>
          <w:sz w:val="20"/>
        </w:rPr>
        <w:t>Процент на покритие</w:t>
      </w:r>
    </w:p>
    <w:p>
      <w:pPr>
        <w:rPr>
          <w:noProof/>
        </w:rPr>
      </w:pPr>
    </w:p>
    <w:p>
      <w:pPr>
        <w:rPr>
          <w:noProof/>
        </w:rPr>
      </w:pPr>
      <w:r>
        <w:rPr>
          <w:noProof/>
          <w:lang w:val="en-US" w:eastAsia="en-US" w:bidi="ar-SA"/>
        </w:rPr>
        <w:drawing>
          <wp:inline distT="0" distB="0" distL="0" distR="0">
            <wp:extent cx="5725629" cy="2910840"/>
            <wp:effectExtent l="0" t="0" r="889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8547" cy="2912323"/>
                    </a:xfrm>
                    <a:prstGeom prst="rect">
                      <a:avLst/>
                    </a:prstGeom>
                    <a:noFill/>
                  </pic:spPr>
                </pic:pic>
              </a:graphicData>
            </a:graphic>
          </wp:inline>
        </w:drawing>
      </w:r>
    </w:p>
    <w:p>
      <w:pPr>
        <w:tabs>
          <w:tab w:val="left" w:pos="3064"/>
        </w:tabs>
        <w:rPr>
          <w:rFonts w:ascii="Times New Roman" w:hAnsi="Times New Roman"/>
          <w:b/>
          <w:noProof/>
          <w:sz w:val="20"/>
          <w:szCs w:val="20"/>
        </w:rPr>
      </w:pPr>
      <w:r>
        <w:rPr>
          <w:noProof/>
        </w:rPr>
        <w:tab/>
      </w: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Допълнение 3</w:t>
      </w:r>
    </w:p>
    <w:p>
      <w:pPr>
        <w:spacing w:after="0" w:line="240" w:lineRule="auto"/>
        <w:rPr>
          <w:rFonts w:ascii="Times New Roman" w:hAnsi="Times New Roman"/>
          <w:b/>
          <w:noProof/>
          <w:sz w:val="20"/>
          <w:szCs w:val="20"/>
        </w:rPr>
      </w:pPr>
      <w:r>
        <w:rPr>
          <w:rFonts w:ascii="Times New Roman" w:hAnsi="Times New Roman"/>
          <w:b/>
          <w:noProof/>
          <w:sz w:val="20"/>
        </w:rPr>
        <w:t>Таблица 1: Обобщени данни за международните кредити, обменени до 30 юни 2017 г.</w:t>
      </w:r>
    </w:p>
    <w:p>
      <w:pPr>
        <w:spacing w:after="0" w:line="240" w:lineRule="auto"/>
        <w:rPr>
          <w:rFonts w:ascii="Times New Roman" w:hAnsi="Times New Roman"/>
          <w:b/>
          <w:noProof/>
          <w:sz w:val="20"/>
          <w:szCs w:val="20"/>
        </w:rPr>
      </w:pPr>
    </w:p>
    <w:tbl>
      <w:tblPr>
        <w:tblW w:w="4636" w:type="pct"/>
        <w:tblLayout w:type="fixed"/>
        <w:tblLook w:val="04A0" w:firstRow="1" w:lastRow="0" w:firstColumn="1" w:lastColumn="0" w:noHBand="0" w:noVBand="1"/>
      </w:tblPr>
      <w:tblGrid>
        <w:gridCol w:w="1389"/>
        <w:gridCol w:w="1420"/>
        <w:gridCol w:w="1420"/>
        <w:gridCol w:w="904"/>
        <w:gridCol w:w="1197"/>
        <w:gridCol w:w="229"/>
        <w:gridCol w:w="236"/>
        <w:gridCol w:w="236"/>
        <w:gridCol w:w="239"/>
        <w:gridCol w:w="1299"/>
      </w:tblGrid>
      <w:tr>
        <w:trPr>
          <w:trHeight w:val="249"/>
        </w:trPr>
        <w:tc>
          <w:tcPr>
            <w:tcW w:w="813" w:type="pct"/>
            <w:tcBorders>
              <w:top w:val="single" w:sz="8" w:space="0" w:color="auto"/>
              <w:left w:val="single" w:sz="8" w:space="0" w:color="auto"/>
              <w:bottom w:val="single" w:sz="8" w:space="0" w:color="auto"/>
              <w:right w:val="single" w:sz="8" w:space="0" w:color="auto"/>
            </w:tcBorders>
            <w:shd w:val="clear" w:color="auto" w:fill="auto"/>
            <w:noWrap/>
            <w:hideMark/>
          </w:tcPr>
          <w:p>
            <w:pPr>
              <w:spacing w:after="0" w:line="240" w:lineRule="auto"/>
              <w:ind w:right="57"/>
              <w:rPr>
                <w:rFonts w:ascii="Times New Roman" w:eastAsia="Times New Roman" w:hAnsi="Times New Roman"/>
                <w:b/>
                <w:bCs/>
                <w:noProof/>
                <w:color w:val="000000"/>
                <w:sz w:val="20"/>
                <w:szCs w:val="20"/>
              </w:rPr>
            </w:pPr>
            <w:r>
              <w:rPr>
                <w:rFonts w:ascii="Times New Roman" w:hAnsi="Times New Roman"/>
                <w:b/>
                <w:noProof/>
                <w:sz w:val="20"/>
              </w:rPr>
              <w:t>Международни кредити, обменени до 30 юни 2017 г.</w:t>
            </w:r>
          </w:p>
        </w:tc>
        <w:tc>
          <w:tcPr>
            <w:tcW w:w="831" w:type="pct"/>
            <w:tcBorders>
              <w:top w:val="single" w:sz="8" w:space="0" w:color="auto"/>
              <w:left w:val="nil"/>
              <w:bottom w:val="nil"/>
              <w:right w:val="single" w:sz="4"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милиони</w:t>
            </w:r>
          </w:p>
        </w:tc>
        <w:tc>
          <w:tcPr>
            <w:tcW w:w="831" w:type="pct"/>
            <w:tcBorders>
              <w:top w:val="single" w:sz="8" w:space="0" w:color="auto"/>
              <w:left w:val="nil"/>
              <w:bottom w:val="nil"/>
              <w:right w:val="single" w:sz="8"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проценти</w:t>
            </w:r>
          </w:p>
        </w:tc>
        <w:tc>
          <w:tcPr>
            <w:tcW w:w="1367" w:type="pct"/>
            <w:gridSpan w:val="3"/>
            <w:tcBorders>
              <w:top w:val="nil"/>
              <w:left w:val="nil"/>
              <w:bottom w:val="nil"/>
              <w:right w:val="nil"/>
            </w:tcBorders>
            <w:shd w:val="clear" w:color="auto" w:fill="auto"/>
            <w:noWrap/>
            <w:hideMark/>
          </w:tcPr>
          <w:p>
            <w:pPr>
              <w:spacing w:after="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0" w:line="240" w:lineRule="auto"/>
              <w:ind w:right="57"/>
              <w:rPr>
                <w:rFonts w:ascii="Times New Roman" w:eastAsia="Times New Roman" w:hAnsi="Times New Roman"/>
                <w:noProof/>
                <w:color w:val="000000"/>
                <w:sz w:val="20"/>
                <w:szCs w:val="20"/>
              </w:rPr>
            </w:pPr>
          </w:p>
        </w:tc>
        <w:tc>
          <w:tcPr>
            <w:tcW w:w="902" w:type="pct"/>
            <w:gridSpan w:val="2"/>
            <w:tcBorders>
              <w:top w:val="nil"/>
              <w:left w:val="nil"/>
              <w:bottom w:val="nil"/>
              <w:right w:val="nil"/>
            </w:tcBorders>
            <w:shd w:val="clear" w:color="auto" w:fill="auto"/>
            <w:noWrap/>
            <w:hideMark/>
          </w:tcPr>
          <w:p>
            <w:pPr>
              <w:spacing w:after="0" w:line="240" w:lineRule="auto"/>
              <w:ind w:right="57"/>
              <w:rPr>
                <w:rFonts w:ascii="Times New Roman" w:eastAsia="Times New Roman" w:hAnsi="Times New Roman"/>
                <w:noProof/>
                <w:color w:val="000000"/>
                <w:sz w:val="20"/>
                <w:szCs w:val="20"/>
              </w:rPr>
            </w:pPr>
          </w:p>
        </w:tc>
      </w:tr>
      <w:tr>
        <w:trPr>
          <w:trHeight w:val="249"/>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rPr>
                <w:rFonts w:ascii="Times New Roman" w:eastAsia="Times New Roman" w:hAnsi="Times New Roman"/>
                <w:b/>
                <w:bCs/>
                <w:noProof/>
                <w:color w:val="000000"/>
                <w:sz w:val="20"/>
                <w:szCs w:val="20"/>
              </w:rPr>
            </w:pPr>
            <w:r>
              <w:rPr>
                <w:rFonts w:ascii="Times New Roman" w:hAnsi="Times New Roman"/>
                <w:b/>
                <w:noProof/>
                <w:sz w:val="20"/>
              </w:rPr>
              <w:t>СЕРЕ</w:t>
            </w:r>
          </w:p>
        </w:tc>
        <w:tc>
          <w:tcPr>
            <w:tcW w:w="831" w:type="pct"/>
            <w:tcBorders>
              <w:top w:val="single" w:sz="8" w:space="0" w:color="auto"/>
              <w:left w:val="nil"/>
              <w:bottom w:val="single" w:sz="8" w:space="0" w:color="auto"/>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231,08</w:t>
            </w:r>
          </w:p>
        </w:tc>
        <w:tc>
          <w:tcPr>
            <w:tcW w:w="831" w:type="pct"/>
            <w:tcBorders>
              <w:top w:val="single" w:sz="8" w:space="0" w:color="auto"/>
              <w:left w:val="nil"/>
              <w:bottom w:val="single" w:sz="8" w:space="0" w:color="auto"/>
              <w:right w:val="single" w:sz="8" w:space="0" w:color="auto"/>
            </w:tcBorders>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rPr>
              <w:t>54,61 %</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r>
      <w:tr>
        <w:trPr>
          <w:trHeight w:val="239"/>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Китай</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164,30</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71,10 %</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Индия</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13,13</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5,68 %</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Узбекистан</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8,04</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3,47 %</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Бразилия</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4,59</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1,98 %</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Чили</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3,11</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1,34 %</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Корея</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2,92</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1,26 %</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r>
      <w:tr>
        <w:trPr>
          <w:trHeight w:val="271"/>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Мексико</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2,75</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1,19 %</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128" w:type="pct"/>
            <w:tcBorders>
              <w:top w:val="nil"/>
              <w:left w:val="nil"/>
              <w:bottom w:val="single" w:sz="8" w:space="0" w:color="auto"/>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c>
          <w:tcPr>
            <w:tcW w:w="902" w:type="pct"/>
            <w:gridSpan w:val="2"/>
            <w:tcBorders>
              <w:top w:val="nil"/>
              <w:left w:val="nil"/>
              <w:bottom w:val="single" w:sz="8" w:space="0" w:color="auto"/>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p>
        </w:tc>
      </w:tr>
      <w:tr>
        <w:trPr>
          <w:trHeight w:val="271"/>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Други</w:t>
            </w:r>
          </w:p>
        </w:tc>
        <w:tc>
          <w:tcPr>
            <w:tcW w:w="831" w:type="pct"/>
            <w:tcBorders>
              <w:top w:val="nil"/>
              <w:left w:val="nil"/>
              <w:bottom w:val="single" w:sz="8"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19,25</w:t>
            </w:r>
          </w:p>
        </w:tc>
        <w:tc>
          <w:tcPr>
            <w:tcW w:w="831" w:type="pct"/>
            <w:tcBorders>
              <w:top w:val="nil"/>
              <w:left w:val="nil"/>
              <w:bottom w:val="single" w:sz="8" w:space="0" w:color="auto"/>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8,33 %</w:t>
            </w:r>
          </w:p>
        </w:tc>
        <w:tc>
          <w:tcPr>
            <w:tcW w:w="1231" w:type="pct"/>
            <w:gridSpan w:val="2"/>
            <w:tcBorders>
              <w:top w:val="single" w:sz="8" w:space="0" w:color="auto"/>
              <w:left w:val="nil"/>
              <w:bottom w:val="single" w:sz="8" w:space="0" w:color="auto"/>
              <w:right w:val="single" w:sz="8" w:space="0" w:color="000000"/>
            </w:tcBorders>
            <w:shd w:val="clear" w:color="auto" w:fill="auto"/>
            <w:noWrap/>
            <w:hideMark/>
          </w:tcPr>
          <w:p>
            <w:pPr>
              <w:spacing w:after="120" w:line="240" w:lineRule="auto"/>
              <w:ind w:right="57"/>
              <w:jc w:val="center"/>
              <w:rPr>
                <w:rFonts w:ascii="Times New Roman" w:eastAsia="Times New Roman" w:hAnsi="Times New Roman"/>
                <w:b/>
                <w:noProof/>
                <w:sz w:val="20"/>
                <w:szCs w:val="20"/>
              </w:rPr>
            </w:pPr>
            <w:r>
              <w:rPr>
                <w:rFonts w:ascii="Times New Roman" w:hAnsi="Times New Roman"/>
                <w:b/>
                <w:noProof/>
                <w:sz w:val="20"/>
              </w:rPr>
              <w:t>Процедура 1</w:t>
            </w:r>
          </w:p>
        </w:tc>
        <w:tc>
          <w:tcPr>
            <w:tcW w:w="1293" w:type="pct"/>
            <w:gridSpan w:val="5"/>
            <w:tcBorders>
              <w:top w:val="single" w:sz="8" w:space="0" w:color="auto"/>
              <w:left w:val="single" w:sz="8" w:space="0" w:color="000000"/>
              <w:bottom w:val="single" w:sz="8" w:space="0" w:color="auto"/>
              <w:right w:val="single" w:sz="8" w:space="0" w:color="000000"/>
            </w:tcBorders>
            <w:shd w:val="clear" w:color="auto" w:fill="auto"/>
            <w:noWrap/>
            <w:hideMark/>
          </w:tcPr>
          <w:p>
            <w:pPr>
              <w:spacing w:after="120" w:line="240" w:lineRule="auto"/>
              <w:ind w:right="57"/>
              <w:jc w:val="center"/>
              <w:rPr>
                <w:rFonts w:ascii="Times New Roman" w:eastAsia="Times New Roman" w:hAnsi="Times New Roman"/>
                <w:b/>
                <w:noProof/>
                <w:sz w:val="20"/>
                <w:szCs w:val="20"/>
              </w:rPr>
            </w:pPr>
            <w:r>
              <w:rPr>
                <w:rFonts w:ascii="Times New Roman" w:hAnsi="Times New Roman"/>
                <w:b/>
                <w:noProof/>
                <w:sz w:val="20"/>
              </w:rPr>
              <w:t>Процедура 2</w:t>
            </w:r>
          </w:p>
        </w:tc>
      </w:tr>
      <w:tr>
        <w:trPr>
          <w:trHeight w:val="249"/>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rPr>
                <w:rFonts w:ascii="Times New Roman" w:eastAsia="Times New Roman" w:hAnsi="Times New Roman"/>
                <w:b/>
                <w:bCs/>
                <w:noProof/>
                <w:color w:val="000000"/>
                <w:sz w:val="20"/>
                <w:szCs w:val="20"/>
              </w:rPr>
            </w:pPr>
            <w:r>
              <w:rPr>
                <w:rFonts w:ascii="Times New Roman" w:hAnsi="Times New Roman"/>
                <w:b/>
                <w:noProof/>
                <w:sz w:val="20"/>
              </w:rPr>
              <w:t>ЕРЕ</w:t>
            </w:r>
          </w:p>
        </w:tc>
        <w:tc>
          <w:tcPr>
            <w:tcW w:w="831" w:type="pct"/>
            <w:tcBorders>
              <w:top w:val="nil"/>
              <w:left w:val="nil"/>
              <w:bottom w:val="single" w:sz="8" w:space="0" w:color="auto"/>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192,07</w:t>
            </w:r>
          </w:p>
        </w:tc>
        <w:tc>
          <w:tcPr>
            <w:tcW w:w="831" w:type="pct"/>
            <w:tcBorders>
              <w:top w:val="nil"/>
              <w:left w:val="nil"/>
              <w:bottom w:val="single" w:sz="8" w:space="0" w:color="auto"/>
              <w:right w:val="single" w:sz="8" w:space="0" w:color="auto"/>
            </w:tcBorders>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rPr>
              <w:t>45,39 %</w:t>
            </w:r>
          </w:p>
        </w:tc>
        <w:tc>
          <w:tcPr>
            <w:tcW w:w="530" w:type="pct"/>
            <w:tcBorders>
              <w:top w:val="nil"/>
              <w:left w:val="nil"/>
              <w:bottom w:val="nil"/>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милиони</w:t>
            </w:r>
          </w:p>
        </w:tc>
        <w:tc>
          <w:tcPr>
            <w:tcW w:w="701" w:type="pct"/>
            <w:tcBorders>
              <w:top w:val="nil"/>
              <w:left w:val="nil"/>
              <w:bottom w:val="single" w:sz="8" w:space="0" w:color="auto"/>
              <w:right w:val="single" w:sz="8"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проценти ЕРЕ</w:t>
            </w:r>
          </w:p>
        </w:tc>
        <w:tc>
          <w:tcPr>
            <w:tcW w:w="534" w:type="pct"/>
            <w:gridSpan w:val="4"/>
            <w:tcBorders>
              <w:top w:val="nil"/>
              <w:left w:val="nil"/>
              <w:bottom w:val="nil"/>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милиони</w:t>
            </w:r>
          </w:p>
        </w:tc>
        <w:tc>
          <w:tcPr>
            <w:tcW w:w="759" w:type="pct"/>
            <w:tcBorders>
              <w:top w:val="nil"/>
              <w:left w:val="nil"/>
              <w:bottom w:val="single" w:sz="8" w:space="0" w:color="auto"/>
              <w:right w:val="single" w:sz="8"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проценти ЕРЕ</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Украйна</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rPr>
            </w:pPr>
            <w:r>
              <w:rPr>
                <w:rFonts w:ascii="Times New Roman" w:hAnsi="Times New Roman"/>
                <w:noProof/>
                <w:sz w:val="20"/>
              </w:rPr>
              <w:t>147,69</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76,89 %</w:t>
            </w:r>
          </w:p>
        </w:tc>
        <w:tc>
          <w:tcPr>
            <w:tcW w:w="530" w:type="pct"/>
            <w:tcBorders>
              <w:top w:val="single" w:sz="8" w:space="0" w:color="auto"/>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145,95</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rPr>
              <w:t>78,32 %</w:t>
            </w:r>
          </w:p>
        </w:tc>
        <w:tc>
          <w:tcPr>
            <w:tcW w:w="534" w:type="pct"/>
            <w:gridSpan w:val="4"/>
            <w:tcBorders>
              <w:top w:val="single" w:sz="8" w:space="0" w:color="auto"/>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1,74</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0,91 %</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Русия</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rPr>
            </w:pPr>
            <w:r>
              <w:rPr>
                <w:rFonts w:ascii="Times New Roman" w:hAnsi="Times New Roman"/>
                <w:noProof/>
                <w:sz w:val="20"/>
              </w:rPr>
              <w:t>32,06</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16,69 %</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32,06</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rPr>
              <w:t>17,20 %</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0,00 %</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Полша</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rPr>
            </w:pPr>
            <w:r>
              <w:rPr>
                <w:rFonts w:ascii="Times New Roman" w:hAnsi="Times New Roman"/>
                <w:noProof/>
                <w:sz w:val="20"/>
              </w:rPr>
              <w:t>2,82</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1,46 %</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3,02</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rPr>
              <w:t>1,62 %</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0,00 %</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Германия</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rPr>
            </w:pPr>
            <w:r>
              <w:rPr>
                <w:rFonts w:ascii="Times New Roman" w:hAnsi="Times New Roman"/>
                <w:noProof/>
                <w:sz w:val="20"/>
              </w:rPr>
              <w:t>1,65</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0,85 %</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1,66</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rPr>
              <w:t>0,89 %</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0,00 %</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Франция</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rPr>
            </w:pPr>
            <w:r>
              <w:rPr>
                <w:rFonts w:ascii="Times New Roman" w:hAnsi="Times New Roman"/>
                <w:noProof/>
                <w:sz w:val="20"/>
              </w:rPr>
              <w:t>1,24</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0,64 %</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1,24</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rPr>
              <w:t>0,67 %</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0,00 %</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rPr>
            </w:pPr>
            <w:r>
              <w:rPr>
                <w:rFonts w:ascii="Times New Roman" w:hAnsi="Times New Roman"/>
                <w:noProof/>
                <w:sz w:val="20"/>
              </w:rPr>
              <w:t>България</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rPr>
            </w:pPr>
            <w:r>
              <w:rPr>
                <w:rFonts w:ascii="Times New Roman" w:hAnsi="Times New Roman"/>
                <w:noProof/>
                <w:sz w:val="20"/>
              </w:rPr>
              <w:t>0,49</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0,25 %</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0,49</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rPr>
              <w:t>0,26 %</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0,00 %</w:t>
            </w:r>
          </w:p>
        </w:tc>
      </w:tr>
      <w:tr>
        <w:trPr>
          <w:trHeight w:val="271"/>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Други</w:t>
            </w:r>
          </w:p>
        </w:tc>
        <w:tc>
          <w:tcPr>
            <w:tcW w:w="831" w:type="pct"/>
            <w:tcBorders>
              <w:top w:val="nil"/>
              <w:left w:val="nil"/>
              <w:bottom w:val="single" w:sz="8"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rPr>
            </w:pPr>
            <w:r>
              <w:rPr>
                <w:rFonts w:ascii="Times New Roman" w:hAnsi="Times New Roman"/>
                <w:noProof/>
                <w:sz w:val="20"/>
              </w:rPr>
              <w:t>6,21</w:t>
            </w:r>
          </w:p>
        </w:tc>
        <w:tc>
          <w:tcPr>
            <w:tcW w:w="831" w:type="pct"/>
            <w:tcBorders>
              <w:top w:val="nil"/>
              <w:left w:val="nil"/>
              <w:bottom w:val="single" w:sz="8" w:space="0" w:color="auto"/>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3,23 %</w:t>
            </w:r>
          </w:p>
        </w:tc>
        <w:tc>
          <w:tcPr>
            <w:tcW w:w="530" w:type="pct"/>
            <w:tcBorders>
              <w:top w:val="nil"/>
              <w:left w:val="nil"/>
              <w:bottom w:val="single" w:sz="8" w:space="0" w:color="auto"/>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1,76</w:t>
            </w:r>
          </w:p>
        </w:tc>
        <w:tc>
          <w:tcPr>
            <w:tcW w:w="701" w:type="pct"/>
            <w:tcBorders>
              <w:top w:val="nil"/>
              <w:left w:val="nil"/>
              <w:bottom w:val="single" w:sz="8" w:space="0" w:color="auto"/>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rPr>
              <w:t>0,94 %</w:t>
            </w:r>
          </w:p>
        </w:tc>
        <w:tc>
          <w:tcPr>
            <w:tcW w:w="534" w:type="pct"/>
            <w:gridSpan w:val="4"/>
            <w:tcBorders>
              <w:top w:val="nil"/>
              <w:left w:val="nil"/>
              <w:bottom w:val="single" w:sz="8" w:space="0" w:color="auto"/>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4,35</w:t>
            </w:r>
          </w:p>
        </w:tc>
        <w:tc>
          <w:tcPr>
            <w:tcW w:w="759" w:type="pct"/>
            <w:tcBorders>
              <w:top w:val="nil"/>
              <w:left w:val="nil"/>
              <w:bottom w:val="single" w:sz="8" w:space="0" w:color="auto"/>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rPr>
            </w:pPr>
            <w:r>
              <w:rPr>
                <w:rFonts w:ascii="Times New Roman" w:hAnsi="Times New Roman"/>
                <w:noProof/>
                <w:sz w:val="20"/>
              </w:rPr>
              <w:t>2,26 %</w:t>
            </w:r>
          </w:p>
        </w:tc>
      </w:tr>
      <w:tr>
        <w:trPr>
          <w:trHeight w:val="48"/>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rPr>
                <w:rFonts w:ascii="Times New Roman" w:eastAsia="Times New Roman" w:hAnsi="Times New Roman"/>
                <w:b/>
                <w:bCs/>
                <w:noProof/>
                <w:color w:val="000000"/>
                <w:sz w:val="20"/>
                <w:szCs w:val="20"/>
              </w:rPr>
            </w:pPr>
            <w:r>
              <w:rPr>
                <w:rFonts w:ascii="Times New Roman" w:hAnsi="Times New Roman"/>
                <w:b/>
                <w:noProof/>
                <w:sz w:val="20"/>
              </w:rPr>
              <w:t>Общо</w:t>
            </w:r>
          </w:p>
        </w:tc>
        <w:tc>
          <w:tcPr>
            <w:tcW w:w="831" w:type="pct"/>
            <w:tcBorders>
              <w:top w:val="nil"/>
              <w:left w:val="nil"/>
              <w:bottom w:val="single" w:sz="8" w:space="0" w:color="auto"/>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423,16</w:t>
            </w:r>
          </w:p>
        </w:tc>
        <w:tc>
          <w:tcPr>
            <w:tcW w:w="831" w:type="pct"/>
            <w:tcBorders>
              <w:top w:val="nil"/>
              <w:left w:val="nil"/>
              <w:bottom w:val="single" w:sz="8" w:space="0" w:color="auto"/>
              <w:right w:val="single" w:sz="8" w:space="0" w:color="auto"/>
            </w:tcBorders>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rPr>
              <w:t>100 %</w:t>
            </w:r>
          </w:p>
        </w:tc>
        <w:tc>
          <w:tcPr>
            <w:tcW w:w="530" w:type="pct"/>
            <w:tcBorders>
              <w:top w:val="nil"/>
              <w:left w:val="nil"/>
              <w:bottom w:val="single" w:sz="8" w:space="0" w:color="auto"/>
              <w:right w:val="single" w:sz="4" w:space="0" w:color="auto"/>
            </w:tcBorders>
            <w:shd w:val="clear" w:color="auto" w:fill="auto"/>
            <w:noWrap/>
          </w:tcPr>
          <w:p>
            <w:pPr>
              <w:spacing w:after="120" w:line="240" w:lineRule="auto"/>
              <w:ind w:right="57"/>
              <w:jc w:val="right"/>
              <w:rPr>
                <w:rFonts w:ascii="Times New Roman" w:eastAsia="Times New Roman" w:hAnsi="Times New Roman"/>
                <w:b/>
                <w:bCs/>
                <w:noProof/>
                <w:color w:val="000000"/>
                <w:sz w:val="20"/>
                <w:szCs w:val="20"/>
              </w:rPr>
            </w:pPr>
            <w:r>
              <w:rPr>
                <w:rFonts w:ascii="Times New Roman" w:hAnsi="Times New Roman"/>
                <w:b/>
                <w:noProof/>
                <w:sz w:val="20"/>
              </w:rPr>
              <w:t>186,18</w:t>
            </w:r>
          </w:p>
        </w:tc>
        <w:tc>
          <w:tcPr>
            <w:tcW w:w="701" w:type="pct"/>
            <w:tcBorders>
              <w:top w:val="nil"/>
              <w:left w:val="nil"/>
              <w:bottom w:val="single" w:sz="8" w:space="0" w:color="auto"/>
              <w:right w:val="single" w:sz="8" w:space="0" w:color="auto"/>
            </w:tcBorders>
            <w:shd w:val="clear" w:color="auto" w:fill="auto"/>
            <w:noWrap/>
          </w:tcPr>
          <w:p>
            <w:pPr>
              <w:spacing w:after="120"/>
              <w:jc w:val="right"/>
              <w:rPr>
                <w:rFonts w:ascii="Times New Roman" w:hAnsi="Times New Roman"/>
                <w:b/>
                <w:noProof/>
                <w:sz w:val="20"/>
                <w:szCs w:val="20"/>
              </w:rPr>
            </w:pPr>
            <w:r>
              <w:rPr>
                <w:rFonts w:ascii="Times New Roman" w:hAnsi="Times New Roman"/>
                <w:b/>
                <w:noProof/>
                <w:sz w:val="20"/>
              </w:rPr>
              <w:t>96,83 %</w:t>
            </w:r>
          </w:p>
        </w:tc>
        <w:tc>
          <w:tcPr>
            <w:tcW w:w="534" w:type="pct"/>
            <w:gridSpan w:val="4"/>
            <w:tcBorders>
              <w:top w:val="nil"/>
              <w:left w:val="nil"/>
              <w:bottom w:val="single" w:sz="8" w:space="0" w:color="auto"/>
              <w:right w:val="single" w:sz="4" w:space="0" w:color="auto"/>
            </w:tcBorders>
            <w:shd w:val="clear" w:color="auto" w:fill="auto"/>
            <w:noWrap/>
          </w:tcPr>
          <w:p>
            <w:pPr>
              <w:spacing w:after="120" w:line="240" w:lineRule="auto"/>
              <w:ind w:right="57"/>
              <w:jc w:val="right"/>
              <w:rPr>
                <w:rFonts w:ascii="Times New Roman" w:eastAsia="Times New Roman" w:hAnsi="Times New Roman"/>
                <w:b/>
                <w:bCs/>
                <w:noProof/>
                <w:color w:val="000000"/>
                <w:sz w:val="20"/>
                <w:szCs w:val="20"/>
              </w:rPr>
            </w:pPr>
            <w:r>
              <w:rPr>
                <w:rFonts w:ascii="Times New Roman" w:hAnsi="Times New Roman"/>
                <w:b/>
                <w:noProof/>
                <w:sz w:val="20"/>
              </w:rPr>
              <w:t>6,09</w:t>
            </w:r>
          </w:p>
        </w:tc>
        <w:tc>
          <w:tcPr>
            <w:tcW w:w="759" w:type="pct"/>
            <w:tcBorders>
              <w:top w:val="nil"/>
              <w:left w:val="nil"/>
              <w:bottom w:val="single" w:sz="8" w:space="0" w:color="auto"/>
              <w:right w:val="single" w:sz="8" w:space="0" w:color="auto"/>
            </w:tcBorders>
            <w:shd w:val="clear" w:color="auto" w:fill="auto"/>
            <w:noWrap/>
          </w:tcPr>
          <w:p>
            <w:pPr>
              <w:spacing w:after="120" w:line="240" w:lineRule="auto"/>
              <w:ind w:right="57"/>
              <w:jc w:val="right"/>
              <w:rPr>
                <w:rFonts w:ascii="Times New Roman" w:eastAsia="Times New Roman" w:hAnsi="Times New Roman"/>
                <w:b/>
                <w:bCs/>
                <w:noProof/>
                <w:color w:val="000000"/>
                <w:sz w:val="20"/>
                <w:szCs w:val="20"/>
              </w:rPr>
            </w:pPr>
            <w:r>
              <w:rPr>
                <w:rFonts w:ascii="Times New Roman" w:hAnsi="Times New Roman"/>
                <w:b/>
                <w:noProof/>
                <w:sz w:val="20"/>
              </w:rPr>
              <w:t>3,17 %</w:t>
            </w:r>
          </w:p>
        </w:tc>
      </w:tr>
    </w:tbl>
    <w:p>
      <w:pPr>
        <w:spacing w:after="120"/>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Допълнение 4</w:t>
      </w:r>
    </w:p>
    <w:p>
      <w:pPr>
        <w:pStyle w:val="Caption"/>
        <w:keepNext/>
        <w:spacing w:line="240" w:lineRule="auto"/>
        <w:rPr>
          <w:rFonts w:ascii="Times New Roman" w:hAnsi="Times New Roman"/>
          <w:noProof/>
        </w:rPr>
      </w:pPr>
      <w:r>
        <w:rPr>
          <w:rFonts w:ascii="Times New Roman" w:hAnsi="Times New Roman"/>
          <w:noProof/>
        </w:rPr>
        <w:t>Таблица 1: Елементи на предлагането и търсенето на квоти в рамките на СТЕ</w:t>
      </w: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441"/>
        <w:gridCol w:w="2034"/>
        <w:gridCol w:w="3081"/>
      </w:tblGrid>
      <w:tr>
        <w:trPr>
          <w:trHeight w:val="45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Елемент</w:t>
            </w:r>
          </w:p>
        </w:tc>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Предлагане или търсене?</w:t>
            </w:r>
          </w:p>
        </w:tc>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Публикуване</w:t>
            </w:r>
          </w:p>
        </w:tc>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Актуализиране и неясноти</w:t>
            </w:r>
          </w:p>
        </w:tc>
      </w:tr>
      <w:tr>
        <w:trPr>
          <w:trHeight w:val="45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Общо натрупване за фаза 2</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Доклад за пазара на въглеродни емисии</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 xml:space="preserve">Не се предвижда актуализация, тъй като фаза 2 е завършила. Окончателна стойност. </w:t>
            </w:r>
          </w:p>
        </w:tc>
      </w:tr>
      <w:tr>
        <w:trPr>
          <w:trHeight w:val="68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 xml:space="preserve">Ранни търгове за фаза 3 </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Уебсайт на ГД „Действия по климата“, уебсайтове на EEX и ICE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Тези квоти не са част от общото натрупване на квоти през фаза 2. Окончателни стойности.</w:t>
            </w:r>
          </w:p>
        </w:tc>
      </w:tr>
      <w:tr>
        <w:trPr>
          <w:trHeight w:val="45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Квоти за финансиране на NER 300</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Уебсайт на ЕИБ</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300 милиона квоти са осребрени през периода 2012—2014 г. Окончателни стойности.</w:t>
            </w:r>
          </w:p>
        </w:tc>
      </w:tr>
      <w:tr>
        <w:trPr>
          <w:trHeight w:val="917"/>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Търгове за авиационни емисии</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Уебсайт на ГД „Действия по климата“, уебсайтове на EEX и ICE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Няма – корекциите се отразяват в количествата за следващата година.</w:t>
            </w:r>
          </w:p>
          <w:p>
            <w:pPr>
              <w:pStyle w:val="ListParagraph"/>
              <w:spacing w:after="0" w:line="240" w:lineRule="auto"/>
              <w:ind w:left="0"/>
              <w:rPr>
                <w:rFonts w:ascii="Times New Roman" w:hAnsi="Times New Roman"/>
                <w:noProof/>
              </w:rPr>
            </w:pPr>
          </w:p>
          <w:p>
            <w:pPr>
              <w:pStyle w:val="ListParagraph"/>
              <w:spacing w:after="0" w:line="240" w:lineRule="auto"/>
              <w:ind w:left="0"/>
              <w:rPr>
                <w:rFonts w:ascii="Times New Roman" w:hAnsi="Times New Roman"/>
                <w:noProof/>
              </w:rPr>
            </w:pPr>
            <w:r>
              <w:rPr>
                <w:rFonts w:ascii="Times New Roman" w:hAnsi="Times New Roman"/>
                <w:noProof/>
              </w:rPr>
              <w:t>Търговете за 2013 г. и 2014 г. са проведени през 2015 г.</w:t>
            </w:r>
          </w:p>
        </w:tc>
      </w:tr>
      <w:tr>
        <w:trPr>
          <w:trHeight w:val="1147"/>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Търгове за фаза 3</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Уебсайт на ГД „Действия по климата“, уебсайтове на EEX и ICE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Няма — стойността не подлежи на преразглеждане. Все пак някои квоти (напр. поради забавяния на започването на тръжните продажби за някои държави членки, като тези от ЕАСТ, участващи в ЕИП), които са изтеглени от търгове, могат да се предлагат за тръжна продажба през следващите години.</w:t>
            </w:r>
          </w:p>
        </w:tc>
      </w:tr>
      <w:tr>
        <w:trPr>
          <w:trHeight w:val="1357"/>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Безплатни квоти (НМИ)</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Дневник на ЕС за трансакциите (EUTL), таблици</w:t>
            </w:r>
          </w:p>
        </w:tc>
        <w:tc>
          <w:tcPr>
            <w:tcW w:w="0" w:type="auto"/>
            <w:vMerge w:val="restart"/>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 xml:space="preserve">Тези стойности се актуализират в течение на годината. </w:t>
            </w:r>
          </w:p>
          <w:p>
            <w:pPr>
              <w:pStyle w:val="ListParagraph"/>
              <w:spacing w:after="0" w:line="240" w:lineRule="auto"/>
              <w:ind w:left="0"/>
              <w:rPr>
                <w:rFonts w:ascii="Times New Roman" w:hAnsi="Times New Roman"/>
                <w:noProof/>
              </w:rPr>
            </w:pPr>
          </w:p>
          <w:p>
            <w:pPr>
              <w:pStyle w:val="ListParagraph"/>
              <w:spacing w:after="0" w:line="240" w:lineRule="auto"/>
              <w:ind w:left="0"/>
              <w:rPr>
                <w:rFonts w:ascii="Times New Roman" w:hAnsi="Times New Roman"/>
                <w:noProof/>
              </w:rPr>
            </w:pPr>
            <w:r>
              <w:rPr>
                <w:rFonts w:ascii="Times New Roman" w:hAnsi="Times New Roman"/>
                <w:noProof/>
              </w:rPr>
              <w:t xml:space="preserve">– Възможно е държави членки да подадат със закъснение данни за предходните години или действително разпределените квоти да са по-малко от първоначално предвиденото количество. </w:t>
            </w:r>
          </w:p>
          <w:p>
            <w:pPr>
              <w:pStyle w:val="ListParagraph"/>
              <w:spacing w:after="0" w:line="240" w:lineRule="auto"/>
              <w:ind w:left="0"/>
              <w:rPr>
                <w:rFonts w:ascii="Times New Roman" w:hAnsi="Times New Roman"/>
                <w:noProof/>
              </w:rPr>
            </w:pPr>
          </w:p>
          <w:p>
            <w:pPr>
              <w:pStyle w:val="ListParagraph"/>
              <w:spacing w:after="0" w:line="240" w:lineRule="auto"/>
              <w:ind w:left="0"/>
              <w:rPr>
                <w:rFonts w:ascii="Times New Roman" w:hAnsi="Times New Roman"/>
                <w:noProof/>
              </w:rPr>
            </w:pPr>
            <w:r>
              <w:rPr>
                <w:rFonts w:ascii="Times New Roman" w:hAnsi="Times New Roman"/>
                <w:noProof/>
              </w:rPr>
              <w:t>EUTL показва точни данни за текущото състояние на действителното разпределение на квотите.</w:t>
            </w:r>
          </w:p>
          <w:p>
            <w:pPr>
              <w:pStyle w:val="ListParagraph"/>
              <w:spacing w:after="0" w:line="240" w:lineRule="auto"/>
              <w:ind w:left="0"/>
              <w:rPr>
                <w:rFonts w:ascii="Times New Roman" w:hAnsi="Times New Roman"/>
                <w:noProof/>
              </w:rPr>
            </w:pPr>
          </w:p>
        </w:tc>
      </w:tr>
      <w:tr>
        <w:trPr>
          <w:trHeight w:val="45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Безплатни квоти (NER)</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Дневник на ЕС за трансакциите (EUTL), таблици</w:t>
            </w:r>
          </w:p>
        </w:tc>
        <w:tc>
          <w:tcPr>
            <w:tcW w:w="0" w:type="auto"/>
            <w:vMerge/>
            <w:shd w:val="clear" w:color="auto" w:fill="auto"/>
          </w:tcPr>
          <w:p>
            <w:pPr>
              <w:pStyle w:val="ListParagraph"/>
              <w:spacing w:after="0" w:line="240" w:lineRule="auto"/>
              <w:ind w:left="0"/>
              <w:rPr>
                <w:rFonts w:ascii="Times New Roman" w:hAnsi="Times New Roman"/>
                <w:noProof/>
              </w:rPr>
            </w:pPr>
          </w:p>
        </w:tc>
      </w:tr>
      <w:tr>
        <w:trPr>
          <w:trHeight w:val="689"/>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Безплатно разпределение</w:t>
            </w:r>
          </w:p>
          <w:p>
            <w:pPr>
              <w:spacing w:after="0" w:line="240" w:lineRule="auto"/>
              <w:rPr>
                <w:rFonts w:ascii="Times New Roman" w:hAnsi="Times New Roman"/>
                <w:b/>
                <w:noProof/>
              </w:rPr>
            </w:pPr>
            <w:r>
              <w:rPr>
                <w:rFonts w:ascii="Times New Roman" w:hAnsi="Times New Roman"/>
                <w:b/>
                <w:noProof/>
              </w:rPr>
              <w:t>(въздухоплаване)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публикувани от държавите членки таблици за разпределението на квотите</w:t>
            </w:r>
          </w:p>
        </w:tc>
        <w:tc>
          <w:tcPr>
            <w:tcW w:w="0" w:type="auto"/>
            <w:vMerge/>
            <w:shd w:val="clear" w:color="auto" w:fill="auto"/>
          </w:tcPr>
          <w:p>
            <w:pPr>
              <w:pStyle w:val="ListParagraph"/>
              <w:spacing w:after="0" w:line="240" w:lineRule="auto"/>
              <w:ind w:left="0"/>
              <w:rPr>
                <w:rFonts w:ascii="Times New Roman" w:hAnsi="Times New Roman"/>
                <w:noProof/>
              </w:rPr>
            </w:pPr>
          </w:p>
        </w:tc>
      </w:tr>
      <w:tr>
        <w:trPr>
          <w:trHeight w:val="459"/>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Безплатно разпределение</w:t>
            </w:r>
          </w:p>
          <w:p>
            <w:pPr>
              <w:spacing w:after="0" w:line="240" w:lineRule="auto"/>
              <w:jc w:val="both"/>
              <w:rPr>
                <w:rFonts w:ascii="Times New Roman" w:hAnsi="Times New Roman"/>
                <w:b/>
                <w:noProof/>
              </w:rPr>
            </w:pPr>
            <w:r>
              <w:rPr>
                <w:rFonts w:ascii="Times New Roman" w:hAnsi="Times New Roman"/>
                <w:b/>
                <w:noProof/>
              </w:rPr>
              <w:t>(Член 10в)</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таблица за състоянието</w:t>
            </w:r>
          </w:p>
        </w:tc>
        <w:tc>
          <w:tcPr>
            <w:tcW w:w="0" w:type="auto"/>
            <w:vMerge/>
            <w:shd w:val="clear" w:color="auto" w:fill="auto"/>
          </w:tcPr>
          <w:p>
            <w:pPr>
              <w:pStyle w:val="ListParagraph"/>
              <w:spacing w:after="0" w:line="240" w:lineRule="auto"/>
              <w:ind w:left="0"/>
              <w:rPr>
                <w:rFonts w:ascii="Times New Roman" w:hAnsi="Times New Roman"/>
                <w:noProof/>
              </w:rPr>
            </w:pPr>
          </w:p>
        </w:tc>
      </w:tr>
      <w:tr>
        <w:trPr>
          <w:trHeight w:val="1158"/>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Емисии (стационарни инсталации)</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Търсене</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EUTL, данни за спазването на изискванията</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 xml:space="preserve">Данните за спазването на изискванията, които се обявяват публично на 1 май, показват емисиите и върнатите квоти за инсталациите, за които са спазени изискванията (т.е. тези инсталации, за които е докладвано за всички съответни години). </w:t>
            </w:r>
          </w:p>
          <w:p>
            <w:pPr>
              <w:spacing w:after="0" w:line="240" w:lineRule="auto"/>
              <w:jc w:val="both"/>
              <w:rPr>
                <w:rFonts w:ascii="Times New Roman" w:hAnsi="Times New Roman"/>
                <w:noProof/>
              </w:rPr>
            </w:pPr>
          </w:p>
        </w:tc>
      </w:tr>
      <w:tr>
        <w:trPr>
          <w:trHeight w:val="470"/>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Емисии (въздухоплаване)</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Търсене</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Спазването на изискванията за операторите на въздухоплавателни средства за 2013 г. и 2014 г. беше реализирано през 2015 г.</w:t>
            </w:r>
          </w:p>
        </w:tc>
      </w:tr>
      <w:tr>
        <w:trPr>
          <w:trHeight w:val="470"/>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Отменени квоти</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Търсене</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Доклад за пазара на въглеродни емисии</w:t>
            </w:r>
          </w:p>
        </w:tc>
      </w:tr>
    </w:tbl>
    <w:p>
      <w:pPr>
        <w:pStyle w:val="Caption"/>
        <w:keepNext/>
        <w:rPr>
          <w:noProof/>
          <w:sz w:val="22"/>
          <w:szCs w:val="22"/>
        </w:rPr>
      </w:pPr>
    </w:p>
    <w:p>
      <w:pPr>
        <w:pStyle w:val="Caption"/>
        <w:keepNext/>
        <w:rPr>
          <w:rFonts w:ascii="Times New Roman" w:hAnsi="Times New Roman"/>
          <w:noProof/>
        </w:rPr>
      </w:pPr>
      <w:r>
        <w:rPr>
          <w:rFonts w:ascii="Times New Roman" w:hAnsi="Times New Roman"/>
          <w:noProof/>
        </w:rPr>
        <w:t xml:space="preserve">Таблица 2: График за публикуването на данни </w:t>
      </w:r>
    </w:p>
    <w:tbl>
      <w:tblPr>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150"/>
        <w:gridCol w:w="2916"/>
      </w:tblGrid>
      <w:tr>
        <w:trPr>
          <w:trHeight w:val="375"/>
        </w:trPr>
        <w:tc>
          <w:tcPr>
            <w:tcW w:w="2480" w:type="dxa"/>
            <w:shd w:val="clear" w:color="auto" w:fill="auto"/>
          </w:tcPr>
          <w:p>
            <w:pPr>
              <w:jc w:val="both"/>
              <w:rPr>
                <w:rFonts w:ascii="Times New Roman" w:hAnsi="Times New Roman"/>
                <w:b/>
                <w:noProof/>
              </w:rPr>
            </w:pPr>
            <w:r>
              <w:rPr>
                <w:rFonts w:ascii="Times New Roman" w:hAnsi="Times New Roman"/>
                <w:b/>
                <w:noProof/>
              </w:rPr>
              <w:t>График</w:t>
            </w:r>
          </w:p>
        </w:tc>
        <w:tc>
          <w:tcPr>
            <w:tcW w:w="3150" w:type="dxa"/>
            <w:shd w:val="clear" w:color="auto" w:fill="auto"/>
          </w:tcPr>
          <w:p>
            <w:pPr>
              <w:jc w:val="both"/>
              <w:rPr>
                <w:rFonts w:ascii="Times New Roman" w:hAnsi="Times New Roman"/>
                <w:b/>
                <w:noProof/>
              </w:rPr>
            </w:pPr>
            <w:r>
              <w:rPr>
                <w:rFonts w:ascii="Times New Roman" w:hAnsi="Times New Roman"/>
                <w:b/>
                <w:noProof/>
              </w:rPr>
              <w:t>Данни</w:t>
            </w:r>
          </w:p>
        </w:tc>
        <w:tc>
          <w:tcPr>
            <w:tcW w:w="2916" w:type="dxa"/>
            <w:shd w:val="clear" w:color="auto" w:fill="auto"/>
          </w:tcPr>
          <w:p>
            <w:pPr>
              <w:jc w:val="both"/>
              <w:rPr>
                <w:rFonts w:ascii="Times New Roman" w:hAnsi="Times New Roman"/>
                <w:b/>
                <w:noProof/>
              </w:rPr>
            </w:pPr>
            <w:r>
              <w:rPr>
                <w:rFonts w:ascii="Times New Roman" w:hAnsi="Times New Roman"/>
                <w:b/>
                <w:noProof/>
              </w:rPr>
              <w:t>Времеви обхват</w:t>
            </w:r>
          </w:p>
        </w:tc>
      </w:tr>
      <w:tr>
        <w:trPr>
          <w:trHeight w:val="594"/>
        </w:trPr>
        <w:tc>
          <w:tcPr>
            <w:tcW w:w="2480" w:type="dxa"/>
            <w:shd w:val="clear" w:color="auto" w:fill="auto"/>
          </w:tcPr>
          <w:p>
            <w:pPr>
              <w:rPr>
                <w:rFonts w:ascii="Times New Roman" w:hAnsi="Times New Roman"/>
                <w:noProof/>
                <w:sz w:val="20"/>
                <w:szCs w:val="20"/>
              </w:rPr>
            </w:pPr>
            <w:r>
              <w:rPr>
                <w:rFonts w:ascii="Times New Roman" w:hAnsi="Times New Roman"/>
                <w:noProof/>
                <w:sz w:val="20"/>
              </w:rPr>
              <w:t>1 януари – 30 април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Актуализации на безплатното разпределение на квоти за електроцентрали (член 10в)</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Година x-1</w:t>
            </w:r>
          </w:p>
        </w:tc>
      </w:tr>
      <w:tr>
        <w:trPr>
          <w:trHeight w:val="969"/>
        </w:trPr>
        <w:tc>
          <w:tcPr>
            <w:tcW w:w="2480" w:type="dxa"/>
            <w:shd w:val="clear" w:color="auto" w:fill="auto"/>
          </w:tcPr>
          <w:p>
            <w:pPr>
              <w:rPr>
                <w:rFonts w:ascii="Times New Roman" w:hAnsi="Times New Roman"/>
                <w:noProof/>
                <w:sz w:val="20"/>
                <w:szCs w:val="20"/>
              </w:rPr>
            </w:pPr>
            <w:r>
              <w:rPr>
                <w:rFonts w:ascii="Times New Roman" w:hAnsi="Times New Roman"/>
                <w:noProof/>
                <w:sz w:val="20"/>
              </w:rPr>
              <w:t>1 април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Верифицирани емисии</w:t>
            </w:r>
          </w:p>
          <w:p>
            <w:pPr>
              <w:rPr>
                <w:rFonts w:ascii="Times New Roman" w:hAnsi="Times New Roman"/>
                <w:noProof/>
                <w:sz w:val="20"/>
                <w:szCs w:val="20"/>
              </w:rPr>
            </w:pPr>
            <w:r>
              <w:rPr>
                <w:rFonts w:ascii="Times New Roman" w:hAnsi="Times New Roman"/>
                <w:noProof/>
                <w:sz w:val="20"/>
              </w:rPr>
              <w:t>Безплатно разпределение на квоти (член 10а, параграф 5 — НМИ)</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Година x-1</w:t>
            </w:r>
          </w:p>
        </w:tc>
      </w:tr>
      <w:tr>
        <w:trPr>
          <w:trHeight w:val="814"/>
        </w:trPr>
        <w:tc>
          <w:tcPr>
            <w:tcW w:w="2480" w:type="dxa"/>
            <w:shd w:val="clear" w:color="auto" w:fill="auto"/>
          </w:tcPr>
          <w:p>
            <w:pPr>
              <w:rPr>
                <w:rFonts w:ascii="Times New Roman" w:hAnsi="Times New Roman"/>
                <w:noProof/>
                <w:sz w:val="20"/>
                <w:szCs w:val="20"/>
              </w:rPr>
            </w:pPr>
            <w:r>
              <w:rPr>
                <w:rFonts w:ascii="Times New Roman" w:hAnsi="Times New Roman"/>
                <w:noProof/>
                <w:sz w:val="20"/>
              </w:rPr>
              <w:t>1 май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Срок за привеждане в съответствие: верифицирани емисии и върнати квоти</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Година x-1</w:t>
            </w:r>
          </w:p>
        </w:tc>
      </w:tr>
      <w:tr>
        <w:trPr>
          <w:trHeight w:val="375"/>
        </w:trPr>
        <w:tc>
          <w:tcPr>
            <w:tcW w:w="2480" w:type="dxa"/>
            <w:shd w:val="clear" w:color="auto" w:fill="auto"/>
          </w:tcPr>
          <w:p>
            <w:pPr>
              <w:rPr>
                <w:rFonts w:ascii="Times New Roman" w:hAnsi="Times New Roman"/>
                <w:noProof/>
                <w:sz w:val="20"/>
                <w:szCs w:val="20"/>
              </w:rPr>
            </w:pPr>
            <w:r>
              <w:rPr>
                <w:rFonts w:ascii="Times New Roman" w:hAnsi="Times New Roman"/>
                <w:noProof/>
                <w:sz w:val="20"/>
              </w:rPr>
              <w:t>май/октомври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Обменени международни кредити</w:t>
            </w:r>
          </w:p>
        </w:tc>
        <w:tc>
          <w:tcPr>
            <w:tcW w:w="2916" w:type="dxa"/>
            <w:shd w:val="clear" w:color="auto" w:fill="auto"/>
          </w:tcPr>
          <w:p>
            <w:pPr>
              <w:rPr>
                <w:rFonts w:ascii="Times New Roman" w:hAnsi="Times New Roman"/>
                <w:noProof/>
                <w:sz w:val="20"/>
                <w:szCs w:val="20"/>
              </w:rPr>
            </w:pPr>
          </w:p>
        </w:tc>
      </w:tr>
      <w:tr>
        <w:trPr>
          <w:trHeight w:val="366"/>
        </w:trPr>
        <w:tc>
          <w:tcPr>
            <w:tcW w:w="2480" w:type="dxa"/>
            <w:shd w:val="clear" w:color="auto" w:fill="auto"/>
          </w:tcPr>
          <w:p>
            <w:pPr>
              <w:rPr>
                <w:rFonts w:ascii="Times New Roman" w:hAnsi="Times New Roman"/>
                <w:noProof/>
                <w:sz w:val="20"/>
                <w:szCs w:val="20"/>
              </w:rPr>
            </w:pPr>
            <w:r>
              <w:rPr>
                <w:rFonts w:ascii="Times New Roman" w:hAnsi="Times New Roman"/>
                <w:noProof/>
                <w:sz w:val="20"/>
              </w:rPr>
              <w:t>Последно тримесечие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Доклад за пазара на въглеродни емисии</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Година x-1</w:t>
            </w:r>
          </w:p>
        </w:tc>
      </w:tr>
      <w:tr>
        <w:trPr>
          <w:trHeight w:val="594"/>
        </w:trPr>
        <w:tc>
          <w:tcPr>
            <w:tcW w:w="2480" w:type="dxa"/>
            <w:shd w:val="clear" w:color="auto" w:fill="auto"/>
          </w:tcPr>
          <w:p>
            <w:pPr>
              <w:rPr>
                <w:rFonts w:ascii="Times New Roman" w:hAnsi="Times New Roman"/>
                <w:noProof/>
                <w:sz w:val="20"/>
                <w:szCs w:val="20"/>
              </w:rPr>
            </w:pPr>
            <w:r>
              <w:rPr>
                <w:rFonts w:ascii="Times New Roman" w:hAnsi="Times New Roman"/>
                <w:noProof/>
                <w:sz w:val="20"/>
              </w:rPr>
              <w:t>януари/юли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Състояние на резерва за нови участници (NER) – таблица относно NER</w:t>
            </w:r>
          </w:p>
        </w:tc>
        <w:tc>
          <w:tcPr>
            <w:tcW w:w="2916" w:type="dxa"/>
            <w:shd w:val="clear" w:color="auto" w:fill="auto"/>
          </w:tcPr>
          <w:p>
            <w:pPr>
              <w:rPr>
                <w:rFonts w:ascii="Times New Roman" w:hAnsi="Times New Roman"/>
                <w:noProof/>
                <w:sz w:val="20"/>
                <w:szCs w:val="20"/>
              </w:rPr>
            </w:pPr>
          </w:p>
        </w:tc>
      </w:tr>
      <w:tr>
        <w:trPr>
          <w:trHeight w:val="603"/>
        </w:trPr>
        <w:tc>
          <w:tcPr>
            <w:tcW w:w="2480" w:type="dxa"/>
            <w:shd w:val="clear" w:color="auto" w:fill="auto"/>
          </w:tcPr>
          <w:p>
            <w:pPr>
              <w:rPr>
                <w:rFonts w:ascii="Times New Roman" w:hAnsi="Times New Roman"/>
                <w:noProof/>
                <w:sz w:val="20"/>
                <w:szCs w:val="20"/>
              </w:rPr>
            </w:pPr>
            <w:r>
              <w:rPr>
                <w:rFonts w:ascii="Times New Roman" w:hAnsi="Times New Roman"/>
                <w:noProof/>
                <w:sz w:val="20"/>
              </w:rPr>
              <w:t>Данни, непубликувани на равнището на ЕС</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Безплатно разпределени квоти за въздухоплаването, публикувани на равнището на държавите членки</w:t>
            </w:r>
          </w:p>
        </w:tc>
        <w:tc>
          <w:tcPr>
            <w:tcW w:w="2916" w:type="dxa"/>
            <w:shd w:val="clear" w:color="auto" w:fill="auto"/>
          </w:tcPr>
          <w:p>
            <w:pPr>
              <w:rPr>
                <w:rFonts w:ascii="Times New Roman" w:hAnsi="Times New Roman"/>
                <w:noProof/>
                <w:sz w:val="20"/>
                <w:szCs w:val="20"/>
              </w:rPr>
            </w:pPr>
          </w:p>
        </w:tc>
      </w:tr>
    </w:tbl>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Допълнение 5</w:t>
      </w:r>
    </w:p>
    <w:p>
      <w:pPr>
        <w:rPr>
          <w:rFonts w:ascii="Times New Roman" w:hAnsi="Times New Roman"/>
          <w:b/>
          <w:noProof/>
          <w:sz w:val="20"/>
          <w:szCs w:val="20"/>
        </w:rPr>
      </w:pPr>
      <w:r>
        <w:rPr>
          <w:rFonts w:ascii="Times New Roman" w:hAnsi="Times New Roman"/>
          <w:b/>
          <w:noProof/>
          <w:sz w:val="20"/>
        </w:rPr>
        <w:t>Таблица 1: Преюдициални заключения на Съда на ЕС относно функционирането на СТЕ на ЕС през периода от юли 2016 г. до юни 2017 г.</w:t>
      </w:r>
    </w:p>
    <w:tbl>
      <w:tblPr>
        <w:tblStyle w:val="TableGrid4"/>
        <w:tblW w:w="0" w:type="auto"/>
        <w:tblLook w:val="04A0" w:firstRow="1" w:lastRow="0" w:firstColumn="1" w:lastColumn="0" w:noHBand="0" w:noVBand="1"/>
      </w:tblPr>
      <w:tblGrid>
        <w:gridCol w:w="1142"/>
        <w:gridCol w:w="1538"/>
        <w:gridCol w:w="2174"/>
        <w:gridCol w:w="1701"/>
        <w:gridCol w:w="1126"/>
        <w:gridCol w:w="1561"/>
      </w:tblGrid>
      <w:tr>
        <w:trPr>
          <w:trHeight w:val="550"/>
        </w:trPr>
        <w:tc>
          <w:tcPr>
            <w:tcW w:w="0" w:type="auto"/>
            <w:hideMark/>
          </w:tcPr>
          <w:p>
            <w:pPr>
              <w:jc w:val="center"/>
              <w:rPr>
                <w:rFonts w:ascii="Times New Roman" w:hAnsi="Times New Roman"/>
                <w:b/>
                <w:bCs/>
                <w:noProof/>
                <w:sz w:val="20"/>
                <w:szCs w:val="20"/>
              </w:rPr>
            </w:pPr>
            <w:r>
              <w:rPr>
                <w:rFonts w:ascii="Times New Roman" w:hAnsi="Times New Roman"/>
                <w:b/>
                <w:noProof/>
                <w:sz w:val="20"/>
              </w:rPr>
              <w:t>Референтен номер на делото</w:t>
            </w:r>
          </w:p>
        </w:tc>
        <w:tc>
          <w:tcPr>
            <w:tcW w:w="0" w:type="auto"/>
          </w:tcPr>
          <w:p>
            <w:pPr>
              <w:jc w:val="center"/>
              <w:rPr>
                <w:rFonts w:ascii="Times New Roman" w:hAnsi="Times New Roman"/>
                <w:b/>
                <w:noProof/>
                <w:sz w:val="20"/>
                <w:szCs w:val="20"/>
              </w:rPr>
            </w:pPr>
            <w:r>
              <w:rPr>
                <w:rFonts w:ascii="Times New Roman" w:hAnsi="Times New Roman"/>
                <w:b/>
                <w:noProof/>
                <w:sz w:val="20"/>
              </w:rPr>
              <w:t>Приложимо законодателство</w:t>
            </w:r>
          </w:p>
        </w:tc>
        <w:tc>
          <w:tcPr>
            <w:tcW w:w="0" w:type="auto"/>
          </w:tcPr>
          <w:p>
            <w:pPr>
              <w:jc w:val="center"/>
              <w:rPr>
                <w:rFonts w:ascii="Times New Roman" w:hAnsi="Times New Roman"/>
                <w:b/>
                <w:noProof/>
                <w:sz w:val="20"/>
                <w:szCs w:val="20"/>
              </w:rPr>
            </w:pPr>
            <w:r>
              <w:rPr>
                <w:rFonts w:ascii="Times New Roman" w:hAnsi="Times New Roman"/>
                <w:b/>
                <w:noProof/>
                <w:sz w:val="20"/>
              </w:rPr>
              <w:t>Страни</w:t>
            </w:r>
          </w:p>
        </w:tc>
        <w:tc>
          <w:tcPr>
            <w:tcW w:w="0" w:type="auto"/>
          </w:tcPr>
          <w:p>
            <w:pPr>
              <w:jc w:val="center"/>
              <w:rPr>
                <w:rFonts w:ascii="Times New Roman" w:hAnsi="Times New Roman"/>
                <w:b/>
                <w:bCs/>
                <w:noProof/>
                <w:sz w:val="20"/>
                <w:szCs w:val="20"/>
              </w:rPr>
            </w:pPr>
            <w:r>
              <w:rPr>
                <w:rFonts w:ascii="Times New Roman" w:hAnsi="Times New Roman"/>
                <w:b/>
                <w:noProof/>
                <w:sz w:val="20"/>
              </w:rPr>
              <w:t>Кратко изложение на делото</w:t>
            </w:r>
          </w:p>
        </w:tc>
        <w:tc>
          <w:tcPr>
            <w:tcW w:w="0" w:type="auto"/>
            <w:hideMark/>
          </w:tcPr>
          <w:p>
            <w:pPr>
              <w:jc w:val="center"/>
              <w:rPr>
                <w:rFonts w:ascii="Times New Roman" w:hAnsi="Times New Roman"/>
                <w:b/>
                <w:bCs/>
                <w:noProof/>
                <w:sz w:val="20"/>
                <w:szCs w:val="20"/>
              </w:rPr>
            </w:pPr>
            <w:r>
              <w:rPr>
                <w:rFonts w:ascii="Times New Roman" w:hAnsi="Times New Roman"/>
                <w:b/>
                <w:noProof/>
                <w:sz w:val="20"/>
              </w:rPr>
              <w:t>Дата</w:t>
            </w:r>
          </w:p>
        </w:tc>
        <w:tc>
          <w:tcPr>
            <w:tcW w:w="0" w:type="auto"/>
            <w:hideMark/>
          </w:tcPr>
          <w:p>
            <w:pPr>
              <w:jc w:val="center"/>
              <w:rPr>
                <w:rFonts w:ascii="Times New Roman" w:hAnsi="Times New Roman"/>
                <w:b/>
                <w:bCs/>
                <w:noProof/>
                <w:sz w:val="20"/>
                <w:szCs w:val="20"/>
              </w:rPr>
            </w:pPr>
            <w:r>
              <w:rPr>
                <w:rFonts w:ascii="Times New Roman" w:hAnsi="Times New Roman"/>
                <w:b/>
                <w:noProof/>
                <w:sz w:val="20"/>
              </w:rPr>
              <w:t>Резюме на решението</w:t>
            </w:r>
          </w:p>
        </w:tc>
      </w:tr>
      <w:tr>
        <w:trPr>
          <w:trHeight w:val="550"/>
        </w:trPr>
        <w:tc>
          <w:tcPr>
            <w:tcW w:w="0" w:type="auto"/>
          </w:tcPr>
          <w:p>
            <w:pPr>
              <w:rPr>
                <w:rFonts w:ascii="Times New Roman" w:hAnsi="Times New Roman"/>
                <w:bCs/>
                <w:noProof/>
                <w:sz w:val="20"/>
                <w:szCs w:val="20"/>
              </w:rPr>
            </w:pPr>
            <w:r>
              <w:rPr>
                <w:rFonts w:ascii="Times New Roman" w:hAnsi="Times New Roman"/>
                <w:noProof/>
                <w:sz w:val="20"/>
              </w:rPr>
              <w:t>Дело C-461/15</w:t>
            </w:r>
          </w:p>
        </w:tc>
        <w:tc>
          <w:tcPr>
            <w:tcW w:w="0" w:type="auto"/>
          </w:tcPr>
          <w:p>
            <w:pPr>
              <w:rPr>
                <w:rFonts w:ascii="Times New Roman" w:hAnsi="Times New Roman"/>
                <w:noProof/>
                <w:sz w:val="20"/>
                <w:szCs w:val="20"/>
              </w:rPr>
            </w:pPr>
            <w:r>
              <w:rPr>
                <w:rFonts w:ascii="Times New Roman" w:hAnsi="Times New Roman"/>
                <w:noProof/>
                <w:sz w:val="20"/>
              </w:rPr>
              <w:t>Решение 2011/278/ЕС</w:t>
            </w:r>
          </w:p>
        </w:tc>
        <w:tc>
          <w:tcPr>
            <w:tcW w:w="0" w:type="auto"/>
          </w:tcPr>
          <w:p>
            <w:pPr>
              <w:rPr>
                <w:rFonts w:ascii="Times New Roman" w:hAnsi="Times New Roman"/>
                <w:noProof/>
                <w:sz w:val="20"/>
                <w:szCs w:val="20"/>
              </w:rPr>
            </w:pPr>
            <w:r>
              <w:rPr>
                <w:rFonts w:ascii="Times New Roman" w:hAnsi="Times New Roman"/>
                <w:noProof/>
                <w:sz w:val="20"/>
              </w:rPr>
              <w:t>E. ON Kraftwerke/Bundesrepublik Deutschland</w:t>
            </w:r>
          </w:p>
        </w:tc>
        <w:tc>
          <w:tcPr>
            <w:tcW w:w="0" w:type="auto"/>
          </w:tcPr>
          <w:p>
            <w:pPr>
              <w:rPr>
                <w:rFonts w:ascii="Times New Roman" w:hAnsi="Times New Roman"/>
                <w:bCs/>
                <w:noProof/>
                <w:sz w:val="20"/>
                <w:szCs w:val="20"/>
              </w:rPr>
            </w:pPr>
            <w:r>
              <w:rPr>
                <w:rFonts w:ascii="Times New Roman" w:hAnsi="Times New Roman"/>
                <w:noProof/>
                <w:sz w:val="20"/>
              </w:rPr>
              <w:t>Степен на задължението за предоставяне на информация за безплатното предоставяне на квоти за емисии, като се вземат предвид измененията в експлоатацията на една електроцентрала</w:t>
            </w:r>
          </w:p>
        </w:tc>
        <w:tc>
          <w:tcPr>
            <w:tcW w:w="0" w:type="auto"/>
          </w:tcPr>
          <w:p>
            <w:pPr>
              <w:rPr>
                <w:rFonts w:ascii="Times New Roman" w:hAnsi="Times New Roman"/>
                <w:bCs/>
                <w:noProof/>
                <w:sz w:val="20"/>
                <w:szCs w:val="20"/>
              </w:rPr>
            </w:pPr>
            <w:r>
              <w:rPr>
                <w:rFonts w:ascii="Times New Roman" w:hAnsi="Times New Roman"/>
                <w:noProof/>
                <w:sz w:val="20"/>
              </w:rPr>
              <w:t>8.9.2016 г.</w:t>
            </w:r>
          </w:p>
        </w:tc>
        <w:tc>
          <w:tcPr>
            <w:tcW w:w="0" w:type="auto"/>
          </w:tcPr>
          <w:p>
            <w:pPr>
              <w:rPr>
                <w:rFonts w:ascii="Times New Roman" w:hAnsi="Times New Roman"/>
                <w:bCs/>
                <w:noProof/>
                <w:sz w:val="20"/>
                <w:szCs w:val="20"/>
              </w:rPr>
            </w:pPr>
            <w:r>
              <w:rPr>
                <w:rFonts w:ascii="Times New Roman" w:hAnsi="Times New Roman"/>
                <w:noProof/>
                <w:sz w:val="20"/>
              </w:rPr>
              <w:t>Компетентният орган може да дефинира каква „относима информация“ трябва да се включи в доклада относно капацитета, нивото на активност и функционирането на дадена инсталация. Информацията може да се разглежда като относима, независимо дали може да има промяна в разпределението на квоти за оператора.</w:t>
            </w:r>
          </w:p>
        </w:tc>
      </w:tr>
      <w:tr>
        <w:trPr>
          <w:trHeight w:val="550"/>
        </w:trPr>
        <w:tc>
          <w:tcPr>
            <w:tcW w:w="0" w:type="auto"/>
          </w:tcPr>
          <w:p>
            <w:pPr>
              <w:rPr>
                <w:rFonts w:ascii="Times New Roman" w:hAnsi="Times New Roman"/>
                <w:bCs/>
                <w:noProof/>
                <w:sz w:val="20"/>
                <w:szCs w:val="20"/>
              </w:rPr>
            </w:pPr>
            <w:r>
              <w:rPr>
                <w:rFonts w:ascii="Times New Roman" w:hAnsi="Times New Roman"/>
                <w:noProof/>
                <w:sz w:val="20"/>
              </w:rPr>
              <w:t>Дело C-460/15</w:t>
            </w:r>
          </w:p>
        </w:tc>
        <w:tc>
          <w:tcPr>
            <w:tcW w:w="0" w:type="auto"/>
          </w:tcPr>
          <w:p>
            <w:pPr>
              <w:rPr>
                <w:rFonts w:ascii="Times New Roman" w:hAnsi="Times New Roman"/>
                <w:noProof/>
                <w:sz w:val="20"/>
                <w:szCs w:val="20"/>
              </w:rPr>
            </w:pPr>
            <w:r>
              <w:rPr>
                <w:rFonts w:ascii="Times New Roman" w:hAnsi="Times New Roman"/>
                <w:noProof/>
                <w:sz w:val="20"/>
              </w:rPr>
              <w:t>Регламент ЕС № 601/2012</w:t>
            </w:r>
          </w:p>
        </w:tc>
        <w:tc>
          <w:tcPr>
            <w:tcW w:w="0" w:type="auto"/>
          </w:tcPr>
          <w:p>
            <w:pPr>
              <w:rPr>
                <w:rFonts w:ascii="Times New Roman" w:hAnsi="Times New Roman"/>
                <w:noProof/>
                <w:sz w:val="20"/>
                <w:szCs w:val="20"/>
              </w:rPr>
            </w:pPr>
            <w:r>
              <w:rPr>
                <w:rFonts w:ascii="Times New Roman" w:hAnsi="Times New Roman"/>
                <w:noProof/>
                <w:sz w:val="20"/>
              </w:rPr>
              <w:t>Schaefer Kalk GmbH &amp; Co. KG/Bundesrepublik Deutschland</w:t>
            </w:r>
          </w:p>
        </w:tc>
        <w:tc>
          <w:tcPr>
            <w:tcW w:w="0" w:type="auto"/>
          </w:tcPr>
          <w:p>
            <w:pPr>
              <w:rPr>
                <w:rFonts w:ascii="Times New Roman" w:hAnsi="Times New Roman"/>
                <w:bCs/>
                <w:noProof/>
                <w:sz w:val="20"/>
                <w:szCs w:val="20"/>
              </w:rPr>
            </w:pPr>
            <w:r>
              <w:rPr>
                <w:rFonts w:ascii="Times New Roman" w:hAnsi="Times New Roman"/>
                <w:noProof/>
                <w:sz w:val="20"/>
              </w:rPr>
              <w:t>Законосъобразност на изключването на количеството СО</w:t>
            </w:r>
            <w:r>
              <w:rPr>
                <w:rFonts w:ascii="Times New Roman" w:hAnsi="Times New Roman"/>
                <w:noProof/>
                <w:sz w:val="20"/>
                <w:vertAlign w:val="subscript"/>
              </w:rPr>
              <w:t xml:space="preserve">2 </w:t>
            </w:r>
            <w:r>
              <w:rPr>
                <w:rFonts w:ascii="Times New Roman" w:hAnsi="Times New Roman"/>
                <w:noProof/>
                <w:sz w:val="20"/>
              </w:rPr>
              <w:t>, използвано в производството на калциево карбонатен преципитат в член 49, параграф 1 и точка 10 от приложение ІV</w:t>
            </w:r>
          </w:p>
        </w:tc>
        <w:tc>
          <w:tcPr>
            <w:tcW w:w="0" w:type="auto"/>
          </w:tcPr>
          <w:p>
            <w:pPr>
              <w:rPr>
                <w:rFonts w:ascii="Times New Roman" w:hAnsi="Times New Roman"/>
                <w:bCs/>
                <w:noProof/>
                <w:sz w:val="20"/>
                <w:szCs w:val="20"/>
              </w:rPr>
            </w:pPr>
            <w:r>
              <w:rPr>
                <w:rFonts w:ascii="Times New Roman" w:hAnsi="Times New Roman"/>
                <w:noProof/>
                <w:sz w:val="20"/>
              </w:rPr>
              <w:t>19.1.2017 г.</w:t>
            </w:r>
          </w:p>
        </w:tc>
        <w:tc>
          <w:tcPr>
            <w:tcW w:w="0" w:type="auto"/>
          </w:tcPr>
          <w:p>
            <w:pPr>
              <w:rPr>
                <w:rFonts w:ascii="Times New Roman" w:hAnsi="Times New Roman"/>
                <w:bCs/>
                <w:noProof/>
                <w:sz w:val="20"/>
                <w:szCs w:val="20"/>
              </w:rPr>
            </w:pPr>
            <w:r>
              <w:rPr>
                <w:rFonts w:ascii="Times New Roman" w:hAnsi="Times New Roman"/>
                <w:noProof/>
                <w:sz w:val="20"/>
              </w:rPr>
              <w:t>В контекста на CO</w:t>
            </w:r>
            <w:r>
              <w:rPr>
                <w:rFonts w:ascii="Times New Roman" w:hAnsi="Times New Roman"/>
                <w:noProof/>
                <w:sz w:val="20"/>
                <w:vertAlign w:val="subscript"/>
              </w:rPr>
              <w:t>2</w:t>
            </w:r>
            <w:r>
              <w:rPr>
                <w:rFonts w:ascii="Times New Roman" w:hAnsi="Times New Roman"/>
                <w:noProof/>
                <w:sz w:val="20"/>
              </w:rPr>
              <w:t>, прехвърлен извън инсталация за производство на вар и свързан стабилно при производството на калциево карбонатен преципитат, член 49 и точка 10. Б от приложение ІV са в противоречие с член 3, буква г) от Директивата за СТЕ, тъй като те предполагат по безспорен начин изпускане на CO</w:t>
            </w:r>
            <w:r>
              <w:rPr>
                <w:rFonts w:ascii="Times New Roman" w:hAnsi="Times New Roman"/>
                <w:noProof/>
                <w:sz w:val="20"/>
                <w:vertAlign w:val="subscript"/>
              </w:rPr>
              <w:t>2</w:t>
            </w:r>
            <w:r>
              <w:rPr>
                <w:rFonts w:ascii="Times New Roman" w:hAnsi="Times New Roman"/>
                <w:noProof/>
                <w:sz w:val="20"/>
              </w:rPr>
              <w:t xml:space="preserve"> в атмосферата.</w:t>
            </w:r>
          </w:p>
        </w:tc>
      </w:tr>
      <w:tr>
        <w:trPr>
          <w:trHeight w:val="550"/>
        </w:trPr>
        <w:tc>
          <w:tcPr>
            <w:tcW w:w="0" w:type="auto"/>
          </w:tcPr>
          <w:p>
            <w:pPr>
              <w:rPr>
                <w:rFonts w:ascii="Times New Roman" w:hAnsi="Times New Roman"/>
                <w:bCs/>
                <w:noProof/>
                <w:sz w:val="20"/>
                <w:szCs w:val="20"/>
              </w:rPr>
            </w:pPr>
            <w:r>
              <w:rPr>
                <w:rFonts w:ascii="Times New Roman" w:hAnsi="Times New Roman"/>
                <w:noProof/>
                <w:sz w:val="20"/>
              </w:rPr>
              <w:t>Дело C-457/15</w:t>
            </w:r>
          </w:p>
        </w:tc>
        <w:tc>
          <w:tcPr>
            <w:tcW w:w="0" w:type="auto"/>
          </w:tcPr>
          <w:p>
            <w:pPr>
              <w:rPr>
                <w:rFonts w:ascii="Times New Roman" w:hAnsi="Times New Roman"/>
                <w:noProof/>
                <w:sz w:val="20"/>
                <w:szCs w:val="20"/>
              </w:rPr>
            </w:pPr>
            <w:r>
              <w:rPr>
                <w:rFonts w:ascii="Times New Roman" w:hAnsi="Times New Roman"/>
                <w:noProof/>
                <w:sz w:val="20"/>
              </w:rPr>
              <w:t>Директива 2003/87/EО</w:t>
            </w:r>
          </w:p>
        </w:tc>
        <w:tc>
          <w:tcPr>
            <w:tcW w:w="0" w:type="auto"/>
          </w:tcPr>
          <w:p>
            <w:pPr>
              <w:rPr>
                <w:rFonts w:ascii="Times New Roman" w:hAnsi="Times New Roman"/>
                <w:noProof/>
                <w:sz w:val="20"/>
                <w:szCs w:val="20"/>
              </w:rPr>
            </w:pPr>
            <w:r>
              <w:rPr>
                <w:rFonts w:ascii="Times New Roman" w:hAnsi="Times New Roman"/>
                <w:noProof/>
                <w:sz w:val="20"/>
              </w:rPr>
              <w:t>Vattenfall Europe Generation AG/ Bundesrepublik Deutschland</w:t>
            </w:r>
          </w:p>
        </w:tc>
        <w:tc>
          <w:tcPr>
            <w:tcW w:w="0" w:type="auto"/>
          </w:tcPr>
          <w:p>
            <w:pPr>
              <w:rPr>
                <w:rFonts w:ascii="Times New Roman" w:hAnsi="Times New Roman"/>
                <w:bCs/>
                <w:noProof/>
                <w:sz w:val="20"/>
                <w:szCs w:val="20"/>
              </w:rPr>
            </w:pPr>
            <w:r>
              <w:rPr>
                <w:rFonts w:ascii="Times New Roman" w:hAnsi="Times New Roman"/>
                <w:noProof/>
                <w:sz w:val="20"/>
              </w:rPr>
              <w:t>Кога възниква задължението за търговия с емисии за включването на изгарянето на горива в инсталации с номинална входяща топлинна мощност над 20 МW в приложение І?</w:t>
            </w:r>
          </w:p>
        </w:tc>
        <w:tc>
          <w:tcPr>
            <w:tcW w:w="0" w:type="auto"/>
          </w:tcPr>
          <w:p>
            <w:pPr>
              <w:rPr>
                <w:rFonts w:ascii="Times New Roman" w:hAnsi="Times New Roman"/>
                <w:bCs/>
                <w:noProof/>
                <w:sz w:val="20"/>
                <w:szCs w:val="20"/>
              </w:rPr>
            </w:pPr>
            <w:r>
              <w:rPr>
                <w:rFonts w:ascii="Times New Roman" w:hAnsi="Times New Roman"/>
                <w:noProof/>
                <w:sz w:val="20"/>
              </w:rPr>
              <w:t>28.7.2016 г.</w:t>
            </w:r>
          </w:p>
        </w:tc>
        <w:tc>
          <w:tcPr>
            <w:tcW w:w="0" w:type="auto"/>
          </w:tcPr>
          <w:p>
            <w:pPr>
              <w:rPr>
                <w:rFonts w:ascii="Times New Roman" w:hAnsi="Times New Roman"/>
                <w:bCs/>
                <w:noProof/>
                <w:sz w:val="20"/>
                <w:szCs w:val="20"/>
              </w:rPr>
            </w:pPr>
            <w:r>
              <w:rPr>
                <w:rFonts w:ascii="Times New Roman" w:hAnsi="Times New Roman"/>
                <w:noProof/>
                <w:sz w:val="20"/>
              </w:rPr>
              <w:t>Включване на „дейности за изгарянето на горива в инсталации с номинална входяща топлинна мощност над 20 МW“ в приложение І започва от датата на първата емисия на ПГ, произведени от инсталацията (дори преди да се произвежда електроенергия).</w:t>
            </w:r>
          </w:p>
        </w:tc>
      </w:tr>
      <w:tr>
        <w:trPr>
          <w:trHeight w:val="550"/>
        </w:trPr>
        <w:tc>
          <w:tcPr>
            <w:tcW w:w="0" w:type="auto"/>
          </w:tcPr>
          <w:p>
            <w:pPr>
              <w:rPr>
                <w:rFonts w:ascii="Times New Roman" w:hAnsi="Times New Roman"/>
                <w:bCs/>
                <w:noProof/>
                <w:sz w:val="20"/>
                <w:szCs w:val="20"/>
              </w:rPr>
            </w:pPr>
            <w:r>
              <w:rPr>
                <w:rFonts w:ascii="Times New Roman" w:hAnsi="Times New Roman"/>
                <w:noProof/>
                <w:sz w:val="20"/>
              </w:rPr>
              <w:t>Дело C-456/15;</w:t>
            </w:r>
          </w:p>
          <w:p>
            <w:pPr>
              <w:rPr>
                <w:rFonts w:ascii="Times New Roman" w:hAnsi="Times New Roman"/>
                <w:bCs/>
                <w:noProof/>
                <w:sz w:val="20"/>
                <w:szCs w:val="20"/>
              </w:rPr>
            </w:pPr>
            <w:r>
              <w:rPr>
                <w:rFonts w:ascii="Times New Roman" w:hAnsi="Times New Roman"/>
                <w:noProof/>
                <w:sz w:val="20"/>
              </w:rPr>
              <w:t>Съединени дела C-191/14, C-192/14, C-295/14, C-389/14 и C-391/14—C-393/14</w:t>
            </w:r>
          </w:p>
        </w:tc>
        <w:tc>
          <w:tcPr>
            <w:tcW w:w="0" w:type="auto"/>
          </w:tcPr>
          <w:p>
            <w:pPr>
              <w:rPr>
                <w:rFonts w:ascii="Times New Roman" w:hAnsi="Times New Roman"/>
                <w:noProof/>
                <w:sz w:val="20"/>
                <w:szCs w:val="20"/>
              </w:rPr>
            </w:pPr>
            <w:r>
              <w:rPr>
                <w:rFonts w:ascii="Times New Roman" w:hAnsi="Times New Roman"/>
                <w:noProof/>
                <w:sz w:val="20"/>
              </w:rPr>
              <w:t>Решение 2013/448/ЕС</w:t>
            </w:r>
          </w:p>
        </w:tc>
        <w:tc>
          <w:tcPr>
            <w:tcW w:w="0" w:type="auto"/>
          </w:tcPr>
          <w:p>
            <w:pPr>
              <w:rPr>
                <w:rFonts w:ascii="Times New Roman" w:hAnsi="Times New Roman"/>
                <w:noProof/>
                <w:sz w:val="20"/>
                <w:szCs w:val="20"/>
              </w:rPr>
            </w:pPr>
            <w:r>
              <w:rPr>
                <w:rFonts w:ascii="Times New Roman" w:hAnsi="Times New Roman"/>
                <w:noProof/>
                <w:sz w:val="20"/>
              </w:rPr>
              <w:t>Borealis Polyolefine GmbH/Австрийски федерален министър на селското стопанство, горското стопанство, околната среда и управлението на водите</w:t>
            </w:r>
          </w:p>
        </w:tc>
        <w:tc>
          <w:tcPr>
            <w:tcW w:w="0" w:type="auto"/>
          </w:tcPr>
          <w:p>
            <w:pPr>
              <w:rPr>
                <w:rFonts w:ascii="Times New Roman" w:hAnsi="Times New Roman"/>
                <w:bCs/>
                <w:noProof/>
                <w:sz w:val="20"/>
                <w:szCs w:val="20"/>
              </w:rPr>
            </w:pPr>
            <w:r>
              <w:rPr>
                <w:rFonts w:ascii="Times New Roman" w:hAnsi="Times New Roman"/>
                <w:noProof/>
                <w:sz w:val="20"/>
              </w:rPr>
              <w:t>Валидност на метода за изчисляване на единния междуотраслов корекционен коефициент (СSCF)</w:t>
            </w:r>
          </w:p>
        </w:tc>
        <w:tc>
          <w:tcPr>
            <w:tcW w:w="0" w:type="auto"/>
          </w:tcPr>
          <w:p>
            <w:pPr>
              <w:rPr>
                <w:rFonts w:ascii="Times New Roman" w:hAnsi="Times New Roman"/>
                <w:bCs/>
                <w:noProof/>
                <w:sz w:val="20"/>
                <w:szCs w:val="20"/>
              </w:rPr>
            </w:pPr>
            <w:r>
              <w:rPr>
                <w:rFonts w:ascii="Times New Roman" w:hAnsi="Times New Roman"/>
                <w:noProof/>
                <w:sz w:val="20"/>
              </w:rPr>
              <w:t>14.7.2016 г.; 28.4.2016 г.</w:t>
            </w:r>
          </w:p>
        </w:tc>
        <w:tc>
          <w:tcPr>
            <w:tcW w:w="0" w:type="auto"/>
          </w:tcPr>
          <w:p>
            <w:pPr>
              <w:rPr>
                <w:rFonts w:ascii="Times New Roman" w:hAnsi="Times New Roman"/>
                <w:bCs/>
                <w:noProof/>
                <w:sz w:val="20"/>
                <w:szCs w:val="20"/>
              </w:rPr>
            </w:pPr>
            <w:r>
              <w:rPr>
                <w:rFonts w:ascii="Times New Roman" w:hAnsi="Times New Roman"/>
                <w:noProof/>
                <w:sz w:val="20"/>
              </w:rPr>
              <w:t>Член 4 и приложение ІІ от Решение 2013/448/ЕС са невалидни. Данните за емисии в резултат на нови дейности в съществуващи инсталации не следва да се вземат предвид, а само инсталации, попадащи отскоро в обхвата на СТЕ на ЕС, считано от 2013 г. CSCF става невалиден, считано от 1.3.2017 г.</w:t>
            </w:r>
          </w:p>
          <w:p>
            <w:pPr>
              <w:rPr>
                <w:rFonts w:ascii="Times New Roman" w:hAnsi="Times New Roman"/>
                <w:bCs/>
                <w:noProof/>
                <w:sz w:val="20"/>
                <w:szCs w:val="20"/>
              </w:rPr>
            </w:pPr>
          </w:p>
        </w:tc>
      </w:tr>
      <w:tr>
        <w:trPr>
          <w:trHeight w:val="550"/>
        </w:trPr>
        <w:tc>
          <w:tcPr>
            <w:tcW w:w="0" w:type="auto"/>
          </w:tcPr>
          <w:p>
            <w:pPr>
              <w:rPr>
                <w:rFonts w:ascii="Times New Roman" w:hAnsi="Times New Roman"/>
                <w:bCs/>
                <w:noProof/>
                <w:sz w:val="20"/>
                <w:szCs w:val="20"/>
              </w:rPr>
            </w:pPr>
            <w:r>
              <w:rPr>
                <w:rFonts w:ascii="Times New Roman" w:hAnsi="Times New Roman"/>
                <w:noProof/>
                <w:sz w:val="20"/>
              </w:rPr>
              <w:t>Дело C-321/15</w:t>
            </w:r>
          </w:p>
        </w:tc>
        <w:tc>
          <w:tcPr>
            <w:tcW w:w="0" w:type="auto"/>
          </w:tcPr>
          <w:p>
            <w:pPr>
              <w:rPr>
                <w:rFonts w:ascii="Times New Roman" w:hAnsi="Times New Roman"/>
                <w:noProof/>
                <w:sz w:val="20"/>
                <w:szCs w:val="20"/>
              </w:rPr>
            </w:pPr>
            <w:r>
              <w:rPr>
                <w:rFonts w:ascii="Times New Roman" w:hAnsi="Times New Roman"/>
                <w:noProof/>
                <w:sz w:val="20"/>
              </w:rPr>
              <w:t>Директива 2003/87/EО</w:t>
            </w:r>
          </w:p>
        </w:tc>
        <w:tc>
          <w:tcPr>
            <w:tcW w:w="0" w:type="auto"/>
          </w:tcPr>
          <w:p>
            <w:pPr>
              <w:rPr>
                <w:rFonts w:ascii="Times New Roman" w:hAnsi="Times New Roman"/>
                <w:noProof/>
                <w:sz w:val="20"/>
                <w:szCs w:val="20"/>
              </w:rPr>
            </w:pPr>
            <w:r>
              <w:rPr>
                <w:rFonts w:ascii="Times New Roman" w:hAnsi="Times New Roman"/>
                <w:noProof/>
                <w:sz w:val="20"/>
              </w:rPr>
              <w:t>ArcelorMittal Rodange et Schifflange SA/Luxemburg</w:t>
            </w:r>
          </w:p>
        </w:tc>
        <w:tc>
          <w:tcPr>
            <w:tcW w:w="0" w:type="auto"/>
          </w:tcPr>
          <w:p>
            <w:pPr>
              <w:rPr>
                <w:rFonts w:ascii="Times New Roman" w:hAnsi="Times New Roman"/>
                <w:bCs/>
                <w:noProof/>
                <w:sz w:val="20"/>
                <w:szCs w:val="20"/>
              </w:rPr>
            </w:pPr>
            <w:r>
              <w:rPr>
                <w:rFonts w:ascii="Times New Roman" w:hAnsi="Times New Roman"/>
                <w:noProof/>
                <w:sz w:val="20"/>
              </w:rPr>
              <w:t>Въпрос относно връщането на неправилно разпределени квоти и дали квотите могат да се разглеждат като собственост</w:t>
            </w:r>
          </w:p>
        </w:tc>
        <w:tc>
          <w:tcPr>
            <w:tcW w:w="0" w:type="auto"/>
          </w:tcPr>
          <w:p>
            <w:pPr>
              <w:rPr>
                <w:rFonts w:ascii="Times New Roman" w:hAnsi="Times New Roman"/>
                <w:bCs/>
                <w:noProof/>
                <w:sz w:val="20"/>
                <w:szCs w:val="20"/>
              </w:rPr>
            </w:pPr>
            <w:r>
              <w:rPr>
                <w:rFonts w:ascii="Times New Roman" w:hAnsi="Times New Roman"/>
                <w:noProof/>
                <w:sz w:val="20"/>
              </w:rPr>
              <w:t>8.3.2017 г.</w:t>
            </w:r>
          </w:p>
        </w:tc>
        <w:tc>
          <w:tcPr>
            <w:tcW w:w="0" w:type="auto"/>
          </w:tcPr>
          <w:p>
            <w:pPr>
              <w:rPr>
                <w:rFonts w:ascii="Times New Roman" w:hAnsi="Times New Roman"/>
                <w:bCs/>
                <w:noProof/>
                <w:sz w:val="20"/>
                <w:szCs w:val="20"/>
              </w:rPr>
            </w:pPr>
            <w:r>
              <w:rPr>
                <w:rFonts w:ascii="Times New Roman" w:hAnsi="Times New Roman"/>
                <w:noProof/>
                <w:sz w:val="20"/>
              </w:rPr>
              <w:t>Държавите членки имат право да поискат връщане на неправилно разпределени квоти без компенсация. Въпросът за правния статут на квотите не е от съществено значение за издаване на съдебно решение по въпросното дело.</w:t>
            </w:r>
          </w:p>
        </w:tc>
      </w:tr>
      <w:tr>
        <w:trPr>
          <w:trHeight w:val="550"/>
        </w:trPr>
        <w:tc>
          <w:tcPr>
            <w:tcW w:w="0" w:type="auto"/>
          </w:tcPr>
          <w:p>
            <w:pPr>
              <w:rPr>
                <w:rFonts w:ascii="Times New Roman" w:hAnsi="Times New Roman"/>
                <w:bCs/>
                <w:noProof/>
                <w:sz w:val="20"/>
                <w:szCs w:val="20"/>
              </w:rPr>
            </w:pPr>
            <w:r>
              <w:rPr>
                <w:rFonts w:ascii="Times New Roman" w:hAnsi="Times New Roman"/>
                <w:noProof/>
                <w:sz w:val="20"/>
              </w:rPr>
              <w:t>Дело C-272/15</w:t>
            </w:r>
          </w:p>
        </w:tc>
        <w:tc>
          <w:tcPr>
            <w:tcW w:w="0" w:type="auto"/>
          </w:tcPr>
          <w:p>
            <w:pPr>
              <w:rPr>
                <w:rFonts w:ascii="Times New Roman" w:hAnsi="Times New Roman"/>
                <w:noProof/>
                <w:sz w:val="20"/>
                <w:szCs w:val="20"/>
              </w:rPr>
            </w:pPr>
            <w:r>
              <w:rPr>
                <w:rFonts w:ascii="Times New Roman" w:hAnsi="Times New Roman"/>
                <w:noProof/>
                <w:sz w:val="20"/>
              </w:rPr>
              <w:t>Решение 377/2013/EС, Директива 2008/101/EО</w:t>
            </w:r>
          </w:p>
        </w:tc>
        <w:tc>
          <w:tcPr>
            <w:tcW w:w="0" w:type="auto"/>
          </w:tcPr>
          <w:p>
            <w:pPr>
              <w:rPr>
                <w:rFonts w:ascii="Times New Roman" w:hAnsi="Times New Roman"/>
                <w:noProof/>
                <w:sz w:val="20"/>
                <w:szCs w:val="20"/>
              </w:rPr>
            </w:pPr>
            <w:r>
              <w:rPr>
                <w:rFonts w:ascii="Times New Roman" w:hAnsi="Times New Roman"/>
                <w:noProof/>
                <w:sz w:val="20"/>
              </w:rPr>
              <w:t>Swiss International Air Lines AG/ UK Secretary of State for Energy and Climate Change, Environment Agency</w:t>
            </w:r>
          </w:p>
        </w:tc>
        <w:tc>
          <w:tcPr>
            <w:tcW w:w="0" w:type="auto"/>
          </w:tcPr>
          <w:p>
            <w:pPr>
              <w:rPr>
                <w:rFonts w:ascii="Times New Roman" w:hAnsi="Times New Roman"/>
                <w:bCs/>
                <w:noProof/>
                <w:sz w:val="20"/>
                <w:szCs w:val="20"/>
              </w:rPr>
            </w:pPr>
            <w:r>
              <w:rPr>
                <w:rFonts w:ascii="Times New Roman" w:hAnsi="Times New Roman"/>
                <w:noProof/>
                <w:sz w:val="20"/>
              </w:rPr>
              <w:t>Нарушава ли Решение 377/2013/ЕС принципа на ЕС на равното третиране, като установява мораториум върху връщането на квоти за емисии за полети между държавите от ЕИП и държавите извън ЕИП, но не и за полети между държавите от ЕИП и Швейцария?</w:t>
            </w:r>
          </w:p>
        </w:tc>
        <w:tc>
          <w:tcPr>
            <w:tcW w:w="0" w:type="auto"/>
          </w:tcPr>
          <w:p>
            <w:pPr>
              <w:rPr>
                <w:rFonts w:ascii="Times New Roman" w:hAnsi="Times New Roman"/>
                <w:bCs/>
                <w:noProof/>
                <w:sz w:val="20"/>
                <w:szCs w:val="20"/>
              </w:rPr>
            </w:pPr>
            <w:r>
              <w:rPr>
                <w:rFonts w:ascii="Times New Roman" w:hAnsi="Times New Roman"/>
                <w:noProof/>
                <w:sz w:val="20"/>
              </w:rPr>
              <w:t>12.12.2016 г.</w:t>
            </w:r>
          </w:p>
        </w:tc>
        <w:tc>
          <w:tcPr>
            <w:tcW w:w="0" w:type="auto"/>
          </w:tcPr>
          <w:p>
            <w:pPr>
              <w:rPr>
                <w:rFonts w:ascii="Times New Roman" w:hAnsi="Times New Roman"/>
                <w:bCs/>
                <w:noProof/>
                <w:sz w:val="20"/>
                <w:szCs w:val="20"/>
              </w:rPr>
            </w:pPr>
            <w:r>
              <w:rPr>
                <w:rFonts w:ascii="Times New Roman" w:hAnsi="Times New Roman"/>
                <w:noProof/>
                <w:sz w:val="20"/>
              </w:rPr>
              <w:t>Фактът, че мораториумът за полети извън ЕИП не се прилага за полети от и до швейцарските летища, не нарушава принципа на равното третиране, който не се прилага по отношение на трети държави.</w:t>
            </w:r>
          </w:p>
        </w:tc>
      </w:tr>
      <w:tr>
        <w:trPr>
          <w:trHeight w:val="550"/>
        </w:trPr>
        <w:tc>
          <w:tcPr>
            <w:tcW w:w="0" w:type="auto"/>
          </w:tcPr>
          <w:p>
            <w:pPr>
              <w:rPr>
                <w:rFonts w:ascii="Times New Roman" w:hAnsi="Times New Roman"/>
                <w:bCs/>
                <w:noProof/>
                <w:sz w:val="20"/>
                <w:szCs w:val="20"/>
              </w:rPr>
            </w:pPr>
            <w:r>
              <w:rPr>
                <w:rFonts w:ascii="Times New Roman" w:hAnsi="Times New Roman"/>
                <w:noProof/>
                <w:sz w:val="20"/>
              </w:rPr>
              <w:t>Дело C-180/15;</w:t>
            </w:r>
          </w:p>
          <w:p>
            <w:pPr>
              <w:rPr>
                <w:rFonts w:ascii="Times New Roman" w:hAnsi="Times New Roman"/>
                <w:bCs/>
                <w:noProof/>
                <w:sz w:val="20"/>
                <w:szCs w:val="20"/>
              </w:rPr>
            </w:pPr>
            <w:r>
              <w:rPr>
                <w:rFonts w:ascii="Times New Roman" w:hAnsi="Times New Roman"/>
                <w:noProof/>
                <w:sz w:val="20"/>
              </w:rPr>
              <w:t>Дело C-506/14</w:t>
            </w:r>
          </w:p>
        </w:tc>
        <w:tc>
          <w:tcPr>
            <w:tcW w:w="0" w:type="auto"/>
          </w:tcPr>
          <w:p>
            <w:pPr>
              <w:rPr>
                <w:rFonts w:ascii="Times New Roman" w:hAnsi="Times New Roman"/>
                <w:noProof/>
                <w:sz w:val="20"/>
                <w:szCs w:val="20"/>
              </w:rPr>
            </w:pPr>
            <w:r>
              <w:rPr>
                <w:rFonts w:ascii="Times New Roman" w:hAnsi="Times New Roman"/>
                <w:noProof/>
                <w:sz w:val="20"/>
              </w:rPr>
              <w:t>Решение 2011/278/ЕС,</w:t>
            </w:r>
          </w:p>
          <w:p>
            <w:pPr>
              <w:rPr>
                <w:rFonts w:ascii="Times New Roman" w:hAnsi="Times New Roman"/>
                <w:noProof/>
                <w:sz w:val="20"/>
                <w:szCs w:val="20"/>
              </w:rPr>
            </w:pPr>
            <w:r>
              <w:rPr>
                <w:rFonts w:ascii="Times New Roman" w:hAnsi="Times New Roman"/>
                <w:noProof/>
                <w:sz w:val="20"/>
              </w:rPr>
              <w:t>Решение 2013/448/ЕС</w:t>
            </w:r>
          </w:p>
        </w:tc>
        <w:tc>
          <w:tcPr>
            <w:tcW w:w="0" w:type="auto"/>
          </w:tcPr>
          <w:p>
            <w:pPr>
              <w:rPr>
                <w:rFonts w:ascii="Times New Roman" w:hAnsi="Times New Roman"/>
                <w:noProof/>
                <w:sz w:val="20"/>
                <w:szCs w:val="20"/>
              </w:rPr>
            </w:pPr>
            <w:r>
              <w:rPr>
                <w:rFonts w:ascii="Times New Roman" w:hAnsi="Times New Roman"/>
                <w:noProof/>
                <w:sz w:val="20"/>
              </w:rPr>
              <w:t>Borealis AB и други/ SE Environmental Protection Agency;</w:t>
            </w:r>
          </w:p>
          <w:p>
            <w:pPr>
              <w:rPr>
                <w:rFonts w:ascii="Times New Roman" w:hAnsi="Times New Roman"/>
                <w:noProof/>
                <w:sz w:val="20"/>
                <w:szCs w:val="20"/>
              </w:rPr>
            </w:pPr>
            <w:r>
              <w:rPr>
                <w:rFonts w:ascii="Times New Roman" w:hAnsi="Times New Roman"/>
                <w:noProof/>
                <w:sz w:val="20"/>
              </w:rPr>
              <w:t>Yara Suomi Oy и други/ FI</w:t>
            </w:r>
            <w:r>
              <w:rPr>
                <w:noProof/>
              </w:rPr>
              <w:t xml:space="preserve"> </w:t>
            </w:r>
            <w:r>
              <w:rPr>
                <w:rFonts w:ascii="Times New Roman" w:hAnsi="Times New Roman"/>
                <w:noProof/>
                <w:sz w:val="20"/>
              </w:rPr>
              <w:t>Ministry of Employment and the Economy</w:t>
            </w:r>
          </w:p>
        </w:tc>
        <w:tc>
          <w:tcPr>
            <w:tcW w:w="0" w:type="auto"/>
          </w:tcPr>
          <w:p>
            <w:pPr>
              <w:rPr>
                <w:rFonts w:ascii="Times New Roman" w:hAnsi="Times New Roman"/>
                <w:bCs/>
                <w:noProof/>
                <w:sz w:val="20"/>
                <w:szCs w:val="20"/>
              </w:rPr>
            </w:pPr>
            <w:r>
              <w:rPr>
                <w:rFonts w:ascii="Times New Roman" w:hAnsi="Times New Roman"/>
                <w:noProof/>
                <w:sz w:val="20"/>
              </w:rPr>
              <w:t>Валидност на метода на изчисляване на единния междуотраслов корекционен коефициент (СSCF) и на метода за определяне на продуктовия показател за течни черни метали</w:t>
            </w:r>
          </w:p>
        </w:tc>
        <w:tc>
          <w:tcPr>
            <w:tcW w:w="0" w:type="auto"/>
          </w:tcPr>
          <w:p>
            <w:pPr>
              <w:rPr>
                <w:rFonts w:ascii="Times New Roman" w:hAnsi="Times New Roman"/>
                <w:bCs/>
                <w:noProof/>
                <w:sz w:val="20"/>
                <w:szCs w:val="20"/>
              </w:rPr>
            </w:pPr>
            <w:r>
              <w:rPr>
                <w:rFonts w:ascii="Times New Roman" w:hAnsi="Times New Roman"/>
                <w:noProof/>
                <w:sz w:val="20"/>
              </w:rPr>
              <w:t>8.9.2016 г.;</w:t>
            </w:r>
          </w:p>
          <w:p>
            <w:pPr>
              <w:rPr>
                <w:rFonts w:ascii="Times New Roman" w:hAnsi="Times New Roman"/>
                <w:bCs/>
                <w:noProof/>
                <w:sz w:val="20"/>
                <w:szCs w:val="20"/>
              </w:rPr>
            </w:pPr>
            <w:r>
              <w:rPr>
                <w:rFonts w:ascii="Times New Roman" w:hAnsi="Times New Roman"/>
                <w:noProof/>
                <w:sz w:val="20"/>
              </w:rPr>
              <w:t>26.10.2016 г.</w:t>
            </w:r>
          </w:p>
        </w:tc>
        <w:tc>
          <w:tcPr>
            <w:tcW w:w="0" w:type="auto"/>
          </w:tcPr>
          <w:p>
            <w:pPr>
              <w:rPr>
                <w:rFonts w:ascii="Times New Roman" w:hAnsi="Times New Roman"/>
                <w:bCs/>
                <w:noProof/>
                <w:sz w:val="20"/>
                <w:szCs w:val="20"/>
              </w:rPr>
            </w:pPr>
            <w:r>
              <w:rPr>
                <w:rFonts w:ascii="Times New Roman" w:hAnsi="Times New Roman"/>
                <w:noProof/>
                <w:sz w:val="20"/>
              </w:rPr>
              <w:t xml:space="preserve">Обезсилване на CSCF, считано от март 2017 г. (вж. дела С-191/14 и други). </w:t>
            </w:r>
          </w:p>
          <w:p>
            <w:pPr>
              <w:rPr>
                <w:rFonts w:ascii="Times New Roman" w:hAnsi="Times New Roman"/>
                <w:bCs/>
                <w:noProof/>
                <w:sz w:val="20"/>
                <w:szCs w:val="20"/>
              </w:rPr>
            </w:pPr>
            <w:r>
              <w:rPr>
                <w:rFonts w:ascii="Times New Roman" w:hAnsi="Times New Roman"/>
                <w:noProof/>
                <w:sz w:val="20"/>
              </w:rPr>
              <w:t>Методологията за изчисляване на продуктов показател на течни черни метали е определена като валидна.  Съдът подчерта принципа за недопускане на двойно отчитане на емисиите.</w:t>
            </w:r>
          </w:p>
        </w:tc>
      </w:tr>
      <w:tr>
        <w:trPr>
          <w:trHeight w:val="550"/>
        </w:trPr>
        <w:tc>
          <w:tcPr>
            <w:tcW w:w="0" w:type="auto"/>
            <w:shd w:val="clear" w:color="auto" w:fill="auto"/>
          </w:tcPr>
          <w:p>
            <w:pPr>
              <w:rPr>
                <w:rFonts w:ascii="Times New Roman" w:hAnsi="Times New Roman"/>
                <w:bCs/>
                <w:noProof/>
                <w:sz w:val="20"/>
                <w:szCs w:val="20"/>
              </w:rPr>
            </w:pPr>
            <w:r>
              <w:rPr>
                <w:rFonts w:ascii="Times New Roman" w:hAnsi="Times New Roman"/>
                <w:noProof/>
                <w:sz w:val="20"/>
              </w:rPr>
              <w:t>Дело C-203/12</w:t>
            </w:r>
          </w:p>
        </w:tc>
        <w:tc>
          <w:tcPr>
            <w:tcW w:w="0" w:type="auto"/>
            <w:shd w:val="clear" w:color="auto" w:fill="auto"/>
          </w:tcPr>
          <w:p>
            <w:pPr>
              <w:rPr>
                <w:rFonts w:ascii="Times New Roman" w:hAnsi="Times New Roman"/>
                <w:noProof/>
                <w:sz w:val="20"/>
                <w:szCs w:val="20"/>
              </w:rPr>
            </w:pPr>
            <w:r>
              <w:rPr>
                <w:rFonts w:ascii="Times New Roman" w:hAnsi="Times New Roman"/>
                <w:noProof/>
                <w:sz w:val="20"/>
              </w:rPr>
              <w:t>Директива 2003/87/EО</w:t>
            </w:r>
          </w:p>
        </w:tc>
        <w:tc>
          <w:tcPr>
            <w:tcW w:w="0" w:type="auto"/>
            <w:shd w:val="clear" w:color="auto" w:fill="auto"/>
          </w:tcPr>
          <w:p>
            <w:pPr>
              <w:rPr>
                <w:rFonts w:ascii="Times New Roman" w:hAnsi="Times New Roman"/>
                <w:noProof/>
                <w:sz w:val="20"/>
                <w:szCs w:val="20"/>
              </w:rPr>
            </w:pPr>
            <w:r>
              <w:rPr>
                <w:rFonts w:ascii="Times New Roman" w:hAnsi="Times New Roman"/>
                <w:noProof/>
                <w:sz w:val="20"/>
              </w:rPr>
              <w:t>Billerud Karlsborg Aktiebolag/ SE Environmental Protection Agency</w:t>
            </w:r>
          </w:p>
        </w:tc>
        <w:tc>
          <w:tcPr>
            <w:tcW w:w="0" w:type="auto"/>
            <w:shd w:val="clear" w:color="auto" w:fill="auto"/>
          </w:tcPr>
          <w:p>
            <w:pPr>
              <w:rPr>
                <w:rFonts w:ascii="Times New Roman" w:hAnsi="Times New Roman"/>
                <w:bCs/>
                <w:noProof/>
                <w:sz w:val="20"/>
                <w:szCs w:val="20"/>
              </w:rPr>
            </w:pPr>
            <w:r>
              <w:rPr>
                <w:rFonts w:ascii="Times New Roman" w:hAnsi="Times New Roman"/>
                <w:noProof/>
                <w:sz w:val="20"/>
              </w:rPr>
              <w:t>Длъжен ли е оператор, който не е върнал достатъчно квоти за емисии до 30 април, да плати глоба независимо от причината за пропуска, дори ако операторът е имал достатъчен брой квоти на 30 април?</w:t>
            </w:r>
          </w:p>
        </w:tc>
        <w:tc>
          <w:tcPr>
            <w:tcW w:w="0" w:type="auto"/>
            <w:shd w:val="clear" w:color="auto" w:fill="auto"/>
          </w:tcPr>
          <w:p>
            <w:pPr>
              <w:rPr>
                <w:rFonts w:ascii="Times New Roman" w:hAnsi="Times New Roman"/>
                <w:bCs/>
                <w:noProof/>
                <w:sz w:val="20"/>
                <w:szCs w:val="20"/>
              </w:rPr>
            </w:pPr>
            <w:r>
              <w:rPr>
                <w:rFonts w:ascii="Times New Roman" w:hAnsi="Times New Roman"/>
                <w:noProof/>
                <w:sz w:val="20"/>
              </w:rPr>
              <w:t>17.10 2016 г.</w:t>
            </w:r>
          </w:p>
        </w:tc>
        <w:tc>
          <w:tcPr>
            <w:tcW w:w="0" w:type="auto"/>
            <w:shd w:val="clear" w:color="auto" w:fill="auto"/>
          </w:tcPr>
          <w:p>
            <w:pPr>
              <w:rPr>
                <w:rFonts w:ascii="Times New Roman" w:hAnsi="Times New Roman"/>
                <w:bCs/>
                <w:noProof/>
                <w:sz w:val="20"/>
                <w:szCs w:val="20"/>
              </w:rPr>
            </w:pPr>
          </w:p>
          <w:p>
            <w:pPr>
              <w:rPr>
                <w:rFonts w:ascii="Times New Roman" w:hAnsi="Times New Roman"/>
                <w:bCs/>
                <w:noProof/>
                <w:sz w:val="20"/>
                <w:szCs w:val="20"/>
              </w:rPr>
            </w:pPr>
            <w:r>
              <w:rPr>
                <w:rFonts w:ascii="Times New Roman" w:hAnsi="Times New Roman"/>
                <w:noProof/>
                <w:sz w:val="20"/>
              </w:rPr>
              <w:t>Санкциите съгласно Директивата за СТЕ се прилагат, дори ако операторът, който не е върнал своите квоти своевременно, е имал на разположение достатъчно квоти, за да покрие своите емисии за предшестващата година на 30 април.</w:t>
            </w:r>
          </w:p>
        </w:tc>
      </w:tr>
    </w:tbl>
    <w:p>
      <w:pPr>
        <w:rPr>
          <w:noProof/>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E97C30" w15:done="0"/>
  <w15:commentEx w15:paraId="5F4E4608" w15:done="0"/>
  <w15:commentEx w15:paraId="58E17FD7" w15:done="0"/>
  <w15:commentEx w15:paraId="5DF23A43" w15:done="0"/>
  <w15:commentEx w15:paraId="30B21068" w15:done="0"/>
  <w15:commentEx w15:paraId="3A2C271F" w15:done="0"/>
  <w15:commentEx w15:paraId="4AE592B9" w15:done="0"/>
  <w15:commentEx w15:paraId="643AA177" w15:done="0"/>
  <w15:commentEx w15:paraId="38513F67" w15:done="0"/>
  <w15:commentEx w15:paraId="1FFA1ED9" w15:done="0"/>
  <w15:commentEx w15:paraId="597E28CC" w15:done="0"/>
  <w15:commentEx w15:paraId="57EFF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През 2015 г. емисиите на парникови газове бяха вече с 22 % по-ниски, отколкото през 1990 г.</w:t>
      </w:r>
    </w:p>
  </w:footnote>
  <w:footnote w:id="2">
    <w:p>
      <w:pPr>
        <w:pStyle w:val="FootnoteText"/>
      </w:pPr>
      <w:r>
        <w:rPr>
          <w:rStyle w:val="FootnoteReference"/>
        </w:rPr>
        <w:footnoteRef/>
      </w:r>
      <w:r>
        <w:t xml:space="preserve"> Според националните прогнози емисиите ще продължат да намаляват до 2020 г., но ще трябва да се приложат допълнителни политики, за да се постигне целта за 2030 г.</w:t>
      </w:r>
    </w:p>
  </w:footnote>
  <w:footnote w:id="3">
    <w:p>
      <w:pPr>
        <w:pStyle w:val="FootnoteText"/>
        <w:rPr>
          <w:lang w:val="pt-PT"/>
        </w:rPr>
      </w:pPr>
      <w:r>
        <w:rPr>
          <w:rStyle w:val="FootnoteReference"/>
        </w:rPr>
        <w:footnoteRef/>
      </w:r>
      <w:r>
        <w:t xml:space="preserve"> COM (2015) 337, </w:t>
      </w:r>
      <w:hyperlink r:id="rId1">
        <w:r>
          <w:rPr>
            <w:rStyle w:val="Hyperlink"/>
            <w:sz w:val="18"/>
          </w:rPr>
          <w:t>http://eur-lex.europa.eu/legal-content/BG/TXT/?uri=CELEX:52015PC0337</w:t>
        </w:r>
      </w:hyperlink>
    </w:p>
  </w:footnote>
  <w:footnote w:id="4">
    <w:p>
      <w:pPr>
        <w:pStyle w:val="FootnoteText"/>
      </w:pPr>
      <w:r>
        <w:rPr>
          <w:rStyle w:val="FootnoteReference"/>
        </w:rPr>
        <w:footnoteRef/>
      </w:r>
      <w:r>
        <w:t xml:space="preserve"> Тристранните разговори са неофициални тристранни заседания с участието на представители на Европейския парламент, Съвета на ЕС и Комисията.</w:t>
      </w:r>
    </w:p>
  </w:footnote>
  <w:footnote w:id="5">
    <w:p>
      <w:pPr>
        <w:pStyle w:val="FootnoteText"/>
      </w:pPr>
      <w:r>
        <w:rPr>
          <w:rStyle w:val="FootnoteReference"/>
        </w:rPr>
        <w:footnoteRef/>
      </w:r>
      <w:r>
        <w:t xml:space="preserve">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footnote>
  <w:footnote w:id="6">
    <w:p>
      <w:pPr>
        <w:pStyle w:val="FootnoteText"/>
      </w:pPr>
      <w:r>
        <w:rPr>
          <w:rStyle w:val="FootnoteReference"/>
        </w:rPr>
        <w:footnoteRef/>
      </w:r>
      <w:r>
        <w:t xml:space="preserve"> Докладите, публикувани през предходните години, могат да бъдат намерени на следния адрес: https://ec.europa.eu/clima/policies/ets_bg</w:t>
      </w:r>
    </w:p>
  </w:footnote>
  <w:footnote w:id="7">
    <w:p>
      <w:pPr>
        <w:pStyle w:val="FootnoteText"/>
      </w:pPr>
      <w:r>
        <w:rPr>
          <w:rStyle w:val="FootnoteReference"/>
        </w:rPr>
        <w:footnoteRef/>
      </w:r>
      <w:r>
        <w:t xml:space="preserve"> При позоваването на докладите по член 21 понятието „участващи държави“ или просто „държави“ включва 28-те държави – членки на ЕС, плюс държавите от ЕИП (Исландия, Норвегия и Лихтенщайн).</w:t>
      </w:r>
    </w:p>
  </w:footnote>
  <w:footnote w:id="8">
    <w:p>
      <w:pPr>
        <w:pStyle w:val="FootnoteText"/>
      </w:pPr>
      <w:r>
        <w:rPr>
          <w:rStyle w:val="FootnoteReference"/>
        </w:rPr>
        <w:footnoteRef/>
      </w:r>
      <w:r>
        <w:t xml:space="preserve"> Емисиите от биомаса са с нулеви ставки в СТЕ на ЕС, т.е. емисиите трябва да се докладват, но за тях не се отпускат квоти.</w:t>
      </w:r>
    </w:p>
  </w:footnote>
  <w:footnote w:id="9">
    <w:p>
      <w:pPr>
        <w:pStyle w:val="FootnoteText"/>
      </w:pPr>
      <w:r>
        <w:rPr>
          <w:rStyle w:val="FootnoteReference"/>
        </w:rPr>
        <w:footnoteRef/>
      </w:r>
      <w:r>
        <w:t xml:space="preserve"> Отчетените в докладите по член 21 емисии, засягащи използването на биогорива, се равняват на под 0,04 % от общите емисии на съответния оператор на въздухоплавателни средства. </w:t>
      </w:r>
    </w:p>
  </w:footnote>
  <w:footnote w:id="10">
    <w:p>
      <w:pPr>
        <w:pStyle w:val="FootnoteText"/>
      </w:pPr>
      <w:r>
        <w:rPr>
          <w:rStyle w:val="FootnoteReference"/>
        </w:rPr>
        <w:footnoteRef/>
      </w:r>
      <w:r>
        <w:t xml:space="preserve"> Вж. 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 в съответствие с който инсталациите от категория В отделят повече от 500 000 тона CO</w:t>
      </w:r>
      <w:r>
        <w:rPr>
          <w:vertAlign w:val="subscript"/>
        </w:rPr>
        <w:t>2</w:t>
      </w:r>
      <w:r>
        <w:t xml:space="preserve"> еквивалент годишно, инсталациите от категория Б отделят между 500 000 и 50 000 тона CO</w:t>
      </w:r>
      <w:r>
        <w:rPr>
          <w:vertAlign w:val="subscript"/>
        </w:rPr>
        <w:t>2</w:t>
      </w:r>
      <w:r>
        <w:t xml:space="preserve"> еквивалент годишно, а инсталациите от категория А отделят по-малко от 50 000 тона CO</w:t>
      </w:r>
      <w:r>
        <w:rPr>
          <w:vertAlign w:val="subscript"/>
        </w:rPr>
        <w:t>2</w:t>
      </w:r>
      <w:r>
        <w:t xml:space="preserve"> еквивалент годишно. Освен това „инсталациите с малки емисии“ са подкатегория на категория А и отделят по-малко от 25 000 тона CO</w:t>
      </w:r>
      <w:r>
        <w:rPr>
          <w:vertAlign w:val="subscript"/>
        </w:rPr>
        <w:t>2</w:t>
      </w:r>
      <w:r>
        <w:t xml:space="preserve"> еквивалент годишно.</w:t>
      </w:r>
    </w:p>
  </w:footnote>
  <w:footnote w:id="11">
    <w:p>
      <w:pPr>
        <w:pStyle w:val="FootnoteText"/>
      </w:pPr>
      <w:r>
        <w:rPr>
          <w:rStyle w:val="FootnoteReference"/>
        </w:rPr>
        <w:footnoteRef/>
      </w:r>
      <w:r>
        <w:t xml:space="preserve"> Пример за търговски оператор на въздухоплавателно средство е пътническа авиокомпания, предоставяща услуги на широката общественост. Пример за нетърговски оператор на въздухоплавателно средство е въздухоплавателно средство, което е частна собственост.</w:t>
      </w:r>
    </w:p>
  </w:footnote>
  <w:footnote w:id="12">
    <w:p>
      <w:pPr>
        <w:pStyle w:val="FootnoteText"/>
      </w:pPr>
      <w:r>
        <w:rPr>
          <w:rStyle w:val="FootnoteReference"/>
        </w:rPr>
        <w:footnoteRef/>
      </w:r>
      <w:r>
        <w:t xml:space="preserve"> Броят на квотите за авиационни емисии, пуснати в обращение след 2013 г., е резултат от прилагане на подход отдолу нагоре, като се започне от безплатно разпределение (определено въз основа на критерии за дейността на операторите в рамките на ЕИП). Броят на квотите, предназначени за тръжна продажба, се определя след това въз основа на факта, че безплатното разпределение (включително специален резерв за по-късно разпределение на бързо развиващи се оператори на въздухоплавателни средства и нови участници) следва да бъде 85 %, а тръжната продажба — 15 % от общия брой.</w:t>
      </w:r>
    </w:p>
  </w:footnote>
  <w:footnote w:id="13">
    <w:p>
      <w:pPr>
        <w:pStyle w:val="FootnoteText"/>
      </w:pPr>
      <w:r>
        <w:rPr>
          <w:rStyle w:val="FootnoteReference"/>
        </w:rPr>
        <w:footnoteRef/>
      </w:r>
      <w:r>
        <w:t xml:space="preserve"> Броят на квотите за авиационни емисии, пуснати в обращение за 2017, 2018, 2019 и 2020 г., ще зависи от резултата от законодателното предложение на Комисията (вж. раздел 4). </w:t>
      </w:r>
    </w:p>
  </w:footnote>
  <w:footnote w:id="14">
    <w:p>
      <w:pPr>
        <w:pStyle w:val="FootnoteText"/>
      </w:pPr>
      <w:r>
        <w:rPr>
          <w:rStyle w:val="FootnoteReference"/>
        </w:rPr>
        <w:footnoteRef/>
      </w:r>
      <w:r>
        <w:t xml:space="preserve"> Включените бройки за тръжна продажба са от август 2017 г. (вж. раздел 4).</w:t>
      </w:r>
    </w:p>
  </w:footnote>
  <w:footnote w:id="15">
    <w:p>
      <w:pPr>
        <w:pStyle w:val="FootnoteText"/>
      </w:pPr>
      <w:r>
        <w:rPr>
          <w:rStyle w:val="FootnoteReference"/>
        </w:rPr>
        <w:footnoteRef/>
      </w:r>
      <w:r>
        <w:t xml:space="preserve"> SWD(2015) 135 final, https://ec.europa.eu/clima/sites/clima/files/ets/revision/docs/impact_assessment_en.pdf</w:t>
      </w:r>
    </w:p>
  </w:footnote>
  <w:footnote w:id="16">
    <w:p>
      <w:pPr>
        <w:pStyle w:val="FootnoteText"/>
      </w:pPr>
      <w:r>
        <w:rPr>
          <w:rStyle w:val="FootnoteReference"/>
        </w:rPr>
        <w:footnoteRef/>
      </w:r>
      <w:r>
        <w:t xml:space="preserve"> NER300 е програма за финансиране на иновационни нисковъглеродни демонстрационни проекти в областта на енергетиката, финансирани от осребряването на 300 милиона </w:t>
      </w:r>
      <w:r>
        <w:softHyphen/>
      </w:r>
      <w:r>
        <w:softHyphen/>
        <w:t>квоти за емисии от NER (вж. раздел 3.1.2.2.).</w:t>
      </w:r>
    </w:p>
  </w:footnote>
  <w:footnote w:id="17">
    <w:p>
      <w:pPr>
        <w:pStyle w:val="FootnoteText"/>
      </w:pPr>
      <w:r>
        <w:rPr>
          <w:rStyle w:val="FootnoteReference"/>
        </w:rPr>
        <w:footnoteRef/>
      </w:r>
      <w:r>
        <w:t xml:space="preserve"> Представените числени данни са от юли 2017 г.: https://ec.europa.eu/clima/sites/clima/files/ets/allowances/docs/170711_status_table_ner.pdf</w:t>
      </w:r>
    </w:p>
  </w:footnote>
  <w:footnote w:id="18">
    <w:p>
      <w:pPr>
        <w:pStyle w:val="FootnoteText"/>
      </w:pPr>
      <w:r>
        <w:rPr>
          <w:rStyle w:val="FootnoteReference"/>
        </w:rPr>
        <w:footnoteRef/>
      </w:r>
      <w:r>
        <w:t xml:space="preserve"> Числата включват данните от нотификациите, получени до юли 2017 г., и в тях може да настъпят значителни промени във връзка със следващи нотификации от държавите членки.</w:t>
      </w:r>
    </w:p>
  </w:footnote>
  <w:footnote w:id="19">
    <w:p>
      <w:pPr>
        <w:pStyle w:val="FootnoteText"/>
      </w:pPr>
      <w:r>
        <w:rPr>
          <w:rStyle w:val="FootnoteReference"/>
        </w:rPr>
        <w:footnoteRef/>
      </w:r>
      <w:r>
        <w:t xml:space="preserve"> Първоначални количества преди намаленията, посочени по-долу в таблицата. </w:t>
      </w:r>
    </w:p>
  </w:footnote>
  <w:footnote w:id="20">
    <w:p>
      <w:pPr>
        <w:pStyle w:val="FootnoteText"/>
      </w:pPr>
      <w:r>
        <w:rPr>
          <w:rStyle w:val="FootnoteReference"/>
        </w:rPr>
        <w:footnoteRef/>
      </w:r>
      <w:r>
        <w:t xml:space="preserve"> Решение на Съда на ЕС от 28 април 2016 г. по съединени дела C-191/14, C-192/14, C-295/14, C-389/14 и C-391/14 до C-393/14 Borealis Oriented Polyolefine GmbH и други/Bundesminister für Land- und Forstwirtschaft, Umwelt und Wasserwirtschaft и други, EU:C:2016:311.</w:t>
      </w:r>
    </w:p>
  </w:footnote>
  <w:footnote w:id="21">
    <w:p>
      <w:pPr>
        <w:pStyle w:val="FootnoteText"/>
      </w:pPr>
      <w:r>
        <w:rPr>
          <w:rStyle w:val="FootnoteReference"/>
        </w:rPr>
        <w:footnoteRef/>
      </w:r>
      <w:r>
        <w:t xml:space="preserve"> Решение 2017/126/EС на Комисията, OВ L 19, 25.1.2017 г., стр. 93.</w:t>
      </w:r>
    </w:p>
  </w:footnote>
  <w:footnote w:id="22">
    <w:p>
      <w:pPr>
        <w:pStyle w:val="FootnoteText"/>
      </w:pPr>
      <w:r>
        <w:rPr>
          <w:rStyle w:val="FootnoteReference"/>
        </w:rPr>
        <w:footnoteRef/>
      </w:r>
      <w:r>
        <w:t xml:space="preserve"> https://ec.europa.eu/clima/sites/clima/files/lowcarbon/ner300/docs/2017_draft_amendment_post_ccc_en.pdf</w:t>
      </w:r>
    </w:p>
  </w:footnote>
  <w:footnote w:id="23">
    <w:p>
      <w:pPr>
        <w:pStyle w:val="FootnoteText"/>
      </w:pPr>
      <w:r>
        <w:rPr>
          <w:rStyle w:val="FootnoteReference"/>
        </w:rPr>
        <w:footnoteRef/>
      </w:r>
      <w:r>
        <w:t xml:space="preserve"> Решение 2010/670/ЕС на Комисията , ОВ L 290, 6.11.2010 г., стр. 39</w:t>
      </w:r>
    </w:p>
  </w:footnote>
  <w:footnote w:id="24">
    <w:p>
      <w:pPr>
        <w:pStyle w:val="FootnoteText"/>
      </w:pPr>
      <w:r>
        <w:rPr>
          <w:rStyle w:val="FootnoteReference"/>
        </w:rPr>
        <w:footnoteRef/>
      </w:r>
      <w:r>
        <w:t xml:space="preserve"> В съответствие с Решение 2010/670/ЕС на Комисията за NER300 за избраните проекти по първата покана, окончателни инвестиционни решения трябва да бъдат взети до края на 2016 г., докато за проектите, избрани по втората покана, решенията се очакват до края на юни 2018 г.</w:t>
      </w:r>
    </w:p>
  </w:footnote>
  <w:footnote w:id="25">
    <w:p>
      <w:pPr>
        <w:pStyle w:val="FootnoteText"/>
      </w:pPr>
      <w:r>
        <w:rPr>
          <w:rStyle w:val="FootnoteReference"/>
        </w:rPr>
        <w:footnoteRef/>
      </w:r>
      <w:r>
        <w:t xml:space="preserve"> Интерактивна карта за изпълнението на проектите може да се намери тук: https://setis.ec.europa.eu/NER300</w:t>
      </w:r>
    </w:p>
  </w:footnote>
  <w:footnote w:id="26">
    <w:p>
      <w:pPr>
        <w:jc w:val="both"/>
        <w:rPr>
          <w:rFonts w:eastAsia="Times New Roman"/>
          <w:color w:val="0000FF"/>
          <w:u w:val="single"/>
          <w:lang w:eastAsia="en-GB"/>
        </w:rPr>
      </w:pPr>
      <w:r>
        <w:rPr>
          <w:rStyle w:val="FootnoteReference"/>
          <w:rFonts w:ascii="Times New Roman" w:hAnsi="Times New Roman"/>
          <w:sz w:val="20"/>
        </w:rPr>
        <w:footnoteRef/>
      </w:r>
      <w:r>
        <w:rPr>
          <w:rFonts w:ascii="Times New Roman" w:hAnsi="Times New Roman"/>
        </w:rPr>
        <w:t xml:space="preserve"> </w:t>
      </w:r>
      <w:r>
        <w:rPr>
          <w:rFonts w:ascii="Times New Roman" w:hAnsi="Times New Roman"/>
          <w:sz w:val="20"/>
        </w:rPr>
        <w:t>Неповерителните варианти на всички решения могат да се намерят в уебсайта на ГД „Конкуренция“:</w:t>
      </w:r>
      <w:r>
        <w:rPr>
          <w:rFonts w:ascii="Times New Roman" w:hAnsi="Times New Roman"/>
          <w:color w:val="0000FF"/>
          <w:sz w:val="20"/>
          <w:u w:val="single"/>
        </w:rPr>
        <w:t xml:space="preserve"> </w:t>
      </w:r>
      <w:hyperlink r:id="rId2">
        <w:r>
          <w:rPr>
            <w:rFonts w:ascii="Times New Roman" w:hAnsi="Times New Roman"/>
            <w:color w:val="0000FF"/>
            <w:sz w:val="20"/>
            <w:u w:val="single"/>
          </w:rPr>
          <w:t>http://ec.europa.eu/competition/elojade/isef/index.cfm?clear=1&amp;policy_area_id=3</w:t>
        </w:r>
      </w:hyperlink>
    </w:p>
  </w:footnote>
  <w:footnote w:id="27">
    <w:p>
      <w:pPr>
        <w:pStyle w:val="FootnoteText"/>
      </w:pPr>
      <w:r>
        <w:rPr>
          <w:rStyle w:val="FootnoteReference"/>
        </w:rPr>
        <w:footnoteRef/>
      </w:r>
      <w:r>
        <w:t xml:space="preserve"> Прогнозният бюджет е за 2013—2015 г.</w:t>
      </w:r>
    </w:p>
  </w:footnote>
  <w:footnote w:id="28">
    <w:p>
      <w:pPr>
        <w:pStyle w:val="FootnoteText"/>
      </w:pPr>
      <w:r>
        <w:rPr>
          <w:rStyle w:val="FootnoteReference"/>
        </w:rPr>
        <w:footnoteRef/>
      </w:r>
      <w:r>
        <w:t xml:space="preserve"> Прогнозният бюджет е за 2013—2015 г.</w:t>
      </w:r>
    </w:p>
  </w:footnote>
  <w:footnote w:id="29">
    <w:p>
      <w:pPr>
        <w:pStyle w:val="FootnoteText"/>
      </w:pPr>
      <w:r>
        <w:rPr>
          <w:rStyle w:val="FootnoteReference"/>
        </w:rPr>
        <w:footnoteRef/>
      </w:r>
      <w:r>
        <w:t xml:space="preserve"> Максимален прогнозен общ бюджет в зависимост от прогнозите за цените на квотите за въглеродните емисии</w:t>
      </w:r>
    </w:p>
  </w:footnote>
  <w:footnote w:id="30">
    <w:p>
      <w:pPr>
        <w:pStyle w:val="FootnoteText"/>
      </w:pPr>
      <w:r>
        <w:rPr>
          <w:rStyle w:val="FootnoteReference"/>
        </w:rPr>
        <w:footnoteRef/>
      </w:r>
      <w:r>
        <w:t xml:space="preserve"> Прогнозният бюджет е за 2014—2015 г.</w:t>
      </w:r>
    </w:p>
  </w:footnote>
  <w:footnote w:id="31">
    <w:p>
      <w:pPr>
        <w:pStyle w:val="FootnoteText"/>
      </w:pPr>
      <w:r>
        <w:rPr>
          <w:rStyle w:val="FootnoteReference"/>
        </w:rPr>
        <w:footnoteRef/>
      </w:r>
      <w:r>
        <w:t xml:space="preserve"> Прогнозният бюджет е за 2015—2018 г.</w:t>
      </w:r>
    </w:p>
  </w:footnote>
  <w:footnote w:id="32">
    <w:p>
      <w:pPr>
        <w:pStyle w:val="FootnoteText"/>
      </w:pPr>
      <w:r>
        <w:rPr>
          <w:rStyle w:val="FootnoteReference"/>
        </w:rPr>
        <w:footnoteRef/>
      </w:r>
      <w:r>
        <w:rPr>
          <w:rStyle w:val="FootnoteReference"/>
        </w:rPr>
        <w:t xml:space="preserve"> </w:t>
      </w:r>
      <w:r>
        <w:t>През 2012 г. бяха проведени ранни търгове на квоти по фаза 3 с оглед на широко разпространената търговска практика в електроенергийния сектор за форуърдна продажба на електроенергия и съответно купуване на необходимите входящи стоки (включително квоти) при продажбата на продукта.</w:t>
      </w:r>
    </w:p>
  </w:footnote>
  <w:footnote w:id="33">
    <w:p>
      <w:pPr>
        <w:pStyle w:val="FootnoteText"/>
      </w:pPr>
      <w:r>
        <w:rPr>
          <w:rStyle w:val="FootnoteReference"/>
        </w:rPr>
        <w:footnoteRef/>
      </w:r>
      <w:r>
        <w:t xml:space="preserve"> Освен това през периода от 1 април до 30 юни 2017 г. бяха продадени на търг 244 388 000 общи квоти. Съгласно публикуваните тръжни календари за 2017 г. други 452 064 000 общи квоти са предвидени за тръжна продажба между юли и декември 2017 г.</w:t>
      </w:r>
    </w:p>
  </w:footnote>
  <w:footnote w:id="34">
    <w:p>
      <w:pPr>
        <w:pStyle w:val="FootnoteText"/>
      </w:pPr>
      <w:r>
        <w:rPr>
          <w:rStyle w:val="FootnoteReference"/>
        </w:rPr>
        <w:footnoteRef/>
      </w:r>
      <w:r>
        <w:t xml:space="preserve"> Тези доклади могат да се намерят в специализирания уебсайт на Комисията: </w:t>
      </w:r>
      <w:hyperlink r:id="rId3">
        <w:r>
          <w:rPr>
            <w:rStyle w:val="Hyperlink"/>
          </w:rPr>
          <w:t>https://ec.europa.eu/clima/policies/ets/auctioning_bg</w:t>
        </w:r>
      </w:hyperlink>
    </w:p>
  </w:footnote>
  <w:footnote w:id="35">
    <w:p>
      <w:pPr>
        <w:pStyle w:val="FootnoteText"/>
      </w:pPr>
      <w:r>
        <w:rPr>
          <w:rStyle w:val="FootnoteReference"/>
        </w:rPr>
        <w:footnoteRef/>
      </w:r>
      <w:r>
        <w:t xml:space="preserve"> Вж. член 10, параграф 3 от Директивата за СТЕ на ЕС.</w:t>
      </w:r>
    </w:p>
  </w:footnote>
  <w:footnote w:id="36">
    <w:p>
      <w:pPr>
        <w:pStyle w:val="FootnoteText"/>
      </w:pPr>
      <w:r>
        <w:rPr>
          <w:rStyle w:val="FootnoteReference"/>
        </w:rPr>
        <w:footnoteRef/>
      </w:r>
      <w:r>
        <w:t xml:space="preserve"> Анализ на използването от държавите членки на приходите от тръжните продажби може да се намери тук: https://ec.europa.eu/clima/sites/clima/files/ets/auctioning/docs/auction_revenues_report_2017_en.pdf</w:t>
      </w:r>
    </w:p>
  </w:footnote>
  <w:footnote w:id="37">
    <w:p>
      <w:pPr>
        <w:pStyle w:val="FootnoteText"/>
      </w:pPr>
      <w:r>
        <w:rPr>
          <w:rStyle w:val="FootnoteReference"/>
        </w:rPr>
        <w:footnoteRef/>
      </w:r>
      <w:r>
        <w:t xml:space="preserve"> Включва обемите от тръжния календар за 2017 г.</w:t>
      </w:r>
    </w:p>
  </w:footnote>
  <w:footnote w:id="38">
    <w:p>
      <w:pPr>
        <w:pStyle w:val="FootnoteText"/>
      </w:pPr>
      <w:r>
        <w:rPr>
          <w:rStyle w:val="FootnoteReference"/>
        </w:rPr>
        <w:footnoteRef/>
      </w:r>
      <w:r>
        <w:t xml:space="preserve"> Тук се включват и отменените квоти.</w:t>
      </w:r>
    </w:p>
  </w:footnote>
  <w:footnote w:id="39">
    <w:p>
      <w:pPr>
        <w:pStyle w:val="FootnoteText"/>
      </w:pPr>
      <w:r>
        <w:rPr>
          <w:rStyle w:val="FootnoteReference"/>
        </w:rPr>
        <w:footnoteRef/>
      </w:r>
      <w:r>
        <w:t xml:space="preserve"> В края на втория период на търгуване тези квоти бяха заменени с квоти за фаза 3. Никакви други квоти от времето преди третия период на търгуване не са включени в общия брой на квотите в обращение. Разяснение на въпроса за натрупването на квоти за емисии е дадено в следния текст: https://ec.europa.eu/clima/policies/ets/registry_en#tab-0-2 </w:t>
      </w:r>
    </w:p>
  </w:footnote>
  <w:footnote w:id="40">
    <w:p>
      <w:pPr>
        <w:pStyle w:val="FootnoteText"/>
      </w:pPr>
      <w:r>
        <w:rPr>
          <w:rStyle w:val="FootnoteReference"/>
        </w:rPr>
        <w:footnoteRef/>
      </w:r>
      <w:r>
        <w:t xml:space="preserve"> В това число не влизат квотите от ранните търгове по фаза 3, проведени през 2012 г., но в него обаче е отразено използването на международни кредити преди началото на фаза 3. Общото количество на международните кредити, използвани от 2008 г. насам, е посочено в точка 3.1.3.</w:t>
      </w:r>
    </w:p>
  </w:footnote>
  <w:footnote w:id="41">
    <w:p>
      <w:pPr>
        <w:pStyle w:val="Default"/>
      </w:pPr>
      <w:r>
        <w:rPr>
          <w:rStyle w:val="FootnoteReference"/>
          <w:sz w:val="20"/>
        </w:rPr>
        <w:footnoteRef/>
      </w:r>
      <w:r>
        <w:rPr>
          <w:sz w:val="20"/>
        </w:rPr>
        <w:t xml:space="preserve"> C(2017) 3228 final, https://ec.europa.eu/clima/sites/clima/files/ets/reform/docs/c_2017_3228_en.pdf</w:t>
      </w:r>
    </w:p>
  </w:footnote>
  <w:footnote w:id="42">
    <w:p>
      <w:pPr>
        <w:pStyle w:val="FootnoteText"/>
      </w:pPr>
      <w:r>
        <w:rPr>
          <w:rStyle w:val="FootnoteReference"/>
        </w:rPr>
        <w:footnoteRef/>
      </w:r>
      <w:r>
        <w:t xml:space="preserve"> C(2017) 3228 final, https://ec.europa.eu/clima/sites/clima/files/ets/reform/docs/c_2017_3228_en.pdf</w:t>
      </w:r>
    </w:p>
  </w:footnote>
  <w:footnote w:id="43">
    <w:p>
      <w:pPr>
        <w:pStyle w:val="FootnoteText"/>
      </w:pPr>
      <w:r>
        <w:rPr>
          <w:rStyle w:val="FootnoteReference"/>
        </w:rPr>
        <w:footnoteRef/>
      </w:r>
      <w:r>
        <w:t xml:space="preserve"> Стойностите за периода 2013—2016 г. се основават на най-новите данни за съответните години, които могат да бъдат извлечени от EUTL. Това означава, че е възможно те да включват последни данни, отнасящи се за 2013, 2014, 2015 и 2016 г.</w:t>
      </w:r>
    </w:p>
  </w:footnote>
  <w:footnote w:id="44">
    <w:p>
      <w:pPr>
        <w:pStyle w:val="FootnoteText"/>
      </w:pPr>
      <w:r>
        <w:rPr>
          <w:rStyle w:val="FootnoteReference"/>
        </w:rPr>
        <w:footnoteRef/>
      </w:r>
      <w:r>
        <w:t xml:space="preserve"> https://ec.europa.eu/transport/modes/air/news/2016-09-09-bratislava-declaration_en</w:t>
      </w:r>
    </w:p>
  </w:footnote>
  <w:footnote w:id="45">
    <w:p>
      <w:pPr>
        <w:pStyle w:val="FootnoteText"/>
      </w:pPr>
      <w:r>
        <w:rPr>
          <w:rStyle w:val="FootnoteReference"/>
        </w:rPr>
        <w:footnoteRef/>
      </w:r>
      <w:r>
        <w:t xml:space="preserve"> Резолюцията на събранието на ИКАО относно СОRSIA може да се намери тук: https://www.icao.int/Meetings/a39/Documents/Resolutions/a39_res_prov_en.pdf</w:t>
      </w:r>
    </w:p>
  </w:footnote>
  <w:footnote w:id="46">
    <w:p>
      <w:pPr>
        <w:pStyle w:val="FootnoteText"/>
        <w:rPr>
          <w:lang w:val="pt-PT"/>
        </w:rPr>
      </w:pPr>
      <w:r>
        <w:rPr>
          <w:rStyle w:val="FootnoteReference"/>
        </w:rPr>
        <w:footnoteRef/>
      </w:r>
      <w:r>
        <w:t xml:space="preserve"> COM(2017)054 final, http://eur-lex.europa.eu/legal-content/BG/TXT/HTML/?uri=CELEX:52017PC0054&amp;from=EN</w:t>
      </w:r>
    </w:p>
  </w:footnote>
  <w:footnote w:id="47">
    <w:p>
      <w:pPr>
        <w:pStyle w:val="FootnoteText"/>
      </w:pPr>
      <w:r>
        <w:rPr>
          <w:rStyle w:val="FootnoteReference"/>
        </w:rPr>
        <w:footnoteRef/>
      </w:r>
      <w:r>
        <w:t xml:space="preserve"> Данни от юни 2017 г.</w:t>
      </w:r>
    </w:p>
  </w:footnote>
  <w:footnote w:id="48">
    <w:p>
      <w:pPr>
        <w:pStyle w:val="FootnoteText"/>
      </w:pPr>
      <w:r>
        <w:rPr>
          <w:rStyle w:val="FootnoteReference"/>
        </w:rPr>
        <w:footnoteRef/>
      </w:r>
      <w:r>
        <w:t xml:space="preserve"> Данни от юни 2017 г.</w:t>
      </w:r>
    </w:p>
  </w:footnote>
  <w:footnote w:id="49">
    <w:p>
      <w:pPr>
        <w:pStyle w:val="FootnoteText"/>
      </w:pPr>
      <w:r>
        <w:rPr>
          <w:rStyle w:val="FootnoteReference"/>
        </w:rPr>
        <w:footnoteRef/>
      </w:r>
      <w:r>
        <w:t xml:space="preserve"> Информация от август 2017 г., https://ec.europa.eu/clima/news/2017-auction-calendars-aviation-allowances-published_bg</w:t>
      </w:r>
    </w:p>
  </w:footnote>
  <w:footnote w:id="50">
    <w:p>
      <w:pPr>
        <w:pStyle w:val="FootnoteText"/>
      </w:pPr>
      <w:r>
        <w:rPr>
          <w:rStyle w:val="FootnoteReference"/>
        </w:rPr>
        <w:footnoteRef/>
      </w:r>
      <w:r>
        <w:t xml:space="preserve"> Решение № 377/2013/ЕС на Европейския парламент и на Съвета от 24 април 2013 г. за временна дерогация от Директива 2003/87/ЕО за установяване на схема за търговия с квоти за емисии на парникови газове в рамките на Общността, текст от значение за ЕИП, OВ L 113, 25.4.2013 г., стр. 1.</w:t>
      </w:r>
    </w:p>
  </w:footnote>
  <w:footnote w:id="51">
    <w:p>
      <w:pPr>
        <w:pStyle w:val="FootnoteText"/>
      </w:pPr>
      <w:r>
        <w:rPr>
          <w:rStyle w:val="FootnoteReference"/>
        </w:rPr>
        <w:footnoteRef/>
      </w:r>
      <w:r>
        <w:t xml:space="preserve"> https://ec.europa.eu/info/law/markets-financial-instruments-mifid-ii-directive-2014-65-eu/amending-and-supplementary-acts/implementing-and-delegated-acts_en</w:t>
      </w:r>
    </w:p>
  </w:footnote>
  <w:footnote w:id="52">
    <w:p>
      <w:pPr>
        <w:pStyle w:val="FootnoteText"/>
      </w:pPr>
      <w:r>
        <w:rPr>
          <w:rStyle w:val="FootnoteReference"/>
        </w:rPr>
        <w:footnoteRef/>
      </w:r>
      <w:r>
        <w:t xml:space="preserve"> https://ec.europa.eu/info/law/market-abuse-regulation-eu-no-596-2014/amending-and-supplementary-acts/implementing-and-delegated-acts_en</w:t>
      </w:r>
    </w:p>
  </w:footnote>
  <w:footnote w:id="53">
    <w:p>
      <w:pPr>
        <w:pStyle w:val="FootnoteText"/>
      </w:pPr>
      <w:r>
        <w:rPr>
          <w:rStyle w:val="FootnoteReference"/>
        </w:rPr>
        <w:footnoteRef/>
      </w:r>
      <w:r>
        <w:t xml:space="preserve"> Механизмът за обратно начисляване прехвърля отговорността за плащането на трансакция с ДДС от продавача върху купувача на стоката или услугата и представлява ефективна защита срещу измами с ДДС.</w:t>
      </w:r>
    </w:p>
  </w:footnote>
  <w:footnote w:id="54">
    <w:p>
      <w:pPr>
        <w:pStyle w:val="FootnoteText"/>
      </w:pPr>
      <w:r>
        <w:rPr>
          <w:rStyle w:val="FootnoteReference"/>
        </w:rPr>
        <w:footnoteRef/>
      </w:r>
      <w:r>
        <w:t xml:space="preserve"> Решение на Съда на ЕС от 8 март 2017 г. по дело ArcelorMittal Rodange et Schifflange SA/ État du Grand-duché de Luxembourg (C-321/15, EU:C:2017:179).</w:t>
      </w:r>
    </w:p>
  </w:footnote>
  <w:footnote w:id="55">
    <w:p>
      <w:pPr>
        <w:pStyle w:val="FootnoteText"/>
      </w:pPr>
      <w:r>
        <w:rPr>
          <w:rStyle w:val="FootnoteReference"/>
        </w:rPr>
        <w:footnoteRef/>
      </w:r>
      <w:r>
        <w:t xml:space="preserve"> 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footnote>
  <w:footnote w:id="56">
    <w:p>
      <w:pPr>
        <w:pStyle w:val="FootnoteText"/>
      </w:pPr>
      <w:r>
        <w:rPr>
          <w:rStyle w:val="FootnoteReference"/>
        </w:rPr>
        <w:footnoteRef/>
      </w:r>
      <w:r>
        <w:t xml:space="preserve"> Регламент (ЕС) № 600/2012 на Комисията от 21 юни 2012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 ОВ L 181, 12.7.2012 г., стр. 1.</w:t>
      </w:r>
    </w:p>
  </w:footnote>
  <w:footnote w:id="57">
    <w:p>
      <w:pPr>
        <w:pStyle w:val="FootnoteText"/>
      </w:pPr>
      <w:r>
        <w:rPr>
          <w:rStyle w:val="FootnoteReference"/>
        </w:rPr>
        <w:footnoteRef/>
      </w:r>
      <w:r>
        <w:t xml:space="preserve"> Тези планове за действие са специфични за всяка държава членка. Все пак като пример за често срещан проблем може да се посочи правилното класифициране на докладваните неточности, несъответствия и неспазвания във верификационните доклади. Образци и документи с указания във връзка с РМД и РАВ могат да се намерят тук: https://ec.europa.eu/clima/policies/ets/monitoring_bg</w:t>
      </w:r>
    </w:p>
  </w:footnote>
  <w:footnote w:id="58">
    <w:p>
      <w:pPr>
        <w:pStyle w:val="FootnoteText"/>
      </w:pPr>
      <w:r>
        <w:rPr>
          <w:rStyle w:val="FootnoteReference"/>
        </w:rPr>
        <w:footnoteRef/>
      </w:r>
      <w:r>
        <w:t xml:space="preserve"> Основната причина за това е, че методиката, базираща се на измервания, включва използването на значителни ресурси и ноу-хау за непрекъснатото измерване на концентрацията на съответните ПГ, с каквито много от по-малките оператори не разполагат.</w:t>
      </w:r>
    </w:p>
  </w:footnote>
  <w:footnote w:id="59">
    <w:p>
      <w:pPr>
        <w:pStyle w:val="FootnoteText"/>
      </w:pPr>
      <w:r>
        <w:rPr>
          <w:rStyle w:val="FootnoteReference"/>
        </w:rPr>
        <w:footnoteRef/>
      </w:r>
      <w:r>
        <w:t xml:space="preserve"> В Регламент (EС) № 601/2012 се въвежда задължение за всички оператори да спазват известни минимално допустими нива на изисквания, като предприятията с по-големи емисии трябва да спазват по-високи нива на изисквания (предполагащи по-надеждно качество на данните), а за по-малките източници на емисии, от съображения за разходоефективност, са валидни не толкова строги изисквания.</w:t>
      </w:r>
    </w:p>
  </w:footnote>
  <w:footnote w:id="60">
    <w:p>
      <w:pPr>
        <w:pStyle w:val="FootnoteText"/>
      </w:pPr>
      <w:r>
        <w:rPr>
          <w:rStyle w:val="FootnoteReference"/>
        </w:rPr>
        <w:footnoteRef/>
      </w:r>
      <w:r>
        <w:t xml:space="preserve"> Списък на Европейската организация за акредитация, съдържащ точки за достъп до националните органи по акредитация, които акредитират верификатори за СТЕ на ЕС: </w:t>
      </w:r>
      <w:hyperlink r:id="rId4">
        <w:r>
          <w:rPr>
            <w:rStyle w:val="Hyperlink"/>
          </w:rPr>
          <w:t>http://www.european-accreditation.org/information/national-accreditation-bodies-having-been-successfully-peer-evaluated-by-ea</w:t>
        </w:r>
      </w:hyperlink>
      <w:r>
        <w:t xml:space="preserve"> </w:t>
      </w:r>
    </w:p>
  </w:footnote>
  <w:footnote w:id="61">
    <w:p>
      <w:pPr>
        <w:pStyle w:val="FootnoteText"/>
      </w:pPr>
      <w:r>
        <w:rPr>
          <w:rStyle w:val="FootnoteReference"/>
        </w:rPr>
        <w:footnoteRef/>
      </w:r>
      <w:r>
        <w:t xml:space="preserve"> В някои случаи държавите може да докладват за голям брой регионални/местни органи, образуващи един компетентен орган.</w:t>
      </w:r>
    </w:p>
  </w:footnote>
  <w:footnote w:id="62">
    <w:p>
      <w:pPr>
        <w:pStyle w:val="FootnoteText"/>
      </w:pPr>
      <w:r>
        <w:rPr>
          <w:rStyle w:val="FootnoteReference"/>
        </w:rPr>
        <w:footnoteRef/>
      </w:r>
      <w:r>
        <w:t xml:space="preserve"> Протоколът за разискванията на конференцията може да бъде намерен тук: https://ec.europa.eu/clima/events/articles/0114_bg</w:t>
      </w:r>
    </w:p>
  </w:footnote>
  <w:footnote w:id="63">
    <w:p>
      <w:pPr>
        <w:pStyle w:val="FootnoteText"/>
      </w:pPr>
      <w:r>
        <w:rPr>
          <w:rStyle w:val="FootnoteReference"/>
        </w:rPr>
        <w:footnoteRef/>
      </w:r>
      <w:r>
        <w:t xml:space="preserve"> Като част от инспекциите съгласно Директивата относно емисиите от промишлеността. </w:t>
      </w:r>
    </w:p>
  </w:footnote>
  <w:footnote w:id="64">
    <w:p>
      <w:pPr>
        <w:pStyle w:val="FootnoteText"/>
      </w:pPr>
      <w:r>
        <w:rPr>
          <w:rStyle w:val="FootnoteReference"/>
        </w:rPr>
        <w:footnoteRef/>
      </w:r>
      <w:r>
        <w:t xml:space="preserve"> Унгария е използвала дерогацията по член 10в само през 2013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AAB37A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1"/>
  </w:num>
  <w:num w:numId="5">
    <w:abstractNumId w:val="6"/>
  </w:num>
  <w:num w:numId="6">
    <w:abstractNumId w:val="10"/>
  </w:num>
  <w:num w:numId="7">
    <w:abstractNumId w:val="12"/>
  </w:num>
  <w:num w:numId="8">
    <w:abstractNumId w:val="7"/>
  </w:num>
  <w:num w:numId="9">
    <w:abstractNumId w:val="5"/>
  </w:num>
  <w:num w:numId="10">
    <w:abstractNumId w:val="8"/>
  </w:num>
  <w:num w:numId="11">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o">
    <w15:presenceInfo w15:providerId="None" w15:userId="Pao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72A35A5-9DE7-426E-ABC3-FE86808F82D5"/>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4?\u1086?\u1082?\u1083?\u1072?\u1076? \u1086?\u1090?\u1085?\u1086?\u1089?\u1085?\u1086? \u1092?\u1091?\u1085?\u1082?\u1094?\u1080?\u1086?\u1085?\u1080?\u1088?\u1072?\u1085?\u1077?\u1090?\u1086? \u1085?\u1072? \u1077?\u1074?\u1088?\u1086?\u1087?\u1077?\u1081?\u1089?\u1082?\u1080?\u1103? \u1087?\u1072?\u1079?\u1072?\u1088? \u1085?\u1072? \u1074?\u1098?\u1075?\u1083?\u1077?\u1088?\u1086?\u1076?\u1085?\u1080? \u1077?\u1084?\u1080?\u1089?\u108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rPr>
  </w:style>
  <w:style w:type="character" w:customStyle="1" w:styleId="ECStandardZchn">
    <w:name w:val="EC Standard Zchn"/>
    <w:link w:val="ECStandard"/>
    <w:rPr>
      <w:rFonts w:ascii="Times New Roman" w:eastAsia="Times New Roman" w:hAnsi="Times New Roman" w:cs="Times New Roman"/>
      <w:sz w:val="24"/>
      <w:szCs w:val="24"/>
      <w:lang w:eastAsia="bg-BG"/>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rPr>
  </w:style>
  <w:style w:type="character" w:customStyle="1" w:styleId="5NormalChar">
    <w:name w:val="5 Normal Char"/>
    <w:link w:val="5Normal0"/>
    <w:locked/>
    <w:rPr>
      <w:rFonts w:ascii="Verdana" w:eastAsia="Times New Roman" w:hAnsi="Verdana" w:cs="Times New Roman"/>
      <w:spacing w:val="-2"/>
      <w:sz w:val="20"/>
      <w:szCs w:val="24"/>
      <w:lang w:eastAsia="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link w:val="TOCHeadingChar"/>
    <w:uiPriority w:val="39"/>
    <w:semiHidden/>
    <w:unhideWhenUsed/>
    <w:qFormat/>
    <w:pPr>
      <w:keepLines/>
      <w:spacing w:before="480" w:after="0"/>
      <w:outlineLvl w:val="9"/>
    </w:pPr>
    <w:rPr>
      <w:rFonts w:ascii="Cambria" w:hAnsi="Cambria"/>
      <w:color w:val="365F91"/>
      <w:kern w:val="0"/>
      <w:sz w:val="28"/>
      <w:szCs w:val="28"/>
    </w:rPr>
  </w:style>
  <w:style w:type="paragraph" w:styleId="TOC1">
    <w:name w:val="toc 1"/>
    <w:basedOn w:val="Normal"/>
    <w:next w:val="Normal"/>
    <w:autoRedefine/>
    <w:uiPriority w:val="39"/>
    <w:unhideWhenUsed/>
    <w:qFormat/>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semiHidden/>
    <w:rPr>
      <w:rFonts w:ascii="Cambria" w:eastAsia="Times New Roman" w:hAnsi="Cambria" w:cs="Times New Roman"/>
      <w:b/>
      <w:bCs/>
      <w:color w:val="365F91"/>
      <w:kern w:val="32"/>
      <w:sz w:val="28"/>
      <w:szCs w:val="28"/>
      <w:lang w:val="bg-BG" w:eastAsia="bg-BG"/>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bg-B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rPr>
  </w:style>
  <w:style w:type="character" w:customStyle="1" w:styleId="ECStandardZchn">
    <w:name w:val="EC Standard Zchn"/>
    <w:link w:val="ECStandard"/>
    <w:rPr>
      <w:rFonts w:ascii="Times New Roman" w:eastAsia="Times New Roman" w:hAnsi="Times New Roman" w:cs="Times New Roman"/>
      <w:sz w:val="24"/>
      <w:szCs w:val="24"/>
      <w:lang w:eastAsia="bg-BG"/>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rPr>
  </w:style>
  <w:style w:type="character" w:customStyle="1" w:styleId="5NormalChar">
    <w:name w:val="5 Normal Char"/>
    <w:link w:val="5Normal0"/>
    <w:locked/>
    <w:rPr>
      <w:rFonts w:ascii="Verdana" w:eastAsia="Times New Roman" w:hAnsi="Verdana" w:cs="Times New Roman"/>
      <w:spacing w:val="-2"/>
      <w:sz w:val="20"/>
      <w:szCs w:val="24"/>
      <w:lang w:eastAsia="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link w:val="TOCHeadingChar"/>
    <w:uiPriority w:val="39"/>
    <w:semiHidden/>
    <w:unhideWhenUsed/>
    <w:qFormat/>
    <w:pPr>
      <w:keepLines/>
      <w:spacing w:before="480" w:after="0"/>
      <w:outlineLvl w:val="9"/>
    </w:pPr>
    <w:rPr>
      <w:rFonts w:ascii="Cambria" w:hAnsi="Cambria"/>
      <w:color w:val="365F91"/>
      <w:kern w:val="0"/>
      <w:sz w:val="28"/>
      <w:szCs w:val="28"/>
    </w:rPr>
  </w:style>
  <w:style w:type="paragraph" w:styleId="TOC1">
    <w:name w:val="toc 1"/>
    <w:basedOn w:val="Normal"/>
    <w:next w:val="Normal"/>
    <w:autoRedefine/>
    <w:uiPriority w:val="39"/>
    <w:unhideWhenUsed/>
    <w:qFormat/>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semiHidden/>
    <w:rPr>
      <w:rFonts w:ascii="Cambria" w:eastAsia="Times New Roman" w:hAnsi="Cambria" w:cs="Times New Roman"/>
      <w:b/>
      <w:bCs/>
      <w:color w:val="365F91"/>
      <w:kern w:val="32"/>
      <w:sz w:val="28"/>
      <w:szCs w:val="28"/>
      <w:lang w:val="bg-BG" w:eastAsia="bg-BG"/>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bg-B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oter" Target="footer5.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fontTable" Target="fontTable.xml"/><Relationship Id="rId40" Type="http://schemas.microsoft.com/office/2016/09/relationships/commentsIds" Target="commentsIds.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cid:image002.png@01D20D9B.50F5BE60"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epp.eurostat.ec.europa.eu/tgm/table.do?tab=table&amp;init=1&amp;plugin=1&amp;language=en&amp;pcode=tec00115"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lima/policies/ets/auctioning_bg" TargetMode="External"/><Relationship Id="rId2" Type="http://schemas.openxmlformats.org/officeDocument/2006/relationships/hyperlink" Target="http://ec.europa.eu/competition/elojade/isef/index.cfm?clear=1&amp;policy_area_id=3" TargetMode="External"/><Relationship Id="rId1" Type="http://schemas.openxmlformats.org/officeDocument/2006/relationships/hyperlink" Target="http://eur-lex.europa.eu/legal-content/BG/TXT/?uri=CELEX:52015PC0337" TargetMode="External"/><Relationship Id="rId4" Type="http://schemas.openxmlformats.org/officeDocument/2006/relationships/hyperlink" Target="http://www.european-accreditation.org/information/national-accreditation-bodies-having-been-successfully-peer-evaluated-by-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9E7B-A935-462B-9FF6-43015C90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10225</Words>
  <Characters>54193</Characters>
  <Application>Microsoft Office Word</Application>
  <DocSecurity>0</DocSecurity>
  <Lines>2356</Lines>
  <Paragraphs>1022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63396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2017-10-06T09:43:00Z</cp:lastPrinted>
  <dcterms:created xsi:type="dcterms:W3CDTF">2017-11-10T09:56:00Z</dcterms:created>
  <dcterms:modified xsi:type="dcterms:W3CDTF">2017-11-22T08:07:00Z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