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3F46D06-1EBF-4FD0-8008-ABB3ADCD6284" style="width:450.75pt;height:338.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CopyToNewDocument_"/>
      <w:bookmarkStart w:id="1" w:name="_GoBack"/>
      <w:bookmarkEnd w:id="0"/>
      <w:bookmarkEnd w:id="1"/>
    </w:p>
    <w:p>
      <w:pPr>
        <w:rPr>
          <w:noProof/>
        </w:r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отмяна на Решение 2008/713/ЕO относно наличието на прекомерен дефицит в Обединеното кралство</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126, параграф 12 от него,</w:t>
      </w:r>
    </w:p>
    <w:p>
      <w:pPr>
        <w:rPr>
          <w:noProof/>
        </w:rPr>
      </w:pPr>
      <w:r>
        <w:rPr>
          <w:noProof/>
        </w:rPr>
        <w:t>като взе предвид препоръката на Комисията,</w:t>
      </w:r>
    </w:p>
    <w:p>
      <w:pPr>
        <w:rPr>
          <w:noProof/>
        </w:rPr>
      </w:pPr>
      <w:r>
        <w:rPr>
          <w:noProof/>
        </w:rPr>
        <w:t xml:space="preserve">като има предвид, че: </w:t>
      </w:r>
    </w:p>
    <w:p>
      <w:pPr>
        <w:pStyle w:val="ManualConsidrant"/>
        <w:rPr>
          <w:noProof/>
        </w:rPr>
      </w:pPr>
      <w:r>
        <w:t>(1)</w:t>
      </w:r>
      <w:r>
        <w:tab/>
      </w:r>
      <w:r>
        <w:rPr>
          <w:noProof/>
        </w:rPr>
        <w:t>Въз основа на препоръка, отправена от Комисията, на 8 юли 2008 г. с Решение 2008/713/ЕО на Съвета в съответствие с член 104, параграф 6 от Договора за създаване на Европейската общност Съветът констатира, че в Обединеното кралство е налице прекомерен дефицит</w:t>
      </w:r>
      <w:r>
        <w:rPr>
          <w:rStyle w:val="FootnoteReference"/>
          <w:noProof/>
        </w:rPr>
        <w:footnoteReference w:id="1"/>
      </w:r>
      <w:r>
        <w:rPr>
          <w:noProof/>
        </w:rPr>
        <w:t xml:space="preserve">. </w:t>
      </w:r>
      <w:r>
        <w:rPr>
          <w:rStyle w:val="Corpsdutexte"/>
          <w:noProof/>
        </w:rPr>
        <w:t>Съветът отбеляза, че съгласно данните за ППД, предоставени от органите на Обединеното кралство през март 2008 г., дефицитът по консолидирания държавен бюджет на Обединеното кралство през 2008—2009 г. се е очаквало да достигне 3,2 % от БВП, надвишавайки по този начин референтната стойност от 3 % от БВП в Договора. В допълнение, след публикуването на бюджета през март 2008 г., оповестената на 13 май 2008 г. политика за намаляване на данъка върху доходите на физическите лица през 2008—2009 г. се очакваше да доведе до допълнително увеличение на планирания дефицит през тази финансова година. Отчитането на това обстоятелство в допълнение към прогнозата на Комисията от пролетта на 2008 г. водеше до дефицит от 3,5 % от БВП през 2008—2009 г. В допълнение, прекомерният дефицит не се смяташе за временен, тъй като според прогнозата на Комисията при допускане за липса на промяна в политиката дефицитът през 2009—2010 г. се оценяваше на 3,3 % от БВП. Освен това Съветът отбеляза, че съотношението на консолидирания държавен дълг към БВП е останало далеч под референтната стойност от 60 % от БВП, макар и с очаквана тенденция за повишаване до 2009—2010 г.</w:t>
      </w:r>
      <w:r>
        <w:rPr>
          <w:noProof/>
        </w:rPr>
        <w:t xml:space="preserve"> </w:t>
      </w:r>
    </w:p>
    <w:p>
      <w:pPr>
        <w:pStyle w:val="ManualConsidrant"/>
        <w:rPr>
          <w:noProof/>
        </w:rPr>
      </w:pPr>
      <w:r>
        <w:t>(2)</w:t>
      </w:r>
      <w:r>
        <w:tab/>
      </w:r>
      <w:r>
        <w:rPr>
          <w:noProof/>
        </w:rPr>
        <w:t xml:space="preserve">На същата дата, </w:t>
      </w:r>
      <w:r>
        <w:rPr>
          <w:rStyle w:val="Corpsdutexte"/>
          <w:noProof/>
        </w:rPr>
        <w:t>в съответствие с член 104, параграф 7 от Договора и член 3, параграф 4 от Регламент (ЕО) №1467/97 на Съвета, въз основа на препоръка на Комисията</w:t>
      </w:r>
      <w:r>
        <w:rPr>
          <w:noProof/>
        </w:rPr>
        <w:t xml:space="preserve"> Съветът отправи препоръка към Обединеното кралство за преодоляване на прекомерния дефицит най-късно до края на финансовата 2009—2010 година. </w:t>
      </w:r>
      <w:r>
        <w:rPr>
          <w:rStyle w:val="Corpsdutexte"/>
          <w:noProof/>
        </w:rPr>
        <w:t>Съветът също така определи 8 януари 2009 г. като краен срок за предприемане на ефективни действия.</w:t>
      </w:r>
      <w:r>
        <w:rPr>
          <w:noProof/>
        </w:rPr>
        <w:t xml:space="preserve"> </w:t>
      </w:r>
    </w:p>
    <w:p>
      <w:pPr>
        <w:pStyle w:val="ManualConsidrant"/>
        <w:rPr>
          <w:rStyle w:val="Corpsdutexte"/>
          <w:noProof/>
          <w:shd w:val="clear" w:color="auto" w:fill="auto"/>
        </w:rPr>
      </w:pPr>
      <w:r>
        <w:rPr>
          <w:rStyle w:val="Corpsdutexte"/>
        </w:rPr>
        <w:lastRenderedPageBreak/>
        <w:t>(3)</w:t>
      </w:r>
      <w:r>
        <w:rPr>
          <w:rStyle w:val="Corpsdutexte"/>
        </w:rPr>
        <w:tab/>
      </w:r>
      <w:r>
        <w:rPr>
          <w:noProof/>
        </w:rPr>
        <w:t>В съответствие с член 104, параграф 8 от Договора на 27 април 2009 г. Съветът констатира, че Обединеното кралство не е предприело ефективни действия в отговор на препоръката на Съвета от 8 юли 2008 г.</w:t>
      </w:r>
      <w:r>
        <w:rPr>
          <w:rStyle w:val="FootnoteReference"/>
          <w:noProof/>
        </w:rPr>
        <w:footnoteReference w:id="2"/>
      </w:r>
    </w:p>
    <w:p>
      <w:pPr>
        <w:pStyle w:val="ManualConsidrant"/>
        <w:rPr>
          <w:rStyle w:val="Corpsdutexte"/>
          <w:noProof/>
          <w:shd w:val="clear" w:color="auto" w:fill="auto"/>
        </w:rPr>
      </w:pPr>
      <w:r>
        <w:rPr>
          <w:rStyle w:val="Corpsdutexte"/>
        </w:rPr>
        <w:t>(4)</w:t>
      </w:r>
      <w:r>
        <w:rPr>
          <w:rStyle w:val="Corpsdutexte"/>
        </w:rPr>
        <w:tab/>
      </w:r>
      <w:r>
        <w:rPr>
          <w:noProof/>
        </w:rPr>
        <w:t>Като отчита, че състоянието на бюджета на Обединеното кралство през 2009—2010 г. е било следствие от изпълнението на мерки в размер на около 1,5 % от БВП, които са представлявали подходящ отговор на Европейския план за икономическо възстановяване, както и от свободното действие на автоматични стабилизиращи механизми, на 2 декември 2009 г. Съветът публикува преработена препоръка в съответствие с член 126, параграф 7 от ДФЕС, с която препоръча на Обединеното кралство да сложи край на съществуващия прекомерен дефицит до 2014—2015 г. По-конкретно, за да може дефицитът по консолидирания държавен бюджет да бъде намален до под 3 % от БВП по надежден и устойчив начин, на Обединеното кралство бе препоръчано между 2010—2011 г. и 2014—2015 г. да осигури средногодишна структурна корекция от 1¾ % от БВП. В препоръката си от 2 декември 2009 г. Съветът определи 2 юни 2010 г. като краен срок за предприемане на ефективни действия в съответствие с член 3, параграф 4 от Регламент (ЕО) № 1467/97.</w:t>
      </w:r>
      <w:r>
        <w:rPr>
          <w:rStyle w:val="Corpsdutexte"/>
          <w:noProof/>
          <w:shd w:val="clear" w:color="auto" w:fill="auto"/>
        </w:rPr>
        <w:t xml:space="preserve"> </w:t>
      </w:r>
    </w:p>
    <w:p>
      <w:pPr>
        <w:pStyle w:val="ManualConsidrant"/>
        <w:rPr>
          <w:rStyle w:val="Corpsdutexte"/>
          <w:noProof/>
          <w:shd w:val="clear" w:color="auto" w:fill="auto"/>
        </w:rPr>
      </w:pPr>
      <w:r>
        <w:rPr>
          <w:rStyle w:val="Corpsdutexte"/>
        </w:rPr>
        <w:t>(5)</w:t>
      </w:r>
      <w:r>
        <w:rPr>
          <w:rStyle w:val="Corpsdutexte"/>
        </w:rPr>
        <w:tab/>
      </w:r>
      <w:r>
        <w:rPr>
          <w:noProof/>
        </w:rPr>
        <w:t>На 6 юли 2010 г. Комисията заключи, че въз основа на прогнозата на Комисията от пролетта на 2010 г. Обединеното кралство е предприело ефективни действия в съответствие с препоръката на Съвета от 2 декември 2009 г. съгласно член 126, параграф 7 от Договора.</w:t>
      </w:r>
    </w:p>
    <w:p>
      <w:pPr>
        <w:pStyle w:val="ManualConsidrant"/>
        <w:rPr>
          <w:rStyle w:val="Corpsdutexte"/>
          <w:noProof/>
          <w:shd w:val="clear" w:color="auto" w:fill="auto"/>
        </w:rPr>
      </w:pPr>
      <w:r>
        <w:rPr>
          <w:rStyle w:val="Corpsdutexte"/>
        </w:rPr>
        <w:t>(6)</w:t>
      </w:r>
      <w:r>
        <w:rPr>
          <w:rStyle w:val="Corpsdutexte"/>
        </w:rPr>
        <w:tab/>
      </w:r>
      <w:r>
        <w:rPr>
          <w:noProof/>
        </w:rPr>
        <w:t>В съответствие с член 126, параграф 8 от Договора на 19 юни 2015 г. Съветът констатира, че Обединеното кралство не е предприело ефективни действия в отговор на препоръката на Съвета от 2 декември 2009 г.</w:t>
      </w:r>
      <w:r>
        <w:rPr>
          <w:rStyle w:val="FootnoteReference"/>
          <w:noProof/>
        </w:rPr>
        <w:footnoteReference w:id="3"/>
      </w:r>
      <w:r>
        <w:rPr>
          <w:noProof/>
        </w:rPr>
        <w:t xml:space="preserve"> Съветът отбеляза, че в Обединеното кралство се наблюдава значителен спад на реалния ръст на БВП в резултат на световната икономическа и финансова криза през 2008—2009 г., която е засегнала и публичните финанси. Впоследствие Обединеното кралство приложи план за консолидация и дефицитът по консолидирания държавен бюджет е намалявал като процент от БВП всяка година между финансовата 2009—2010 г. и финансовата 2014—2015 година. За разлика от това, съотношението на консолидирания държавен дълг към БВП е продължило да нараства през този период, което се дължи главно на номиналния дефицит, но също така и на интервенциите във финансовия сектор. Съветът стигна до извода, че независимо от разработената и прилагана програма за фискална консолидация Обединеното кралство не е преодоляло прекомерния си дефицит до 2014—2015 г. Освен това Обединеното кралство не се е придържало към средната годишна структурна корекция от 1¾ % от БВП, препоръчана от Съвета на 2 декември 2009 г.</w:t>
      </w:r>
    </w:p>
    <w:p>
      <w:pPr>
        <w:pStyle w:val="ManualConsidrant"/>
        <w:rPr>
          <w:noProof/>
        </w:rPr>
      </w:pPr>
      <w:r>
        <w:t>(7)</w:t>
      </w:r>
      <w:r>
        <w:tab/>
      </w:r>
      <w:r>
        <w:rPr>
          <w:noProof/>
        </w:rPr>
        <w:t xml:space="preserve">На същата дата, </w:t>
      </w:r>
      <w:r>
        <w:rPr>
          <w:rStyle w:val="Corpsdutexte"/>
          <w:noProof/>
        </w:rPr>
        <w:t>в съответствие с член 126, параграф 7 от Договора и член 3, параграф 4 от Регламент (ЕО) № 1467/97 на Съвета, въз основа на препоръка на Комисията</w:t>
      </w:r>
      <w:r>
        <w:rPr>
          <w:noProof/>
        </w:rPr>
        <w:t xml:space="preserve"> Съветът отправи препоръка към Обединеното кралство да коригира </w:t>
      </w:r>
      <w:r>
        <w:rPr>
          <w:noProof/>
        </w:rPr>
        <w:lastRenderedPageBreak/>
        <w:t xml:space="preserve">прекомерния дефицит най-късно до финансовата 2016—2017 година. По-специално, Обединеното кралство следва да постигне номинален дефицит от 4,1 % от БВП през 2015—2016 г. и 2,7 % от БВП през 2016—2017 г., което съответства на годишно подобрение на структурното салдо съответно от 0,5 % от БВП през 2015—2016 г. и 1,1 % от БВП през 2016—2017 г., въз основа на актуализираната прогноза на Комисията от пролетта на 2015 г. </w:t>
      </w:r>
    </w:p>
    <w:p>
      <w:pPr>
        <w:pStyle w:val="ManualConsidrant"/>
        <w:rPr>
          <w:noProof/>
        </w:rPr>
      </w:pPr>
      <w:r>
        <w:t>(8)</w:t>
      </w:r>
      <w:r>
        <w:tab/>
      </w:r>
      <w:r>
        <w:rPr>
          <w:noProof/>
        </w:rPr>
        <w:t>На 16 ноември 2015 г. Комисията заключи, че Обединеното кралство е предприело ефективни действия за коригиране на прекомерния дефицит до финансовата 2016—2017 година в съответствие с препоръката на Съвета от 19 юни 2015 г.</w:t>
      </w:r>
    </w:p>
    <w:p>
      <w:pPr>
        <w:pStyle w:val="ManualConsidrant"/>
        <w:rPr>
          <w:noProof/>
        </w:rPr>
      </w:pPr>
      <w:r>
        <w:t>(9)</w:t>
      </w:r>
      <w:r>
        <w:tab/>
      </w:r>
      <w:r>
        <w:rPr>
          <w:noProof/>
        </w:rPr>
        <w:t>В съответствие с член 4 от Протокол № 12 относно процедурата при прекомерен дефицит, приложен към Договора за Европейския съюз и към ДФЕС, Комисията предоставя данните за изпълнението на процедурата. Като част от прилагането на този протокол държавите членки трябва да предоставят данни за бюджетния дефицит и държавния дълг, както и за другите свързани с тях променливи два пъти годишно, а именно преди 1 април и преди 1 октомври, в съответствие с член 3 от Регламент (ЕО) № 479/2009 на Съвета</w:t>
      </w:r>
      <w:r>
        <w:rPr>
          <w:rStyle w:val="FootnoteReference"/>
          <w:noProof/>
        </w:rPr>
        <w:footnoteReference w:id="4"/>
      </w:r>
      <w:r>
        <w:rPr>
          <w:noProof/>
        </w:rPr>
        <w:t>.</w:t>
      </w:r>
    </w:p>
    <w:p>
      <w:pPr>
        <w:pStyle w:val="ManualConsidrant"/>
        <w:rPr>
          <w:noProof/>
        </w:rPr>
      </w:pPr>
      <w:r>
        <w:t>(10)</w:t>
      </w:r>
      <w:r>
        <w:tab/>
      </w:r>
      <w:r>
        <w:rPr>
          <w:noProof/>
        </w:rPr>
        <w:t>Съветът взема решения за отмяна на решенията за наличие на прекомерен дефицит въз основа на предоставените данни. Нещо повече, дадено решение за наличие на прекомерен дефицит трябва да се отмени само ако прогнозите на Комисията сочат, че през прогнозния период дефицитът няма да превиши предвидената в Договора референтна стойност от 3 % от БВП</w:t>
      </w:r>
      <w:r>
        <w:rPr>
          <w:rStyle w:val="FootnoteReference"/>
          <w:noProof/>
        </w:rPr>
        <w:footnoteReference w:id="5"/>
      </w:r>
      <w:r>
        <w:rPr>
          <w:noProof/>
        </w:rPr>
        <w:t>.</w:t>
      </w:r>
    </w:p>
    <w:p>
      <w:pPr>
        <w:pStyle w:val="ManualConsidrant"/>
        <w:rPr>
          <w:noProof/>
        </w:rPr>
      </w:pPr>
      <w:r>
        <w:t>(11)</w:t>
      </w:r>
      <w:r>
        <w:tab/>
      </w:r>
      <w:r>
        <w:rPr>
          <w:noProof/>
        </w:rPr>
        <w:t>Въз основа на данните, предоставени от Комисията (Евростат) в съответствие с член 14 от Регламент (ЕО) № 479/2009, вследствие на програмата за конвергенция за 2017 г., нотификацията от Обединеното кралство от септември 2017 г. и прогнозата на Комисията от есента на 2017 г. могат да се направят следните заключения:</w:t>
      </w:r>
    </w:p>
    <w:p>
      <w:pPr>
        <w:pStyle w:val="Tiret1"/>
        <w:numPr>
          <w:ilvl w:val="0"/>
          <w:numId w:val="10"/>
        </w:numPr>
        <w:rPr>
          <w:rStyle w:val="Corpsdutexte"/>
          <w:noProof/>
        </w:rPr>
      </w:pPr>
      <w:r>
        <w:rPr>
          <w:rStyle w:val="Corpsdutexte"/>
          <w:noProof/>
        </w:rPr>
        <w:t>През последните няколко години Обединеното кралство е постигнало препоръчаните цели за дефицита по консолидирания държавен бюджет. След като е достигнал най-високо равнище от 10 % от БВП през 2009—2010 г., номиналният дефицит по консолидирания държавен бюджет постоянно е намалявал и е достигнал 4 % през 2015—2016 г. и 2,3 % през 2016—2017 г., в съответствие с препоръката на Съвета от 19 юни 2015 г. Фискалната консолидация, предприета през този период, се основава до голяма степен на съкращаване на разходите, като общите текущи разходи спадат от 42,9 % от БВП през 2009—2010 г. до 38 % от БВП през 2016—2017 г. Нарастването на съотношението на държавните приходи от 37,4 % от БВП през 2009—2010 г. до 38,6 % от БВП през 2016—2017 г. също е спомогнало за това, макар и в по-малка степен.</w:t>
      </w:r>
    </w:p>
    <w:p>
      <w:pPr>
        <w:pStyle w:val="Tiret1"/>
        <w:rPr>
          <w:rStyle w:val="Corpsdutexte"/>
          <w:noProof/>
        </w:rPr>
      </w:pPr>
      <w:r>
        <w:rPr>
          <w:rStyle w:val="Corpsdutexte"/>
          <w:noProof/>
        </w:rPr>
        <w:lastRenderedPageBreak/>
        <w:t>Програмата за конвергенция за 2016—2017 г., представена от органите на Обединеното кралство на 27 април 2017 г. и обхващаща периода от 2016—2017 г. до 2021—2022 г., предвижда увеличение на дефицита по консолидирания държавен бюджет до 2,8 % от БВП през 2017—2018 г., следвано от спад на 1,9 % от БВП през 2018—2019 г. Тази прогноза се основава на планиран дефицит по консолидирания държавен бюджет в размер на 2,7 % през 2016—2017 г. съгласно данните за ППД, предоставени от органите на Обединеното кралство през март 2017 г. След представянето на програмата за конвергенция Службата за национални статистически данни (ONS) намали своята прогноза за дефицита по консолидирания държавен бюджет през 2016—2017 г. до 2,3 % от БВП. Въпреки че впоследствие органите на Обединеното кралство не публикуваха актуализирана прогноза за дефицита по консолидирания държавен бюджет, в прогнозата на Комисията от есента на 2017 г. се предвижда дефицит от 2,5 % през 2017—2018 г., 1,8 % през 2018—2019 г. и 1,3 % през 2019—2020 г, при допускане за липса на промяна в провежданата политика. Следователно се очаква през прогнозния период дефицитът да се задържи под предвидената в Договора референтна стойност от 3 % от БВП.</w:t>
      </w:r>
    </w:p>
    <w:p>
      <w:pPr>
        <w:pStyle w:val="Tiret1"/>
        <w:rPr>
          <w:rStyle w:val="Corpsdutexte"/>
          <w:noProof/>
        </w:rPr>
      </w:pPr>
      <w:r>
        <w:rPr>
          <w:rStyle w:val="Corpsdutexte"/>
          <w:noProof/>
        </w:rPr>
        <w:t xml:space="preserve">Съгласно прогнозата на Комисията от есента на 2017 г. структурното салдо, т.е. салдото по консолидирания държавен бюджет, коригирано спрямо фазата на икономическия цикъл, от което са извадени еднократните и другите временни мерки, се е подобрило с 3,2 % от БВП между 2018—2009 г. и 2016—2017 г. </w:t>
      </w:r>
    </w:p>
    <w:p>
      <w:pPr>
        <w:pStyle w:val="Tiret1"/>
        <w:rPr>
          <w:rStyle w:val="Corpsdutexte"/>
          <w:noProof/>
        </w:rPr>
      </w:pPr>
      <w:r>
        <w:rPr>
          <w:rStyle w:val="Corpsdutexte"/>
          <w:noProof/>
        </w:rPr>
        <w:t>Съотношението на брутния консолидиран държавен дълг към БВП на Обединеното кралство се е увеличило значително, след като на 8 юли 2008 г. Съветът констатира наличието на прекомерен дефицит в Обединеното кралство. Съотношението на консолидирания държавен дълг към БВП е нараснало от 41 % от БВП през 2007—2008 г. до 86,8 % през 2016—2017 г., което отразява по-високите номинални дефицити по консолидирания държавен бюджет и интервенциите във финансовия сектор през този период. Според прогнозата на Комисията от есента на 2017 г. съотношението на дълга към БВП се очаква да достигне най-висока стойност през 2016—2017 г. и постепенно да намалее до 82,9 % от БВП през 2019—2020 г.</w:t>
      </w:r>
    </w:p>
    <w:p>
      <w:pPr>
        <w:pStyle w:val="ManualConsidrant"/>
        <w:rPr>
          <w:noProof/>
        </w:rPr>
      </w:pPr>
      <w:r>
        <w:t>(12)</w:t>
      </w:r>
      <w:r>
        <w:tab/>
      </w:r>
      <w:r>
        <w:rPr>
          <w:noProof/>
        </w:rPr>
        <w:t xml:space="preserve">В съответствие с член 126, параграф 12 от Договора решенията на Съвета относно наличието на прекомерен дефицит се отменят, когато по мнение на Съвета прекомерният дефицит в съответната държава членка е бил коригиран. </w:t>
      </w:r>
    </w:p>
    <w:p>
      <w:pPr>
        <w:pStyle w:val="ManualConsidrant"/>
        <w:rPr>
          <w:noProof/>
        </w:rPr>
      </w:pPr>
      <w:r>
        <w:t>(13)</w:t>
      </w:r>
      <w:r>
        <w:tab/>
      </w:r>
      <w:r>
        <w:rPr>
          <w:noProof/>
        </w:rPr>
        <w:t>По мнение на Съвета прекомерният дефицит в Обединеното кралство е бил коригиран и следователно Решение 2008/713/ЕО следва да бъде отменено.</w:t>
      </w:r>
    </w:p>
    <w:p>
      <w:pPr>
        <w:pStyle w:val="ManualConsidrant"/>
        <w:rPr>
          <w:noProof/>
        </w:rPr>
      </w:pPr>
      <w:r>
        <w:t>(14)</w:t>
      </w:r>
      <w:r>
        <w:tab/>
      </w:r>
      <w:r>
        <w:rPr>
          <w:noProof/>
        </w:rPr>
        <w:t>Считано от 2017—2018 г., т.е. финансовата година след корекцията на прекомерния дефицит, по отношение на Обединеното кралство се прилага предпазната част на Пакта за стабилност и растеж и се очаква то да отбелязва подходящ напредък към постигане на средносрочната бюджетна цел, включително като спазва целевия показател за разходите и съблюдава критерия за дълга в съответствие с член 2, параграф 1а от Регламент (ЕО) № 1467/97,</w:t>
      </w:r>
    </w:p>
    <w:p>
      <w:pPr>
        <w:pStyle w:val="Formuledadoption"/>
        <w:rPr>
          <w:noProof/>
        </w:rPr>
      </w:pPr>
      <w:r>
        <w:rPr>
          <w:noProof/>
        </w:rPr>
        <w:lastRenderedPageBreak/>
        <w:t>ПРИЕ НАСТОЯЩОТО РЕШЕНИЕ:</w:t>
      </w:r>
    </w:p>
    <w:p>
      <w:pPr>
        <w:pStyle w:val="Titrearticle"/>
        <w:rPr>
          <w:noProof/>
        </w:rPr>
      </w:pPr>
      <w:r>
        <w:rPr>
          <w:noProof/>
        </w:rPr>
        <w:t>Член 1</w:t>
      </w:r>
    </w:p>
    <w:p>
      <w:pPr>
        <w:rPr>
          <w:noProof/>
        </w:rPr>
      </w:pPr>
      <w:r>
        <w:rPr>
          <w:noProof/>
        </w:rPr>
        <w:t>От направената цялостна оценка може да се заключи, че прекомерният дефицит в Обединеното кралство е коригиран.</w:t>
      </w:r>
    </w:p>
    <w:p>
      <w:pPr>
        <w:pStyle w:val="Titrearticle"/>
        <w:rPr>
          <w:noProof/>
        </w:rPr>
      </w:pPr>
      <w:r>
        <w:rPr>
          <w:noProof/>
        </w:rPr>
        <w:t>Член 2</w:t>
      </w:r>
    </w:p>
    <w:p>
      <w:pPr>
        <w:rPr>
          <w:noProof/>
        </w:rPr>
      </w:pPr>
      <w:r>
        <w:rPr>
          <w:noProof/>
        </w:rPr>
        <w:t>Решение 2008/713/ЕО се отменя.</w:t>
      </w:r>
    </w:p>
    <w:p>
      <w:pPr>
        <w:pStyle w:val="Titrearticle"/>
        <w:rPr>
          <w:noProof/>
        </w:rPr>
      </w:pPr>
      <w:r>
        <w:rPr>
          <w:noProof/>
        </w:rPr>
        <w:t>Член 3</w:t>
      </w:r>
    </w:p>
    <w:p>
      <w:pPr>
        <w:rPr>
          <w:noProof/>
        </w:rPr>
      </w:pPr>
      <w:r>
        <w:rPr>
          <w:noProof/>
        </w:rPr>
        <w:t>Адресат на настоящото решение е Обединеното кралство Великобритания и Северна Ирландия.</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spacing w:before="120" w:after="120"/>
        <w:ind w:left="284" w:hanging="284"/>
      </w:pPr>
      <w:r>
        <w:rPr>
          <w:rStyle w:val="FootnoteReference"/>
        </w:rPr>
        <w:footnoteRef/>
      </w:r>
      <w:r>
        <w:tab/>
        <w:t>Решение 2008/713/ЕО на Съвета от 8 юли 2008 г. относно наличието на прекомерен дефицит в Обединеното кралство (ОВ L 238, 5.9.2008 г., стр. 5).</w:t>
      </w:r>
    </w:p>
  </w:footnote>
  <w:footnote w:id="2">
    <w:p>
      <w:pPr>
        <w:pStyle w:val="FootnoteText"/>
        <w:ind w:left="284" w:hanging="284"/>
      </w:pPr>
      <w:r>
        <w:rPr>
          <w:rStyle w:val="FootnoteReference"/>
        </w:rPr>
        <w:footnoteRef/>
      </w:r>
      <w:r>
        <w:tab/>
        <w:t>Решение 2009/409/ЕО на Съвета от 27 април 2009 г. за установяване, в съответствие с член 104, параграф 8 от Договора, дали Обединеното кралство e предприело ефективни действия в отговор на препоръката на Съвета от 8 юли 2008 г. съгласно член 104, параграф 7 (ОВ L 132, 29.5.2009 г., стр. 11).</w:t>
      </w:r>
    </w:p>
  </w:footnote>
  <w:footnote w:id="3">
    <w:p>
      <w:pPr>
        <w:pStyle w:val="FootnoteText"/>
        <w:spacing w:before="120" w:after="120"/>
        <w:ind w:left="284" w:hanging="284"/>
      </w:pPr>
      <w:r>
        <w:rPr>
          <w:rStyle w:val="FootnoteReference"/>
        </w:rPr>
        <w:footnoteRef/>
      </w:r>
      <w:r>
        <w:tab/>
        <w:t>Решение (ЕС) 2015/1098 на Съвета от 19 юни 2015 г. с което се констатира, че Обединеното кралство не е предприело ефективни действия в отговор на препоръката на Съвета от 2 декември 2009 г. (ОВ L 180, 8.7.2015 г., стр. 1).</w:t>
      </w:r>
    </w:p>
  </w:footnote>
  <w:footnote w:id="4">
    <w:p>
      <w:pPr>
        <w:pStyle w:val="FootnoteText"/>
        <w:spacing w:before="120" w:after="120"/>
        <w:ind w:left="284" w:hanging="284"/>
      </w:pPr>
      <w:r>
        <w:rPr>
          <w:rStyle w:val="FootnoteReference"/>
        </w:rPr>
        <w:footnoteRef/>
      </w:r>
      <w:r>
        <w:tab/>
        <w:t>Регламент (ЕО) № 479/2009 на Съвета от 25 май 2009 г. за прилагане на Протокола за процедурата при прекомерен дефицит, приложен към Договора за създаване на Европейската общност (ОВ L 145, 10.6.2009 г., стр. 1).</w:t>
      </w:r>
    </w:p>
  </w:footnote>
  <w:footnote w:id="5">
    <w:p>
      <w:pPr>
        <w:pStyle w:val="FootnoteText"/>
        <w:spacing w:before="120" w:after="120"/>
        <w:ind w:left="284" w:hanging="284"/>
      </w:pPr>
      <w:r>
        <w:rPr>
          <w:rStyle w:val="FootnoteReference"/>
        </w:rPr>
        <w:footnoteRef/>
      </w:r>
      <w:r>
        <w:tab/>
        <w:t>В съответствие с Подробните указания за изпълнението на Пакта за стабилност и растеж и насоките относно формата и съдържанието на програмите за стабилност и за конвергенция от 3 септември 2012 г.</w:t>
      </w:r>
      <w:r>
        <w:br/>
        <w:t xml:space="preserve">Вж.: </w:t>
      </w:r>
      <w:hyperlink r:id="rId1">
        <w:r>
          <w:rPr>
            <w:rStyle w:val="Hyperlink"/>
          </w:rPr>
          <w:t>http://ec.europa.eu/economy_finance/economic_governance/sgp/pdf/coc/code_of_conduct_en.pdf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866EA4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40C4F30C"/>
    <w:lvl w:ilvl="0">
      <w:start w:val="1"/>
      <w:numFmt w:val="decimal"/>
      <w:pStyle w:val="ListNumber3"/>
      <w:lvlText w:val="%1."/>
      <w:lvlJc w:val="left"/>
      <w:pPr>
        <w:tabs>
          <w:tab w:val="num" w:pos="926"/>
        </w:tabs>
        <w:ind w:left="926" w:hanging="360"/>
      </w:pPr>
    </w:lvl>
  </w:abstractNum>
  <w:abstractNum w:abstractNumId="2">
    <w:nsid w:val="FFFFFF7F"/>
    <w:multiLevelType w:val="singleLevel"/>
    <w:tmpl w:val="616281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310E340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AF18BDF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9D8B942"/>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3FA40AE"/>
    <w:lvl w:ilvl="0">
      <w:start w:val="1"/>
      <w:numFmt w:val="decimal"/>
      <w:pStyle w:val="ListNumber"/>
      <w:lvlText w:val="%1."/>
      <w:lvlJc w:val="left"/>
      <w:pPr>
        <w:tabs>
          <w:tab w:val="num" w:pos="360"/>
        </w:tabs>
        <w:ind w:left="360" w:hanging="360"/>
      </w:pPr>
    </w:lvl>
  </w:abstractNum>
  <w:abstractNum w:abstractNumId="7">
    <w:nsid w:val="FFFFFF89"/>
    <w:multiLevelType w:val="singleLevel"/>
    <w:tmpl w:val="E5AC87E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2"/>
    <w:lvlOverride w:ilvl="0">
      <w:startOverride w:val="1"/>
    </w:lvlOverride>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3 13:56: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5"/>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3F46D06-1EBF-4FD0-8008-ABB3ADCD6284"/>
    <w:docVar w:name="LW_COVERPAGE_TYPE" w:val="1"/>
    <w:docVar w:name="LW_CROSSREFERENCE" w:val="&lt;UNUSED&gt;"/>
    <w:docVar w:name="LW_DocType" w:val="COM"/>
    <w:docVar w:name="LW_EMISSION" w:val="22.11.2017"/>
    <w:docVar w:name="LW_EMISSION_ISODATE" w:val="2017-11-22"/>
    <w:docVar w:name="LW_EMISSION_LOCATION" w:val="BRX"/>
    <w:docVar w:name="LW_EMISSION_PREFIX" w:val="Брюксел, "/>
    <w:docVar w:name="LW_EMISSION_SUFFIX" w:val=" \u1075?."/>
    <w:docVar w:name="LW_ID_DOCMODEL" w:val="SG-001"/>
    <w:docVar w:name="LW_ID_DOCSIGNATURE" w:val="SG-001"/>
    <w:docVar w:name="LW_ID_DOCSTRUCTURE" w:val="COM/PL/ORG"/>
    <w:docVar w:name="LW_ID_DOCTYPE" w:val="SG-001"/>
    <w:docVar w:name="LW_ID_STATUT" w:val="SG-001"/>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80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u1079?\u1072? \u1086?\u1090?\u1084?\u1103?\u1085?\u1072? \u1085?\u1072? \u1056?\u1077?\u1096?\u1077?\u1085?\u1080?\u1077? 2008/713/\u1045?O \u1086?\u1090?\u1085?\u1086?\u1089?\u1085?\u1086? \u1085?\u1072?\u1083?\u1080?\u1095?\u1080?\u1077?\u1090?\u1086? \u1085?\u1072? \u1087?\u1088?\u1077?\u1082?\u1086?\u1084?\u1077?\u1088?\u1077?\u1085? \u1076?\u1077?\u1092?\u1080?\u1094?\u1080?\u1090? \u1074? \u1054?\u1073?\u1077?\u1076?\u1080?\u1085?\u1077?\u1085?\u1086?\u1090?\u1086? \u1082?\u1088?\u1072?\u1083?\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17"/>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7"/>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7"/>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7"/>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character" w:customStyle="1" w:styleId="Corpsdutexte">
    <w:name w:val="Corps du texte_"/>
    <w:basedOn w:val="DefaultParagraphFont"/>
    <w:link w:val="Corpsdutexte0"/>
    <w:rPr>
      <w:shd w:val="clear" w:color="auto" w:fill="FFFFFF"/>
    </w:rPr>
  </w:style>
  <w:style w:type="paragraph" w:customStyle="1" w:styleId="Corpsdutexte0">
    <w:name w:val="Corps du texte"/>
    <w:basedOn w:val="Normal"/>
    <w:link w:val="Corpsdutexte"/>
    <w:pPr>
      <w:widowControl w:val="0"/>
      <w:shd w:val="clear" w:color="auto" w:fill="FFFFFF"/>
      <w:spacing w:before="0" w:after="1380" w:line="274" w:lineRule="exact"/>
      <w:ind w:hanging="720"/>
      <w:jc w:val="left"/>
    </w:pPr>
    <w:rPr>
      <w:rFonts w:asciiTheme="minorHAnsi" w:hAnsiTheme="minorHAnsi" w:cstheme="minorBidi"/>
      <w:sz w:val="22"/>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6"/>
      </w:numPr>
    </w:pPr>
  </w:style>
  <w:style w:type="paragraph" w:customStyle="1" w:styleId="NumPar2">
    <w:name w:val="NumPar 2"/>
    <w:basedOn w:val="Normal"/>
    <w:next w:val="Text1"/>
    <w:pPr>
      <w:numPr>
        <w:ilvl w:val="1"/>
        <w:numId w:val="16"/>
      </w:numPr>
    </w:pPr>
  </w:style>
  <w:style w:type="paragraph" w:customStyle="1" w:styleId="NumPar3">
    <w:name w:val="NumPar 3"/>
    <w:basedOn w:val="Normal"/>
    <w:next w:val="Text1"/>
    <w:pPr>
      <w:numPr>
        <w:ilvl w:val="2"/>
        <w:numId w:val="16"/>
      </w:numPr>
    </w:pPr>
  </w:style>
  <w:style w:type="paragraph" w:customStyle="1" w:styleId="NumPar4">
    <w:name w:val="NumPar 4"/>
    <w:basedOn w:val="Normal"/>
    <w:next w:val="Text1"/>
    <w:pPr>
      <w:numPr>
        <w:ilvl w:val="3"/>
        <w:numId w:val="16"/>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8"/>
      </w:numPr>
    </w:pPr>
  </w:style>
  <w:style w:type="paragraph" w:customStyle="1" w:styleId="Point1number">
    <w:name w:val="Point 1 (number)"/>
    <w:basedOn w:val="Normal"/>
    <w:pPr>
      <w:numPr>
        <w:ilvl w:val="2"/>
        <w:numId w:val="18"/>
      </w:numPr>
    </w:pPr>
  </w:style>
  <w:style w:type="paragraph" w:customStyle="1" w:styleId="Point2number">
    <w:name w:val="Point 2 (number)"/>
    <w:basedOn w:val="Normal"/>
    <w:pPr>
      <w:numPr>
        <w:ilvl w:val="4"/>
        <w:numId w:val="18"/>
      </w:numPr>
    </w:pPr>
  </w:style>
  <w:style w:type="paragraph" w:customStyle="1" w:styleId="Point3number">
    <w:name w:val="Point 3 (number)"/>
    <w:basedOn w:val="Normal"/>
    <w:pPr>
      <w:numPr>
        <w:ilvl w:val="6"/>
        <w:numId w:val="18"/>
      </w:numPr>
    </w:pPr>
  </w:style>
  <w:style w:type="paragraph" w:customStyle="1" w:styleId="Point0letter">
    <w:name w:val="Point 0 (letter)"/>
    <w:basedOn w:val="Normal"/>
    <w:pPr>
      <w:numPr>
        <w:ilvl w:val="1"/>
        <w:numId w:val="18"/>
      </w:numPr>
    </w:pPr>
  </w:style>
  <w:style w:type="paragraph" w:customStyle="1" w:styleId="Point1letter">
    <w:name w:val="Point 1 (letter)"/>
    <w:basedOn w:val="Normal"/>
    <w:pPr>
      <w:numPr>
        <w:ilvl w:val="3"/>
        <w:numId w:val="18"/>
      </w:numPr>
    </w:pPr>
  </w:style>
  <w:style w:type="paragraph" w:customStyle="1" w:styleId="Point2letter">
    <w:name w:val="Point 2 (letter)"/>
    <w:basedOn w:val="Normal"/>
    <w:pPr>
      <w:numPr>
        <w:ilvl w:val="5"/>
        <w:numId w:val="18"/>
      </w:numPr>
    </w:pPr>
  </w:style>
  <w:style w:type="paragraph" w:customStyle="1" w:styleId="Point3letter">
    <w:name w:val="Point 3 (letter)"/>
    <w:basedOn w:val="Normal"/>
    <w:pPr>
      <w:numPr>
        <w:ilvl w:val="7"/>
        <w:numId w:val="18"/>
      </w:numPr>
    </w:pPr>
  </w:style>
  <w:style w:type="paragraph" w:customStyle="1" w:styleId="Point4letter">
    <w:name w:val="Point 4 (letter)"/>
    <w:basedOn w:val="Normal"/>
    <w:pPr>
      <w:numPr>
        <w:ilvl w:val="8"/>
        <w:numId w:val="18"/>
      </w:numPr>
    </w:pPr>
  </w:style>
  <w:style w:type="paragraph" w:customStyle="1" w:styleId="Bullet0">
    <w:name w:val="Bullet 0"/>
    <w:basedOn w:val="Normal"/>
    <w:pPr>
      <w:numPr>
        <w:numId w:val="19"/>
      </w:numPr>
    </w:pPr>
  </w:style>
  <w:style w:type="paragraph" w:customStyle="1" w:styleId="Bullet1">
    <w:name w:val="Bullet 1"/>
    <w:basedOn w:val="Normal"/>
    <w:pPr>
      <w:numPr>
        <w:numId w:val="20"/>
      </w:numPr>
    </w:pPr>
  </w:style>
  <w:style w:type="paragraph" w:customStyle="1" w:styleId="Bullet2">
    <w:name w:val="Bullet 2"/>
    <w:basedOn w:val="Normal"/>
    <w:pPr>
      <w:numPr>
        <w:numId w:val="21"/>
      </w:numPr>
    </w:pPr>
  </w:style>
  <w:style w:type="paragraph" w:customStyle="1" w:styleId="Bullet3">
    <w:name w:val="Bullet 3"/>
    <w:basedOn w:val="Normal"/>
    <w:pPr>
      <w:numPr>
        <w:numId w:val="22"/>
      </w:numPr>
    </w:pPr>
  </w:style>
  <w:style w:type="paragraph" w:customStyle="1" w:styleId="Bullet4">
    <w:name w:val="Bullet 4"/>
    <w:basedOn w:val="Normal"/>
    <w:pPr>
      <w:numPr>
        <w:numId w:val="23"/>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4"/>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c.europa.eu/economy_finance/economic_governance/sgp/pdf/coc/code_of_conduct_en.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21AA1-B21E-47AC-9421-A6428592E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6</Pages>
  <Words>1779</Words>
  <Characters>9198</Characters>
  <Application>Microsoft Office Word</Application>
  <DocSecurity>0</DocSecurity>
  <Lines>176</Lines>
  <Paragraphs>41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17</cp:revision>
  <cp:lastPrinted>2017-06-28T09:47:00Z</cp:lastPrinted>
  <dcterms:created xsi:type="dcterms:W3CDTF">2017-11-23T10:28:00Z</dcterms:created>
  <dcterms:modified xsi:type="dcterms:W3CDTF">2017-11-23T12:56:00Z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5.84.2.0</vt:lpwstr>
  </property>
  <property fmtid="{D5CDD505-2E9C-101B-9397-08002B2CF9AE}" pid="4" name="Last edited using">
    <vt:lpwstr>LW 6.0, Build 20171009</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SG-001</vt:lpwstr>
  </property>
  <property fmtid="{D5CDD505-2E9C-101B-9397-08002B2CF9AE}" pid="9" name="Level of sensitivity">
    <vt:lpwstr>Standard treatment</vt:lpwstr>
  </property>
  <property fmtid="{D5CDD505-2E9C-101B-9397-08002B2CF9AE}" pid="10" name="DQCStatus">
    <vt:lpwstr>Green (DQC version 03)</vt:lpwstr>
  </property>
</Properties>
</file>