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778B913-79F0-48C4-8FA8-3C95C753E982"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с оглед да се отстрани наблюдаваното значително отклонение от плана за корекции за постигане на средносрочната бюджетна цел в Румъния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10, параграф 2, втора алинея от него,</w:t>
      </w:r>
    </w:p>
    <w:p>
      <w:pPr>
        <w:tabs>
          <w:tab w:val="num" w:pos="709"/>
        </w:tabs>
        <w:rPr>
          <w:noProof/>
        </w:rPr>
      </w:pPr>
      <w:r>
        <w:rPr>
          <w:noProof/>
        </w:rPr>
        <w:t>като взе предвид препоръката на Комисията,</w:t>
      </w:r>
    </w:p>
    <w:p>
      <w:pPr>
        <w:tabs>
          <w:tab w:val="num" w:pos="709"/>
        </w:tabs>
        <w:rPr>
          <w:noProof/>
        </w:rPr>
      </w:pPr>
      <w:r>
        <w:rPr>
          <w:noProof/>
        </w:rPr>
        <w:t>като има предвид, че:</w:t>
      </w:r>
    </w:p>
    <w:p>
      <w:pPr>
        <w:pStyle w:val="ManualConsidrant"/>
        <w:rPr>
          <w:noProof/>
        </w:rPr>
      </w:pPr>
      <w:r>
        <w:t>(1)</w:t>
      </w:r>
      <w:r>
        <w:tab/>
      </w:r>
      <w:r>
        <w:rPr>
          <w:noProof/>
        </w:rPr>
        <w:t>На 16 юни 2017 г. Съветът реши, в съответствие с член 121, параграф 4 от Договора за функционирането на Европейския съюз („ДФЕС“), че в Румъния се наблюдава значително отклонение от плана за корекции за постигане на средносрочната бюджетна цел и издаде препоръка за това Румъния да предприеме необходимите мерки, за да гарантира, че номиналният темп на растеж на нетните първични държавни разходи</w:t>
      </w:r>
      <w:r>
        <w:rPr>
          <w:rStyle w:val="FootnoteReference"/>
          <w:noProof/>
        </w:rPr>
        <w:footnoteReference w:id="3"/>
      </w:r>
      <w:r>
        <w:rPr>
          <w:noProof/>
        </w:rPr>
        <w:t xml:space="preserve"> не надвишава 3,3 % през 2017 г., което съответства на годишна корекция на структурното салдо от 0,5 % от БВП</w:t>
      </w:r>
      <w:r>
        <w:rPr>
          <w:rStyle w:val="FootnoteReference"/>
          <w:noProof/>
        </w:rPr>
        <w:footnoteReference w:id="4"/>
      </w:r>
      <w:r>
        <w:rPr>
          <w:noProof/>
        </w:rPr>
        <w:t>. На Румъния беше препоръчано да използва всички извънредни приходи за намаляване на дефицита, като в същото време мерките за бюджетна консолидация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октомври 2017 г., в който Румъния да докладва относно действията, предприети в отговор на препоръката.</w:t>
      </w:r>
    </w:p>
    <w:p>
      <w:pPr>
        <w:pStyle w:val="ManualConsidrant"/>
        <w:rPr>
          <w:noProof/>
        </w:rPr>
      </w:pPr>
      <w:r>
        <w:t>(2)</w:t>
      </w:r>
      <w:r>
        <w:tab/>
      </w:r>
      <w:r>
        <w:rPr>
          <w:noProof/>
        </w:rPr>
        <w:t xml:space="preserve">На 11 юли 2017 г. Съветът препоръча на Румъния през 2017 г. да гарантира спазването на Препоръката на Съвета от 16 юни 2017 г. с оглед коригиране на </w:t>
      </w:r>
      <w:r>
        <w:rPr>
          <w:noProof/>
        </w:rPr>
        <w:lastRenderedPageBreak/>
        <w:t>значителното отклонение от плана за корекции за постигане на средносрочната бюджетна цел</w:t>
      </w:r>
      <w:r>
        <w:rPr>
          <w:rStyle w:val="FootnoteReference"/>
          <w:noProof/>
        </w:rPr>
        <w:footnoteReference w:id="5"/>
      </w:r>
      <w:r>
        <w:rPr>
          <w:noProof/>
        </w:rPr>
        <w:t xml:space="preserve">. За 2018 г. на Румъния бе препоръчано да постигне значителна фискална корекция в съответствие с изискванията на предпазните мерки на Пакта за стабилност и растеж, с цел допълнително да се доближи до своята средносрочнаа бюджетна цел за структурен дефицит от 1 % от БВП. Според общоприетата корекционна матрица съгласно Пакта за стабилност и растеж тази корекция означава изискване за номинален темп на растеж на нетните първични държавни разходи, който не превишава 4,3 % през 2018 г. Това ще съответства на структурна корекция от 0,5 % от БВП. </w:t>
      </w:r>
    </w:p>
    <w:p>
      <w:pPr>
        <w:pStyle w:val="ManualConsidrant"/>
        <w:rPr>
          <w:noProof/>
        </w:rPr>
      </w:pPr>
      <w:r>
        <w:t>(3)</w:t>
      </w:r>
      <w:r>
        <w:tab/>
      </w:r>
      <w:r>
        <w:rPr>
          <w:noProof/>
        </w:rPr>
        <w:t>На 26 и 27 септември 2017 г. Комисията предприе мисия за засилено наблюдение в Румъния с цел да извърши мониторинг на място съгласно член 11, параграф 2 от Регламент (ЕО) № 1466/97 на Съвета. Комисията докладва за констатациите си на Съвета на 24 октомври 2017 г. и ги направи публично достояние, след като изпрати предварителните си заключения на румънските органи.</w:t>
      </w:r>
    </w:p>
    <w:p>
      <w:pPr>
        <w:pStyle w:val="ManualConsidrant"/>
        <w:rPr>
          <w:noProof/>
        </w:rPr>
      </w:pPr>
      <w:r>
        <w:t>(4)</w:t>
      </w:r>
      <w:r>
        <w:tab/>
      </w:r>
      <w:r>
        <w:rPr>
          <w:noProof/>
        </w:rPr>
        <w:t xml:space="preserve">На 13 октомври 2017 г. румънските органи предоставиха доклада за ефективни действия в отговор на препоръката на Съвета от 16 юни 2017 г. Като се има предвид информацията, предоставена от румънските органи в доклада им за предприетите действия, и цялостната оценка въз основа на прогнозата от есента на 2017 г., Съвета на [ХХ] г. стигна до заключението, че Румъния не е предприела ефективни действия в отговор на препоръката на Съвета от 16 юни 2017 г. </w:t>
      </w:r>
    </w:p>
    <w:p>
      <w:pPr>
        <w:pStyle w:val="ManualConsidrant"/>
        <w:rPr>
          <w:noProof/>
        </w:rPr>
      </w:pPr>
      <w:r>
        <w:t>(5)</w:t>
      </w:r>
      <w:r>
        <w:tab/>
      </w:r>
      <w:r>
        <w:rPr>
          <w:noProof/>
        </w:rPr>
        <w:t xml:space="preserve">Румъния провежда проциклична фискална политика в контекст на висок икономически растеж и положителната разлика между фактическия и потенциалния БВП. Структурното салдо на Румъния през 2017 г. се оценява на 2,3 % от БВП, което е далеч от нейната средносрочна бюджетна цел. Поради това, и на фона на липсата на ефективни действия от страна на Румъния, еуместное до тази държава членка да бъде отправена преразгледана препоръка съгласно член 121, параграф 4 от ДФЕС относно подходящите мерки, които трябва да бъдат предприети. </w:t>
      </w:r>
    </w:p>
    <w:p>
      <w:pPr>
        <w:pStyle w:val="ManualConsidrant"/>
        <w:rPr>
          <w:noProof/>
        </w:rPr>
      </w:pPr>
      <w:r>
        <w:t>(6)</w:t>
      </w:r>
      <w:r>
        <w:tab/>
      </w:r>
      <w:r>
        <w:rPr>
          <w:noProof/>
        </w:rPr>
        <w:t>Според прогнозите за разликата между фактическия и потенциалния БВП в прогнозата на Комисията от есента на 2017 г. Румъния ще се намира в нормална икономическа ситуация през 2017 и 2018 г. Съотношението на консолидирания държавен дълг към БВП на Румъния е под прага от 60 % от БВП. Изискваната минимална структурна корекция, предвидена в Регламент (ЕО) № 1466/97 и общоприетата матрица на корекциите съгласно Пакта за стабилност и растеж, в която са отчетени преобладаващите икономически условия и евентуални опасения във връзка с устойчивостта, възлиза на 0,5 % от БВП.</w:t>
      </w:r>
    </w:p>
    <w:p>
      <w:pPr>
        <w:pStyle w:val="ManualConsidrant"/>
        <w:rPr>
          <w:noProof/>
        </w:rPr>
      </w:pPr>
      <w:r>
        <w:t>(7)</w:t>
      </w:r>
      <w:r>
        <w:tab/>
      </w:r>
      <w:r>
        <w:rPr>
          <w:noProof/>
        </w:rPr>
        <w:t xml:space="preserve">Комисията предвижда структурният дефицит на Румъния да нарасне с 1,1 % от БВП през 2017 г., докато в препоръката на Съвета от 16 юни 2017 г. се съдържа изискване за понижение в структурно изражение на излишъка в размер на най-малко 0,5 % от БВП. Освен това се очаква през 2017 г. Румъния да остане на референтната стойност за дефицита в Договора от 3 % от БВП и на основата на </w:t>
      </w:r>
      <w:r>
        <w:rPr>
          <w:noProof/>
        </w:rPr>
        <w:lastRenderedPageBreak/>
        <w:t xml:space="preserve">прогнозата на Комисията от есента на 2017 г. се предвижда страната да се отклони от тази референтна стойностсъс значителен марж през 2018 г. </w:t>
      </w:r>
    </w:p>
    <w:p>
      <w:pPr>
        <w:pStyle w:val="ManualConsidrant"/>
        <w:rPr>
          <w:noProof/>
        </w:rPr>
      </w:pPr>
      <w:r>
        <w:t>(8)</w:t>
      </w:r>
      <w:r>
        <w:tab/>
      </w:r>
      <w:r>
        <w:rPr>
          <w:noProof/>
        </w:rPr>
        <w:t xml:space="preserve">Допълнителна корекция, необходима за да върне Румъния обратно към адекватен план за корекция след отклоненията през 2016 и 2017 г., следва да допълни корекцията от 0,5 % от БВП, препоръчана от Съвета на 11 юли 2017 г. Допълнителната корекция от 0,3 % от БВП изглежда целесъобразна предвид мащаба на наблюдаваното значително отклонение от препоръчания план за корекция към средносрочната бюджетна цел и тя ще ускори корекцията в посока към постигането на средносрочната бюджетна цел. Изискваното подобрение на структурното салдо с 0,8 % от БВП през 2018 г. съответства на номинален темп на растеж на нетните първични държавни разходи, ненадвишаващ 3,3 % през 2018 г. </w:t>
      </w:r>
    </w:p>
    <w:p>
      <w:pPr>
        <w:pStyle w:val="ManualConsidrant"/>
        <w:rPr>
          <w:noProof/>
        </w:rPr>
      </w:pPr>
      <w:r>
        <w:t>(9)</w:t>
      </w:r>
      <w:r>
        <w:tab/>
      </w:r>
      <w:r>
        <w:rPr>
          <w:noProof/>
        </w:rPr>
        <w:t>Според прогнозата на Комисията от есента на 2017 г. се очаква допълнително влошаване на структурното салдо с 1 % от БВП през 2018 г. Поради това структурно подобрение от 0,8 % от БВП през 2018 г. съответства на необходимост да се предприемат мерки с общ структурен резултат от 1,8 % от БВП в сравнение с настоящия основен сценарий за 2018 г. съгласно прогнозата на Комисията от есента на 2017 г.</w:t>
      </w:r>
    </w:p>
    <w:p>
      <w:pPr>
        <w:pStyle w:val="ManualConsidrant"/>
        <w:rPr>
          <w:noProof/>
        </w:rPr>
      </w:pPr>
      <w:r>
        <w:t>(10)</w:t>
      </w:r>
      <w:r>
        <w:tab/>
      </w:r>
      <w:r>
        <w:rPr>
          <w:noProof/>
        </w:rPr>
        <w:t xml:space="preserve">Съгласно прогнозата на Комисията от есента на 2017 г. бюджетният дефицит ще възлиза на 3,9 % от БВП през 2018 г., което е над референтната стойност от 3 % от БВП по Договора. Изискваната структурна корекция от 0,8 % от БВП в сравнение с прогнозния резултат за 2017 г. ще гарантира също така, че през 2018 г. Румъния ще спази с марж прага от 3 % от БВП за дефицита по консолидирания държавен бюджет. </w:t>
      </w:r>
    </w:p>
    <w:p>
      <w:pPr>
        <w:pStyle w:val="ManualConsidrant"/>
        <w:rPr>
          <w:noProof/>
        </w:rPr>
      </w:pPr>
      <w:r>
        <w:t>(11)</w:t>
      </w:r>
      <w:r>
        <w:tab/>
      </w:r>
      <w:r>
        <w:rPr>
          <w:noProof/>
        </w:rPr>
        <w:t xml:space="preserve">Изискванията за 2018 г., заложени в настоящата препоръка, отменят съответните елементи, определени във фискалната препоръката, съдържаща се в препоръката на Съвета към Румъния от 11 юли 2017 г. </w:t>
      </w:r>
    </w:p>
    <w:p>
      <w:pPr>
        <w:pStyle w:val="ManualConsidrant"/>
        <w:rPr>
          <w:noProof/>
        </w:rPr>
      </w:pPr>
      <w:r>
        <w:t>(12)</w:t>
      </w:r>
      <w:r>
        <w:tab/>
      </w:r>
      <w:r>
        <w:rPr>
          <w:noProof/>
        </w:rPr>
        <w:t>Румъния следва да докладва на Съвета относно мерките, предприети в отговор на настоящата препоръка, в срок до 15 април 2018 г., евентуално като част от своята програма за конвергенция, подадена съгласно член 7 от Регламент (ЕО) № 1466/97.</w:t>
      </w:r>
    </w:p>
    <w:p>
      <w:pPr>
        <w:pStyle w:val="ManualConsidrant"/>
        <w:rPr>
          <w:noProof/>
        </w:rPr>
      </w:pPr>
      <w:r>
        <w:t>(13)</w:t>
      </w:r>
      <w:r>
        <w:tab/>
      </w:r>
      <w:r>
        <w:rPr>
          <w:noProof/>
        </w:rPr>
        <w:t xml:space="preserve">Целесъобразно е настоящата препоръка да се оповести публично. </w:t>
      </w:r>
    </w:p>
    <w:p>
      <w:pPr>
        <w:pStyle w:val="Formuledadoption"/>
        <w:rPr>
          <w:noProof/>
        </w:rPr>
      </w:pPr>
      <w:r>
        <w:rPr>
          <w:noProof/>
        </w:rPr>
        <w:t>ПРЕПОРЪЧВА:</w:t>
      </w:r>
    </w:p>
    <w:p>
      <w:pPr>
        <w:pStyle w:val="Titrearticle"/>
        <w:jc w:val="left"/>
        <w:rPr>
          <w:i w:val="0"/>
          <w:noProof/>
        </w:rPr>
      </w:pPr>
      <w:r>
        <w:rPr>
          <w:i w:val="0"/>
          <w:noProof/>
        </w:rPr>
        <w:t>НА РУМЪНИЯ:</w:t>
      </w:r>
    </w:p>
    <w:p>
      <w:pPr>
        <w:pStyle w:val="Point0number"/>
        <w:numPr>
          <w:ilvl w:val="0"/>
          <w:numId w:val="25"/>
        </w:numPr>
        <w:rPr>
          <w:noProof/>
        </w:rPr>
      </w:pPr>
      <w:r>
        <w:rPr>
          <w:noProof/>
        </w:rPr>
        <w:t xml:space="preserve">да предприеме необходимите мерки, за да гарантира, че номиналният темп на растеж на нетните първични държавни разходи не надвишава 3,3 % през 2018 г., което съответства на годишна корекция на структурното салдо от поне 0,8 % от БВП през 2018 г., като по този начин страната застава на подходящ път на корекции за постигане на средносрочната бюджетна цел; </w:t>
      </w:r>
    </w:p>
    <w:p>
      <w:pPr>
        <w:pStyle w:val="Point0number"/>
        <w:rPr>
          <w:noProof/>
        </w:rPr>
      </w:pPr>
      <w:r>
        <w:rPr>
          <w:noProof/>
        </w:rPr>
        <w:t>да използва всички извънредни приходи за намаляване на дефицита; мерките за бюджетна консолидация следва да гарантират трайно подобрение на структурното салдо по консолидирания държавен бюджет, като същевременно подкрепят растежа.</w:t>
      </w:r>
    </w:p>
    <w:p>
      <w:pPr>
        <w:pStyle w:val="Point0number"/>
        <w:numPr>
          <w:ilvl w:val="0"/>
          <w:numId w:val="1"/>
        </w:numPr>
        <w:rPr>
          <w:noProof/>
        </w:rPr>
      </w:pPr>
      <w:r>
        <w:rPr>
          <w:noProof/>
        </w:rPr>
        <w:t>да докладва на Съвета до 15 април 2018 г. за предприетите действия в отговор на настоящата препоръка.</w:t>
      </w:r>
    </w:p>
    <w:p>
      <w:pPr>
        <w:rPr>
          <w:noProof/>
        </w:rPr>
      </w:pPr>
      <w:r>
        <w:rPr>
          <w:noProof/>
        </w:rPr>
        <w:lastRenderedPageBreak/>
        <w:t>Адресат на настоящата препоръка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Нетните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или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4">
    <w:p>
      <w:pPr>
        <w:pStyle w:val="FootnoteText"/>
      </w:pPr>
      <w:r>
        <w:rPr>
          <w:rStyle w:val="FootnoteReference"/>
        </w:rPr>
        <w:footnoteRef/>
      </w:r>
      <w:r>
        <w:tab/>
        <w:t>Препоръка на Съвета от 16 юни 2017 г. с цел коригиране на наблюдаваното значително отклонение от плана за корекции за постигане на средносрочната бюджетна цел в Румъния (ОВ C 216, 6.7.2017 г., стр 1).</w:t>
      </w:r>
    </w:p>
  </w:footnote>
  <w:footnote w:id="5">
    <w:p>
      <w:pPr>
        <w:pStyle w:val="FootnoteText"/>
      </w:pPr>
      <w:r>
        <w:rPr>
          <w:rStyle w:val="FootnoteReference"/>
        </w:rPr>
        <w:footnoteRef/>
      </w:r>
      <w:r>
        <w:tab/>
        <w:t>Препоръка на Съвета от 11 юли 2017 г. относно националната програма за реформи на Румъния за 2017 г. и съдържаща становище на Съвета относно програмата за конвергенция на Румъния за 2017 г. (ОВ C 261, 9.8.2017 г., стр.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D894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AA0F0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0EA9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180E5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D76BC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E40E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01219F4"/>
    <w:lvl w:ilvl="0">
      <w:start w:val="1"/>
      <w:numFmt w:val="decimal"/>
      <w:pStyle w:val="ListNumber"/>
      <w:lvlText w:val="%1."/>
      <w:lvlJc w:val="left"/>
      <w:pPr>
        <w:tabs>
          <w:tab w:val="num" w:pos="360"/>
        </w:tabs>
        <w:ind w:left="360" w:hanging="360"/>
      </w:pPr>
    </w:lvl>
  </w:abstractNum>
  <w:abstractNum w:abstractNumId="7">
    <w:nsid w:val="FFFFFF89"/>
    <w:multiLevelType w:val="singleLevel"/>
    <w:tmpl w:val="265871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1"/>
    <w:lvlOverride w:ilvl="0">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efaultTableStyle w:val="Normal"/>
  <w:drawingGridHorizontalSpacing w:val="120"/>
  <w:displayHorizontalDrawingGridEvery w:val="2"/>
  <w:characterSpacingControl w:val="doNotCompress"/>
  <w:doNotValidateAgainstSchema/>
  <w:doNotDemarcateInvalidXml/>
  <w:hdrShapeDefaults>
    <o:shapedefaults v:ext="edit" spidmax="81921"/>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DQCDateTime" w:val="2017-11-24 09:30: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78B913-79F0-48C4-8FA8-3C95C753E982"/>
    <w:docVar w:name="LW_COVERPAGE_TYPE" w:val="1"/>
    <w:docVar w:name="LW_CROSSREFERENCE" w:val="{SWD(2017) 603 final}"/>
    <w:docVar w:name="LW_DocType" w:val="COM"/>
    <w:docVar w:name="LW_EMISSION" w:val="22.11.2017"/>
    <w:docVar w:name="LW_EMISSION_ISODATE" w:val="2017-11-22"/>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89? \u1086?\u1075?\u1083?\u1077?\u1076? \u1076?\u1072? \u1089?\u1077? \u1086?\u1090?\u1089?\u1090?\u1088?\u1072?\u1085?\u1080?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u1074? \u1056?\u1091?\u1084?\u1098?\u1085?\u1080?\u1103?"/>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bg-BG"/>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bg-BG"/>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bg-BG"/>
    </w:rPr>
  </w:style>
  <w:style w:type="paragraph" w:customStyle="1" w:styleId="Rvision">
    <w:name w:val="Révision"/>
    <w:semiHidden/>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 w:type="paragraph" w:styleId="Revision">
    <w:name w:val="Revision"/>
    <w:semiHidden/>
    <w:rPr>
      <w:sz w:val="24"/>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tedetabledesmatires">
    <w:name w:val="En-tête de table des matières"/>
    <w:basedOn w:val="Normal"/>
    <w:next w:val="Normal"/>
    <w:qFormat/>
    <w:pPr>
      <w:spacing w:after="240"/>
      <w:jc w:val="center"/>
    </w:pPr>
    <w:rPr>
      <w:b/>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lang w:eastAsia="bg-BG"/>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bg-BG"/>
    </w:rPr>
  </w:style>
  <w:style w:type="character" w:styleId="Hyperlink">
    <w:name w:val="Hyperlink"/>
    <w:rPr>
      <w:color w:val="0000FF"/>
      <w:u w:val="single"/>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rPr>
      <w:rFonts w:ascii="Tahoma" w:hAnsi="Tahoma" w:cs="Tahoma"/>
      <w:sz w:val="16"/>
      <w:szCs w:val="16"/>
      <w:lang w:eastAsia="bg-BG"/>
    </w:rPr>
  </w:style>
  <w:style w:type="paragraph" w:customStyle="1" w:styleId="Rvision">
    <w:name w:val="Révision"/>
    <w:semiHidden/>
    <w:rPr>
      <w:sz w:val="24"/>
      <w:szCs w:val="24"/>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eastAsia="bg-BG"/>
    </w:rPr>
  </w:style>
  <w:style w:type="character" w:styleId="EndnoteReference">
    <w:name w:val="endnote reference"/>
    <w:rPr>
      <w:vertAlign w:val="superscript"/>
    </w:rPr>
  </w:style>
  <w:style w:type="paragraph" w:styleId="Revision">
    <w:name w:val="Revision"/>
    <w:semiHidden/>
    <w:rPr>
      <w:sz w:val="24"/>
      <w:szCs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1794">
      <w:bodyDiv w:val="1"/>
      <w:marLeft w:val="0"/>
      <w:marRight w:val="0"/>
      <w:marTop w:val="0"/>
      <w:marBottom w:val="0"/>
      <w:divBdr>
        <w:top w:val="none" w:sz="0" w:space="0" w:color="auto"/>
        <w:left w:val="none" w:sz="0" w:space="0" w:color="auto"/>
        <w:bottom w:val="none" w:sz="0" w:space="0" w:color="auto"/>
        <w:right w:val="none" w:sz="0" w:space="0" w:color="auto"/>
      </w:divBdr>
    </w:div>
    <w:div w:id="1481114239">
      <w:bodyDiv w:val="1"/>
      <w:marLeft w:val="0"/>
      <w:marRight w:val="0"/>
      <w:marTop w:val="0"/>
      <w:marBottom w:val="0"/>
      <w:divBdr>
        <w:top w:val="none" w:sz="0" w:space="0" w:color="auto"/>
        <w:left w:val="none" w:sz="0" w:space="0" w:color="auto"/>
        <w:bottom w:val="none" w:sz="0" w:space="0" w:color="auto"/>
        <w:right w:val="none" w:sz="0" w:space="0" w:color="auto"/>
      </w:divBdr>
    </w:div>
    <w:div w:id="1937133811">
      <w:bodyDiv w:val="1"/>
      <w:marLeft w:val="0"/>
      <w:marRight w:val="0"/>
      <w:marTop w:val="0"/>
      <w:marBottom w:val="0"/>
      <w:divBdr>
        <w:top w:val="none" w:sz="0" w:space="0" w:color="auto"/>
        <w:left w:val="none" w:sz="0" w:space="0" w:color="auto"/>
        <w:bottom w:val="none" w:sz="0" w:space="0" w:color="auto"/>
        <w:right w:val="none" w:sz="0" w:space="0" w:color="auto"/>
      </w:divBdr>
    </w:div>
    <w:div w:id="199899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F1A1E-7269-44BA-AA56-5976F00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1226</Words>
  <Characters>6380</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Manager/>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18</cp:revision>
  <cp:lastPrinted>2017-11-13T19:14:00Z</cp:lastPrinted>
  <dcterms:created xsi:type="dcterms:W3CDTF">2017-11-23T14:34:00Z</dcterms:created>
  <dcterms:modified xsi:type="dcterms:W3CDTF">2017-11-24T08:30:00Z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6.0, Build 20171009</vt:lpwstr>
  </property>
  <property fmtid="{D5CDD505-2E9C-101B-9397-08002B2CF9AE}" pid="5" name="Created using">
    <vt:lpwstr>LW 5.8.2, Build 20120919</vt:lpwstr>
  </property>
  <property fmtid="{D5CDD505-2E9C-101B-9397-08002B2CF9AE}" pid="6" name="LWTemplateID">
    <vt:lpwstr>SG-002</vt:lpwstr>
  </property>
  <property fmtid="{D5CDD505-2E9C-101B-9397-08002B2CF9AE}" pid="7" name="Level of sensitivity">
    <vt:lpwstr>Standard treatment</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03)</vt:lpwstr>
  </property>
</Properties>
</file>